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F5E110" w14:textId="4B1CBC16" w:rsidR="00B21462" w:rsidRPr="00EB6182" w:rsidRDefault="00D07ADA" w:rsidP="00AB3273">
      <w:pPr>
        <w:pStyle w:val="Heading1"/>
        <w:spacing w:before="1560"/>
      </w:pPr>
      <w:r>
        <w:t>Intergovernmental Agreement on Biosecurity Review</w:t>
      </w:r>
      <w:r w:rsidR="00663DB1" w:rsidRPr="00663DB1">
        <w:t xml:space="preserve"> </w:t>
      </w:r>
      <w:r w:rsidR="00663DB1" w:rsidRPr="007D292C">
        <w:t>Draft</w:t>
      </w:r>
      <w:r w:rsidR="00663DB1">
        <w:t xml:space="preserve"> Report</w:t>
      </w:r>
      <w:bookmarkStart w:id="0" w:name="_GoBack"/>
      <w:bookmarkEnd w:id="0"/>
    </w:p>
    <w:p w14:paraId="5867A954" w14:textId="54E1ED94" w:rsidR="00B33E43" w:rsidRDefault="00B33E43" w:rsidP="00420E0D">
      <w:pPr>
        <w:pStyle w:val="Author"/>
        <w:pBdr>
          <w:top w:val="single" w:sz="4" w:space="1" w:color="auto"/>
        </w:pBdr>
        <w:spacing w:after="6000"/>
        <w:jc w:val="right"/>
        <w:rPr>
          <w:lang w:val="es-ES"/>
        </w:rPr>
      </w:pPr>
      <w:r w:rsidRPr="006E50A3">
        <w:t>December</w:t>
      </w:r>
      <w:r>
        <w:rPr>
          <w:lang w:val="es-ES"/>
        </w:rPr>
        <w:t xml:space="preserve"> 2016</w:t>
      </w:r>
    </w:p>
    <w:p w14:paraId="74E2BF37" w14:textId="1CFCF5C0" w:rsidR="00EB26B9" w:rsidRDefault="003C7DAA" w:rsidP="00AB3273">
      <w:pPr>
        <w:pStyle w:val="Author"/>
        <w:jc w:val="center"/>
      </w:pPr>
      <w:r>
        <w:rPr>
          <w:lang w:val="es-ES"/>
        </w:rPr>
        <w:t xml:space="preserve">Wendy </w:t>
      </w:r>
      <w:r w:rsidR="00D07ADA">
        <w:rPr>
          <w:lang w:val="es-ES"/>
        </w:rPr>
        <w:t>Craik</w:t>
      </w:r>
      <w:r w:rsidR="00B33E43">
        <w:rPr>
          <w:lang w:val="es-ES"/>
        </w:rPr>
        <w:t xml:space="preserve"> | </w:t>
      </w:r>
      <w:r>
        <w:rPr>
          <w:lang w:val="es-ES"/>
        </w:rPr>
        <w:t xml:space="preserve">David </w:t>
      </w:r>
      <w:r w:rsidR="00D07ADA">
        <w:rPr>
          <w:lang w:val="es-ES"/>
        </w:rPr>
        <w:t>Palmer</w:t>
      </w:r>
      <w:r w:rsidR="00B33E43">
        <w:rPr>
          <w:lang w:val="es-ES"/>
        </w:rPr>
        <w:t xml:space="preserve"> | </w:t>
      </w:r>
      <w:r>
        <w:rPr>
          <w:lang w:val="es-ES"/>
        </w:rPr>
        <w:t xml:space="preserve">Richard </w:t>
      </w:r>
      <w:r w:rsidR="00D07ADA">
        <w:rPr>
          <w:lang w:val="es-ES"/>
        </w:rPr>
        <w:t>Sheldrake</w:t>
      </w:r>
      <w:r w:rsidR="005E3F32">
        <w:br w:type="page"/>
      </w:r>
    </w:p>
    <w:p w14:paraId="39CE9366" w14:textId="77777777" w:rsidR="00AF2D57" w:rsidRPr="00CF3FB0" w:rsidRDefault="00CF3FB0" w:rsidP="00CF3FB0">
      <w:pPr>
        <w:rPr>
          <w:sz w:val="18"/>
          <w:szCs w:val="18"/>
        </w:rPr>
      </w:pPr>
      <w:r>
        <w:rPr>
          <w:sz w:val="18"/>
          <w:szCs w:val="18"/>
        </w:rPr>
        <w:lastRenderedPageBreak/>
        <w:t>© Commonwealth of Australia 2016</w:t>
      </w:r>
    </w:p>
    <w:p w14:paraId="44F9719E" w14:textId="77777777" w:rsidR="00AF2D57" w:rsidRPr="00CF3FB0" w:rsidRDefault="00AF2D57" w:rsidP="00CF3FB0">
      <w:pPr>
        <w:spacing w:after="0"/>
        <w:rPr>
          <w:rStyle w:val="Strong"/>
          <w:sz w:val="18"/>
          <w:szCs w:val="18"/>
        </w:rPr>
      </w:pPr>
      <w:r w:rsidRPr="00CF3FB0">
        <w:rPr>
          <w:rStyle w:val="Strong"/>
          <w:sz w:val="18"/>
          <w:szCs w:val="18"/>
        </w:rPr>
        <w:t>Ownership of intellectual property rights</w:t>
      </w:r>
    </w:p>
    <w:p w14:paraId="308891C4" w14:textId="77777777" w:rsidR="00AF2D57" w:rsidRPr="00CF3FB0" w:rsidRDefault="00AF2D57" w:rsidP="00CF3FB0">
      <w:pPr>
        <w:rPr>
          <w:sz w:val="18"/>
          <w:szCs w:val="18"/>
        </w:rPr>
      </w:pPr>
      <w:r w:rsidRPr="00CF3FB0">
        <w:rPr>
          <w:sz w:val="18"/>
          <w:szCs w:val="18"/>
        </w:rPr>
        <w:t>Unless otherwise noted, copyright (and any other intellectual property rights, if any) in this publication is owned by the Commonwealth of Australia (referred to as the Commonwealth).</w:t>
      </w:r>
    </w:p>
    <w:p w14:paraId="024CDE1B" w14:textId="77777777" w:rsidR="00AF2D57" w:rsidRPr="00CF3FB0" w:rsidRDefault="00AF2D57" w:rsidP="00CF3FB0">
      <w:pPr>
        <w:spacing w:after="0"/>
        <w:rPr>
          <w:rStyle w:val="Strong"/>
          <w:sz w:val="18"/>
          <w:szCs w:val="18"/>
        </w:rPr>
      </w:pPr>
      <w:r w:rsidRPr="00CF3FB0">
        <w:rPr>
          <w:rStyle w:val="Strong"/>
          <w:sz w:val="18"/>
          <w:szCs w:val="18"/>
        </w:rPr>
        <w:t>Creative Commons licence</w:t>
      </w:r>
    </w:p>
    <w:p w14:paraId="59F15360" w14:textId="77777777" w:rsidR="00AF2D57" w:rsidRPr="00CF3FB0" w:rsidRDefault="00AF2D57" w:rsidP="00CF3FB0">
      <w:pPr>
        <w:rPr>
          <w:sz w:val="18"/>
          <w:szCs w:val="18"/>
        </w:rPr>
      </w:pPr>
      <w:r w:rsidRPr="00CF3FB0">
        <w:rPr>
          <w:sz w:val="18"/>
          <w:szCs w:val="18"/>
        </w:rPr>
        <w:t>All material in this publication is licensed under a Creative Commons Attribution 3.0 Australia Licence, save for content supplied by third parties, logos and the Commonwealth Coat of Arms.</w:t>
      </w:r>
    </w:p>
    <w:p w14:paraId="1A18721B" w14:textId="77777777" w:rsidR="00AF2D57" w:rsidRPr="00CF3FB0" w:rsidRDefault="005F18A6" w:rsidP="00CF3FB0">
      <w:pPr>
        <w:rPr>
          <w:sz w:val="18"/>
          <w:szCs w:val="18"/>
        </w:rPr>
      </w:pPr>
      <w:r w:rsidRPr="00CF3FB0">
        <w:rPr>
          <w:noProof/>
          <w:sz w:val="18"/>
          <w:szCs w:val="18"/>
          <w:lang w:eastAsia="en-AU"/>
        </w:rPr>
        <w:drawing>
          <wp:inline distT="0" distB="0" distL="0" distR="0" wp14:anchorId="4320A85F" wp14:editId="27E80873">
            <wp:extent cx="724535" cy="255270"/>
            <wp:effectExtent l="0" t="0" r="0" b="0"/>
            <wp:docPr id="2" name="Picture 1" descr="Creative Commons Attribution 3.0 Australia Licence is a standard form licence agreement that allows you to copy, distribute, transmit and adapt this publication provided you attribute the 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1"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6DE3353" w14:textId="77777777" w:rsidR="00AF2D57" w:rsidRPr="00CF3FB0" w:rsidRDefault="00AF2D57" w:rsidP="00CF3FB0">
      <w:pPr>
        <w:rPr>
          <w:sz w:val="18"/>
          <w:szCs w:val="18"/>
        </w:rPr>
      </w:pPr>
      <w:r w:rsidRPr="00CF3FB0">
        <w:rPr>
          <w:sz w:val="18"/>
          <w:szCs w:val="18"/>
        </w:rP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2" w:history="1">
        <w:r w:rsidRPr="00CF3FB0">
          <w:rPr>
            <w:rStyle w:val="Hyperlink"/>
            <w:sz w:val="18"/>
            <w:szCs w:val="18"/>
          </w:rPr>
          <w:t>creativecommons.org/licenses/by/3.0/au/deed.en</w:t>
        </w:r>
      </w:hyperlink>
      <w:r w:rsidRPr="00CF3FB0">
        <w:rPr>
          <w:sz w:val="18"/>
          <w:szCs w:val="18"/>
        </w:rPr>
        <w:t xml:space="preserve">. The full licence terms are available from </w:t>
      </w:r>
      <w:hyperlink r:id="rId13" w:history="1">
        <w:r w:rsidRPr="00CF3FB0">
          <w:rPr>
            <w:rStyle w:val="Hyperlink"/>
            <w:sz w:val="18"/>
            <w:szCs w:val="18"/>
          </w:rPr>
          <w:t>creativecommons.org/licenses/by/3.0/au/legalcode</w:t>
        </w:r>
      </w:hyperlink>
      <w:r w:rsidRPr="00CF3FB0">
        <w:rPr>
          <w:sz w:val="18"/>
          <w:szCs w:val="18"/>
        </w:rPr>
        <w:t>.</w:t>
      </w:r>
    </w:p>
    <w:p w14:paraId="0563D5DE" w14:textId="77777777" w:rsidR="00164202" w:rsidRPr="00CF3FB0" w:rsidRDefault="00164202" w:rsidP="00CF3FB0">
      <w:pPr>
        <w:rPr>
          <w:sz w:val="18"/>
          <w:szCs w:val="18"/>
        </w:rPr>
      </w:pPr>
      <w:r w:rsidRPr="00CF3FB0">
        <w:rPr>
          <w:sz w:val="18"/>
          <w:szCs w:val="18"/>
        </w:rPr>
        <w:t xml:space="preserve">Inquiries about the licence and any use of this document should be sent to </w:t>
      </w:r>
      <w:hyperlink r:id="rId14" w:history="1">
        <w:r w:rsidR="007C7874" w:rsidRPr="00CF3FB0">
          <w:rPr>
            <w:rStyle w:val="Hyperlink"/>
            <w:sz w:val="18"/>
            <w:szCs w:val="18"/>
          </w:rPr>
          <w:t>copyright@agriculture.gov.au</w:t>
        </w:r>
      </w:hyperlink>
      <w:r w:rsidRPr="00CF3FB0">
        <w:rPr>
          <w:sz w:val="18"/>
          <w:szCs w:val="18"/>
        </w:rPr>
        <w:t>.</w:t>
      </w:r>
    </w:p>
    <w:p w14:paraId="6210498A" w14:textId="77777777" w:rsidR="00810981" w:rsidRPr="00CF3FB0" w:rsidRDefault="00810981" w:rsidP="00CF3FB0">
      <w:pPr>
        <w:spacing w:after="0"/>
        <w:rPr>
          <w:rStyle w:val="Strong"/>
          <w:sz w:val="18"/>
          <w:szCs w:val="18"/>
        </w:rPr>
      </w:pPr>
      <w:r w:rsidRPr="00CF3FB0">
        <w:rPr>
          <w:rStyle w:val="Strong"/>
          <w:sz w:val="18"/>
          <w:szCs w:val="18"/>
        </w:rPr>
        <w:t>Cataloguing data</w:t>
      </w:r>
    </w:p>
    <w:p w14:paraId="25E20D33" w14:textId="2D6F783C" w:rsidR="00920D0B" w:rsidRPr="00CF3FB0" w:rsidRDefault="00815C69" w:rsidP="00CF3FB0">
      <w:pPr>
        <w:rPr>
          <w:sz w:val="18"/>
          <w:szCs w:val="18"/>
        </w:rPr>
      </w:pPr>
      <w:r>
        <w:rPr>
          <w:sz w:val="18"/>
          <w:szCs w:val="18"/>
        </w:rPr>
        <w:t xml:space="preserve">Intergovernmental Agreement on Biosecurity Review </w:t>
      </w:r>
      <w:r w:rsidR="00663DB1">
        <w:rPr>
          <w:sz w:val="18"/>
          <w:szCs w:val="18"/>
        </w:rPr>
        <w:t xml:space="preserve">Draft Report </w:t>
      </w:r>
      <w:r w:rsidR="00BF7646" w:rsidRPr="00CF3FB0">
        <w:rPr>
          <w:sz w:val="18"/>
          <w:szCs w:val="18"/>
        </w:rPr>
        <w:t xml:space="preserve">is available at </w:t>
      </w:r>
      <w:hyperlink r:id="rId15" w:history="1">
        <w:r w:rsidR="001B62F7">
          <w:rPr>
            <w:rStyle w:val="Hyperlink"/>
            <w:sz w:val="18"/>
            <w:szCs w:val="18"/>
          </w:rPr>
          <w:t>agriculture.gov.au/igabreview</w:t>
        </w:r>
      </w:hyperlink>
      <w:r w:rsidR="00BF7646" w:rsidRPr="00CF3FB0">
        <w:rPr>
          <w:sz w:val="18"/>
          <w:szCs w:val="18"/>
        </w:rPr>
        <w:t>.</w:t>
      </w:r>
    </w:p>
    <w:p w14:paraId="6C211DBD" w14:textId="77777777" w:rsidR="00BF7646" w:rsidRPr="00BF7646" w:rsidRDefault="00BF7646" w:rsidP="00CF3FB0">
      <w:pPr>
        <w:spacing w:after="0"/>
        <w:rPr>
          <w:b/>
          <w:sz w:val="18"/>
          <w:szCs w:val="18"/>
        </w:rPr>
      </w:pPr>
      <w:r w:rsidRPr="00BF7646">
        <w:rPr>
          <w:b/>
          <w:sz w:val="18"/>
          <w:szCs w:val="18"/>
        </w:rPr>
        <w:t>Contact</w:t>
      </w:r>
    </w:p>
    <w:p w14:paraId="4D7ECF0D" w14:textId="77777777" w:rsidR="00AF2D57" w:rsidRPr="00CF3FB0" w:rsidRDefault="00164202" w:rsidP="00CF3FB0">
      <w:pPr>
        <w:spacing w:after="0"/>
        <w:rPr>
          <w:sz w:val="18"/>
          <w:szCs w:val="18"/>
        </w:rPr>
      </w:pPr>
      <w:r w:rsidRPr="00CF3FB0">
        <w:rPr>
          <w:sz w:val="18"/>
          <w:szCs w:val="18"/>
        </w:rPr>
        <w:t>Department of Agriculture</w:t>
      </w:r>
      <w:r w:rsidR="00EC68D7" w:rsidRPr="00CF3FB0">
        <w:rPr>
          <w:sz w:val="18"/>
          <w:szCs w:val="18"/>
        </w:rPr>
        <w:t xml:space="preserve"> and Water Resources</w:t>
      </w:r>
    </w:p>
    <w:p w14:paraId="14D9F513" w14:textId="77777777" w:rsidR="00AF2D57" w:rsidRPr="00CF3FB0" w:rsidRDefault="00AF2D57" w:rsidP="00CF3FB0">
      <w:pPr>
        <w:spacing w:after="0"/>
        <w:rPr>
          <w:sz w:val="18"/>
          <w:szCs w:val="18"/>
        </w:rPr>
      </w:pPr>
      <w:r w:rsidRPr="00CF3FB0">
        <w:rPr>
          <w:sz w:val="18"/>
          <w:szCs w:val="18"/>
        </w:rPr>
        <w:t xml:space="preserve">Postal address GPO Box </w:t>
      </w:r>
      <w:r w:rsidR="00164202" w:rsidRPr="00CF3FB0">
        <w:rPr>
          <w:sz w:val="18"/>
          <w:szCs w:val="18"/>
        </w:rPr>
        <w:t>858</w:t>
      </w:r>
      <w:r w:rsidRPr="00CF3FB0">
        <w:rPr>
          <w:sz w:val="18"/>
          <w:szCs w:val="18"/>
        </w:rPr>
        <w:t xml:space="preserve"> Canberra ACT 2601</w:t>
      </w:r>
    </w:p>
    <w:p w14:paraId="089B9B18" w14:textId="77777777" w:rsidR="00AF2D57" w:rsidRPr="00CF3FB0" w:rsidRDefault="003537FB" w:rsidP="00CF3FB0">
      <w:pPr>
        <w:spacing w:after="0"/>
        <w:rPr>
          <w:sz w:val="18"/>
          <w:szCs w:val="18"/>
        </w:rPr>
      </w:pPr>
      <w:r w:rsidRPr="00CF3FB0">
        <w:rPr>
          <w:sz w:val="18"/>
          <w:szCs w:val="18"/>
        </w:rPr>
        <w:t>Telephone 1800 900 090</w:t>
      </w:r>
    </w:p>
    <w:p w14:paraId="54999C3E" w14:textId="77777777" w:rsidR="00AF2D57" w:rsidRPr="00CF3FB0" w:rsidRDefault="00164202" w:rsidP="00CF3FB0">
      <w:pPr>
        <w:spacing w:after="120"/>
        <w:rPr>
          <w:sz w:val="18"/>
          <w:szCs w:val="18"/>
        </w:rPr>
      </w:pPr>
      <w:r w:rsidRPr="00CF3FB0">
        <w:rPr>
          <w:sz w:val="18"/>
          <w:szCs w:val="18"/>
        </w:rPr>
        <w:t xml:space="preserve">Web </w:t>
      </w:r>
      <w:hyperlink r:id="rId16" w:history="1">
        <w:r w:rsidR="007C7874" w:rsidRPr="00CF3FB0">
          <w:rPr>
            <w:rStyle w:val="Hyperlink"/>
            <w:sz w:val="18"/>
            <w:szCs w:val="18"/>
          </w:rPr>
          <w:t>agriculture.gov.au</w:t>
        </w:r>
      </w:hyperlink>
    </w:p>
    <w:p w14:paraId="7AEFC0AD" w14:textId="155135FA" w:rsidR="004F7364" w:rsidRDefault="00BF7646" w:rsidP="00CF3FB0">
      <w:pPr>
        <w:rPr>
          <w:sz w:val="18"/>
          <w:szCs w:val="18"/>
        </w:rPr>
      </w:pPr>
      <w:r w:rsidRPr="00BF7646">
        <w:rPr>
          <w:sz w:val="18"/>
          <w:szCs w:val="18"/>
        </w:rPr>
        <w:t xml:space="preserve">The views expressed in this </w:t>
      </w:r>
      <w:r w:rsidR="00EF0EC2">
        <w:rPr>
          <w:sz w:val="18"/>
          <w:szCs w:val="18"/>
        </w:rPr>
        <w:t>Draft Report</w:t>
      </w:r>
      <w:r w:rsidRPr="00BF7646">
        <w:rPr>
          <w:sz w:val="18"/>
          <w:szCs w:val="18"/>
        </w:rPr>
        <w:t xml:space="preserve"> do not represent the views of the Australian Government. The Australian Government—including the Department of Agriculture and Water Resources, their employees and advisers—and the </w:t>
      </w:r>
      <w:r w:rsidR="003A234F">
        <w:rPr>
          <w:sz w:val="18"/>
          <w:szCs w:val="18"/>
        </w:rPr>
        <w:t>R</w:t>
      </w:r>
      <w:r w:rsidR="0005647E">
        <w:rPr>
          <w:sz w:val="18"/>
          <w:szCs w:val="18"/>
        </w:rPr>
        <w:t xml:space="preserve">eview </w:t>
      </w:r>
      <w:r w:rsidR="003A234F">
        <w:rPr>
          <w:sz w:val="18"/>
          <w:szCs w:val="18"/>
        </w:rPr>
        <w:t>P</w:t>
      </w:r>
      <w:r w:rsidRPr="00BF7646">
        <w:rPr>
          <w:sz w:val="18"/>
          <w:szCs w:val="18"/>
        </w:rPr>
        <w:t xml:space="preserve">anel members disclaim all liability, including liability for negligence and for any loss, damage, injury, expense or cost incurred by any person as a result of accessing, using or relying upon </w:t>
      </w:r>
      <w:r w:rsidR="00EF0EC2">
        <w:rPr>
          <w:sz w:val="18"/>
          <w:szCs w:val="18"/>
        </w:rPr>
        <w:t>any of the information in this D</w:t>
      </w:r>
      <w:r>
        <w:rPr>
          <w:sz w:val="18"/>
          <w:szCs w:val="18"/>
        </w:rPr>
        <w:t>raft</w:t>
      </w:r>
      <w:r w:rsidRPr="00BF7646">
        <w:rPr>
          <w:sz w:val="18"/>
          <w:szCs w:val="18"/>
        </w:rPr>
        <w:t xml:space="preserve"> </w:t>
      </w:r>
      <w:r w:rsidR="00EF0EC2">
        <w:rPr>
          <w:sz w:val="18"/>
          <w:szCs w:val="18"/>
        </w:rPr>
        <w:t>Report</w:t>
      </w:r>
      <w:r w:rsidRPr="00BF7646">
        <w:rPr>
          <w:sz w:val="18"/>
          <w:szCs w:val="18"/>
        </w:rPr>
        <w:t xml:space="preserve"> to the maximum extent permitted by law.</w:t>
      </w:r>
    </w:p>
    <w:p w14:paraId="762B1B99" w14:textId="3EDB52A7" w:rsidR="00BA0BB6" w:rsidRPr="00EB26B9" w:rsidRDefault="00215BF0" w:rsidP="00CC0B2F">
      <w:pPr>
        <w:pStyle w:val="Heading2"/>
        <w:numPr>
          <w:ilvl w:val="0"/>
          <w:numId w:val="0"/>
        </w:numPr>
        <w:ind w:left="720" w:hanging="720"/>
      </w:pPr>
      <w:bookmarkStart w:id="1" w:name="_Toc430782148"/>
      <w:bookmarkStart w:id="2" w:name="_Toc454439248"/>
      <w:bookmarkStart w:id="3" w:name="_Toc469654716"/>
      <w:r>
        <w:lastRenderedPageBreak/>
        <w:t>An invitation to comment</w:t>
      </w:r>
      <w:bookmarkEnd w:id="3"/>
    </w:p>
    <w:p w14:paraId="223912DA" w14:textId="77777777" w:rsidR="007A39BE" w:rsidRDefault="007A39BE" w:rsidP="007A39BE">
      <w:pPr>
        <w:keepNext/>
      </w:pPr>
      <w:r>
        <w:t xml:space="preserve">In late 2015, Australian agriculture ministers agreed to an independent review of the 2012 Intergovernmental Agreement on Biosecurity (IGAB) to consider the implementation and effectiveness of the IGAB and its schedules, and to assess the capacity of the national biosecurity system. </w:t>
      </w:r>
    </w:p>
    <w:p w14:paraId="10926813" w14:textId="0294FF14" w:rsidR="007A39BE" w:rsidRDefault="007A39BE" w:rsidP="007A39BE">
      <w:pPr>
        <w:keepNext/>
        <w:rPr>
          <w:highlight w:val="cyan"/>
        </w:rPr>
      </w:pPr>
      <w:r>
        <w:t>Following our appointment to the Review Panel in March 2016, we released a discussion paper in May 2016 as the basis for national consultation. The Intergovernmental Agreement on Biosecurity Review Draft Report (Draft Report) is the next step in our review of Australia’s biosecurity system and the underpinning IGAB.</w:t>
      </w:r>
    </w:p>
    <w:p w14:paraId="2122C2CD" w14:textId="14127BF9" w:rsidR="00BA0BB6" w:rsidRDefault="00BA0BB6" w:rsidP="00BA0BB6">
      <w:pPr>
        <w:keepNext/>
      </w:pPr>
      <w:r>
        <w:t xml:space="preserve">Between May and August 2016, we gathered information from </w:t>
      </w:r>
      <w:r w:rsidR="00EF0EC2">
        <w:t xml:space="preserve">a </w:t>
      </w:r>
      <w:r w:rsidR="00276BC8">
        <w:t xml:space="preserve">wide </w:t>
      </w:r>
      <w:r>
        <w:t xml:space="preserve">range of participants in the national biosecurity system, representing the broad range of views and perspectives from governments, peak industry and community bodies, researchers, businesses and individuals. We have held meetings covering 36 Australian, state and territory government agencies, 13 stakeholder discussion groups (at which </w:t>
      </w:r>
      <w:r w:rsidR="00AD5BA2">
        <w:t>more than</w:t>
      </w:r>
      <w:r>
        <w:t xml:space="preserve"> 100 organisations and businesses were represented), and many other teleconferences and face-to-face meetings.</w:t>
      </w:r>
    </w:p>
    <w:p w14:paraId="4D9805F1" w14:textId="76CA2373" w:rsidR="00BA0BB6" w:rsidRDefault="00BA0BB6" w:rsidP="00BA0BB6">
      <w:pPr>
        <w:keepNext/>
      </w:pPr>
      <w:r>
        <w:t xml:space="preserve">We received </w:t>
      </w:r>
      <w:r w:rsidR="00AD5BA2">
        <w:t>more than</w:t>
      </w:r>
      <w:r w:rsidR="004A40EC">
        <w:t xml:space="preserve"> </w:t>
      </w:r>
      <w:r>
        <w:t>65 written submissions (</w:t>
      </w:r>
      <w:r w:rsidR="00700487">
        <w:fldChar w:fldCharType="begin"/>
      </w:r>
      <w:r w:rsidR="00700487">
        <w:instrText xml:space="preserve"> REF _Ref468449481 \h </w:instrText>
      </w:r>
      <w:r w:rsidR="00700487">
        <w:fldChar w:fldCharType="separate"/>
      </w:r>
      <w:r w:rsidR="008303E2">
        <w:t>Appendix C: Public consultation</w:t>
      </w:r>
      <w:r w:rsidR="00700487">
        <w:fldChar w:fldCharType="end"/>
      </w:r>
      <w:r w:rsidRPr="00B64F64">
        <w:t>);</w:t>
      </w:r>
      <w:r>
        <w:t xml:space="preserve"> all non-confidential submissions are published on the Department of Agriculture and Water Resources </w:t>
      </w:r>
      <w:hyperlink r:id="rId17" w:history="1">
        <w:r w:rsidR="00EF0EC2" w:rsidRPr="00EF0EC2">
          <w:rPr>
            <w:rStyle w:val="Hyperlink"/>
          </w:rPr>
          <w:t>IGAB Review</w:t>
        </w:r>
      </w:hyperlink>
      <w:r w:rsidR="00EF0EC2">
        <w:t xml:space="preserve"> </w:t>
      </w:r>
      <w:r>
        <w:t xml:space="preserve">website. </w:t>
      </w:r>
      <w:r w:rsidR="00AD5BA2">
        <w:t>More than</w:t>
      </w:r>
      <w:r>
        <w:t xml:space="preserve"> half of the submissions came from industry representative bodies or organisations</w:t>
      </w:r>
      <w:r w:rsidR="004A40EC">
        <w:t>, including</w:t>
      </w:r>
      <w:r>
        <w:t xml:space="preserve"> primary production, logistics,</w:t>
      </w:r>
      <w:r w:rsidR="004A40EC">
        <w:t xml:space="preserve"> exports, transport and tourism</w:t>
      </w:r>
      <w:r w:rsidR="009C3408">
        <w:t xml:space="preserve">; </w:t>
      </w:r>
      <w:r>
        <w:t>environmental non-government organisations were also well represented.</w:t>
      </w:r>
    </w:p>
    <w:p w14:paraId="27A36BC4" w14:textId="6DF04B86" w:rsidR="0098052D" w:rsidRDefault="0098052D" w:rsidP="00BA0BB6">
      <w:pPr>
        <w:keepNext/>
      </w:pPr>
      <w:r w:rsidRPr="0098052D">
        <w:t xml:space="preserve">We are grateful to two independent reviewers whose opinion on the logic, practicality, strength of argument and </w:t>
      </w:r>
      <w:r>
        <w:t>factual correctness was sought.</w:t>
      </w:r>
      <w:r w:rsidR="00062DAF">
        <w:t xml:space="preserve"> </w:t>
      </w:r>
      <w:r w:rsidRPr="0098052D">
        <w:t xml:space="preserve">The </w:t>
      </w:r>
      <w:r w:rsidR="009408EE">
        <w:t>Draft Re</w:t>
      </w:r>
      <w:r w:rsidRPr="0098052D">
        <w:t>port has benefited from their contributions.</w:t>
      </w:r>
    </w:p>
    <w:p w14:paraId="5C28D5BA" w14:textId="436A06E2" w:rsidR="00BA0BB6" w:rsidRDefault="00BA0BB6" w:rsidP="00BA0BB6">
      <w:pPr>
        <w:keepNext/>
      </w:pPr>
      <w:r>
        <w:t xml:space="preserve">We thank all those who have contributed and acknowledge the wealth of knowledge and expertise across the biosecurity system. We have drawn heavily from the </w:t>
      </w:r>
      <w:r w:rsidR="0087787F">
        <w:t xml:space="preserve">views and </w:t>
      </w:r>
      <w:r>
        <w:t>information provided during consultation for our Draft Report.</w:t>
      </w:r>
    </w:p>
    <w:p w14:paraId="259C1EFB" w14:textId="23A4BA1E" w:rsidR="00BA0BB6" w:rsidRDefault="00BA0BB6" w:rsidP="00BA0BB6">
      <w:pPr>
        <w:keepNext/>
      </w:pPr>
      <w:r>
        <w:t xml:space="preserve">We have considered the </w:t>
      </w:r>
      <w:r w:rsidR="0087787F">
        <w:t xml:space="preserve">national biosecurity </w:t>
      </w:r>
      <w:r>
        <w:t xml:space="preserve">system’s capacity to manage increased biosecurity risks and the role of a future IGAB in effecting a stronger </w:t>
      </w:r>
      <w:r w:rsidR="0087787F">
        <w:t xml:space="preserve">national </w:t>
      </w:r>
      <w:r>
        <w:t>system.</w:t>
      </w:r>
    </w:p>
    <w:p w14:paraId="715D57ED" w14:textId="7A01F992" w:rsidR="00BA0BB6" w:rsidRDefault="00BA0BB6" w:rsidP="00BA0BB6">
      <w:pPr>
        <w:keepNext/>
      </w:pPr>
      <w:r>
        <w:t>Th</w:t>
      </w:r>
      <w:r w:rsidR="0087787F">
        <w:t>is</w:t>
      </w:r>
      <w:r>
        <w:t xml:space="preserve"> Draft Report is </w:t>
      </w:r>
      <w:r w:rsidR="0087787F">
        <w:t>our invitation to all interested parties to constructively comment on our proposals and ideas. The draft recommendations outline the system-wide improvements needed in the short and medium</w:t>
      </w:r>
      <w:r w:rsidR="000F3C36">
        <w:t xml:space="preserve"> </w:t>
      </w:r>
      <w:r w:rsidR="0087787F">
        <w:t xml:space="preserve">term, including under a future IGAB—along with some longer-term aspirations. </w:t>
      </w:r>
      <w:r>
        <w:t xml:space="preserve">We recognise there are </w:t>
      </w:r>
      <w:r w:rsidR="0087787F">
        <w:t xml:space="preserve">some </w:t>
      </w:r>
      <w:r>
        <w:t>issues yet to be resolved.</w:t>
      </w:r>
    </w:p>
    <w:p w14:paraId="0095E42C" w14:textId="4EF57510" w:rsidR="00BA0BB6" w:rsidRDefault="00BA0BB6" w:rsidP="00BA0BB6">
      <w:pPr>
        <w:keepLines/>
      </w:pPr>
      <w:r>
        <w:t xml:space="preserve">Submissions are due by </w:t>
      </w:r>
      <w:r w:rsidR="00127D27" w:rsidRPr="0084662C">
        <w:rPr>
          <w:rStyle w:val="Strong"/>
        </w:rPr>
        <w:t>5pm AE</w:t>
      </w:r>
      <w:r w:rsidR="009E53E9" w:rsidRPr="0084662C">
        <w:rPr>
          <w:rStyle w:val="Strong"/>
        </w:rPr>
        <w:t>D</w:t>
      </w:r>
      <w:r w:rsidR="00127D27" w:rsidRPr="0084662C">
        <w:rPr>
          <w:rStyle w:val="Strong"/>
        </w:rPr>
        <w:t>T</w:t>
      </w:r>
      <w:r w:rsidRPr="0084662C">
        <w:rPr>
          <w:rStyle w:val="Strong"/>
        </w:rPr>
        <w:t xml:space="preserve"> Monday 2</w:t>
      </w:r>
      <w:r w:rsidR="005E1DF9" w:rsidRPr="0084662C">
        <w:rPr>
          <w:rStyle w:val="Strong"/>
        </w:rPr>
        <w:t>7</w:t>
      </w:r>
      <w:r w:rsidRPr="0084662C">
        <w:rPr>
          <w:rStyle w:val="Strong"/>
        </w:rPr>
        <w:t xml:space="preserve"> February 2017</w:t>
      </w:r>
      <w:r w:rsidRPr="00933868">
        <w:rPr>
          <w:rStyle w:val="Strong"/>
          <w:b w:val="0"/>
        </w:rPr>
        <w:t>.</w:t>
      </w:r>
    </w:p>
    <w:p w14:paraId="115F2EAC" w14:textId="6CAC49DF" w:rsidR="00BA0BB6" w:rsidRDefault="00BA0BB6" w:rsidP="00BA0BB6">
      <w:pPr>
        <w:keepLines/>
      </w:pPr>
      <w:r>
        <w:t xml:space="preserve">We </w:t>
      </w:r>
      <w:r w:rsidR="00276BC8">
        <w:t xml:space="preserve">welcome </w:t>
      </w:r>
      <w:r>
        <w:t xml:space="preserve">your responses as we seek to finalise the work of the Review. </w:t>
      </w:r>
      <w:r w:rsidR="00432A4C">
        <w:t>It is intended that a</w:t>
      </w:r>
      <w:r>
        <w:t xml:space="preserve"> Final Report will be provided to all Australian agriculture ministers in </w:t>
      </w:r>
      <w:r w:rsidR="00C00E61">
        <w:t>May</w:t>
      </w:r>
      <w:r>
        <w:t xml:space="preserve"> 2017.</w:t>
      </w:r>
    </w:p>
    <w:p w14:paraId="0B8E494A" w14:textId="77777777" w:rsidR="00BA0BB6" w:rsidRDefault="00BA0BB6" w:rsidP="00BA0BB6">
      <w:pPr>
        <w:keepLines/>
        <w:rPr>
          <w:rStyle w:val="Strong"/>
        </w:rPr>
      </w:pPr>
      <w:r w:rsidRPr="009F0FD5">
        <w:rPr>
          <w:rStyle w:val="Strong"/>
        </w:rPr>
        <w:t>Wendy Craik (Chair)</w:t>
      </w:r>
      <w:r>
        <w:rPr>
          <w:rStyle w:val="Strong"/>
        </w:rPr>
        <w:t xml:space="preserve">, </w:t>
      </w:r>
      <w:r w:rsidRPr="009F0FD5">
        <w:rPr>
          <w:rStyle w:val="Strong"/>
        </w:rPr>
        <w:t>David Palmer</w:t>
      </w:r>
      <w:r>
        <w:rPr>
          <w:rStyle w:val="Strong"/>
        </w:rPr>
        <w:t xml:space="preserve"> and </w:t>
      </w:r>
      <w:r w:rsidRPr="009F0FD5">
        <w:rPr>
          <w:rStyle w:val="Strong"/>
        </w:rPr>
        <w:t>Richard Sheldrake</w:t>
      </w:r>
    </w:p>
    <w:p w14:paraId="6C9E61D3" w14:textId="7068D957" w:rsidR="00BA0BB6" w:rsidRDefault="00BA0BB6" w:rsidP="00CC5FD3">
      <w:pPr>
        <w:pStyle w:val="Heading2"/>
        <w:numPr>
          <w:ilvl w:val="0"/>
          <w:numId w:val="0"/>
        </w:numPr>
        <w:ind w:left="720" w:hanging="720"/>
      </w:pPr>
      <w:bookmarkStart w:id="4" w:name="_Toc469654717"/>
      <w:r>
        <w:lastRenderedPageBreak/>
        <w:t>Making a submission</w:t>
      </w:r>
      <w:bookmarkEnd w:id="1"/>
      <w:bookmarkEnd w:id="2"/>
      <w:bookmarkEnd w:id="4"/>
    </w:p>
    <w:p w14:paraId="131BDE38" w14:textId="57CFC1FA" w:rsidR="00BA0BB6" w:rsidRDefault="00BA0BB6" w:rsidP="00BA0BB6">
      <w:pPr>
        <w:rPr>
          <w:lang w:eastAsia="ja-JP"/>
        </w:rPr>
      </w:pPr>
      <w:r>
        <w:rPr>
          <w:lang w:eastAsia="ja-JP"/>
        </w:rPr>
        <w:t xml:space="preserve">The Review Panel welcomes submissions on the Draft Report from all interested parties. Submissions should address the Draft Report and consider </w:t>
      </w:r>
      <w:r w:rsidR="000B46A7">
        <w:rPr>
          <w:lang w:eastAsia="ja-JP"/>
        </w:rPr>
        <w:t xml:space="preserve">the </w:t>
      </w:r>
      <w:r>
        <w:rPr>
          <w:lang w:eastAsia="ja-JP"/>
        </w:rPr>
        <w:t xml:space="preserve">Panel’s views, draft recommendations and </w:t>
      </w:r>
      <w:r w:rsidR="0032631B">
        <w:rPr>
          <w:lang w:eastAsia="ja-JP"/>
        </w:rPr>
        <w:t xml:space="preserve">specific </w:t>
      </w:r>
      <w:r>
        <w:rPr>
          <w:lang w:eastAsia="ja-JP"/>
        </w:rPr>
        <w:t xml:space="preserve">requests for </w:t>
      </w:r>
      <w:r w:rsidR="0032631B">
        <w:rPr>
          <w:lang w:eastAsia="ja-JP"/>
        </w:rPr>
        <w:t>feedback</w:t>
      </w:r>
      <w:r>
        <w:rPr>
          <w:lang w:eastAsia="ja-JP"/>
        </w:rPr>
        <w:t xml:space="preserve">. As appropriate, </w:t>
      </w:r>
      <w:r w:rsidR="00276BC8">
        <w:rPr>
          <w:lang w:eastAsia="ja-JP"/>
        </w:rPr>
        <w:t xml:space="preserve">it is helpful if </w:t>
      </w:r>
      <w:r>
        <w:rPr>
          <w:lang w:eastAsia="ja-JP"/>
        </w:rPr>
        <w:t>evidence and examples, such as relevan</w:t>
      </w:r>
      <w:r w:rsidR="00276BC8">
        <w:rPr>
          <w:lang w:eastAsia="ja-JP"/>
        </w:rPr>
        <w:t>t data and documentation, can be provided.</w:t>
      </w:r>
    </w:p>
    <w:p w14:paraId="4CB1F94E" w14:textId="4371D728" w:rsidR="00BA0EF0" w:rsidRDefault="00BA0EF0" w:rsidP="00BA0BB6">
      <w:pPr>
        <w:rPr>
          <w:lang w:eastAsia="ja-JP"/>
        </w:rPr>
      </w:pPr>
      <w:r>
        <w:rPr>
          <w:lang w:eastAsia="ja-JP"/>
        </w:rPr>
        <w:t>Submissions need not cover all issues and there is no limit on the length of written submission—</w:t>
      </w:r>
      <w:r w:rsidR="00276BC8">
        <w:rPr>
          <w:lang w:eastAsia="ja-JP"/>
        </w:rPr>
        <w:t>although a shorter submission is welcomed</w:t>
      </w:r>
      <w:r>
        <w:rPr>
          <w:lang w:eastAsia="ja-JP"/>
        </w:rPr>
        <w:t>. For longer submissions, including a summary of your comments may be appropriate.</w:t>
      </w:r>
    </w:p>
    <w:p w14:paraId="2F28BE45" w14:textId="1357E011" w:rsidR="00BA0BB6" w:rsidRDefault="00BA0BB6" w:rsidP="00BA0BB6">
      <w:pPr>
        <w:rPr>
          <w:lang w:eastAsia="ja-JP"/>
        </w:rPr>
      </w:pPr>
      <w:r w:rsidRPr="00BD3B81">
        <w:rPr>
          <w:lang w:eastAsia="ja-JP"/>
        </w:rPr>
        <w:t xml:space="preserve">Written submissions, accompanied by a completed cover sheet (available at </w:t>
      </w:r>
      <w:hyperlink r:id="rId18" w:history="1">
        <w:r w:rsidRPr="00BD3B81">
          <w:rPr>
            <w:rStyle w:val="Hyperlink"/>
            <w:lang w:eastAsia="ja-JP"/>
          </w:rPr>
          <w:t>agriculture.gov.au/igabreview</w:t>
        </w:r>
      </w:hyperlink>
      <w:r w:rsidRPr="00BD3B81">
        <w:rPr>
          <w:lang w:eastAsia="ja-JP"/>
        </w:rPr>
        <w:t>)</w:t>
      </w:r>
      <w:r w:rsidR="00E2489F">
        <w:rPr>
          <w:lang w:eastAsia="ja-JP"/>
        </w:rPr>
        <w:t>,</w:t>
      </w:r>
      <w:r w:rsidRPr="00BD3B81">
        <w:rPr>
          <w:lang w:eastAsia="ja-JP"/>
        </w:rPr>
        <w:t xml:space="preserve"> can</w:t>
      </w:r>
      <w:r>
        <w:rPr>
          <w:lang w:eastAsia="ja-JP"/>
        </w:rPr>
        <w:t xml:space="preserve"> be provided:</w:t>
      </w:r>
    </w:p>
    <w:p w14:paraId="4918322F" w14:textId="55ABEC36" w:rsidR="00BA0BB6" w:rsidRDefault="00A16522" w:rsidP="00BA0BB6">
      <w:pPr>
        <w:pStyle w:val="ListBullet"/>
        <w:rPr>
          <w:lang w:eastAsia="ja-JP"/>
        </w:rPr>
      </w:pPr>
      <w:r>
        <w:rPr>
          <w:lang w:eastAsia="ja-JP"/>
        </w:rPr>
        <w:t>b</w:t>
      </w:r>
      <w:r w:rsidR="00BA0BB6">
        <w:rPr>
          <w:lang w:eastAsia="ja-JP"/>
        </w:rPr>
        <w:t xml:space="preserve">y email: </w:t>
      </w:r>
      <w:hyperlink r:id="rId19" w:history="1">
        <w:r w:rsidR="00BA0BB6" w:rsidRPr="004E7B5B">
          <w:rPr>
            <w:rStyle w:val="Hyperlink"/>
          </w:rPr>
          <w:t>igabreview@agriculture.gov.au</w:t>
        </w:r>
      </w:hyperlink>
      <w:r w:rsidR="00BA0BB6" w:rsidRPr="00BD3B81">
        <w:rPr>
          <w:lang w:eastAsia="ja-JP"/>
        </w:rPr>
        <w:t>,</w:t>
      </w:r>
      <w:r w:rsidR="00BA0BB6">
        <w:rPr>
          <w:lang w:eastAsia="ja-JP"/>
        </w:rPr>
        <w:t xml:space="preserve"> or</w:t>
      </w:r>
    </w:p>
    <w:p w14:paraId="404A1C1A" w14:textId="65BE183F" w:rsidR="00BA0BB6" w:rsidRDefault="00A16522" w:rsidP="00BA0BB6">
      <w:pPr>
        <w:pStyle w:val="ListBullet"/>
        <w:rPr>
          <w:lang w:eastAsia="ja-JP"/>
        </w:rPr>
      </w:pPr>
      <w:r>
        <w:rPr>
          <w:lang w:eastAsia="ja-JP"/>
        </w:rPr>
        <w:t>b</w:t>
      </w:r>
      <w:r w:rsidR="00D77E9E">
        <w:rPr>
          <w:lang w:eastAsia="ja-JP"/>
        </w:rPr>
        <w:t>y p</w:t>
      </w:r>
      <w:r w:rsidR="00FD0075">
        <w:rPr>
          <w:lang w:eastAsia="ja-JP"/>
        </w:rPr>
        <w:t>ost:</w:t>
      </w:r>
    </w:p>
    <w:p w14:paraId="2D014648" w14:textId="36D9A1E5" w:rsidR="00442B8C" w:rsidRDefault="00442B8C" w:rsidP="00442B8C">
      <w:pPr>
        <w:pStyle w:val="ListBullet"/>
        <w:numPr>
          <w:ilvl w:val="0"/>
          <w:numId w:val="0"/>
        </w:numPr>
        <w:ind w:left="284"/>
        <w:rPr>
          <w:lang w:eastAsia="ja-JP"/>
        </w:rPr>
      </w:pPr>
      <w:r>
        <w:rPr>
          <w:lang w:eastAsia="ja-JP"/>
        </w:rPr>
        <w:t>IGAB Review Secretariat</w:t>
      </w:r>
      <w:r>
        <w:rPr>
          <w:lang w:eastAsia="ja-JP"/>
        </w:rPr>
        <w:br/>
        <w:t>Department of Agriculture and Water Resources</w:t>
      </w:r>
      <w:r>
        <w:rPr>
          <w:lang w:eastAsia="ja-JP"/>
        </w:rPr>
        <w:br/>
        <w:t>GPO Box 858</w:t>
      </w:r>
      <w:r>
        <w:rPr>
          <w:lang w:eastAsia="ja-JP"/>
        </w:rPr>
        <w:br/>
        <w:t>CANBERRA ACT 2601</w:t>
      </w:r>
    </w:p>
    <w:p w14:paraId="7C981087" w14:textId="77777777" w:rsidR="00BA0BB6" w:rsidRPr="005F1D40" w:rsidRDefault="00BA0BB6" w:rsidP="00BA0BB6">
      <w:pPr>
        <w:rPr>
          <w:rStyle w:val="Strong"/>
          <w:lang w:eastAsia="ja-JP"/>
        </w:rPr>
      </w:pPr>
      <w:r w:rsidRPr="005F1D40">
        <w:rPr>
          <w:rStyle w:val="Strong"/>
          <w:lang w:eastAsia="ja-JP"/>
        </w:rPr>
        <w:t>Due date for submissions</w:t>
      </w:r>
    </w:p>
    <w:p w14:paraId="70BEFC7B" w14:textId="718089C0" w:rsidR="00BA0BB6" w:rsidRDefault="00BA0BB6" w:rsidP="00BA0BB6">
      <w:pPr>
        <w:rPr>
          <w:lang w:eastAsia="ja-JP"/>
        </w:rPr>
      </w:pPr>
      <w:r>
        <w:rPr>
          <w:lang w:eastAsia="ja-JP"/>
        </w:rPr>
        <w:t xml:space="preserve">Submissions on the Draft Report are due </w:t>
      </w:r>
      <w:r w:rsidR="00220B0D">
        <w:rPr>
          <w:lang w:eastAsia="ja-JP"/>
        </w:rPr>
        <w:t>by</w:t>
      </w:r>
      <w:r>
        <w:rPr>
          <w:lang w:eastAsia="ja-JP"/>
        </w:rPr>
        <w:t xml:space="preserve"> </w:t>
      </w:r>
      <w:r w:rsidR="00757F07" w:rsidRPr="0084662C">
        <w:rPr>
          <w:rStyle w:val="Strong"/>
          <w:lang w:eastAsia="ja-JP"/>
        </w:rPr>
        <w:t>5pm AED</w:t>
      </w:r>
      <w:r w:rsidR="00220B0D" w:rsidRPr="0084662C">
        <w:rPr>
          <w:rStyle w:val="Strong"/>
          <w:lang w:eastAsia="ja-JP"/>
        </w:rPr>
        <w:t>T</w:t>
      </w:r>
      <w:r w:rsidRPr="0084662C">
        <w:rPr>
          <w:rStyle w:val="Strong"/>
          <w:lang w:eastAsia="ja-JP"/>
        </w:rPr>
        <w:t xml:space="preserve"> Monday 2</w:t>
      </w:r>
      <w:r w:rsidR="005E1DF9" w:rsidRPr="0084662C">
        <w:rPr>
          <w:rStyle w:val="Strong"/>
          <w:lang w:eastAsia="ja-JP"/>
        </w:rPr>
        <w:t>7</w:t>
      </w:r>
      <w:r w:rsidRPr="0084662C">
        <w:rPr>
          <w:rStyle w:val="Strong"/>
          <w:lang w:eastAsia="ja-JP"/>
        </w:rPr>
        <w:t xml:space="preserve"> February 201</w:t>
      </w:r>
      <w:r w:rsidR="000C2A3F" w:rsidRPr="0084662C">
        <w:rPr>
          <w:rStyle w:val="Strong"/>
          <w:lang w:eastAsia="ja-JP"/>
        </w:rPr>
        <w:t>7</w:t>
      </w:r>
      <w:r>
        <w:rPr>
          <w:lang w:eastAsia="ja-JP"/>
        </w:rPr>
        <w:t>.</w:t>
      </w:r>
    </w:p>
    <w:p w14:paraId="69E8FB2F" w14:textId="77777777" w:rsidR="00BA0BB6" w:rsidRDefault="00BA0BB6" w:rsidP="00BA0BB6">
      <w:pPr>
        <w:rPr>
          <w:lang w:eastAsia="ja-JP"/>
        </w:rPr>
      </w:pPr>
      <w:r>
        <w:rPr>
          <w:lang w:eastAsia="ja-JP"/>
        </w:rPr>
        <w:t>Submissions received after this date may not be considered in the Review Panel’s Final Report.</w:t>
      </w:r>
    </w:p>
    <w:p w14:paraId="29F927B2" w14:textId="77777777" w:rsidR="00BA0BB6" w:rsidRPr="005F1D40" w:rsidRDefault="00BA0BB6" w:rsidP="00BA0BB6">
      <w:pPr>
        <w:rPr>
          <w:rStyle w:val="Strong"/>
          <w:lang w:eastAsia="ja-JP"/>
        </w:rPr>
      </w:pPr>
      <w:r w:rsidRPr="005F1D40">
        <w:rPr>
          <w:rStyle w:val="Strong"/>
          <w:lang w:eastAsia="ja-JP"/>
        </w:rPr>
        <w:t>Publication of submissions</w:t>
      </w:r>
    </w:p>
    <w:p w14:paraId="082A24B4" w14:textId="1B3F6FA5" w:rsidR="003F7F49" w:rsidRDefault="00BA0BB6" w:rsidP="007A69DF">
      <w:r>
        <w:rPr>
          <w:lang w:eastAsia="ja-JP"/>
        </w:rPr>
        <w:t xml:space="preserve">Submissions will be published on the website of the Australian Government Department of Agriculture and Water Resources </w:t>
      </w:r>
      <w:r w:rsidRPr="00BD3B81">
        <w:rPr>
          <w:lang w:eastAsia="ja-JP"/>
        </w:rPr>
        <w:t>(</w:t>
      </w:r>
      <w:hyperlink r:id="rId20" w:history="1">
        <w:r w:rsidRPr="00BD3B81">
          <w:rPr>
            <w:rStyle w:val="Hyperlink"/>
            <w:lang w:eastAsia="ja-JP"/>
          </w:rPr>
          <w:t>agriculture.gov.au/igabreview</w:t>
        </w:r>
      </w:hyperlink>
      <w:r>
        <w:rPr>
          <w:lang w:eastAsia="ja-JP"/>
        </w:rPr>
        <w:t>), unless you request otherwise. If your submission is to be treated as confidential, in full or in part, indicate clearly on the front page.</w:t>
      </w:r>
      <w:r w:rsidR="003F7F49">
        <w:br w:type="page"/>
      </w:r>
    </w:p>
    <w:sdt>
      <w:sdtPr>
        <w:rPr>
          <w:rFonts w:ascii="Cambria" w:eastAsiaTheme="minorHAnsi" w:hAnsi="Cambria"/>
          <w:b/>
          <w:bCs w:val="0"/>
          <w:noProof/>
          <w:color w:val="auto"/>
          <w:sz w:val="22"/>
          <w:szCs w:val="22"/>
          <w:lang w:eastAsia="en-US"/>
        </w:rPr>
        <w:id w:val="-760297017"/>
        <w:docPartObj>
          <w:docPartGallery w:val="Table of Contents"/>
          <w:docPartUnique/>
        </w:docPartObj>
      </w:sdtPr>
      <w:sdtEndPr/>
      <w:sdtContent>
        <w:p w14:paraId="53CED027" w14:textId="581E0344" w:rsidR="00A50834" w:rsidRDefault="00A50834">
          <w:pPr>
            <w:pStyle w:val="TOCHeading"/>
          </w:pPr>
          <w:r>
            <w:t>Contents</w:t>
          </w:r>
        </w:p>
        <w:p w14:paraId="4AACDB53" w14:textId="77777777" w:rsidR="008303E2" w:rsidRDefault="002A3865">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469654716" w:history="1">
            <w:r w:rsidR="008303E2" w:rsidRPr="006F0648">
              <w:rPr>
                <w:rStyle w:val="Hyperlink"/>
              </w:rPr>
              <w:t>An invitation to comment</w:t>
            </w:r>
            <w:r w:rsidR="008303E2">
              <w:rPr>
                <w:webHidden/>
              </w:rPr>
              <w:tab/>
            </w:r>
            <w:r w:rsidR="008303E2">
              <w:rPr>
                <w:webHidden/>
              </w:rPr>
              <w:fldChar w:fldCharType="begin"/>
            </w:r>
            <w:r w:rsidR="008303E2">
              <w:rPr>
                <w:webHidden/>
              </w:rPr>
              <w:instrText xml:space="preserve"> PAGEREF _Toc469654716 \h </w:instrText>
            </w:r>
            <w:r w:rsidR="008303E2">
              <w:rPr>
                <w:webHidden/>
              </w:rPr>
            </w:r>
            <w:r w:rsidR="008303E2">
              <w:rPr>
                <w:webHidden/>
              </w:rPr>
              <w:fldChar w:fldCharType="separate"/>
            </w:r>
            <w:r w:rsidR="008303E2">
              <w:rPr>
                <w:webHidden/>
              </w:rPr>
              <w:t>iii</w:t>
            </w:r>
            <w:r w:rsidR="008303E2">
              <w:rPr>
                <w:webHidden/>
              </w:rPr>
              <w:fldChar w:fldCharType="end"/>
            </w:r>
          </w:hyperlink>
        </w:p>
        <w:p w14:paraId="6466D744" w14:textId="77777777" w:rsidR="008303E2" w:rsidRDefault="008303E2">
          <w:pPr>
            <w:pStyle w:val="TOC1"/>
            <w:rPr>
              <w:rFonts w:asciiTheme="minorHAnsi" w:eastAsiaTheme="minorEastAsia" w:hAnsiTheme="minorHAnsi"/>
              <w:b w:val="0"/>
              <w:lang w:eastAsia="en-AU"/>
            </w:rPr>
          </w:pPr>
          <w:hyperlink w:anchor="_Toc469654717" w:history="1">
            <w:r w:rsidRPr="006F0648">
              <w:rPr>
                <w:rStyle w:val="Hyperlink"/>
              </w:rPr>
              <w:t>Making a submission</w:t>
            </w:r>
            <w:r>
              <w:rPr>
                <w:webHidden/>
              </w:rPr>
              <w:tab/>
            </w:r>
            <w:r>
              <w:rPr>
                <w:webHidden/>
              </w:rPr>
              <w:fldChar w:fldCharType="begin"/>
            </w:r>
            <w:r>
              <w:rPr>
                <w:webHidden/>
              </w:rPr>
              <w:instrText xml:space="preserve"> PAGEREF _Toc469654717 \h </w:instrText>
            </w:r>
            <w:r>
              <w:rPr>
                <w:webHidden/>
              </w:rPr>
            </w:r>
            <w:r>
              <w:rPr>
                <w:webHidden/>
              </w:rPr>
              <w:fldChar w:fldCharType="separate"/>
            </w:r>
            <w:r>
              <w:rPr>
                <w:webHidden/>
              </w:rPr>
              <w:t>iv</w:t>
            </w:r>
            <w:r>
              <w:rPr>
                <w:webHidden/>
              </w:rPr>
              <w:fldChar w:fldCharType="end"/>
            </w:r>
          </w:hyperlink>
        </w:p>
        <w:p w14:paraId="585D3CEB" w14:textId="77777777" w:rsidR="008303E2" w:rsidRDefault="008303E2">
          <w:pPr>
            <w:pStyle w:val="TOC1"/>
            <w:rPr>
              <w:rFonts w:asciiTheme="minorHAnsi" w:eastAsiaTheme="minorEastAsia" w:hAnsiTheme="minorHAnsi"/>
              <w:b w:val="0"/>
              <w:lang w:eastAsia="en-AU"/>
            </w:rPr>
          </w:pPr>
          <w:hyperlink w:anchor="_Toc469654718" w:history="1">
            <w:r w:rsidRPr="006F0648">
              <w:rPr>
                <w:rStyle w:val="Hyperlink"/>
              </w:rPr>
              <w:t>Summary</w:t>
            </w:r>
            <w:r>
              <w:rPr>
                <w:webHidden/>
              </w:rPr>
              <w:tab/>
            </w:r>
            <w:r>
              <w:rPr>
                <w:webHidden/>
              </w:rPr>
              <w:fldChar w:fldCharType="begin"/>
            </w:r>
            <w:r>
              <w:rPr>
                <w:webHidden/>
              </w:rPr>
              <w:instrText xml:space="preserve"> PAGEREF _Toc469654718 \h </w:instrText>
            </w:r>
            <w:r>
              <w:rPr>
                <w:webHidden/>
              </w:rPr>
            </w:r>
            <w:r>
              <w:rPr>
                <w:webHidden/>
              </w:rPr>
              <w:fldChar w:fldCharType="separate"/>
            </w:r>
            <w:r>
              <w:rPr>
                <w:webHidden/>
              </w:rPr>
              <w:t>vii</w:t>
            </w:r>
            <w:r>
              <w:rPr>
                <w:webHidden/>
              </w:rPr>
              <w:fldChar w:fldCharType="end"/>
            </w:r>
          </w:hyperlink>
        </w:p>
        <w:p w14:paraId="0BF6EED2" w14:textId="77777777" w:rsidR="008303E2" w:rsidRDefault="008303E2">
          <w:pPr>
            <w:pStyle w:val="TOC1"/>
            <w:rPr>
              <w:rFonts w:asciiTheme="minorHAnsi" w:eastAsiaTheme="minorEastAsia" w:hAnsiTheme="minorHAnsi"/>
              <w:b w:val="0"/>
              <w:lang w:eastAsia="en-AU"/>
            </w:rPr>
          </w:pPr>
          <w:hyperlink w:anchor="_Toc469654719" w:history="1">
            <w:r w:rsidRPr="006F0648">
              <w:rPr>
                <w:rStyle w:val="Hyperlink"/>
              </w:rPr>
              <w:t>Draft recommendations and requests for feedback</w:t>
            </w:r>
            <w:r>
              <w:rPr>
                <w:webHidden/>
              </w:rPr>
              <w:tab/>
            </w:r>
            <w:r>
              <w:rPr>
                <w:webHidden/>
              </w:rPr>
              <w:fldChar w:fldCharType="begin"/>
            </w:r>
            <w:r>
              <w:rPr>
                <w:webHidden/>
              </w:rPr>
              <w:instrText xml:space="preserve"> PAGEREF _Toc469654719 \h </w:instrText>
            </w:r>
            <w:r>
              <w:rPr>
                <w:webHidden/>
              </w:rPr>
            </w:r>
            <w:r>
              <w:rPr>
                <w:webHidden/>
              </w:rPr>
              <w:fldChar w:fldCharType="separate"/>
            </w:r>
            <w:r>
              <w:rPr>
                <w:webHidden/>
              </w:rPr>
              <w:t>xi</w:t>
            </w:r>
            <w:r>
              <w:rPr>
                <w:webHidden/>
              </w:rPr>
              <w:fldChar w:fldCharType="end"/>
            </w:r>
          </w:hyperlink>
        </w:p>
        <w:p w14:paraId="1B34B3E6" w14:textId="77777777" w:rsidR="008303E2" w:rsidRDefault="008303E2">
          <w:pPr>
            <w:pStyle w:val="TOC1"/>
            <w:rPr>
              <w:rFonts w:asciiTheme="minorHAnsi" w:eastAsiaTheme="minorEastAsia" w:hAnsiTheme="minorHAnsi"/>
              <w:b w:val="0"/>
              <w:lang w:eastAsia="en-AU"/>
            </w:rPr>
          </w:pPr>
          <w:hyperlink w:anchor="_Toc469654720" w:history="1">
            <w:r w:rsidRPr="006F0648">
              <w:rPr>
                <w:rStyle w:val="Hyperlink"/>
              </w:rPr>
              <w:t>Acronyms and abbreviations</w:t>
            </w:r>
            <w:r>
              <w:rPr>
                <w:webHidden/>
              </w:rPr>
              <w:tab/>
            </w:r>
            <w:r>
              <w:rPr>
                <w:webHidden/>
              </w:rPr>
              <w:fldChar w:fldCharType="begin"/>
            </w:r>
            <w:r>
              <w:rPr>
                <w:webHidden/>
              </w:rPr>
              <w:instrText xml:space="preserve"> PAGEREF _Toc469654720 \h </w:instrText>
            </w:r>
            <w:r>
              <w:rPr>
                <w:webHidden/>
              </w:rPr>
            </w:r>
            <w:r>
              <w:rPr>
                <w:webHidden/>
              </w:rPr>
              <w:fldChar w:fldCharType="separate"/>
            </w:r>
            <w:r>
              <w:rPr>
                <w:webHidden/>
              </w:rPr>
              <w:t>xvi</w:t>
            </w:r>
            <w:r>
              <w:rPr>
                <w:webHidden/>
              </w:rPr>
              <w:fldChar w:fldCharType="end"/>
            </w:r>
          </w:hyperlink>
        </w:p>
        <w:p w14:paraId="4FE64E94" w14:textId="77777777" w:rsidR="008303E2" w:rsidRDefault="008303E2">
          <w:pPr>
            <w:pStyle w:val="TOC1"/>
            <w:rPr>
              <w:rFonts w:asciiTheme="minorHAnsi" w:eastAsiaTheme="minorEastAsia" w:hAnsiTheme="minorHAnsi"/>
              <w:b w:val="0"/>
              <w:lang w:eastAsia="en-AU"/>
            </w:rPr>
          </w:pPr>
          <w:hyperlink w:anchor="_Toc469654721" w:history="1">
            <w:r w:rsidRPr="006F0648">
              <w:rPr>
                <w:rStyle w:val="Hyperlink"/>
              </w:rPr>
              <w:t>1</w:t>
            </w:r>
            <w:r>
              <w:rPr>
                <w:rFonts w:asciiTheme="minorHAnsi" w:eastAsiaTheme="minorEastAsia" w:hAnsiTheme="minorHAnsi"/>
                <w:b w:val="0"/>
                <w:lang w:eastAsia="en-AU"/>
              </w:rPr>
              <w:tab/>
            </w:r>
            <w:r w:rsidRPr="006F0648">
              <w:rPr>
                <w:rStyle w:val="Hyperlink"/>
              </w:rPr>
              <w:t>Australia’s biosecurity system</w:t>
            </w:r>
            <w:r>
              <w:rPr>
                <w:webHidden/>
              </w:rPr>
              <w:tab/>
            </w:r>
            <w:r>
              <w:rPr>
                <w:webHidden/>
              </w:rPr>
              <w:fldChar w:fldCharType="begin"/>
            </w:r>
            <w:r>
              <w:rPr>
                <w:webHidden/>
              </w:rPr>
              <w:instrText xml:space="preserve"> PAGEREF _Toc469654721 \h </w:instrText>
            </w:r>
            <w:r>
              <w:rPr>
                <w:webHidden/>
              </w:rPr>
            </w:r>
            <w:r>
              <w:rPr>
                <w:webHidden/>
              </w:rPr>
              <w:fldChar w:fldCharType="separate"/>
            </w:r>
            <w:r>
              <w:rPr>
                <w:webHidden/>
              </w:rPr>
              <w:t>1</w:t>
            </w:r>
            <w:r>
              <w:rPr>
                <w:webHidden/>
              </w:rPr>
              <w:fldChar w:fldCharType="end"/>
            </w:r>
          </w:hyperlink>
        </w:p>
        <w:p w14:paraId="51615D4E" w14:textId="77777777" w:rsidR="008303E2" w:rsidRDefault="008303E2">
          <w:pPr>
            <w:pStyle w:val="TOC2"/>
            <w:tabs>
              <w:tab w:val="left" w:pos="1100"/>
            </w:tabs>
            <w:rPr>
              <w:rFonts w:asciiTheme="minorHAnsi" w:eastAsiaTheme="minorEastAsia" w:hAnsiTheme="minorHAnsi"/>
              <w:lang w:eastAsia="en-AU"/>
            </w:rPr>
          </w:pPr>
          <w:hyperlink w:anchor="_Toc469654722" w:history="1">
            <w:r w:rsidRPr="006F0648">
              <w:rPr>
                <w:rStyle w:val="Hyperlink"/>
              </w:rPr>
              <w:t>1.1</w:t>
            </w:r>
            <w:r>
              <w:rPr>
                <w:rFonts w:asciiTheme="minorHAnsi" w:eastAsiaTheme="minorEastAsia" w:hAnsiTheme="minorHAnsi"/>
                <w:lang w:eastAsia="en-AU"/>
              </w:rPr>
              <w:tab/>
            </w:r>
            <w:r w:rsidRPr="006F0648">
              <w:rPr>
                <w:rStyle w:val="Hyperlink"/>
              </w:rPr>
              <w:t>An evolving system</w:t>
            </w:r>
            <w:r>
              <w:rPr>
                <w:webHidden/>
              </w:rPr>
              <w:tab/>
            </w:r>
            <w:r>
              <w:rPr>
                <w:webHidden/>
              </w:rPr>
              <w:fldChar w:fldCharType="begin"/>
            </w:r>
            <w:r>
              <w:rPr>
                <w:webHidden/>
              </w:rPr>
              <w:instrText xml:space="preserve"> PAGEREF _Toc469654722 \h </w:instrText>
            </w:r>
            <w:r>
              <w:rPr>
                <w:webHidden/>
              </w:rPr>
            </w:r>
            <w:r>
              <w:rPr>
                <w:webHidden/>
              </w:rPr>
              <w:fldChar w:fldCharType="separate"/>
            </w:r>
            <w:r>
              <w:rPr>
                <w:webHidden/>
              </w:rPr>
              <w:t>2</w:t>
            </w:r>
            <w:r>
              <w:rPr>
                <w:webHidden/>
              </w:rPr>
              <w:fldChar w:fldCharType="end"/>
            </w:r>
          </w:hyperlink>
        </w:p>
        <w:p w14:paraId="1F455580" w14:textId="77777777" w:rsidR="008303E2" w:rsidRDefault="008303E2">
          <w:pPr>
            <w:pStyle w:val="TOC2"/>
            <w:tabs>
              <w:tab w:val="left" w:pos="1100"/>
            </w:tabs>
            <w:rPr>
              <w:rFonts w:asciiTheme="minorHAnsi" w:eastAsiaTheme="minorEastAsia" w:hAnsiTheme="minorHAnsi"/>
              <w:lang w:eastAsia="en-AU"/>
            </w:rPr>
          </w:pPr>
          <w:hyperlink w:anchor="_Toc469654723" w:history="1">
            <w:r w:rsidRPr="006F0648">
              <w:rPr>
                <w:rStyle w:val="Hyperlink"/>
              </w:rPr>
              <w:t>1.2</w:t>
            </w:r>
            <w:r>
              <w:rPr>
                <w:rFonts w:asciiTheme="minorHAnsi" w:eastAsiaTheme="minorEastAsia" w:hAnsiTheme="minorHAnsi"/>
                <w:lang w:eastAsia="en-AU"/>
              </w:rPr>
              <w:tab/>
            </w:r>
            <w:r w:rsidRPr="006F0648">
              <w:rPr>
                <w:rStyle w:val="Hyperlink"/>
              </w:rPr>
              <w:t>Future risks and pathways</w:t>
            </w:r>
            <w:r>
              <w:rPr>
                <w:webHidden/>
              </w:rPr>
              <w:tab/>
            </w:r>
            <w:r>
              <w:rPr>
                <w:webHidden/>
              </w:rPr>
              <w:fldChar w:fldCharType="begin"/>
            </w:r>
            <w:r>
              <w:rPr>
                <w:webHidden/>
              </w:rPr>
              <w:instrText xml:space="preserve"> PAGEREF _Toc469654723 \h </w:instrText>
            </w:r>
            <w:r>
              <w:rPr>
                <w:webHidden/>
              </w:rPr>
            </w:r>
            <w:r>
              <w:rPr>
                <w:webHidden/>
              </w:rPr>
              <w:fldChar w:fldCharType="separate"/>
            </w:r>
            <w:r>
              <w:rPr>
                <w:webHidden/>
              </w:rPr>
              <w:t>5</w:t>
            </w:r>
            <w:r>
              <w:rPr>
                <w:webHidden/>
              </w:rPr>
              <w:fldChar w:fldCharType="end"/>
            </w:r>
          </w:hyperlink>
        </w:p>
        <w:p w14:paraId="41EDD303" w14:textId="77777777" w:rsidR="008303E2" w:rsidRDefault="008303E2">
          <w:pPr>
            <w:pStyle w:val="TOC2"/>
            <w:tabs>
              <w:tab w:val="left" w:pos="1100"/>
            </w:tabs>
            <w:rPr>
              <w:rFonts w:asciiTheme="minorHAnsi" w:eastAsiaTheme="minorEastAsia" w:hAnsiTheme="minorHAnsi"/>
              <w:lang w:eastAsia="en-AU"/>
            </w:rPr>
          </w:pPr>
          <w:hyperlink w:anchor="_Toc469654724" w:history="1">
            <w:r w:rsidRPr="006F0648">
              <w:rPr>
                <w:rStyle w:val="Hyperlink"/>
              </w:rPr>
              <w:t>1.3</w:t>
            </w:r>
            <w:r>
              <w:rPr>
                <w:rFonts w:asciiTheme="minorHAnsi" w:eastAsiaTheme="minorEastAsia" w:hAnsiTheme="minorHAnsi"/>
                <w:lang w:eastAsia="en-AU"/>
              </w:rPr>
              <w:tab/>
            </w:r>
            <w:r w:rsidRPr="006F0648">
              <w:rPr>
                <w:rStyle w:val="Hyperlink"/>
              </w:rPr>
              <w:t>The 2012 IGAB</w:t>
            </w:r>
            <w:r>
              <w:rPr>
                <w:webHidden/>
              </w:rPr>
              <w:tab/>
            </w:r>
            <w:r>
              <w:rPr>
                <w:webHidden/>
              </w:rPr>
              <w:fldChar w:fldCharType="begin"/>
            </w:r>
            <w:r>
              <w:rPr>
                <w:webHidden/>
              </w:rPr>
              <w:instrText xml:space="preserve"> PAGEREF _Toc469654724 \h </w:instrText>
            </w:r>
            <w:r>
              <w:rPr>
                <w:webHidden/>
              </w:rPr>
            </w:r>
            <w:r>
              <w:rPr>
                <w:webHidden/>
              </w:rPr>
              <w:fldChar w:fldCharType="separate"/>
            </w:r>
            <w:r>
              <w:rPr>
                <w:webHidden/>
              </w:rPr>
              <w:t>6</w:t>
            </w:r>
            <w:r>
              <w:rPr>
                <w:webHidden/>
              </w:rPr>
              <w:fldChar w:fldCharType="end"/>
            </w:r>
          </w:hyperlink>
        </w:p>
        <w:p w14:paraId="5BC4E6D1" w14:textId="77777777" w:rsidR="008303E2" w:rsidRDefault="008303E2">
          <w:pPr>
            <w:pStyle w:val="TOC1"/>
            <w:rPr>
              <w:rFonts w:asciiTheme="minorHAnsi" w:eastAsiaTheme="minorEastAsia" w:hAnsiTheme="minorHAnsi"/>
              <w:b w:val="0"/>
              <w:lang w:eastAsia="en-AU"/>
            </w:rPr>
          </w:pPr>
          <w:hyperlink w:anchor="_Toc469654725" w:history="1">
            <w:r w:rsidRPr="006F0648">
              <w:rPr>
                <w:rStyle w:val="Hyperlink"/>
              </w:rPr>
              <w:t>2</w:t>
            </w:r>
            <w:r>
              <w:rPr>
                <w:rFonts w:asciiTheme="minorHAnsi" w:eastAsiaTheme="minorEastAsia" w:hAnsiTheme="minorHAnsi"/>
                <w:b w:val="0"/>
                <w:lang w:eastAsia="en-AU"/>
              </w:rPr>
              <w:tab/>
            </w:r>
            <w:r w:rsidRPr="006F0648">
              <w:rPr>
                <w:rStyle w:val="Hyperlink"/>
              </w:rPr>
              <w:t>Knowing and owning our roles and responsibilities</w:t>
            </w:r>
            <w:r>
              <w:rPr>
                <w:webHidden/>
              </w:rPr>
              <w:tab/>
            </w:r>
            <w:r>
              <w:rPr>
                <w:webHidden/>
              </w:rPr>
              <w:fldChar w:fldCharType="begin"/>
            </w:r>
            <w:r>
              <w:rPr>
                <w:webHidden/>
              </w:rPr>
              <w:instrText xml:space="preserve"> PAGEREF _Toc469654725 \h </w:instrText>
            </w:r>
            <w:r>
              <w:rPr>
                <w:webHidden/>
              </w:rPr>
            </w:r>
            <w:r>
              <w:rPr>
                <w:webHidden/>
              </w:rPr>
              <w:fldChar w:fldCharType="separate"/>
            </w:r>
            <w:r>
              <w:rPr>
                <w:webHidden/>
              </w:rPr>
              <w:t>8</w:t>
            </w:r>
            <w:r>
              <w:rPr>
                <w:webHidden/>
              </w:rPr>
              <w:fldChar w:fldCharType="end"/>
            </w:r>
          </w:hyperlink>
        </w:p>
        <w:p w14:paraId="2BD7B9C4" w14:textId="77777777" w:rsidR="008303E2" w:rsidRDefault="008303E2">
          <w:pPr>
            <w:pStyle w:val="TOC2"/>
            <w:tabs>
              <w:tab w:val="left" w:pos="1100"/>
            </w:tabs>
            <w:rPr>
              <w:rFonts w:asciiTheme="minorHAnsi" w:eastAsiaTheme="minorEastAsia" w:hAnsiTheme="minorHAnsi"/>
              <w:lang w:eastAsia="en-AU"/>
            </w:rPr>
          </w:pPr>
          <w:hyperlink w:anchor="_Toc469654726" w:history="1">
            <w:r w:rsidRPr="006F0648">
              <w:rPr>
                <w:rStyle w:val="Hyperlink"/>
              </w:rPr>
              <w:t>2.1</w:t>
            </w:r>
            <w:r>
              <w:rPr>
                <w:rFonts w:asciiTheme="minorHAnsi" w:eastAsiaTheme="minorEastAsia" w:hAnsiTheme="minorHAnsi"/>
                <w:lang w:eastAsia="en-AU"/>
              </w:rPr>
              <w:tab/>
            </w:r>
            <w:r w:rsidRPr="006F0648">
              <w:rPr>
                <w:rStyle w:val="Hyperlink"/>
              </w:rPr>
              <w:t>What is shared responsibility?</w:t>
            </w:r>
            <w:r>
              <w:rPr>
                <w:webHidden/>
              </w:rPr>
              <w:tab/>
            </w:r>
            <w:r>
              <w:rPr>
                <w:webHidden/>
              </w:rPr>
              <w:fldChar w:fldCharType="begin"/>
            </w:r>
            <w:r>
              <w:rPr>
                <w:webHidden/>
              </w:rPr>
              <w:instrText xml:space="preserve"> PAGEREF _Toc469654726 \h </w:instrText>
            </w:r>
            <w:r>
              <w:rPr>
                <w:webHidden/>
              </w:rPr>
            </w:r>
            <w:r>
              <w:rPr>
                <w:webHidden/>
              </w:rPr>
              <w:fldChar w:fldCharType="separate"/>
            </w:r>
            <w:r>
              <w:rPr>
                <w:webHidden/>
              </w:rPr>
              <w:t>8</w:t>
            </w:r>
            <w:r>
              <w:rPr>
                <w:webHidden/>
              </w:rPr>
              <w:fldChar w:fldCharType="end"/>
            </w:r>
          </w:hyperlink>
        </w:p>
        <w:p w14:paraId="0DFE65E1" w14:textId="77777777" w:rsidR="008303E2" w:rsidRDefault="008303E2">
          <w:pPr>
            <w:pStyle w:val="TOC2"/>
            <w:tabs>
              <w:tab w:val="left" w:pos="1100"/>
            </w:tabs>
            <w:rPr>
              <w:rFonts w:asciiTheme="minorHAnsi" w:eastAsiaTheme="minorEastAsia" w:hAnsiTheme="minorHAnsi"/>
              <w:lang w:eastAsia="en-AU"/>
            </w:rPr>
          </w:pPr>
          <w:hyperlink w:anchor="_Toc469654727" w:history="1">
            <w:r w:rsidRPr="006F0648">
              <w:rPr>
                <w:rStyle w:val="Hyperlink"/>
              </w:rPr>
              <w:t>2.2</w:t>
            </w:r>
            <w:r>
              <w:rPr>
                <w:rFonts w:asciiTheme="minorHAnsi" w:eastAsiaTheme="minorEastAsia" w:hAnsiTheme="minorHAnsi"/>
                <w:lang w:eastAsia="en-AU"/>
              </w:rPr>
              <w:tab/>
            </w:r>
            <w:r w:rsidRPr="006F0648">
              <w:rPr>
                <w:rStyle w:val="Hyperlink"/>
              </w:rPr>
              <w:t>Greater ownership and participation</w:t>
            </w:r>
            <w:r>
              <w:rPr>
                <w:webHidden/>
              </w:rPr>
              <w:tab/>
            </w:r>
            <w:r>
              <w:rPr>
                <w:webHidden/>
              </w:rPr>
              <w:fldChar w:fldCharType="begin"/>
            </w:r>
            <w:r>
              <w:rPr>
                <w:webHidden/>
              </w:rPr>
              <w:instrText xml:space="preserve"> PAGEREF _Toc469654727 \h </w:instrText>
            </w:r>
            <w:r>
              <w:rPr>
                <w:webHidden/>
              </w:rPr>
            </w:r>
            <w:r>
              <w:rPr>
                <w:webHidden/>
              </w:rPr>
              <w:fldChar w:fldCharType="separate"/>
            </w:r>
            <w:r>
              <w:rPr>
                <w:webHidden/>
              </w:rPr>
              <w:t>13</w:t>
            </w:r>
            <w:r>
              <w:rPr>
                <w:webHidden/>
              </w:rPr>
              <w:fldChar w:fldCharType="end"/>
            </w:r>
          </w:hyperlink>
        </w:p>
        <w:p w14:paraId="73971BC3" w14:textId="77777777" w:rsidR="008303E2" w:rsidRDefault="008303E2">
          <w:pPr>
            <w:pStyle w:val="TOC2"/>
            <w:tabs>
              <w:tab w:val="left" w:pos="1100"/>
            </w:tabs>
            <w:rPr>
              <w:rFonts w:asciiTheme="minorHAnsi" w:eastAsiaTheme="minorEastAsia" w:hAnsiTheme="minorHAnsi"/>
              <w:lang w:eastAsia="en-AU"/>
            </w:rPr>
          </w:pPr>
          <w:hyperlink w:anchor="_Toc469654728" w:history="1">
            <w:r w:rsidRPr="006F0648">
              <w:rPr>
                <w:rStyle w:val="Hyperlink"/>
              </w:rPr>
              <w:t>2.3</w:t>
            </w:r>
            <w:r>
              <w:rPr>
                <w:rFonts w:asciiTheme="minorHAnsi" w:eastAsiaTheme="minorEastAsia" w:hAnsiTheme="minorHAnsi"/>
                <w:lang w:eastAsia="en-AU"/>
              </w:rPr>
              <w:tab/>
            </w:r>
            <w:r w:rsidRPr="006F0648">
              <w:rPr>
                <w:rStyle w:val="Hyperlink"/>
              </w:rPr>
              <w:t>A National Statement of Intent</w:t>
            </w:r>
            <w:r>
              <w:rPr>
                <w:webHidden/>
              </w:rPr>
              <w:tab/>
            </w:r>
            <w:r>
              <w:rPr>
                <w:webHidden/>
              </w:rPr>
              <w:fldChar w:fldCharType="begin"/>
            </w:r>
            <w:r>
              <w:rPr>
                <w:webHidden/>
              </w:rPr>
              <w:instrText xml:space="preserve"> PAGEREF _Toc469654728 \h </w:instrText>
            </w:r>
            <w:r>
              <w:rPr>
                <w:webHidden/>
              </w:rPr>
            </w:r>
            <w:r>
              <w:rPr>
                <w:webHidden/>
              </w:rPr>
              <w:fldChar w:fldCharType="separate"/>
            </w:r>
            <w:r>
              <w:rPr>
                <w:webHidden/>
              </w:rPr>
              <w:t>15</w:t>
            </w:r>
            <w:r>
              <w:rPr>
                <w:webHidden/>
              </w:rPr>
              <w:fldChar w:fldCharType="end"/>
            </w:r>
          </w:hyperlink>
        </w:p>
        <w:p w14:paraId="0710FC6F" w14:textId="77777777" w:rsidR="008303E2" w:rsidRDefault="008303E2">
          <w:pPr>
            <w:pStyle w:val="TOC2"/>
            <w:tabs>
              <w:tab w:val="left" w:pos="1100"/>
            </w:tabs>
            <w:rPr>
              <w:rFonts w:asciiTheme="minorHAnsi" w:eastAsiaTheme="minorEastAsia" w:hAnsiTheme="minorHAnsi"/>
              <w:lang w:eastAsia="en-AU"/>
            </w:rPr>
          </w:pPr>
          <w:hyperlink w:anchor="_Toc469654729" w:history="1">
            <w:r w:rsidRPr="006F0648">
              <w:rPr>
                <w:rStyle w:val="Hyperlink"/>
              </w:rPr>
              <w:t>2.4</w:t>
            </w:r>
            <w:r>
              <w:rPr>
                <w:rFonts w:asciiTheme="minorHAnsi" w:eastAsiaTheme="minorEastAsia" w:hAnsiTheme="minorHAnsi"/>
                <w:lang w:eastAsia="en-AU"/>
              </w:rPr>
              <w:tab/>
            </w:r>
            <w:r w:rsidRPr="006F0648">
              <w:rPr>
                <w:rStyle w:val="Hyperlink"/>
              </w:rPr>
              <w:t>Improving engagement and communication: a cultural shift</w:t>
            </w:r>
            <w:r>
              <w:rPr>
                <w:webHidden/>
              </w:rPr>
              <w:tab/>
            </w:r>
            <w:r>
              <w:rPr>
                <w:webHidden/>
              </w:rPr>
              <w:fldChar w:fldCharType="begin"/>
            </w:r>
            <w:r>
              <w:rPr>
                <w:webHidden/>
              </w:rPr>
              <w:instrText xml:space="preserve"> PAGEREF _Toc469654729 \h </w:instrText>
            </w:r>
            <w:r>
              <w:rPr>
                <w:webHidden/>
              </w:rPr>
            </w:r>
            <w:r>
              <w:rPr>
                <w:webHidden/>
              </w:rPr>
              <w:fldChar w:fldCharType="separate"/>
            </w:r>
            <w:r>
              <w:rPr>
                <w:webHidden/>
              </w:rPr>
              <w:t>17</w:t>
            </w:r>
            <w:r>
              <w:rPr>
                <w:webHidden/>
              </w:rPr>
              <w:fldChar w:fldCharType="end"/>
            </w:r>
          </w:hyperlink>
        </w:p>
        <w:p w14:paraId="31B0D3B7" w14:textId="77777777" w:rsidR="008303E2" w:rsidRDefault="008303E2">
          <w:pPr>
            <w:pStyle w:val="TOC1"/>
            <w:rPr>
              <w:rFonts w:asciiTheme="minorHAnsi" w:eastAsiaTheme="minorEastAsia" w:hAnsiTheme="minorHAnsi"/>
              <w:b w:val="0"/>
              <w:lang w:eastAsia="en-AU"/>
            </w:rPr>
          </w:pPr>
          <w:hyperlink w:anchor="_Toc469654730" w:history="1">
            <w:r w:rsidRPr="006F0648">
              <w:rPr>
                <w:rStyle w:val="Hyperlink"/>
              </w:rPr>
              <w:t>3</w:t>
            </w:r>
            <w:r>
              <w:rPr>
                <w:rFonts w:asciiTheme="minorHAnsi" w:eastAsiaTheme="minorEastAsia" w:hAnsiTheme="minorHAnsi"/>
                <w:b w:val="0"/>
                <w:lang w:eastAsia="en-AU"/>
              </w:rPr>
              <w:tab/>
            </w:r>
            <w:r w:rsidRPr="006F0648">
              <w:rPr>
                <w:rStyle w:val="Hyperlink"/>
              </w:rPr>
              <w:t>Market access is key</w:t>
            </w:r>
            <w:r>
              <w:rPr>
                <w:webHidden/>
              </w:rPr>
              <w:tab/>
            </w:r>
            <w:r>
              <w:rPr>
                <w:webHidden/>
              </w:rPr>
              <w:fldChar w:fldCharType="begin"/>
            </w:r>
            <w:r>
              <w:rPr>
                <w:webHidden/>
              </w:rPr>
              <w:instrText xml:space="preserve"> PAGEREF _Toc469654730 \h </w:instrText>
            </w:r>
            <w:r>
              <w:rPr>
                <w:webHidden/>
              </w:rPr>
            </w:r>
            <w:r>
              <w:rPr>
                <w:webHidden/>
              </w:rPr>
              <w:fldChar w:fldCharType="separate"/>
            </w:r>
            <w:r>
              <w:rPr>
                <w:webHidden/>
              </w:rPr>
              <w:t>19</w:t>
            </w:r>
            <w:r>
              <w:rPr>
                <w:webHidden/>
              </w:rPr>
              <w:fldChar w:fldCharType="end"/>
            </w:r>
          </w:hyperlink>
        </w:p>
        <w:p w14:paraId="67B6DF75" w14:textId="77777777" w:rsidR="008303E2" w:rsidRDefault="008303E2">
          <w:pPr>
            <w:pStyle w:val="TOC2"/>
            <w:tabs>
              <w:tab w:val="left" w:pos="1100"/>
            </w:tabs>
            <w:rPr>
              <w:rFonts w:asciiTheme="minorHAnsi" w:eastAsiaTheme="minorEastAsia" w:hAnsiTheme="minorHAnsi"/>
              <w:lang w:eastAsia="en-AU"/>
            </w:rPr>
          </w:pPr>
          <w:hyperlink w:anchor="_Toc469654731" w:history="1">
            <w:r w:rsidRPr="006F0648">
              <w:rPr>
                <w:rStyle w:val="Hyperlink"/>
                <w:lang w:eastAsia="ja-JP"/>
              </w:rPr>
              <w:t>3.1</w:t>
            </w:r>
            <w:r>
              <w:rPr>
                <w:rFonts w:asciiTheme="minorHAnsi" w:eastAsiaTheme="minorEastAsia" w:hAnsiTheme="minorHAnsi"/>
                <w:lang w:eastAsia="en-AU"/>
              </w:rPr>
              <w:tab/>
            </w:r>
            <w:r w:rsidRPr="006F0648">
              <w:rPr>
                <w:rStyle w:val="Hyperlink"/>
                <w:lang w:eastAsia="ja-JP"/>
              </w:rPr>
              <w:t>Biosecurity and trade</w:t>
            </w:r>
            <w:r>
              <w:rPr>
                <w:webHidden/>
              </w:rPr>
              <w:tab/>
            </w:r>
            <w:r>
              <w:rPr>
                <w:webHidden/>
              </w:rPr>
              <w:fldChar w:fldCharType="begin"/>
            </w:r>
            <w:r>
              <w:rPr>
                <w:webHidden/>
              </w:rPr>
              <w:instrText xml:space="preserve"> PAGEREF _Toc469654731 \h </w:instrText>
            </w:r>
            <w:r>
              <w:rPr>
                <w:webHidden/>
              </w:rPr>
            </w:r>
            <w:r>
              <w:rPr>
                <w:webHidden/>
              </w:rPr>
              <w:fldChar w:fldCharType="separate"/>
            </w:r>
            <w:r>
              <w:rPr>
                <w:webHidden/>
              </w:rPr>
              <w:t>19</w:t>
            </w:r>
            <w:r>
              <w:rPr>
                <w:webHidden/>
              </w:rPr>
              <w:fldChar w:fldCharType="end"/>
            </w:r>
          </w:hyperlink>
        </w:p>
        <w:p w14:paraId="6DA76C62" w14:textId="77777777" w:rsidR="008303E2" w:rsidRDefault="008303E2">
          <w:pPr>
            <w:pStyle w:val="TOC2"/>
            <w:tabs>
              <w:tab w:val="left" w:pos="1100"/>
            </w:tabs>
            <w:rPr>
              <w:rFonts w:asciiTheme="minorHAnsi" w:eastAsiaTheme="minorEastAsia" w:hAnsiTheme="minorHAnsi"/>
              <w:lang w:eastAsia="en-AU"/>
            </w:rPr>
          </w:pPr>
          <w:hyperlink w:anchor="_Toc469654732" w:history="1">
            <w:r w:rsidRPr="006F0648">
              <w:rPr>
                <w:rStyle w:val="Hyperlink"/>
                <w:lang w:eastAsia="ja-JP"/>
              </w:rPr>
              <w:t>3.2</w:t>
            </w:r>
            <w:r>
              <w:rPr>
                <w:rFonts w:asciiTheme="minorHAnsi" w:eastAsiaTheme="minorEastAsia" w:hAnsiTheme="minorHAnsi"/>
                <w:lang w:eastAsia="en-AU"/>
              </w:rPr>
              <w:tab/>
            </w:r>
            <w:r w:rsidRPr="006F0648">
              <w:rPr>
                <w:rStyle w:val="Hyperlink"/>
                <w:lang w:eastAsia="ja-JP"/>
              </w:rPr>
              <w:t>International exports</w:t>
            </w:r>
            <w:r>
              <w:rPr>
                <w:webHidden/>
              </w:rPr>
              <w:tab/>
            </w:r>
            <w:r>
              <w:rPr>
                <w:webHidden/>
              </w:rPr>
              <w:fldChar w:fldCharType="begin"/>
            </w:r>
            <w:r>
              <w:rPr>
                <w:webHidden/>
              </w:rPr>
              <w:instrText xml:space="preserve"> PAGEREF _Toc469654732 \h </w:instrText>
            </w:r>
            <w:r>
              <w:rPr>
                <w:webHidden/>
              </w:rPr>
            </w:r>
            <w:r>
              <w:rPr>
                <w:webHidden/>
              </w:rPr>
              <w:fldChar w:fldCharType="separate"/>
            </w:r>
            <w:r>
              <w:rPr>
                <w:webHidden/>
              </w:rPr>
              <w:t>20</w:t>
            </w:r>
            <w:r>
              <w:rPr>
                <w:webHidden/>
              </w:rPr>
              <w:fldChar w:fldCharType="end"/>
            </w:r>
          </w:hyperlink>
        </w:p>
        <w:p w14:paraId="4AF5E67C" w14:textId="77777777" w:rsidR="008303E2" w:rsidRDefault="008303E2">
          <w:pPr>
            <w:pStyle w:val="TOC2"/>
            <w:tabs>
              <w:tab w:val="left" w:pos="1100"/>
            </w:tabs>
            <w:rPr>
              <w:rFonts w:asciiTheme="minorHAnsi" w:eastAsiaTheme="minorEastAsia" w:hAnsiTheme="minorHAnsi"/>
              <w:lang w:eastAsia="en-AU"/>
            </w:rPr>
          </w:pPr>
          <w:hyperlink w:anchor="_Toc469654733" w:history="1">
            <w:r w:rsidRPr="006F0648">
              <w:rPr>
                <w:rStyle w:val="Hyperlink"/>
                <w:lang w:eastAsia="ja-JP"/>
              </w:rPr>
              <w:t>3.3</w:t>
            </w:r>
            <w:r>
              <w:rPr>
                <w:rFonts w:asciiTheme="minorHAnsi" w:eastAsiaTheme="minorEastAsia" w:hAnsiTheme="minorHAnsi"/>
                <w:lang w:eastAsia="en-AU"/>
              </w:rPr>
              <w:tab/>
            </w:r>
            <w:r w:rsidRPr="006F0648">
              <w:rPr>
                <w:rStyle w:val="Hyperlink"/>
                <w:lang w:eastAsia="ja-JP"/>
              </w:rPr>
              <w:t>Domestic trade</w:t>
            </w:r>
            <w:r>
              <w:rPr>
                <w:webHidden/>
              </w:rPr>
              <w:tab/>
            </w:r>
            <w:r>
              <w:rPr>
                <w:webHidden/>
              </w:rPr>
              <w:fldChar w:fldCharType="begin"/>
            </w:r>
            <w:r>
              <w:rPr>
                <w:webHidden/>
              </w:rPr>
              <w:instrText xml:space="preserve"> PAGEREF _Toc469654733 \h </w:instrText>
            </w:r>
            <w:r>
              <w:rPr>
                <w:webHidden/>
              </w:rPr>
            </w:r>
            <w:r>
              <w:rPr>
                <w:webHidden/>
              </w:rPr>
              <w:fldChar w:fldCharType="separate"/>
            </w:r>
            <w:r>
              <w:rPr>
                <w:webHidden/>
              </w:rPr>
              <w:t>24</w:t>
            </w:r>
            <w:r>
              <w:rPr>
                <w:webHidden/>
              </w:rPr>
              <w:fldChar w:fldCharType="end"/>
            </w:r>
          </w:hyperlink>
        </w:p>
        <w:p w14:paraId="5697F8B0" w14:textId="77777777" w:rsidR="008303E2" w:rsidRDefault="008303E2">
          <w:pPr>
            <w:pStyle w:val="TOC2"/>
            <w:tabs>
              <w:tab w:val="left" w:pos="1100"/>
            </w:tabs>
            <w:rPr>
              <w:rFonts w:asciiTheme="minorHAnsi" w:eastAsiaTheme="minorEastAsia" w:hAnsiTheme="minorHAnsi"/>
              <w:lang w:eastAsia="en-AU"/>
            </w:rPr>
          </w:pPr>
          <w:hyperlink w:anchor="_Toc469654734" w:history="1">
            <w:r w:rsidRPr="006F0648">
              <w:rPr>
                <w:rStyle w:val="Hyperlink"/>
              </w:rPr>
              <w:t>3.4</w:t>
            </w:r>
            <w:r>
              <w:rPr>
                <w:rFonts w:asciiTheme="minorHAnsi" w:eastAsiaTheme="minorEastAsia" w:hAnsiTheme="minorHAnsi"/>
                <w:lang w:eastAsia="en-AU"/>
              </w:rPr>
              <w:tab/>
            </w:r>
            <w:r w:rsidRPr="006F0648">
              <w:rPr>
                <w:rStyle w:val="Hyperlink"/>
              </w:rPr>
              <w:t>Regulatory efficiency</w:t>
            </w:r>
            <w:r>
              <w:rPr>
                <w:webHidden/>
              </w:rPr>
              <w:tab/>
            </w:r>
            <w:r>
              <w:rPr>
                <w:webHidden/>
              </w:rPr>
              <w:fldChar w:fldCharType="begin"/>
            </w:r>
            <w:r>
              <w:rPr>
                <w:webHidden/>
              </w:rPr>
              <w:instrText xml:space="preserve"> PAGEREF _Toc469654734 \h </w:instrText>
            </w:r>
            <w:r>
              <w:rPr>
                <w:webHidden/>
              </w:rPr>
            </w:r>
            <w:r>
              <w:rPr>
                <w:webHidden/>
              </w:rPr>
              <w:fldChar w:fldCharType="separate"/>
            </w:r>
            <w:r>
              <w:rPr>
                <w:webHidden/>
              </w:rPr>
              <w:t>26</w:t>
            </w:r>
            <w:r>
              <w:rPr>
                <w:webHidden/>
              </w:rPr>
              <w:fldChar w:fldCharType="end"/>
            </w:r>
          </w:hyperlink>
        </w:p>
        <w:p w14:paraId="1F2C6962" w14:textId="77777777" w:rsidR="008303E2" w:rsidRDefault="008303E2">
          <w:pPr>
            <w:pStyle w:val="TOC2"/>
            <w:tabs>
              <w:tab w:val="left" w:pos="1100"/>
            </w:tabs>
            <w:rPr>
              <w:rFonts w:asciiTheme="minorHAnsi" w:eastAsiaTheme="minorEastAsia" w:hAnsiTheme="minorHAnsi"/>
              <w:lang w:eastAsia="en-AU"/>
            </w:rPr>
          </w:pPr>
          <w:hyperlink w:anchor="_Toc469654735" w:history="1">
            <w:r w:rsidRPr="006F0648">
              <w:rPr>
                <w:rStyle w:val="Hyperlink"/>
              </w:rPr>
              <w:t>3.5</w:t>
            </w:r>
            <w:r>
              <w:rPr>
                <w:rFonts w:asciiTheme="minorHAnsi" w:eastAsiaTheme="minorEastAsia" w:hAnsiTheme="minorHAnsi"/>
                <w:lang w:eastAsia="en-AU"/>
              </w:rPr>
              <w:tab/>
            </w:r>
            <w:r w:rsidRPr="006F0648">
              <w:rPr>
                <w:rStyle w:val="Hyperlink"/>
              </w:rPr>
              <w:t>Conclusions and recommendations</w:t>
            </w:r>
            <w:r>
              <w:rPr>
                <w:webHidden/>
              </w:rPr>
              <w:tab/>
            </w:r>
            <w:r>
              <w:rPr>
                <w:webHidden/>
              </w:rPr>
              <w:fldChar w:fldCharType="begin"/>
            </w:r>
            <w:r>
              <w:rPr>
                <w:webHidden/>
              </w:rPr>
              <w:instrText xml:space="preserve"> PAGEREF _Toc469654735 \h </w:instrText>
            </w:r>
            <w:r>
              <w:rPr>
                <w:webHidden/>
              </w:rPr>
            </w:r>
            <w:r>
              <w:rPr>
                <w:webHidden/>
              </w:rPr>
              <w:fldChar w:fldCharType="separate"/>
            </w:r>
            <w:r>
              <w:rPr>
                <w:webHidden/>
              </w:rPr>
              <w:t>28</w:t>
            </w:r>
            <w:r>
              <w:rPr>
                <w:webHidden/>
              </w:rPr>
              <w:fldChar w:fldCharType="end"/>
            </w:r>
          </w:hyperlink>
        </w:p>
        <w:p w14:paraId="05D3883B" w14:textId="77777777" w:rsidR="008303E2" w:rsidRDefault="008303E2">
          <w:pPr>
            <w:pStyle w:val="TOC1"/>
            <w:rPr>
              <w:rFonts w:asciiTheme="minorHAnsi" w:eastAsiaTheme="minorEastAsia" w:hAnsiTheme="minorHAnsi"/>
              <w:b w:val="0"/>
              <w:lang w:eastAsia="en-AU"/>
            </w:rPr>
          </w:pPr>
          <w:hyperlink w:anchor="_Toc469654736" w:history="1">
            <w:r w:rsidRPr="006F0648">
              <w:rPr>
                <w:rStyle w:val="Hyperlink"/>
              </w:rPr>
              <w:t>4</w:t>
            </w:r>
            <w:r>
              <w:rPr>
                <w:rFonts w:asciiTheme="minorHAnsi" w:eastAsiaTheme="minorEastAsia" w:hAnsiTheme="minorHAnsi"/>
                <w:b w:val="0"/>
                <w:lang w:eastAsia="en-AU"/>
              </w:rPr>
              <w:tab/>
            </w:r>
            <w:r w:rsidRPr="006F0648">
              <w:rPr>
                <w:rStyle w:val="Hyperlink"/>
              </w:rPr>
              <w:t>Stronger environmental biosecurity</w:t>
            </w:r>
            <w:r>
              <w:rPr>
                <w:webHidden/>
              </w:rPr>
              <w:tab/>
            </w:r>
            <w:r>
              <w:rPr>
                <w:webHidden/>
              </w:rPr>
              <w:fldChar w:fldCharType="begin"/>
            </w:r>
            <w:r>
              <w:rPr>
                <w:webHidden/>
              </w:rPr>
              <w:instrText xml:space="preserve"> PAGEREF _Toc469654736 \h </w:instrText>
            </w:r>
            <w:r>
              <w:rPr>
                <w:webHidden/>
              </w:rPr>
            </w:r>
            <w:r>
              <w:rPr>
                <w:webHidden/>
              </w:rPr>
              <w:fldChar w:fldCharType="separate"/>
            </w:r>
            <w:r>
              <w:rPr>
                <w:webHidden/>
              </w:rPr>
              <w:t>30</w:t>
            </w:r>
            <w:r>
              <w:rPr>
                <w:webHidden/>
              </w:rPr>
              <w:fldChar w:fldCharType="end"/>
            </w:r>
          </w:hyperlink>
        </w:p>
        <w:p w14:paraId="1F1DF8AE" w14:textId="77777777" w:rsidR="008303E2" w:rsidRDefault="008303E2">
          <w:pPr>
            <w:pStyle w:val="TOC2"/>
            <w:tabs>
              <w:tab w:val="left" w:pos="1100"/>
            </w:tabs>
            <w:rPr>
              <w:rFonts w:asciiTheme="minorHAnsi" w:eastAsiaTheme="minorEastAsia" w:hAnsiTheme="minorHAnsi"/>
              <w:lang w:eastAsia="en-AU"/>
            </w:rPr>
          </w:pPr>
          <w:hyperlink w:anchor="_Toc469654737" w:history="1">
            <w:r w:rsidRPr="006F0648">
              <w:rPr>
                <w:rStyle w:val="Hyperlink"/>
                <w:lang w:eastAsia="ja-JP"/>
              </w:rPr>
              <w:t>4.1</w:t>
            </w:r>
            <w:r>
              <w:rPr>
                <w:rFonts w:asciiTheme="minorHAnsi" w:eastAsiaTheme="minorEastAsia" w:hAnsiTheme="minorHAnsi"/>
                <w:lang w:eastAsia="en-AU"/>
              </w:rPr>
              <w:tab/>
            </w:r>
            <w:r w:rsidRPr="006F0648">
              <w:rPr>
                <w:rStyle w:val="Hyperlink"/>
                <w:lang w:eastAsia="ja-JP"/>
              </w:rPr>
              <w:t>The problem for governments</w:t>
            </w:r>
            <w:r>
              <w:rPr>
                <w:webHidden/>
              </w:rPr>
              <w:tab/>
            </w:r>
            <w:r>
              <w:rPr>
                <w:webHidden/>
              </w:rPr>
              <w:fldChar w:fldCharType="begin"/>
            </w:r>
            <w:r>
              <w:rPr>
                <w:webHidden/>
              </w:rPr>
              <w:instrText xml:space="preserve"> PAGEREF _Toc469654737 \h </w:instrText>
            </w:r>
            <w:r>
              <w:rPr>
                <w:webHidden/>
              </w:rPr>
            </w:r>
            <w:r>
              <w:rPr>
                <w:webHidden/>
              </w:rPr>
              <w:fldChar w:fldCharType="separate"/>
            </w:r>
            <w:r>
              <w:rPr>
                <w:webHidden/>
              </w:rPr>
              <w:t>30</w:t>
            </w:r>
            <w:r>
              <w:rPr>
                <w:webHidden/>
              </w:rPr>
              <w:fldChar w:fldCharType="end"/>
            </w:r>
          </w:hyperlink>
        </w:p>
        <w:p w14:paraId="5BD9FC5B" w14:textId="77777777" w:rsidR="008303E2" w:rsidRDefault="008303E2">
          <w:pPr>
            <w:pStyle w:val="TOC2"/>
            <w:tabs>
              <w:tab w:val="left" w:pos="1100"/>
            </w:tabs>
            <w:rPr>
              <w:rFonts w:asciiTheme="minorHAnsi" w:eastAsiaTheme="minorEastAsia" w:hAnsiTheme="minorHAnsi"/>
              <w:lang w:eastAsia="en-AU"/>
            </w:rPr>
          </w:pPr>
          <w:hyperlink w:anchor="_Toc469654738" w:history="1">
            <w:r w:rsidRPr="006F0648">
              <w:rPr>
                <w:rStyle w:val="Hyperlink"/>
              </w:rPr>
              <w:t>4.2</w:t>
            </w:r>
            <w:r>
              <w:rPr>
                <w:rFonts w:asciiTheme="minorHAnsi" w:eastAsiaTheme="minorEastAsia" w:hAnsiTheme="minorHAnsi"/>
                <w:lang w:eastAsia="en-AU"/>
              </w:rPr>
              <w:tab/>
            </w:r>
            <w:r w:rsidRPr="006F0648">
              <w:rPr>
                <w:rStyle w:val="Hyperlink"/>
              </w:rPr>
              <w:t>Views on environmental biosecurity</w:t>
            </w:r>
            <w:r>
              <w:rPr>
                <w:webHidden/>
              </w:rPr>
              <w:tab/>
            </w:r>
            <w:r>
              <w:rPr>
                <w:webHidden/>
              </w:rPr>
              <w:fldChar w:fldCharType="begin"/>
            </w:r>
            <w:r>
              <w:rPr>
                <w:webHidden/>
              </w:rPr>
              <w:instrText xml:space="preserve"> PAGEREF _Toc469654738 \h </w:instrText>
            </w:r>
            <w:r>
              <w:rPr>
                <w:webHidden/>
              </w:rPr>
            </w:r>
            <w:r>
              <w:rPr>
                <w:webHidden/>
              </w:rPr>
              <w:fldChar w:fldCharType="separate"/>
            </w:r>
            <w:r>
              <w:rPr>
                <w:webHidden/>
              </w:rPr>
              <w:t>33</w:t>
            </w:r>
            <w:r>
              <w:rPr>
                <w:webHidden/>
              </w:rPr>
              <w:fldChar w:fldCharType="end"/>
            </w:r>
          </w:hyperlink>
        </w:p>
        <w:p w14:paraId="54B32465" w14:textId="77777777" w:rsidR="008303E2" w:rsidRDefault="008303E2">
          <w:pPr>
            <w:pStyle w:val="TOC2"/>
            <w:tabs>
              <w:tab w:val="left" w:pos="1100"/>
            </w:tabs>
            <w:rPr>
              <w:rFonts w:asciiTheme="minorHAnsi" w:eastAsiaTheme="minorEastAsia" w:hAnsiTheme="minorHAnsi"/>
              <w:lang w:eastAsia="en-AU"/>
            </w:rPr>
          </w:pPr>
          <w:hyperlink w:anchor="_Toc469654739" w:history="1">
            <w:r w:rsidRPr="006F0648">
              <w:rPr>
                <w:rStyle w:val="Hyperlink"/>
              </w:rPr>
              <w:t>4.3</w:t>
            </w:r>
            <w:r>
              <w:rPr>
                <w:rFonts w:asciiTheme="minorHAnsi" w:eastAsiaTheme="minorEastAsia" w:hAnsiTheme="minorHAnsi"/>
                <w:lang w:eastAsia="en-AU"/>
              </w:rPr>
              <w:tab/>
            </w:r>
            <w:r w:rsidRPr="006F0648">
              <w:rPr>
                <w:rStyle w:val="Hyperlink"/>
              </w:rPr>
              <w:t>Governing for environmental outcomes</w:t>
            </w:r>
            <w:r>
              <w:rPr>
                <w:webHidden/>
              </w:rPr>
              <w:tab/>
            </w:r>
            <w:r>
              <w:rPr>
                <w:webHidden/>
              </w:rPr>
              <w:fldChar w:fldCharType="begin"/>
            </w:r>
            <w:r>
              <w:rPr>
                <w:webHidden/>
              </w:rPr>
              <w:instrText xml:space="preserve"> PAGEREF _Toc469654739 \h </w:instrText>
            </w:r>
            <w:r>
              <w:rPr>
                <w:webHidden/>
              </w:rPr>
            </w:r>
            <w:r>
              <w:rPr>
                <w:webHidden/>
              </w:rPr>
              <w:fldChar w:fldCharType="separate"/>
            </w:r>
            <w:r>
              <w:rPr>
                <w:webHidden/>
              </w:rPr>
              <w:t>37</w:t>
            </w:r>
            <w:r>
              <w:rPr>
                <w:webHidden/>
              </w:rPr>
              <w:fldChar w:fldCharType="end"/>
            </w:r>
          </w:hyperlink>
        </w:p>
        <w:p w14:paraId="778821C3" w14:textId="77777777" w:rsidR="008303E2" w:rsidRDefault="008303E2">
          <w:pPr>
            <w:pStyle w:val="TOC2"/>
            <w:tabs>
              <w:tab w:val="left" w:pos="1100"/>
            </w:tabs>
            <w:rPr>
              <w:rFonts w:asciiTheme="minorHAnsi" w:eastAsiaTheme="minorEastAsia" w:hAnsiTheme="minorHAnsi"/>
              <w:lang w:eastAsia="en-AU"/>
            </w:rPr>
          </w:pPr>
          <w:hyperlink w:anchor="_Toc469654740" w:history="1">
            <w:r w:rsidRPr="006F0648">
              <w:rPr>
                <w:rStyle w:val="Hyperlink"/>
              </w:rPr>
              <w:t>4.4</w:t>
            </w:r>
            <w:r>
              <w:rPr>
                <w:rFonts w:asciiTheme="minorHAnsi" w:eastAsiaTheme="minorEastAsia" w:hAnsiTheme="minorHAnsi"/>
                <w:lang w:eastAsia="en-AU"/>
              </w:rPr>
              <w:tab/>
            </w:r>
            <w:r w:rsidRPr="006F0648">
              <w:rPr>
                <w:rStyle w:val="Hyperlink"/>
              </w:rPr>
              <w:t>Institutionalising environmental biosecurity</w:t>
            </w:r>
            <w:r>
              <w:rPr>
                <w:webHidden/>
              </w:rPr>
              <w:tab/>
            </w:r>
            <w:r>
              <w:rPr>
                <w:webHidden/>
              </w:rPr>
              <w:fldChar w:fldCharType="begin"/>
            </w:r>
            <w:r>
              <w:rPr>
                <w:webHidden/>
              </w:rPr>
              <w:instrText xml:space="preserve"> PAGEREF _Toc469654740 \h </w:instrText>
            </w:r>
            <w:r>
              <w:rPr>
                <w:webHidden/>
              </w:rPr>
            </w:r>
            <w:r>
              <w:rPr>
                <w:webHidden/>
              </w:rPr>
              <w:fldChar w:fldCharType="separate"/>
            </w:r>
            <w:r>
              <w:rPr>
                <w:webHidden/>
              </w:rPr>
              <w:t>38</w:t>
            </w:r>
            <w:r>
              <w:rPr>
                <w:webHidden/>
              </w:rPr>
              <w:fldChar w:fldCharType="end"/>
            </w:r>
          </w:hyperlink>
        </w:p>
        <w:p w14:paraId="3C842555" w14:textId="77777777" w:rsidR="008303E2" w:rsidRDefault="008303E2">
          <w:pPr>
            <w:pStyle w:val="TOC1"/>
            <w:rPr>
              <w:rFonts w:asciiTheme="minorHAnsi" w:eastAsiaTheme="minorEastAsia" w:hAnsiTheme="minorHAnsi"/>
              <w:b w:val="0"/>
              <w:lang w:eastAsia="en-AU"/>
            </w:rPr>
          </w:pPr>
          <w:hyperlink w:anchor="_Toc469654741" w:history="1">
            <w:r w:rsidRPr="006F0648">
              <w:rPr>
                <w:rStyle w:val="Hyperlink"/>
              </w:rPr>
              <w:t>5</w:t>
            </w:r>
            <w:r>
              <w:rPr>
                <w:rFonts w:asciiTheme="minorHAnsi" w:eastAsiaTheme="minorEastAsia" w:hAnsiTheme="minorHAnsi"/>
                <w:b w:val="0"/>
                <w:lang w:eastAsia="en-AU"/>
              </w:rPr>
              <w:tab/>
            </w:r>
            <w:r w:rsidRPr="006F0648">
              <w:rPr>
                <w:rStyle w:val="Hyperlink"/>
              </w:rPr>
              <w:t>Building the national system: pest by pest, disease by disease</w:t>
            </w:r>
            <w:r>
              <w:rPr>
                <w:webHidden/>
              </w:rPr>
              <w:tab/>
            </w:r>
            <w:r>
              <w:rPr>
                <w:webHidden/>
              </w:rPr>
              <w:fldChar w:fldCharType="begin"/>
            </w:r>
            <w:r>
              <w:rPr>
                <w:webHidden/>
              </w:rPr>
              <w:instrText xml:space="preserve"> PAGEREF _Toc469654741 \h </w:instrText>
            </w:r>
            <w:r>
              <w:rPr>
                <w:webHidden/>
              </w:rPr>
            </w:r>
            <w:r>
              <w:rPr>
                <w:webHidden/>
              </w:rPr>
              <w:fldChar w:fldCharType="separate"/>
            </w:r>
            <w:r>
              <w:rPr>
                <w:webHidden/>
              </w:rPr>
              <w:t>42</w:t>
            </w:r>
            <w:r>
              <w:rPr>
                <w:webHidden/>
              </w:rPr>
              <w:fldChar w:fldCharType="end"/>
            </w:r>
          </w:hyperlink>
        </w:p>
        <w:p w14:paraId="34991282" w14:textId="77777777" w:rsidR="008303E2" w:rsidRDefault="008303E2">
          <w:pPr>
            <w:pStyle w:val="TOC2"/>
            <w:tabs>
              <w:tab w:val="left" w:pos="1100"/>
            </w:tabs>
            <w:rPr>
              <w:rFonts w:asciiTheme="minorHAnsi" w:eastAsiaTheme="minorEastAsia" w:hAnsiTheme="minorHAnsi"/>
              <w:lang w:eastAsia="en-AU"/>
            </w:rPr>
          </w:pPr>
          <w:hyperlink w:anchor="_Toc469654742" w:history="1">
            <w:r w:rsidRPr="006F0648">
              <w:rPr>
                <w:rStyle w:val="Hyperlink"/>
                <w:lang w:eastAsia="ja-JP"/>
              </w:rPr>
              <w:t>5.1</w:t>
            </w:r>
            <w:r>
              <w:rPr>
                <w:rFonts w:asciiTheme="minorHAnsi" w:eastAsiaTheme="minorEastAsia" w:hAnsiTheme="minorHAnsi"/>
                <w:lang w:eastAsia="en-AU"/>
              </w:rPr>
              <w:tab/>
            </w:r>
            <w:r w:rsidRPr="006F0648">
              <w:rPr>
                <w:rStyle w:val="Hyperlink"/>
                <w:lang w:eastAsia="ja-JP"/>
              </w:rPr>
              <w:t>Determining national priorities</w:t>
            </w:r>
            <w:r>
              <w:rPr>
                <w:webHidden/>
              </w:rPr>
              <w:tab/>
            </w:r>
            <w:r>
              <w:rPr>
                <w:webHidden/>
              </w:rPr>
              <w:fldChar w:fldCharType="begin"/>
            </w:r>
            <w:r>
              <w:rPr>
                <w:webHidden/>
              </w:rPr>
              <w:instrText xml:space="preserve"> PAGEREF _Toc469654742 \h </w:instrText>
            </w:r>
            <w:r>
              <w:rPr>
                <w:webHidden/>
              </w:rPr>
            </w:r>
            <w:r>
              <w:rPr>
                <w:webHidden/>
              </w:rPr>
              <w:fldChar w:fldCharType="separate"/>
            </w:r>
            <w:r>
              <w:rPr>
                <w:webHidden/>
              </w:rPr>
              <w:t>42</w:t>
            </w:r>
            <w:r>
              <w:rPr>
                <w:webHidden/>
              </w:rPr>
              <w:fldChar w:fldCharType="end"/>
            </w:r>
          </w:hyperlink>
        </w:p>
        <w:p w14:paraId="6F67DCE4" w14:textId="77777777" w:rsidR="008303E2" w:rsidRDefault="008303E2">
          <w:pPr>
            <w:pStyle w:val="TOC2"/>
            <w:tabs>
              <w:tab w:val="left" w:pos="1100"/>
            </w:tabs>
            <w:rPr>
              <w:rFonts w:asciiTheme="minorHAnsi" w:eastAsiaTheme="minorEastAsia" w:hAnsiTheme="minorHAnsi"/>
              <w:lang w:eastAsia="en-AU"/>
            </w:rPr>
          </w:pPr>
          <w:hyperlink w:anchor="_Toc469654743" w:history="1">
            <w:r w:rsidRPr="006F0648">
              <w:rPr>
                <w:rStyle w:val="Hyperlink"/>
                <w:lang w:eastAsia="ja-JP"/>
              </w:rPr>
              <w:t>5.2</w:t>
            </w:r>
            <w:r>
              <w:rPr>
                <w:rFonts w:asciiTheme="minorHAnsi" w:eastAsiaTheme="minorEastAsia" w:hAnsiTheme="minorHAnsi"/>
                <w:lang w:eastAsia="en-AU"/>
              </w:rPr>
              <w:tab/>
            </w:r>
            <w:r w:rsidRPr="006F0648">
              <w:rPr>
                <w:rStyle w:val="Hyperlink"/>
                <w:lang w:eastAsia="ja-JP"/>
              </w:rPr>
              <w:t>Benefits and opportunities</w:t>
            </w:r>
            <w:r>
              <w:rPr>
                <w:webHidden/>
              </w:rPr>
              <w:tab/>
            </w:r>
            <w:r>
              <w:rPr>
                <w:webHidden/>
              </w:rPr>
              <w:fldChar w:fldCharType="begin"/>
            </w:r>
            <w:r>
              <w:rPr>
                <w:webHidden/>
              </w:rPr>
              <w:instrText xml:space="preserve"> PAGEREF _Toc469654743 \h </w:instrText>
            </w:r>
            <w:r>
              <w:rPr>
                <w:webHidden/>
              </w:rPr>
            </w:r>
            <w:r>
              <w:rPr>
                <w:webHidden/>
              </w:rPr>
              <w:fldChar w:fldCharType="separate"/>
            </w:r>
            <w:r>
              <w:rPr>
                <w:webHidden/>
              </w:rPr>
              <w:t>46</w:t>
            </w:r>
            <w:r>
              <w:rPr>
                <w:webHidden/>
              </w:rPr>
              <w:fldChar w:fldCharType="end"/>
            </w:r>
          </w:hyperlink>
        </w:p>
        <w:p w14:paraId="7E920498" w14:textId="77777777" w:rsidR="008303E2" w:rsidRDefault="008303E2">
          <w:pPr>
            <w:pStyle w:val="TOC1"/>
            <w:rPr>
              <w:rFonts w:asciiTheme="minorHAnsi" w:eastAsiaTheme="minorEastAsia" w:hAnsiTheme="minorHAnsi"/>
              <w:b w:val="0"/>
              <w:lang w:eastAsia="en-AU"/>
            </w:rPr>
          </w:pPr>
          <w:hyperlink w:anchor="_Toc469654744" w:history="1">
            <w:r w:rsidRPr="006F0648">
              <w:rPr>
                <w:rStyle w:val="Hyperlink"/>
              </w:rPr>
              <w:t>6</w:t>
            </w:r>
            <w:r>
              <w:rPr>
                <w:rFonts w:asciiTheme="minorHAnsi" w:eastAsiaTheme="minorEastAsia" w:hAnsiTheme="minorHAnsi"/>
                <w:b w:val="0"/>
                <w:lang w:eastAsia="en-AU"/>
              </w:rPr>
              <w:tab/>
            </w:r>
            <w:r w:rsidRPr="006F0648">
              <w:rPr>
                <w:rStyle w:val="Hyperlink"/>
              </w:rPr>
              <w:t>Research and innovation</w:t>
            </w:r>
            <w:r>
              <w:rPr>
                <w:webHidden/>
              </w:rPr>
              <w:tab/>
            </w:r>
            <w:r>
              <w:rPr>
                <w:webHidden/>
              </w:rPr>
              <w:fldChar w:fldCharType="begin"/>
            </w:r>
            <w:r>
              <w:rPr>
                <w:webHidden/>
              </w:rPr>
              <w:instrText xml:space="preserve"> PAGEREF _Toc469654744 \h </w:instrText>
            </w:r>
            <w:r>
              <w:rPr>
                <w:webHidden/>
              </w:rPr>
            </w:r>
            <w:r>
              <w:rPr>
                <w:webHidden/>
              </w:rPr>
              <w:fldChar w:fldCharType="separate"/>
            </w:r>
            <w:r>
              <w:rPr>
                <w:webHidden/>
              </w:rPr>
              <w:t>48</w:t>
            </w:r>
            <w:r>
              <w:rPr>
                <w:webHidden/>
              </w:rPr>
              <w:fldChar w:fldCharType="end"/>
            </w:r>
          </w:hyperlink>
        </w:p>
        <w:p w14:paraId="42C73F78" w14:textId="77777777" w:rsidR="008303E2" w:rsidRDefault="008303E2">
          <w:pPr>
            <w:pStyle w:val="TOC2"/>
            <w:tabs>
              <w:tab w:val="left" w:pos="1100"/>
            </w:tabs>
            <w:rPr>
              <w:rFonts w:asciiTheme="minorHAnsi" w:eastAsiaTheme="minorEastAsia" w:hAnsiTheme="minorHAnsi"/>
              <w:lang w:eastAsia="en-AU"/>
            </w:rPr>
          </w:pPr>
          <w:hyperlink w:anchor="_Toc469654745" w:history="1">
            <w:r w:rsidRPr="006F0648">
              <w:rPr>
                <w:rStyle w:val="Hyperlink"/>
                <w:lang w:eastAsia="ja-JP"/>
              </w:rPr>
              <w:t>6.1</w:t>
            </w:r>
            <w:r>
              <w:rPr>
                <w:rFonts w:asciiTheme="minorHAnsi" w:eastAsiaTheme="minorEastAsia" w:hAnsiTheme="minorHAnsi"/>
                <w:lang w:eastAsia="en-AU"/>
              </w:rPr>
              <w:tab/>
            </w:r>
            <w:r w:rsidRPr="006F0648">
              <w:rPr>
                <w:rStyle w:val="Hyperlink"/>
                <w:lang w:eastAsia="ja-JP"/>
              </w:rPr>
              <w:t>The key role of biosecurity R&amp;I</w:t>
            </w:r>
            <w:r>
              <w:rPr>
                <w:webHidden/>
              </w:rPr>
              <w:tab/>
            </w:r>
            <w:r>
              <w:rPr>
                <w:webHidden/>
              </w:rPr>
              <w:fldChar w:fldCharType="begin"/>
            </w:r>
            <w:r>
              <w:rPr>
                <w:webHidden/>
              </w:rPr>
              <w:instrText xml:space="preserve"> PAGEREF _Toc469654745 \h </w:instrText>
            </w:r>
            <w:r>
              <w:rPr>
                <w:webHidden/>
              </w:rPr>
            </w:r>
            <w:r>
              <w:rPr>
                <w:webHidden/>
              </w:rPr>
              <w:fldChar w:fldCharType="separate"/>
            </w:r>
            <w:r>
              <w:rPr>
                <w:webHidden/>
              </w:rPr>
              <w:t>48</w:t>
            </w:r>
            <w:r>
              <w:rPr>
                <w:webHidden/>
              </w:rPr>
              <w:fldChar w:fldCharType="end"/>
            </w:r>
          </w:hyperlink>
        </w:p>
        <w:p w14:paraId="70DAA8FF" w14:textId="77777777" w:rsidR="008303E2" w:rsidRDefault="008303E2">
          <w:pPr>
            <w:pStyle w:val="TOC2"/>
            <w:tabs>
              <w:tab w:val="left" w:pos="1100"/>
            </w:tabs>
            <w:rPr>
              <w:rFonts w:asciiTheme="minorHAnsi" w:eastAsiaTheme="minorEastAsia" w:hAnsiTheme="minorHAnsi"/>
              <w:lang w:eastAsia="en-AU"/>
            </w:rPr>
          </w:pPr>
          <w:hyperlink w:anchor="_Toc469654746" w:history="1">
            <w:r w:rsidRPr="006F0648">
              <w:rPr>
                <w:rStyle w:val="Hyperlink"/>
              </w:rPr>
              <w:t>6.2</w:t>
            </w:r>
            <w:r>
              <w:rPr>
                <w:rFonts w:asciiTheme="minorHAnsi" w:eastAsiaTheme="minorEastAsia" w:hAnsiTheme="minorHAnsi"/>
                <w:lang w:eastAsia="en-AU"/>
              </w:rPr>
              <w:tab/>
            </w:r>
            <w:r w:rsidRPr="006F0648">
              <w:rPr>
                <w:rStyle w:val="Hyperlink"/>
              </w:rPr>
              <w:t>Current state of biosecurity R&amp;I</w:t>
            </w:r>
            <w:r>
              <w:rPr>
                <w:webHidden/>
              </w:rPr>
              <w:tab/>
            </w:r>
            <w:r>
              <w:rPr>
                <w:webHidden/>
              </w:rPr>
              <w:fldChar w:fldCharType="begin"/>
            </w:r>
            <w:r>
              <w:rPr>
                <w:webHidden/>
              </w:rPr>
              <w:instrText xml:space="preserve"> PAGEREF _Toc469654746 \h </w:instrText>
            </w:r>
            <w:r>
              <w:rPr>
                <w:webHidden/>
              </w:rPr>
            </w:r>
            <w:r>
              <w:rPr>
                <w:webHidden/>
              </w:rPr>
              <w:fldChar w:fldCharType="separate"/>
            </w:r>
            <w:r>
              <w:rPr>
                <w:webHidden/>
              </w:rPr>
              <w:t>49</w:t>
            </w:r>
            <w:r>
              <w:rPr>
                <w:webHidden/>
              </w:rPr>
              <w:fldChar w:fldCharType="end"/>
            </w:r>
          </w:hyperlink>
        </w:p>
        <w:p w14:paraId="0F9226A4" w14:textId="77777777" w:rsidR="008303E2" w:rsidRDefault="008303E2">
          <w:pPr>
            <w:pStyle w:val="TOC2"/>
            <w:tabs>
              <w:tab w:val="left" w:pos="1100"/>
            </w:tabs>
            <w:rPr>
              <w:rFonts w:asciiTheme="minorHAnsi" w:eastAsiaTheme="minorEastAsia" w:hAnsiTheme="minorHAnsi"/>
              <w:lang w:eastAsia="en-AU"/>
            </w:rPr>
          </w:pPr>
          <w:hyperlink w:anchor="_Toc469654747" w:history="1">
            <w:r w:rsidRPr="006F0648">
              <w:rPr>
                <w:rStyle w:val="Hyperlink"/>
              </w:rPr>
              <w:t>6.3</w:t>
            </w:r>
            <w:r>
              <w:rPr>
                <w:rFonts w:asciiTheme="minorHAnsi" w:eastAsiaTheme="minorEastAsia" w:hAnsiTheme="minorHAnsi"/>
                <w:lang w:eastAsia="en-AU"/>
              </w:rPr>
              <w:tab/>
            </w:r>
            <w:r w:rsidRPr="006F0648">
              <w:rPr>
                <w:rStyle w:val="Hyperlink"/>
              </w:rPr>
              <w:t>A new approach</w:t>
            </w:r>
            <w:r>
              <w:rPr>
                <w:webHidden/>
              </w:rPr>
              <w:tab/>
            </w:r>
            <w:r>
              <w:rPr>
                <w:webHidden/>
              </w:rPr>
              <w:fldChar w:fldCharType="begin"/>
            </w:r>
            <w:r>
              <w:rPr>
                <w:webHidden/>
              </w:rPr>
              <w:instrText xml:space="preserve"> PAGEREF _Toc469654747 \h </w:instrText>
            </w:r>
            <w:r>
              <w:rPr>
                <w:webHidden/>
              </w:rPr>
            </w:r>
            <w:r>
              <w:rPr>
                <w:webHidden/>
              </w:rPr>
              <w:fldChar w:fldCharType="separate"/>
            </w:r>
            <w:r>
              <w:rPr>
                <w:webHidden/>
              </w:rPr>
              <w:t>56</w:t>
            </w:r>
            <w:r>
              <w:rPr>
                <w:webHidden/>
              </w:rPr>
              <w:fldChar w:fldCharType="end"/>
            </w:r>
          </w:hyperlink>
        </w:p>
        <w:p w14:paraId="74E1198C" w14:textId="77777777" w:rsidR="008303E2" w:rsidRDefault="008303E2">
          <w:pPr>
            <w:pStyle w:val="TOC1"/>
            <w:rPr>
              <w:rFonts w:asciiTheme="minorHAnsi" w:eastAsiaTheme="minorEastAsia" w:hAnsiTheme="minorHAnsi"/>
              <w:b w:val="0"/>
              <w:lang w:eastAsia="en-AU"/>
            </w:rPr>
          </w:pPr>
          <w:hyperlink w:anchor="_Toc469654748" w:history="1">
            <w:r w:rsidRPr="006F0648">
              <w:rPr>
                <w:rStyle w:val="Hyperlink"/>
              </w:rPr>
              <w:t>7</w:t>
            </w:r>
            <w:r>
              <w:rPr>
                <w:rFonts w:asciiTheme="minorHAnsi" w:eastAsiaTheme="minorEastAsia" w:hAnsiTheme="minorHAnsi"/>
                <w:b w:val="0"/>
                <w:lang w:eastAsia="en-AU"/>
              </w:rPr>
              <w:tab/>
            </w:r>
            <w:r w:rsidRPr="006F0648">
              <w:rPr>
                <w:rStyle w:val="Hyperlink"/>
              </w:rPr>
              <w:t>Strengthening governance</w:t>
            </w:r>
            <w:r>
              <w:rPr>
                <w:webHidden/>
              </w:rPr>
              <w:tab/>
            </w:r>
            <w:r>
              <w:rPr>
                <w:webHidden/>
              </w:rPr>
              <w:fldChar w:fldCharType="begin"/>
            </w:r>
            <w:r>
              <w:rPr>
                <w:webHidden/>
              </w:rPr>
              <w:instrText xml:space="preserve"> PAGEREF _Toc469654748 \h </w:instrText>
            </w:r>
            <w:r>
              <w:rPr>
                <w:webHidden/>
              </w:rPr>
            </w:r>
            <w:r>
              <w:rPr>
                <w:webHidden/>
              </w:rPr>
              <w:fldChar w:fldCharType="separate"/>
            </w:r>
            <w:r>
              <w:rPr>
                <w:webHidden/>
              </w:rPr>
              <w:t>60</w:t>
            </w:r>
            <w:r>
              <w:rPr>
                <w:webHidden/>
              </w:rPr>
              <w:fldChar w:fldCharType="end"/>
            </w:r>
          </w:hyperlink>
        </w:p>
        <w:p w14:paraId="7A9E03FF" w14:textId="77777777" w:rsidR="008303E2" w:rsidRDefault="008303E2">
          <w:pPr>
            <w:pStyle w:val="TOC2"/>
            <w:tabs>
              <w:tab w:val="left" w:pos="1100"/>
            </w:tabs>
            <w:rPr>
              <w:rFonts w:asciiTheme="minorHAnsi" w:eastAsiaTheme="minorEastAsia" w:hAnsiTheme="minorHAnsi"/>
              <w:lang w:eastAsia="en-AU"/>
            </w:rPr>
          </w:pPr>
          <w:hyperlink w:anchor="_Toc469654749" w:history="1">
            <w:r w:rsidRPr="006F0648">
              <w:rPr>
                <w:rStyle w:val="Hyperlink"/>
                <w:lang w:eastAsia="ja-JP"/>
              </w:rPr>
              <w:t>7.1</w:t>
            </w:r>
            <w:r>
              <w:rPr>
                <w:rFonts w:asciiTheme="minorHAnsi" w:eastAsiaTheme="minorEastAsia" w:hAnsiTheme="minorHAnsi"/>
                <w:lang w:eastAsia="en-AU"/>
              </w:rPr>
              <w:tab/>
            </w:r>
            <w:r w:rsidRPr="006F0648">
              <w:rPr>
                <w:rStyle w:val="Hyperlink"/>
                <w:lang w:eastAsia="ja-JP"/>
              </w:rPr>
              <w:t>A strong mandate</w:t>
            </w:r>
            <w:r>
              <w:rPr>
                <w:webHidden/>
              </w:rPr>
              <w:tab/>
            </w:r>
            <w:r>
              <w:rPr>
                <w:webHidden/>
              </w:rPr>
              <w:fldChar w:fldCharType="begin"/>
            </w:r>
            <w:r>
              <w:rPr>
                <w:webHidden/>
              </w:rPr>
              <w:instrText xml:space="preserve"> PAGEREF _Toc469654749 \h </w:instrText>
            </w:r>
            <w:r>
              <w:rPr>
                <w:webHidden/>
              </w:rPr>
            </w:r>
            <w:r>
              <w:rPr>
                <w:webHidden/>
              </w:rPr>
              <w:fldChar w:fldCharType="separate"/>
            </w:r>
            <w:r>
              <w:rPr>
                <w:webHidden/>
              </w:rPr>
              <w:t>60</w:t>
            </w:r>
            <w:r>
              <w:rPr>
                <w:webHidden/>
              </w:rPr>
              <w:fldChar w:fldCharType="end"/>
            </w:r>
          </w:hyperlink>
        </w:p>
        <w:p w14:paraId="1B0C3C75" w14:textId="77777777" w:rsidR="008303E2" w:rsidRDefault="008303E2">
          <w:pPr>
            <w:pStyle w:val="TOC2"/>
            <w:tabs>
              <w:tab w:val="left" w:pos="1100"/>
            </w:tabs>
            <w:rPr>
              <w:rFonts w:asciiTheme="minorHAnsi" w:eastAsiaTheme="minorEastAsia" w:hAnsiTheme="minorHAnsi"/>
              <w:lang w:eastAsia="en-AU"/>
            </w:rPr>
          </w:pPr>
          <w:hyperlink w:anchor="_Toc469654750" w:history="1">
            <w:r w:rsidRPr="006F0648">
              <w:rPr>
                <w:rStyle w:val="Hyperlink"/>
              </w:rPr>
              <w:t>7.2</w:t>
            </w:r>
            <w:r>
              <w:rPr>
                <w:rFonts w:asciiTheme="minorHAnsi" w:eastAsiaTheme="minorEastAsia" w:hAnsiTheme="minorHAnsi"/>
                <w:lang w:eastAsia="en-AU"/>
              </w:rPr>
              <w:tab/>
            </w:r>
            <w:r w:rsidRPr="006F0648">
              <w:rPr>
                <w:rStyle w:val="Hyperlink"/>
              </w:rPr>
              <w:t>An empowered National Biosecurity Committee</w:t>
            </w:r>
            <w:r>
              <w:rPr>
                <w:webHidden/>
              </w:rPr>
              <w:tab/>
            </w:r>
            <w:r>
              <w:rPr>
                <w:webHidden/>
              </w:rPr>
              <w:fldChar w:fldCharType="begin"/>
            </w:r>
            <w:r>
              <w:rPr>
                <w:webHidden/>
              </w:rPr>
              <w:instrText xml:space="preserve"> PAGEREF _Toc469654750 \h </w:instrText>
            </w:r>
            <w:r>
              <w:rPr>
                <w:webHidden/>
              </w:rPr>
            </w:r>
            <w:r>
              <w:rPr>
                <w:webHidden/>
              </w:rPr>
              <w:fldChar w:fldCharType="separate"/>
            </w:r>
            <w:r>
              <w:rPr>
                <w:webHidden/>
              </w:rPr>
              <w:t>61</w:t>
            </w:r>
            <w:r>
              <w:rPr>
                <w:webHidden/>
              </w:rPr>
              <w:fldChar w:fldCharType="end"/>
            </w:r>
          </w:hyperlink>
        </w:p>
        <w:p w14:paraId="3F7820DB" w14:textId="77777777" w:rsidR="008303E2" w:rsidRDefault="008303E2">
          <w:pPr>
            <w:pStyle w:val="TOC2"/>
            <w:tabs>
              <w:tab w:val="left" w:pos="1100"/>
            </w:tabs>
            <w:rPr>
              <w:rFonts w:asciiTheme="minorHAnsi" w:eastAsiaTheme="minorEastAsia" w:hAnsiTheme="minorHAnsi"/>
              <w:lang w:eastAsia="en-AU"/>
            </w:rPr>
          </w:pPr>
          <w:hyperlink w:anchor="_Toc469654751" w:history="1">
            <w:r w:rsidRPr="006F0648">
              <w:rPr>
                <w:rStyle w:val="Hyperlink"/>
              </w:rPr>
              <w:t>7.3</w:t>
            </w:r>
            <w:r>
              <w:rPr>
                <w:rFonts w:asciiTheme="minorHAnsi" w:eastAsiaTheme="minorEastAsia" w:hAnsiTheme="minorHAnsi"/>
                <w:lang w:eastAsia="en-AU"/>
              </w:rPr>
              <w:tab/>
            </w:r>
            <w:r w:rsidRPr="006F0648">
              <w:rPr>
                <w:rStyle w:val="Hyperlink"/>
              </w:rPr>
              <w:t>Bringing other voices into the tent</w:t>
            </w:r>
            <w:r>
              <w:rPr>
                <w:webHidden/>
              </w:rPr>
              <w:tab/>
            </w:r>
            <w:r>
              <w:rPr>
                <w:webHidden/>
              </w:rPr>
              <w:fldChar w:fldCharType="begin"/>
            </w:r>
            <w:r>
              <w:rPr>
                <w:webHidden/>
              </w:rPr>
              <w:instrText xml:space="preserve"> PAGEREF _Toc469654751 \h </w:instrText>
            </w:r>
            <w:r>
              <w:rPr>
                <w:webHidden/>
              </w:rPr>
            </w:r>
            <w:r>
              <w:rPr>
                <w:webHidden/>
              </w:rPr>
              <w:fldChar w:fldCharType="separate"/>
            </w:r>
            <w:r>
              <w:rPr>
                <w:webHidden/>
              </w:rPr>
              <w:t>68</w:t>
            </w:r>
            <w:r>
              <w:rPr>
                <w:webHidden/>
              </w:rPr>
              <w:fldChar w:fldCharType="end"/>
            </w:r>
          </w:hyperlink>
        </w:p>
        <w:p w14:paraId="7E914EEA" w14:textId="77777777" w:rsidR="008303E2" w:rsidRDefault="008303E2">
          <w:pPr>
            <w:pStyle w:val="TOC2"/>
            <w:tabs>
              <w:tab w:val="left" w:pos="1100"/>
            </w:tabs>
            <w:rPr>
              <w:rFonts w:asciiTheme="minorHAnsi" w:eastAsiaTheme="minorEastAsia" w:hAnsiTheme="minorHAnsi"/>
              <w:lang w:eastAsia="en-AU"/>
            </w:rPr>
          </w:pPr>
          <w:hyperlink w:anchor="_Toc469654752" w:history="1">
            <w:r w:rsidRPr="006F0648">
              <w:rPr>
                <w:rStyle w:val="Hyperlink"/>
              </w:rPr>
              <w:t>7.4</w:t>
            </w:r>
            <w:r>
              <w:rPr>
                <w:rFonts w:asciiTheme="minorHAnsi" w:eastAsiaTheme="minorEastAsia" w:hAnsiTheme="minorHAnsi"/>
                <w:lang w:eastAsia="en-AU"/>
              </w:rPr>
              <w:tab/>
            </w:r>
            <w:r w:rsidRPr="006F0648">
              <w:rPr>
                <w:rStyle w:val="Hyperlink"/>
              </w:rPr>
              <w:t>An updated governance structure</w:t>
            </w:r>
            <w:r>
              <w:rPr>
                <w:webHidden/>
              </w:rPr>
              <w:tab/>
            </w:r>
            <w:r>
              <w:rPr>
                <w:webHidden/>
              </w:rPr>
              <w:fldChar w:fldCharType="begin"/>
            </w:r>
            <w:r>
              <w:rPr>
                <w:webHidden/>
              </w:rPr>
              <w:instrText xml:space="preserve"> PAGEREF _Toc469654752 \h </w:instrText>
            </w:r>
            <w:r>
              <w:rPr>
                <w:webHidden/>
              </w:rPr>
            </w:r>
            <w:r>
              <w:rPr>
                <w:webHidden/>
              </w:rPr>
              <w:fldChar w:fldCharType="separate"/>
            </w:r>
            <w:r>
              <w:rPr>
                <w:webHidden/>
              </w:rPr>
              <w:t>70</w:t>
            </w:r>
            <w:r>
              <w:rPr>
                <w:webHidden/>
              </w:rPr>
              <w:fldChar w:fldCharType="end"/>
            </w:r>
          </w:hyperlink>
        </w:p>
        <w:p w14:paraId="278D73A6" w14:textId="77777777" w:rsidR="008303E2" w:rsidRDefault="008303E2">
          <w:pPr>
            <w:pStyle w:val="TOC1"/>
            <w:rPr>
              <w:rFonts w:asciiTheme="minorHAnsi" w:eastAsiaTheme="minorEastAsia" w:hAnsiTheme="minorHAnsi"/>
              <w:b w:val="0"/>
              <w:lang w:eastAsia="en-AU"/>
            </w:rPr>
          </w:pPr>
          <w:hyperlink w:anchor="_Toc469654753" w:history="1">
            <w:r w:rsidRPr="006F0648">
              <w:rPr>
                <w:rStyle w:val="Hyperlink"/>
              </w:rPr>
              <w:t>8</w:t>
            </w:r>
            <w:r>
              <w:rPr>
                <w:rFonts w:asciiTheme="minorHAnsi" w:eastAsiaTheme="minorEastAsia" w:hAnsiTheme="minorHAnsi"/>
                <w:b w:val="0"/>
                <w:lang w:eastAsia="en-AU"/>
              </w:rPr>
              <w:tab/>
            </w:r>
            <w:r w:rsidRPr="006F0648">
              <w:rPr>
                <w:rStyle w:val="Hyperlink"/>
              </w:rPr>
              <w:t>Funding our national system</w:t>
            </w:r>
            <w:r>
              <w:rPr>
                <w:webHidden/>
              </w:rPr>
              <w:tab/>
            </w:r>
            <w:r>
              <w:rPr>
                <w:webHidden/>
              </w:rPr>
              <w:fldChar w:fldCharType="begin"/>
            </w:r>
            <w:r>
              <w:rPr>
                <w:webHidden/>
              </w:rPr>
              <w:instrText xml:space="preserve"> PAGEREF _Toc469654753 \h </w:instrText>
            </w:r>
            <w:r>
              <w:rPr>
                <w:webHidden/>
              </w:rPr>
            </w:r>
            <w:r>
              <w:rPr>
                <w:webHidden/>
              </w:rPr>
              <w:fldChar w:fldCharType="separate"/>
            </w:r>
            <w:r>
              <w:rPr>
                <w:webHidden/>
              </w:rPr>
              <w:t>73</w:t>
            </w:r>
            <w:r>
              <w:rPr>
                <w:webHidden/>
              </w:rPr>
              <w:fldChar w:fldCharType="end"/>
            </w:r>
          </w:hyperlink>
        </w:p>
        <w:p w14:paraId="789A7EE5" w14:textId="77777777" w:rsidR="008303E2" w:rsidRDefault="008303E2">
          <w:pPr>
            <w:pStyle w:val="TOC2"/>
            <w:tabs>
              <w:tab w:val="left" w:pos="1100"/>
            </w:tabs>
            <w:rPr>
              <w:rFonts w:asciiTheme="minorHAnsi" w:eastAsiaTheme="minorEastAsia" w:hAnsiTheme="minorHAnsi"/>
              <w:lang w:eastAsia="en-AU"/>
            </w:rPr>
          </w:pPr>
          <w:hyperlink w:anchor="_Toc469654754" w:history="1">
            <w:r w:rsidRPr="006F0648">
              <w:rPr>
                <w:rStyle w:val="Hyperlink"/>
                <w:lang w:eastAsia="ja-JP"/>
              </w:rPr>
              <w:t>8.1</w:t>
            </w:r>
            <w:r>
              <w:rPr>
                <w:rFonts w:asciiTheme="minorHAnsi" w:eastAsiaTheme="minorEastAsia" w:hAnsiTheme="minorHAnsi"/>
                <w:lang w:eastAsia="en-AU"/>
              </w:rPr>
              <w:tab/>
            </w:r>
            <w:r w:rsidRPr="006F0648">
              <w:rPr>
                <w:rStyle w:val="Hyperlink"/>
                <w:lang w:eastAsia="ja-JP"/>
              </w:rPr>
              <w:t>The shared funding challenge</w:t>
            </w:r>
            <w:r>
              <w:rPr>
                <w:webHidden/>
              </w:rPr>
              <w:tab/>
            </w:r>
            <w:r>
              <w:rPr>
                <w:webHidden/>
              </w:rPr>
              <w:fldChar w:fldCharType="begin"/>
            </w:r>
            <w:r>
              <w:rPr>
                <w:webHidden/>
              </w:rPr>
              <w:instrText xml:space="preserve"> PAGEREF _Toc469654754 \h </w:instrText>
            </w:r>
            <w:r>
              <w:rPr>
                <w:webHidden/>
              </w:rPr>
            </w:r>
            <w:r>
              <w:rPr>
                <w:webHidden/>
              </w:rPr>
              <w:fldChar w:fldCharType="separate"/>
            </w:r>
            <w:r>
              <w:rPr>
                <w:webHidden/>
              </w:rPr>
              <w:t>73</w:t>
            </w:r>
            <w:r>
              <w:rPr>
                <w:webHidden/>
              </w:rPr>
              <w:fldChar w:fldCharType="end"/>
            </w:r>
          </w:hyperlink>
        </w:p>
        <w:p w14:paraId="5A02FDFE" w14:textId="77777777" w:rsidR="008303E2" w:rsidRDefault="008303E2">
          <w:pPr>
            <w:pStyle w:val="TOC2"/>
            <w:tabs>
              <w:tab w:val="left" w:pos="1100"/>
            </w:tabs>
            <w:rPr>
              <w:rFonts w:asciiTheme="minorHAnsi" w:eastAsiaTheme="minorEastAsia" w:hAnsiTheme="minorHAnsi"/>
              <w:lang w:eastAsia="en-AU"/>
            </w:rPr>
          </w:pPr>
          <w:hyperlink w:anchor="_Toc469654755" w:history="1">
            <w:r w:rsidRPr="006F0648">
              <w:rPr>
                <w:rStyle w:val="Hyperlink"/>
                <w:lang w:eastAsia="ja-JP"/>
              </w:rPr>
              <w:t>8.2</w:t>
            </w:r>
            <w:r>
              <w:rPr>
                <w:rFonts w:asciiTheme="minorHAnsi" w:eastAsiaTheme="minorEastAsia" w:hAnsiTheme="minorHAnsi"/>
                <w:lang w:eastAsia="en-AU"/>
              </w:rPr>
              <w:tab/>
            </w:r>
            <w:r w:rsidRPr="006F0648">
              <w:rPr>
                <w:rStyle w:val="Hyperlink"/>
                <w:lang w:eastAsia="ja-JP"/>
              </w:rPr>
              <w:t>Guiding principles and frameworks</w:t>
            </w:r>
            <w:r>
              <w:rPr>
                <w:webHidden/>
              </w:rPr>
              <w:tab/>
            </w:r>
            <w:r>
              <w:rPr>
                <w:webHidden/>
              </w:rPr>
              <w:fldChar w:fldCharType="begin"/>
            </w:r>
            <w:r>
              <w:rPr>
                <w:webHidden/>
              </w:rPr>
              <w:instrText xml:space="preserve"> PAGEREF _Toc469654755 \h </w:instrText>
            </w:r>
            <w:r>
              <w:rPr>
                <w:webHidden/>
              </w:rPr>
            </w:r>
            <w:r>
              <w:rPr>
                <w:webHidden/>
              </w:rPr>
              <w:fldChar w:fldCharType="separate"/>
            </w:r>
            <w:r>
              <w:rPr>
                <w:webHidden/>
              </w:rPr>
              <w:t>75</w:t>
            </w:r>
            <w:r>
              <w:rPr>
                <w:webHidden/>
              </w:rPr>
              <w:fldChar w:fldCharType="end"/>
            </w:r>
          </w:hyperlink>
        </w:p>
        <w:p w14:paraId="3FD6DB34" w14:textId="77777777" w:rsidR="008303E2" w:rsidRDefault="008303E2">
          <w:pPr>
            <w:pStyle w:val="TOC2"/>
            <w:tabs>
              <w:tab w:val="left" w:pos="1100"/>
            </w:tabs>
            <w:rPr>
              <w:rFonts w:asciiTheme="minorHAnsi" w:eastAsiaTheme="minorEastAsia" w:hAnsiTheme="minorHAnsi"/>
              <w:lang w:eastAsia="en-AU"/>
            </w:rPr>
          </w:pPr>
          <w:hyperlink w:anchor="_Toc469654756" w:history="1">
            <w:r w:rsidRPr="006F0648">
              <w:rPr>
                <w:rStyle w:val="Hyperlink"/>
                <w:lang w:eastAsia="ja-JP"/>
              </w:rPr>
              <w:t>8.3</w:t>
            </w:r>
            <w:r>
              <w:rPr>
                <w:rFonts w:asciiTheme="minorHAnsi" w:eastAsiaTheme="minorEastAsia" w:hAnsiTheme="minorHAnsi"/>
                <w:lang w:eastAsia="en-AU"/>
              </w:rPr>
              <w:tab/>
            </w:r>
            <w:r w:rsidRPr="006F0648">
              <w:rPr>
                <w:rStyle w:val="Hyperlink"/>
                <w:lang w:eastAsia="ja-JP"/>
              </w:rPr>
              <w:t>How much is enough?</w:t>
            </w:r>
            <w:r>
              <w:rPr>
                <w:webHidden/>
              </w:rPr>
              <w:tab/>
            </w:r>
            <w:r>
              <w:rPr>
                <w:webHidden/>
              </w:rPr>
              <w:fldChar w:fldCharType="begin"/>
            </w:r>
            <w:r>
              <w:rPr>
                <w:webHidden/>
              </w:rPr>
              <w:instrText xml:space="preserve"> PAGEREF _Toc469654756 \h </w:instrText>
            </w:r>
            <w:r>
              <w:rPr>
                <w:webHidden/>
              </w:rPr>
            </w:r>
            <w:r>
              <w:rPr>
                <w:webHidden/>
              </w:rPr>
              <w:fldChar w:fldCharType="separate"/>
            </w:r>
            <w:r>
              <w:rPr>
                <w:webHidden/>
              </w:rPr>
              <w:t>78</w:t>
            </w:r>
            <w:r>
              <w:rPr>
                <w:webHidden/>
              </w:rPr>
              <w:fldChar w:fldCharType="end"/>
            </w:r>
          </w:hyperlink>
        </w:p>
        <w:p w14:paraId="30A4433E" w14:textId="77777777" w:rsidR="008303E2" w:rsidRDefault="008303E2">
          <w:pPr>
            <w:pStyle w:val="TOC2"/>
            <w:tabs>
              <w:tab w:val="left" w:pos="1100"/>
            </w:tabs>
            <w:rPr>
              <w:rFonts w:asciiTheme="minorHAnsi" w:eastAsiaTheme="minorEastAsia" w:hAnsiTheme="minorHAnsi"/>
              <w:lang w:eastAsia="en-AU"/>
            </w:rPr>
          </w:pPr>
          <w:hyperlink w:anchor="_Toc469654757" w:history="1">
            <w:r w:rsidRPr="006F0648">
              <w:rPr>
                <w:rStyle w:val="Hyperlink"/>
                <w:lang w:eastAsia="ja-JP"/>
              </w:rPr>
              <w:t>8.4</w:t>
            </w:r>
            <w:r>
              <w:rPr>
                <w:rFonts w:asciiTheme="minorHAnsi" w:eastAsiaTheme="minorEastAsia" w:hAnsiTheme="minorHAnsi"/>
                <w:lang w:eastAsia="en-AU"/>
              </w:rPr>
              <w:tab/>
            </w:r>
            <w:r w:rsidRPr="006F0648">
              <w:rPr>
                <w:rStyle w:val="Hyperlink"/>
                <w:lang w:eastAsia="ja-JP"/>
              </w:rPr>
              <w:t>Sustainable funding</w:t>
            </w:r>
            <w:r>
              <w:rPr>
                <w:webHidden/>
              </w:rPr>
              <w:tab/>
            </w:r>
            <w:r>
              <w:rPr>
                <w:webHidden/>
              </w:rPr>
              <w:fldChar w:fldCharType="begin"/>
            </w:r>
            <w:r>
              <w:rPr>
                <w:webHidden/>
              </w:rPr>
              <w:instrText xml:space="preserve"> PAGEREF _Toc469654757 \h </w:instrText>
            </w:r>
            <w:r>
              <w:rPr>
                <w:webHidden/>
              </w:rPr>
            </w:r>
            <w:r>
              <w:rPr>
                <w:webHidden/>
              </w:rPr>
              <w:fldChar w:fldCharType="separate"/>
            </w:r>
            <w:r>
              <w:rPr>
                <w:webHidden/>
              </w:rPr>
              <w:t>85</w:t>
            </w:r>
            <w:r>
              <w:rPr>
                <w:webHidden/>
              </w:rPr>
              <w:fldChar w:fldCharType="end"/>
            </w:r>
          </w:hyperlink>
        </w:p>
        <w:p w14:paraId="28B463D6" w14:textId="77777777" w:rsidR="008303E2" w:rsidRDefault="008303E2">
          <w:pPr>
            <w:pStyle w:val="TOC1"/>
            <w:rPr>
              <w:rFonts w:asciiTheme="minorHAnsi" w:eastAsiaTheme="minorEastAsia" w:hAnsiTheme="minorHAnsi"/>
              <w:b w:val="0"/>
              <w:lang w:eastAsia="en-AU"/>
            </w:rPr>
          </w:pPr>
          <w:hyperlink w:anchor="_Toc469654758" w:history="1">
            <w:r w:rsidRPr="006F0648">
              <w:rPr>
                <w:rStyle w:val="Hyperlink"/>
              </w:rPr>
              <w:t>9</w:t>
            </w:r>
            <w:r>
              <w:rPr>
                <w:rFonts w:asciiTheme="minorHAnsi" w:eastAsiaTheme="minorEastAsia" w:hAnsiTheme="minorHAnsi"/>
                <w:b w:val="0"/>
                <w:lang w:eastAsia="en-AU"/>
              </w:rPr>
              <w:tab/>
            </w:r>
            <w:r w:rsidRPr="006F0648">
              <w:rPr>
                <w:rStyle w:val="Hyperlink"/>
              </w:rPr>
              <w:t>Measuring system performance</w:t>
            </w:r>
            <w:r>
              <w:rPr>
                <w:webHidden/>
              </w:rPr>
              <w:tab/>
            </w:r>
            <w:r>
              <w:rPr>
                <w:webHidden/>
              </w:rPr>
              <w:fldChar w:fldCharType="begin"/>
            </w:r>
            <w:r>
              <w:rPr>
                <w:webHidden/>
              </w:rPr>
              <w:instrText xml:space="preserve"> PAGEREF _Toc469654758 \h </w:instrText>
            </w:r>
            <w:r>
              <w:rPr>
                <w:webHidden/>
              </w:rPr>
            </w:r>
            <w:r>
              <w:rPr>
                <w:webHidden/>
              </w:rPr>
              <w:fldChar w:fldCharType="separate"/>
            </w:r>
            <w:r>
              <w:rPr>
                <w:webHidden/>
              </w:rPr>
              <w:t>92</w:t>
            </w:r>
            <w:r>
              <w:rPr>
                <w:webHidden/>
              </w:rPr>
              <w:fldChar w:fldCharType="end"/>
            </w:r>
          </w:hyperlink>
        </w:p>
        <w:p w14:paraId="2B66D911" w14:textId="77777777" w:rsidR="008303E2" w:rsidRDefault="008303E2">
          <w:pPr>
            <w:pStyle w:val="TOC2"/>
            <w:tabs>
              <w:tab w:val="left" w:pos="1100"/>
            </w:tabs>
            <w:rPr>
              <w:rFonts w:asciiTheme="minorHAnsi" w:eastAsiaTheme="minorEastAsia" w:hAnsiTheme="minorHAnsi"/>
              <w:lang w:eastAsia="en-AU"/>
            </w:rPr>
          </w:pPr>
          <w:hyperlink w:anchor="_Toc469654759" w:history="1">
            <w:r w:rsidRPr="006F0648">
              <w:rPr>
                <w:rStyle w:val="Hyperlink"/>
                <w:lang w:eastAsia="ja-JP"/>
              </w:rPr>
              <w:t>9.1</w:t>
            </w:r>
            <w:r>
              <w:rPr>
                <w:rFonts w:asciiTheme="minorHAnsi" w:eastAsiaTheme="minorEastAsia" w:hAnsiTheme="minorHAnsi"/>
                <w:lang w:eastAsia="en-AU"/>
              </w:rPr>
              <w:tab/>
            </w:r>
            <w:r w:rsidRPr="006F0648">
              <w:rPr>
                <w:rStyle w:val="Hyperlink"/>
                <w:lang w:eastAsia="ja-JP"/>
              </w:rPr>
              <w:t>Benefits of national biosecurity</w:t>
            </w:r>
            <w:r>
              <w:rPr>
                <w:webHidden/>
              </w:rPr>
              <w:tab/>
            </w:r>
            <w:r>
              <w:rPr>
                <w:webHidden/>
              </w:rPr>
              <w:fldChar w:fldCharType="begin"/>
            </w:r>
            <w:r>
              <w:rPr>
                <w:webHidden/>
              </w:rPr>
              <w:instrText xml:space="preserve"> PAGEREF _Toc469654759 \h </w:instrText>
            </w:r>
            <w:r>
              <w:rPr>
                <w:webHidden/>
              </w:rPr>
            </w:r>
            <w:r>
              <w:rPr>
                <w:webHidden/>
              </w:rPr>
              <w:fldChar w:fldCharType="separate"/>
            </w:r>
            <w:r>
              <w:rPr>
                <w:webHidden/>
              </w:rPr>
              <w:t>92</w:t>
            </w:r>
            <w:r>
              <w:rPr>
                <w:webHidden/>
              </w:rPr>
              <w:fldChar w:fldCharType="end"/>
            </w:r>
          </w:hyperlink>
        </w:p>
        <w:p w14:paraId="23A2303A" w14:textId="77777777" w:rsidR="008303E2" w:rsidRDefault="008303E2">
          <w:pPr>
            <w:pStyle w:val="TOC2"/>
            <w:tabs>
              <w:tab w:val="left" w:pos="1100"/>
            </w:tabs>
            <w:rPr>
              <w:rFonts w:asciiTheme="minorHAnsi" w:eastAsiaTheme="minorEastAsia" w:hAnsiTheme="minorHAnsi"/>
              <w:lang w:eastAsia="en-AU"/>
            </w:rPr>
          </w:pPr>
          <w:hyperlink w:anchor="_Toc469654760" w:history="1">
            <w:r w:rsidRPr="006F0648">
              <w:rPr>
                <w:rStyle w:val="Hyperlink"/>
                <w:lang w:eastAsia="ja-JP"/>
              </w:rPr>
              <w:t>9.2</w:t>
            </w:r>
            <w:r>
              <w:rPr>
                <w:rFonts w:asciiTheme="minorHAnsi" w:eastAsiaTheme="minorEastAsia" w:hAnsiTheme="minorHAnsi"/>
                <w:lang w:eastAsia="en-AU"/>
              </w:rPr>
              <w:tab/>
            </w:r>
            <w:r w:rsidRPr="006F0648">
              <w:rPr>
                <w:rStyle w:val="Hyperlink"/>
                <w:lang w:eastAsia="ja-JP"/>
              </w:rPr>
              <w:t>Performance measurement and reporting</w:t>
            </w:r>
            <w:r>
              <w:rPr>
                <w:webHidden/>
              </w:rPr>
              <w:tab/>
            </w:r>
            <w:r>
              <w:rPr>
                <w:webHidden/>
              </w:rPr>
              <w:fldChar w:fldCharType="begin"/>
            </w:r>
            <w:r>
              <w:rPr>
                <w:webHidden/>
              </w:rPr>
              <w:instrText xml:space="preserve"> PAGEREF _Toc469654760 \h </w:instrText>
            </w:r>
            <w:r>
              <w:rPr>
                <w:webHidden/>
              </w:rPr>
            </w:r>
            <w:r>
              <w:rPr>
                <w:webHidden/>
              </w:rPr>
              <w:fldChar w:fldCharType="separate"/>
            </w:r>
            <w:r>
              <w:rPr>
                <w:webHidden/>
              </w:rPr>
              <w:t>93</w:t>
            </w:r>
            <w:r>
              <w:rPr>
                <w:webHidden/>
              </w:rPr>
              <w:fldChar w:fldCharType="end"/>
            </w:r>
          </w:hyperlink>
        </w:p>
        <w:p w14:paraId="2020ECC0" w14:textId="77777777" w:rsidR="008303E2" w:rsidRDefault="008303E2">
          <w:pPr>
            <w:pStyle w:val="TOC2"/>
            <w:tabs>
              <w:tab w:val="left" w:pos="1100"/>
            </w:tabs>
            <w:rPr>
              <w:rFonts w:asciiTheme="minorHAnsi" w:eastAsiaTheme="minorEastAsia" w:hAnsiTheme="minorHAnsi"/>
              <w:lang w:eastAsia="en-AU"/>
            </w:rPr>
          </w:pPr>
          <w:hyperlink w:anchor="_Toc469654761" w:history="1">
            <w:r w:rsidRPr="006F0648">
              <w:rPr>
                <w:rStyle w:val="Hyperlink"/>
              </w:rPr>
              <w:t>9.3</w:t>
            </w:r>
            <w:r>
              <w:rPr>
                <w:rFonts w:asciiTheme="minorHAnsi" w:eastAsiaTheme="minorEastAsia" w:hAnsiTheme="minorHAnsi"/>
                <w:lang w:eastAsia="en-AU"/>
              </w:rPr>
              <w:tab/>
            </w:r>
            <w:r w:rsidRPr="006F0648">
              <w:rPr>
                <w:rStyle w:val="Hyperlink"/>
              </w:rPr>
              <w:t>Knowledge and data</w:t>
            </w:r>
            <w:r>
              <w:rPr>
                <w:webHidden/>
              </w:rPr>
              <w:tab/>
            </w:r>
            <w:r>
              <w:rPr>
                <w:webHidden/>
              </w:rPr>
              <w:fldChar w:fldCharType="begin"/>
            </w:r>
            <w:r>
              <w:rPr>
                <w:webHidden/>
              </w:rPr>
              <w:instrText xml:space="preserve"> PAGEREF _Toc469654761 \h </w:instrText>
            </w:r>
            <w:r>
              <w:rPr>
                <w:webHidden/>
              </w:rPr>
            </w:r>
            <w:r>
              <w:rPr>
                <w:webHidden/>
              </w:rPr>
              <w:fldChar w:fldCharType="separate"/>
            </w:r>
            <w:r>
              <w:rPr>
                <w:webHidden/>
              </w:rPr>
              <w:t>96</w:t>
            </w:r>
            <w:r>
              <w:rPr>
                <w:webHidden/>
              </w:rPr>
              <w:fldChar w:fldCharType="end"/>
            </w:r>
          </w:hyperlink>
        </w:p>
        <w:p w14:paraId="2A2746C3" w14:textId="77777777" w:rsidR="008303E2" w:rsidRDefault="008303E2">
          <w:pPr>
            <w:pStyle w:val="TOC1"/>
            <w:rPr>
              <w:rFonts w:asciiTheme="minorHAnsi" w:eastAsiaTheme="minorEastAsia" w:hAnsiTheme="minorHAnsi"/>
              <w:b w:val="0"/>
              <w:lang w:eastAsia="en-AU"/>
            </w:rPr>
          </w:pPr>
          <w:hyperlink w:anchor="_Toc469654762" w:history="1">
            <w:r w:rsidRPr="006F0648">
              <w:rPr>
                <w:rStyle w:val="Hyperlink"/>
              </w:rPr>
              <w:t>10</w:t>
            </w:r>
            <w:r>
              <w:rPr>
                <w:rFonts w:asciiTheme="minorHAnsi" w:eastAsiaTheme="minorEastAsia" w:hAnsiTheme="minorHAnsi"/>
                <w:b w:val="0"/>
                <w:lang w:eastAsia="en-AU"/>
              </w:rPr>
              <w:tab/>
            </w:r>
            <w:r w:rsidRPr="006F0648">
              <w:rPr>
                <w:rStyle w:val="Hyperlink"/>
              </w:rPr>
              <w:t>A future system, a future IGAB</w:t>
            </w:r>
            <w:r>
              <w:rPr>
                <w:webHidden/>
              </w:rPr>
              <w:tab/>
            </w:r>
            <w:r>
              <w:rPr>
                <w:webHidden/>
              </w:rPr>
              <w:fldChar w:fldCharType="begin"/>
            </w:r>
            <w:r>
              <w:rPr>
                <w:webHidden/>
              </w:rPr>
              <w:instrText xml:space="preserve"> PAGEREF _Toc469654762 \h </w:instrText>
            </w:r>
            <w:r>
              <w:rPr>
                <w:webHidden/>
              </w:rPr>
            </w:r>
            <w:r>
              <w:rPr>
                <w:webHidden/>
              </w:rPr>
              <w:fldChar w:fldCharType="separate"/>
            </w:r>
            <w:r>
              <w:rPr>
                <w:webHidden/>
              </w:rPr>
              <w:t>99</w:t>
            </w:r>
            <w:r>
              <w:rPr>
                <w:webHidden/>
              </w:rPr>
              <w:fldChar w:fldCharType="end"/>
            </w:r>
          </w:hyperlink>
        </w:p>
        <w:p w14:paraId="3FD2657B" w14:textId="77777777" w:rsidR="008303E2" w:rsidRDefault="008303E2">
          <w:pPr>
            <w:pStyle w:val="TOC2"/>
            <w:tabs>
              <w:tab w:val="left" w:pos="1100"/>
            </w:tabs>
            <w:rPr>
              <w:rFonts w:asciiTheme="minorHAnsi" w:eastAsiaTheme="minorEastAsia" w:hAnsiTheme="minorHAnsi"/>
              <w:lang w:eastAsia="en-AU"/>
            </w:rPr>
          </w:pPr>
          <w:hyperlink w:anchor="_Toc469654763" w:history="1">
            <w:r w:rsidRPr="006F0648">
              <w:rPr>
                <w:rStyle w:val="Hyperlink"/>
                <w:lang w:eastAsia="ja-JP"/>
              </w:rPr>
              <w:t>10.1</w:t>
            </w:r>
            <w:r>
              <w:rPr>
                <w:rFonts w:asciiTheme="minorHAnsi" w:eastAsiaTheme="minorEastAsia" w:hAnsiTheme="minorHAnsi"/>
                <w:lang w:eastAsia="en-AU"/>
              </w:rPr>
              <w:tab/>
            </w:r>
            <w:r w:rsidRPr="006F0648">
              <w:rPr>
                <w:rStyle w:val="Hyperlink"/>
                <w:lang w:eastAsia="ja-JP"/>
              </w:rPr>
              <w:t>A future system</w:t>
            </w:r>
            <w:r>
              <w:rPr>
                <w:webHidden/>
              </w:rPr>
              <w:tab/>
            </w:r>
            <w:r>
              <w:rPr>
                <w:webHidden/>
              </w:rPr>
              <w:fldChar w:fldCharType="begin"/>
            </w:r>
            <w:r>
              <w:rPr>
                <w:webHidden/>
              </w:rPr>
              <w:instrText xml:space="preserve"> PAGEREF _Toc469654763 \h </w:instrText>
            </w:r>
            <w:r>
              <w:rPr>
                <w:webHidden/>
              </w:rPr>
            </w:r>
            <w:r>
              <w:rPr>
                <w:webHidden/>
              </w:rPr>
              <w:fldChar w:fldCharType="separate"/>
            </w:r>
            <w:r>
              <w:rPr>
                <w:webHidden/>
              </w:rPr>
              <w:t>99</w:t>
            </w:r>
            <w:r>
              <w:rPr>
                <w:webHidden/>
              </w:rPr>
              <w:fldChar w:fldCharType="end"/>
            </w:r>
          </w:hyperlink>
        </w:p>
        <w:p w14:paraId="058BF3D5" w14:textId="77777777" w:rsidR="008303E2" w:rsidRDefault="008303E2">
          <w:pPr>
            <w:pStyle w:val="TOC2"/>
            <w:tabs>
              <w:tab w:val="left" w:pos="1100"/>
            </w:tabs>
            <w:rPr>
              <w:rFonts w:asciiTheme="minorHAnsi" w:eastAsiaTheme="minorEastAsia" w:hAnsiTheme="minorHAnsi"/>
              <w:lang w:eastAsia="en-AU"/>
            </w:rPr>
          </w:pPr>
          <w:hyperlink w:anchor="_Toc469654764" w:history="1">
            <w:r w:rsidRPr="006F0648">
              <w:rPr>
                <w:rStyle w:val="Hyperlink"/>
                <w:lang w:eastAsia="ja-JP"/>
              </w:rPr>
              <w:t>10.2</w:t>
            </w:r>
            <w:r>
              <w:rPr>
                <w:rFonts w:asciiTheme="minorHAnsi" w:eastAsiaTheme="minorEastAsia" w:hAnsiTheme="minorHAnsi"/>
                <w:lang w:eastAsia="en-AU"/>
              </w:rPr>
              <w:tab/>
            </w:r>
            <w:r w:rsidRPr="006F0648">
              <w:rPr>
                <w:rStyle w:val="Hyperlink"/>
                <w:lang w:eastAsia="ja-JP"/>
              </w:rPr>
              <w:t>A future IGAB</w:t>
            </w:r>
            <w:r>
              <w:rPr>
                <w:webHidden/>
              </w:rPr>
              <w:tab/>
            </w:r>
            <w:r>
              <w:rPr>
                <w:webHidden/>
              </w:rPr>
              <w:fldChar w:fldCharType="begin"/>
            </w:r>
            <w:r>
              <w:rPr>
                <w:webHidden/>
              </w:rPr>
              <w:instrText xml:space="preserve"> PAGEREF _Toc469654764 \h </w:instrText>
            </w:r>
            <w:r>
              <w:rPr>
                <w:webHidden/>
              </w:rPr>
            </w:r>
            <w:r>
              <w:rPr>
                <w:webHidden/>
              </w:rPr>
              <w:fldChar w:fldCharType="separate"/>
            </w:r>
            <w:r>
              <w:rPr>
                <w:webHidden/>
              </w:rPr>
              <w:t>100</w:t>
            </w:r>
            <w:r>
              <w:rPr>
                <w:webHidden/>
              </w:rPr>
              <w:fldChar w:fldCharType="end"/>
            </w:r>
          </w:hyperlink>
        </w:p>
        <w:p w14:paraId="6515E52E" w14:textId="77777777" w:rsidR="008303E2" w:rsidRDefault="008303E2">
          <w:pPr>
            <w:pStyle w:val="TOC1"/>
            <w:rPr>
              <w:rFonts w:asciiTheme="minorHAnsi" w:eastAsiaTheme="minorEastAsia" w:hAnsiTheme="minorHAnsi"/>
              <w:b w:val="0"/>
              <w:lang w:eastAsia="en-AU"/>
            </w:rPr>
          </w:pPr>
          <w:hyperlink w:anchor="_Toc469654765" w:history="1">
            <w:r w:rsidRPr="006F0648">
              <w:rPr>
                <w:rStyle w:val="Hyperlink"/>
              </w:rPr>
              <w:t>Appendix A: Terms of reference and links to the report</w:t>
            </w:r>
            <w:r>
              <w:rPr>
                <w:webHidden/>
              </w:rPr>
              <w:tab/>
            </w:r>
            <w:r>
              <w:rPr>
                <w:webHidden/>
              </w:rPr>
              <w:fldChar w:fldCharType="begin"/>
            </w:r>
            <w:r>
              <w:rPr>
                <w:webHidden/>
              </w:rPr>
              <w:instrText xml:space="preserve"> PAGEREF _Toc469654765 \h </w:instrText>
            </w:r>
            <w:r>
              <w:rPr>
                <w:webHidden/>
              </w:rPr>
            </w:r>
            <w:r>
              <w:rPr>
                <w:webHidden/>
              </w:rPr>
              <w:fldChar w:fldCharType="separate"/>
            </w:r>
            <w:r>
              <w:rPr>
                <w:webHidden/>
              </w:rPr>
              <w:t>105</w:t>
            </w:r>
            <w:r>
              <w:rPr>
                <w:webHidden/>
              </w:rPr>
              <w:fldChar w:fldCharType="end"/>
            </w:r>
          </w:hyperlink>
        </w:p>
        <w:p w14:paraId="1405F566" w14:textId="77777777" w:rsidR="008303E2" w:rsidRDefault="008303E2">
          <w:pPr>
            <w:pStyle w:val="TOC1"/>
            <w:rPr>
              <w:rFonts w:asciiTheme="minorHAnsi" w:eastAsiaTheme="minorEastAsia" w:hAnsiTheme="minorHAnsi"/>
              <w:b w:val="0"/>
              <w:lang w:eastAsia="en-AU"/>
            </w:rPr>
          </w:pPr>
          <w:hyperlink w:anchor="_Toc469654766" w:history="1">
            <w:r w:rsidRPr="006F0648">
              <w:rPr>
                <w:rStyle w:val="Hyperlink"/>
              </w:rPr>
              <w:t>Appendix B: Review panel biographies</w:t>
            </w:r>
            <w:r>
              <w:rPr>
                <w:webHidden/>
              </w:rPr>
              <w:tab/>
            </w:r>
            <w:r>
              <w:rPr>
                <w:webHidden/>
              </w:rPr>
              <w:fldChar w:fldCharType="begin"/>
            </w:r>
            <w:r>
              <w:rPr>
                <w:webHidden/>
              </w:rPr>
              <w:instrText xml:space="preserve"> PAGEREF _Toc469654766 \h </w:instrText>
            </w:r>
            <w:r>
              <w:rPr>
                <w:webHidden/>
              </w:rPr>
            </w:r>
            <w:r>
              <w:rPr>
                <w:webHidden/>
              </w:rPr>
              <w:fldChar w:fldCharType="separate"/>
            </w:r>
            <w:r>
              <w:rPr>
                <w:webHidden/>
              </w:rPr>
              <w:t>107</w:t>
            </w:r>
            <w:r>
              <w:rPr>
                <w:webHidden/>
              </w:rPr>
              <w:fldChar w:fldCharType="end"/>
            </w:r>
          </w:hyperlink>
        </w:p>
        <w:p w14:paraId="43A3FBCF" w14:textId="77777777" w:rsidR="008303E2" w:rsidRDefault="008303E2">
          <w:pPr>
            <w:pStyle w:val="TOC1"/>
            <w:rPr>
              <w:rFonts w:asciiTheme="minorHAnsi" w:eastAsiaTheme="minorEastAsia" w:hAnsiTheme="minorHAnsi"/>
              <w:b w:val="0"/>
              <w:lang w:eastAsia="en-AU"/>
            </w:rPr>
          </w:pPr>
          <w:hyperlink w:anchor="_Toc469654767" w:history="1">
            <w:r w:rsidRPr="006F0648">
              <w:rPr>
                <w:rStyle w:val="Hyperlink"/>
              </w:rPr>
              <w:t>Appendix C: Public consultation</w:t>
            </w:r>
            <w:r>
              <w:rPr>
                <w:webHidden/>
              </w:rPr>
              <w:tab/>
            </w:r>
            <w:r>
              <w:rPr>
                <w:webHidden/>
              </w:rPr>
              <w:fldChar w:fldCharType="begin"/>
            </w:r>
            <w:r>
              <w:rPr>
                <w:webHidden/>
              </w:rPr>
              <w:instrText xml:space="preserve"> PAGEREF _Toc469654767 \h </w:instrText>
            </w:r>
            <w:r>
              <w:rPr>
                <w:webHidden/>
              </w:rPr>
            </w:r>
            <w:r>
              <w:rPr>
                <w:webHidden/>
              </w:rPr>
              <w:fldChar w:fldCharType="separate"/>
            </w:r>
            <w:r>
              <w:rPr>
                <w:webHidden/>
              </w:rPr>
              <w:t>108</w:t>
            </w:r>
            <w:r>
              <w:rPr>
                <w:webHidden/>
              </w:rPr>
              <w:fldChar w:fldCharType="end"/>
            </w:r>
          </w:hyperlink>
        </w:p>
        <w:p w14:paraId="04FFFF0E" w14:textId="77777777" w:rsidR="008303E2" w:rsidRDefault="008303E2">
          <w:pPr>
            <w:pStyle w:val="TOC1"/>
            <w:rPr>
              <w:rFonts w:asciiTheme="minorHAnsi" w:eastAsiaTheme="minorEastAsia" w:hAnsiTheme="minorHAnsi"/>
              <w:b w:val="0"/>
              <w:lang w:eastAsia="en-AU"/>
            </w:rPr>
          </w:pPr>
          <w:hyperlink w:anchor="_Toc469654768" w:history="1">
            <w:r w:rsidRPr="006F0648">
              <w:rPr>
                <w:rStyle w:val="Hyperlink"/>
              </w:rPr>
              <w:t>Appendix D: Risk Return Resource Allocation model</w:t>
            </w:r>
            <w:r>
              <w:rPr>
                <w:webHidden/>
              </w:rPr>
              <w:tab/>
            </w:r>
            <w:r>
              <w:rPr>
                <w:webHidden/>
              </w:rPr>
              <w:fldChar w:fldCharType="begin"/>
            </w:r>
            <w:r>
              <w:rPr>
                <w:webHidden/>
              </w:rPr>
              <w:instrText xml:space="preserve"> PAGEREF _Toc469654768 \h </w:instrText>
            </w:r>
            <w:r>
              <w:rPr>
                <w:webHidden/>
              </w:rPr>
            </w:r>
            <w:r>
              <w:rPr>
                <w:webHidden/>
              </w:rPr>
              <w:fldChar w:fldCharType="separate"/>
            </w:r>
            <w:r>
              <w:rPr>
                <w:webHidden/>
              </w:rPr>
              <w:t>112</w:t>
            </w:r>
            <w:r>
              <w:rPr>
                <w:webHidden/>
              </w:rPr>
              <w:fldChar w:fldCharType="end"/>
            </w:r>
          </w:hyperlink>
        </w:p>
        <w:p w14:paraId="6BE8812B" w14:textId="77777777" w:rsidR="008303E2" w:rsidRDefault="008303E2">
          <w:pPr>
            <w:pStyle w:val="TOC1"/>
            <w:rPr>
              <w:rFonts w:asciiTheme="minorHAnsi" w:eastAsiaTheme="minorEastAsia" w:hAnsiTheme="minorHAnsi"/>
              <w:b w:val="0"/>
              <w:lang w:eastAsia="en-AU"/>
            </w:rPr>
          </w:pPr>
          <w:hyperlink w:anchor="_Toc469654769" w:history="1">
            <w:r w:rsidRPr="006F0648">
              <w:rPr>
                <w:rStyle w:val="Hyperlink"/>
              </w:rPr>
              <w:t>Appendix E: Biosecurity performance frameworks: national government examples</w:t>
            </w:r>
            <w:r>
              <w:rPr>
                <w:webHidden/>
              </w:rPr>
              <w:tab/>
            </w:r>
            <w:r>
              <w:rPr>
                <w:webHidden/>
              </w:rPr>
              <w:fldChar w:fldCharType="begin"/>
            </w:r>
            <w:r>
              <w:rPr>
                <w:webHidden/>
              </w:rPr>
              <w:instrText xml:space="preserve"> PAGEREF _Toc469654769 \h </w:instrText>
            </w:r>
            <w:r>
              <w:rPr>
                <w:webHidden/>
              </w:rPr>
            </w:r>
            <w:r>
              <w:rPr>
                <w:webHidden/>
              </w:rPr>
              <w:fldChar w:fldCharType="separate"/>
            </w:r>
            <w:r>
              <w:rPr>
                <w:webHidden/>
              </w:rPr>
              <w:t>113</w:t>
            </w:r>
            <w:r>
              <w:rPr>
                <w:webHidden/>
              </w:rPr>
              <w:fldChar w:fldCharType="end"/>
            </w:r>
          </w:hyperlink>
        </w:p>
        <w:p w14:paraId="51B03A98" w14:textId="77777777" w:rsidR="008303E2" w:rsidRDefault="008303E2">
          <w:pPr>
            <w:pStyle w:val="TOC1"/>
            <w:rPr>
              <w:rFonts w:asciiTheme="minorHAnsi" w:eastAsiaTheme="minorEastAsia" w:hAnsiTheme="minorHAnsi"/>
              <w:b w:val="0"/>
              <w:lang w:eastAsia="en-AU"/>
            </w:rPr>
          </w:pPr>
          <w:hyperlink w:anchor="_Toc469654770" w:history="1">
            <w:r w:rsidRPr="006F0648">
              <w:rPr>
                <w:rStyle w:val="Hyperlink"/>
              </w:rPr>
              <w:t>Appendix F: National biosecurity system at a glance</w:t>
            </w:r>
            <w:r>
              <w:rPr>
                <w:webHidden/>
              </w:rPr>
              <w:tab/>
            </w:r>
            <w:r>
              <w:rPr>
                <w:webHidden/>
              </w:rPr>
              <w:fldChar w:fldCharType="begin"/>
            </w:r>
            <w:r>
              <w:rPr>
                <w:webHidden/>
              </w:rPr>
              <w:instrText xml:space="preserve"> PAGEREF _Toc469654770 \h </w:instrText>
            </w:r>
            <w:r>
              <w:rPr>
                <w:webHidden/>
              </w:rPr>
            </w:r>
            <w:r>
              <w:rPr>
                <w:webHidden/>
              </w:rPr>
              <w:fldChar w:fldCharType="separate"/>
            </w:r>
            <w:r>
              <w:rPr>
                <w:webHidden/>
              </w:rPr>
              <w:t>116</w:t>
            </w:r>
            <w:r>
              <w:rPr>
                <w:webHidden/>
              </w:rPr>
              <w:fldChar w:fldCharType="end"/>
            </w:r>
          </w:hyperlink>
        </w:p>
        <w:p w14:paraId="70C4A950" w14:textId="77777777" w:rsidR="008303E2" w:rsidRDefault="008303E2">
          <w:pPr>
            <w:pStyle w:val="TOC1"/>
            <w:rPr>
              <w:rFonts w:asciiTheme="minorHAnsi" w:eastAsiaTheme="minorEastAsia" w:hAnsiTheme="minorHAnsi"/>
              <w:b w:val="0"/>
              <w:lang w:eastAsia="en-AU"/>
            </w:rPr>
          </w:pPr>
          <w:hyperlink w:anchor="_Toc469654771" w:history="1">
            <w:r w:rsidRPr="006F0648">
              <w:rPr>
                <w:rStyle w:val="Hyperlink"/>
              </w:rPr>
              <w:t>Glossary</w:t>
            </w:r>
            <w:r>
              <w:rPr>
                <w:webHidden/>
              </w:rPr>
              <w:tab/>
            </w:r>
            <w:r>
              <w:rPr>
                <w:webHidden/>
              </w:rPr>
              <w:fldChar w:fldCharType="begin"/>
            </w:r>
            <w:r>
              <w:rPr>
                <w:webHidden/>
              </w:rPr>
              <w:instrText xml:space="preserve"> PAGEREF _Toc469654771 \h </w:instrText>
            </w:r>
            <w:r>
              <w:rPr>
                <w:webHidden/>
              </w:rPr>
            </w:r>
            <w:r>
              <w:rPr>
                <w:webHidden/>
              </w:rPr>
              <w:fldChar w:fldCharType="separate"/>
            </w:r>
            <w:r>
              <w:rPr>
                <w:webHidden/>
              </w:rPr>
              <w:t>118</w:t>
            </w:r>
            <w:r>
              <w:rPr>
                <w:webHidden/>
              </w:rPr>
              <w:fldChar w:fldCharType="end"/>
            </w:r>
          </w:hyperlink>
        </w:p>
        <w:p w14:paraId="43A068EF" w14:textId="77777777" w:rsidR="008303E2" w:rsidRDefault="008303E2">
          <w:pPr>
            <w:pStyle w:val="TOC1"/>
            <w:rPr>
              <w:rFonts w:asciiTheme="minorHAnsi" w:eastAsiaTheme="minorEastAsia" w:hAnsiTheme="minorHAnsi"/>
              <w:b w:val="0"/>
              <w:lang w:eastAsia="en-AU"/>
            </w:rPr>
          </w:pPr>
          <w:hyperlink w:anchor="_Toc469654772" w:history="1">
            <w:r w:rsidRPr="006F0648">
              <w:rPr>
                <w:rStyle w:val="Hyperlink"/>
              </w:rPr>
              <w:t>References</w:t>
            </w:r>
            <w:r>
              <w:rPr>
                <w:webHidden/>
              </w:rPr>
              <w:tab/>
            </w:r>
            <w:r>
              <w:rPr>
                <w:webHidden/>
              </w:rPr>
              <w:fldChar w:fldCharType="begin"/>
            </w:r>
            <w:r>
              <w:rPr>
                <w:webHidden/>
              </w:rPr>
              <w:instrText xml:space="preserve"> PAGEREF _Toc469654772 \h </w:instrText>
            </w:r>
            <w:r>
              <w:rPr>
                <w:webHidden/>
              </w:rPr>
            </w:r>
            <w:r>
              <w:rPr>
                <w:webHidden/>
              </w:rPr>
              <w:fldChar w:fldCharType="separate"/>
            </w:r>
            <w:r>
              <w:rPr>
                <w:webHidden/>
              </w:rPr>
              <w:t>119</w:t>
            </w:r>
            <w:r>
              <w:rPr>
                <w:webHidden/>
              </w:rPr>
              <w:fldChar w:fldCharType="end"/>
            </w:r>
          </w:hyperlink>
        </w:p>
        <w:p w14:paraId="6C37F75F" w14:textId="06B59F57" w:rsidR="00A50834" w:rsidRDefault="002A3865" w:rsidP="00442B8C">
          <w:pPr>
            <w:pStyle w:val="TOC1"/>
          </w:pPr>
          <w:r>
            <w:rPr>
              <w:b w:val="0"/>
            </w:rPr>
            <w:fldChar w:fldCharType="end"/>
          </w:r>
        </w:p>
      </w:sdtContent>
    </w:sdt>
    <w:p w14:paraId="79A41302" w14:textId="00AE89A2" w:rsidR="0003507A" w:rsidRDefault="0003507A" w:rsidP="00A50834">
      <w:pPr>
        <w:pStyle w:val="Heading2"/>
        <w:numPr>
          <w:ilvl w:val="0"/>
          <w:numId w:val="0"/>
        </w:numPr>
        <w:ind w:left="709" w:hanging="709"/>
      </w:pPr>
      <w:bookmarkStart w:id="5" w:name="_Toc430782149"/>
      <w:bookmarkStart w:id="6" w:name="_Toc469654718"/>
      <w:r w:rsidRPr="00665BC3">
        <w:lastRenderedPageBreak/>
        <w:t>Summary</w:t>
      </w:r>
      <w:bookmarkEnd w:id="5"/>
      <w:bookmarkEnd w:id="6"/>
    </w:p>
    <w:p w14:paraId="267A246C" w14:textId="4A4431AE" w:rsidR="007009E7" w:rsidRDefault="007009E7" w:rsidP="007009E7">
      <w:r>
        <w:t xml:space="preserve">Australia’s biosecurity system is a trade and economic asset. It underpins $54 billion in agricultural production, $44 billion of agricultural exports and our $38 billion inbound tourism industry. Equally, national biosecurity efforts protect human health and social amenity, and help maintain our </w:t>
      </w:r>
      <w:r w:rsidR="00173FF2">
        <w:t xml:space="preserve">unique, </w:t>
      </w:r>
      <w:r>
        <w:t>biodiverse, natural environments.</w:t>
      </w:r>
    </w:p>
    <w:p w14:paraId="36D3FDE7" w14:textId="500EF5ED" w:rsidR="007009E7" w:rsidRDefault="007009E7" w:rsidP="007009E7">
      <w:r>
        <w:t>Our national system does not exist as a single, physical or legal entity. It is built on ‘shared responsibility’</w:t>
      </w:r>
      <w:r w:rsidR="00FB6285">
        <w:t>—</w:t>
      </w:r>
      <w:r>
        <w:t>the cooperation, investment and actions by all governments, industry bodies, exporters and importers, farmers, min</w:t>
      </w:r>
      <w:r w:rsidR="00173FF2">
        <w:t>ers</w:t>
      </w:r>
      <w:r>
        <w:t>, tourists and the broader community. For governments, the sharing of responsibility occurs through a cooperative partnership under the Intergovernmental Agreement on Biosecurity (IGAB), which was signed by Australia’s then Prime Minister,</w:t>
      </w:r>
      <w:r w:rsidR="006310D2">
        <w:t xml:space="preserve"> Premiers and Chief Ministers (F</w:t>
      </w:r>
      <w:r>
        <w:t xml:space="preserve">irst </w:t>
      </w:r>
      <w:r w:rsidR="006310D2">
        <w:t>M</w:t>
      </w:r>
      <w:r>
        <w:t>inisters) in 2012.</w:t>
      </w:r>
    </w:p>
    <w:p w14:paraId="7DC0695F" w14:textId="20932739" w:rsidR="007009E7" w:rsidRDefault="007009E7" w:rsidP="007009E7">
      <w:r>
        <w:t>The IGAB has</w:t>
      </w:r>
      <w:r w:rsidR="00173FF2">
        <w:t xml:space="preserve"> </w:t>
      </w:r>
      <w:r w:rsidR="00173FF2" w:rsidRPr="00173FF2">
        <w:t>created a framework for governments to coordinate and identify priority areas of reform and action to</w:t>
      </w:r>
      <w:r>
        <w:t xml:space="preserve"> build a stronger and more effective national biosecurity</w:t>
      </w:r>
      <w:r w:rsidR="00173FF2">
        <w:t xml:space="preserve"> system</w:t>
      </w:r>
      <w:r>
        <w:t>. The IGAB was an important step for governments, recognising the value of strengthening and institutionalising intergovernmental relationships</w:t>
      </w:r>
      <w:r w:rsidR="004D119C">
        <w:t xml:space="preserve">, and building </w:t>
      </w:r>
      <w:r w:rsidR="008C057D">
        <w:t>on the previous memoranda of understanding between Australia’s governments</w:t>
      </w:r>
      <w:r>
        <w:t>. Th</w:t>
      </w:r>
      <w:r w:rsidR="00173FF2">
        <w:t>is</w:t>
      </w:r>
      <w:r>
        <w:t xml:space="preserve"> Review</w:t>
      </w:r>
      <w:r w:rsidR="00173FF2">
        <w:t xml:space="preserve"> of the first IGAB (IGAB1)</w:t>
      </w:r>
      <w:r>
        <w:t xml:space="preserve"> recognises </w:t>
      </w:r>
      <w:r w:rsidR="00173FF2">
        <w:t xml:space="preserve">its </w:t>
      </w:r>
      <w:r>
        <w:t>significant achievements, including a strong and healthy working partnership between all governments and the development of sound national policy principles and frameworks for a</w:t>
      </w:r>
      <w:r w:rsidR="008C057D">
        <w:t>n effective and</w:t>
      </w:r>
      <w:r>
        <w:t xml:space="preserve"> well-regarded system.</w:t>
      </w:r>
    </w:p>
    <w:p w14:paraId="59975546" w14:textId="7FB4D380" w:rsidR="007009E7" w:rsidRDefault="007009E7" w:rsidP="007009E7">
      <w:r>
        <w:t xml:space="preserve">Nevertheless, the challenges facing stewardship of the national biosecurity system continue to build. Biosecurity risks are </w:t>
      </w:r>
      <w:r w:rsidR="00173FF2">
        <w:t>grow</w:t>
      </w:r>
      <w:r>
        <w:t>ing due to increased global trade and travel, increased agricultural expansion and intensification, increased urbanisation close to farmlands, and other factors such as climate change. A tight fiscal environment for governments has placed significant pressure on biosecurity budgets and the ongoing capacity of jurisdictions to meet their biosecurity commitments. Biosecurity stakeholders want a greater say in decision-making about the national system, greater alignment of biosecurity and market access efforts, more efficient delivery of government biosecurity services, and stronger arrangements for environmental biosecurity, among other</w:t>
      </w:r>
      <w:r w:rsidR="00173FF2">
        <w:t xml:space="preserve"> things</w:t>
      </w:r>
      <w:r w:rsidR="00132493">
        <w:t>.</w:t>
      </w:r>
    </w:p>
    <w:p w14:paraId="1DAF50B3" w14:textId="27A0E2F2" w:rsidR="007009E7" w:rsidRDefault="007009E7" w:rsidP="007009E7">
      <w:r>
        <w:t xml:space="preserve">Australia’s biosecurity system must remain strong and focussed, and build national capability and capacity to address future challenges. The Review Panel’s </w:t>
      </w:r>
      <w:r w:rsidR="00901F65">
        <w:t>D</w:t>
      </w:r>
      <w:r>
        <w:t xml:space="preserve">raft </w:t>
      </w:r>
      <w:r w:rsidR="00901F65">
        <w:t>R</w:t>
      </w:r>
      <w:r>
        <w:t xml:space="preserve">eport sets </w:t>
      </w:r>
      <w:r w:rsidRPr="005276D7">
        <w:t xml:space="preserve">out </w:t>
      </w:r>
      <w:r w:rsidR="00203CD4" w:rsidRPr="008C057D">
        <w:t>4</w:t>
      </w:r>
      <w:r w:rsidR="006E173E">
        <w:t>0</w:t>
      </w:r>
      <w:r w:rsidRPr="005276D7">
        <w:t xml:space="preserve"> draft</w:t>
      </w:r>
      <w:r>
        <w:t xml:space="preserve"> recommendations aimed at strengthening the national biosecurity system over the next five-year period, to be advanced by governments, industry and other parties, including under a refreshed intergovernmental agreement (IGAB2).</w:t>
      </w:r>
    </w:p>
    <w:p w14:paraId="69B79693" w14:textId="77777777" w:rsidR="007009E7" w:rsidRPr="002679F1" w:rsidRDefault="007009E7" w:rsidP="007009E7">
      <w:pPr>
        <w:rPr>
          <w:rStyle w:val="Strong"/>
        </w:rPr>
      </w:pPr>
      <w:r w:rsidRPr="002679F1">
        <w:rPr>
          <w:rStyle w:val="Strong"/>
        </w:rPr>
        <w:t>Key focus areas</w:t>
      </w:r>
    </w:p>
    <w:p w14:paraId="43188468" w14:textId="6B1E4280" w:rsidR="007009E7" w:rsidRDefault="007009E7" w:rsidP="007009E7">
      <w:r>
        <w:t xml:space="preserve">The central theme of this Review, flowing through many of the draft recommendations, is that governments and industry/community should adopt a systematic approach to determining and planning for national priority animal, plant and environmental pests and diseases. Essentially, this involves building the national system from the ground up: pest by pest, disease by disease. </w:t>
      </w:r>
      <w:r w:rsidR="008C057D">
        <w:t xml:space="preserve">It </w:t>
      </w:r>
      <w:r w:rsidR="004D119C">
        <w:t>will</w:t>
      </w:r>
      <w:r w:rsidR="008C057D">
        <w:t xml:space="preserve"> not </w:t>
      </w:r>
      <w:r w:rsidR="004D119C">
        <w:t xml:space="preserve">be </w:t>
      </w:r>
      <w:r w:rsidR="008C057D">
        <w:t xml:space="preserve">possible to individually address the vast array of pests and pathogens, particularly those affecting plants, so the national system must also embrace some generic inspection and treatment practices to manage classes of pests. This is consistent with the purpose and intent of </w:t>
      </w:r>
      <w:r w:rsidR="008C057D">
        <w:lastRenderedPageBreak/>
        <w:t xml:space="preserve">international standard development and harmonisation of risk management procedures. </w:t>
      </w:r>
      <w:r>
        <w:t xml:space="preserve">Some work to prioritise national biosecurity risks has already occurred, or is underway, but this </w:t>
      </w:r>
      <w:r w:rsidR="00173FF2" w:rsidRPr="00173FF2">
        <w:t xml:space="preserve">process does not appear to be standardised, </w:t>
      </w:r>
      <w:r>
        <w:t>i</w:t>
      </w:r>
      <w:r w:rsidR="00FB6285">
        <w:t>s in</w:t>
      </w:r>
      <w:r>
        <w:t>complete</w:t>
      </w:r>
      <w:r w:rsidR="00173FF2">
        <w:t xml:space="preserve"> </w:t>
      </w:r>
      <w:r>
        <w:t>and far from comprehensive. Th</w:t>
      </w:r>
      <w:r w:rsidR="00173FF2">
        <w:t>is</w:t>
      </w:r>
      <w:r>
        <w:t xml:space="preserve"> Review proposes a specific process to profile and plan for each national priority pest and disease, inclusive of the parties involved and funding required. This approach will allow for the ‘rolling-up’ or ‘the sum’ of the various components of the national system to provide national perspectives of system elements such as </w:t>
      </w:r>
      <w:r w:rsidR="00173FF2">
        <w:t>pre</w:t>
      </w:r>
      <w:r w:rsidR="00CC6921">
        <w:t>-</w:t>
      </w:r>
      <w:r w:rsidR="00173FF2">
        <w:t xml:space="preserve">border activity </w:t>
      </w:r>
      <w:r>
        <w:t xml:space="preserve">surveillance, response, </w:t>
      </w:r>
      <w:r w:rsidR="00967177">
        <w:t xml:space="preserve">and </w:t>
      </w:r>
      <w:r>
        <w:t>research and development. Only then can effective national strategies be developed, costed and effectively actioned</w:t>
      </w:r>
      <w:r w:rsidR="00173FF2">
        <w:t xml:space="preserve"> </w:t>
      </w:r>
      <w:r w:rsidR="00173FF2" w:rsidRPr="00173FF2">
        <w:t>using the principles developed under IGAB1</w:t>
      </w:r>
      <w:r>
        <w:t>.</w:t>
      </w:r>
    </w:p>
    <w:p w14:paraId="1E9C5F0D" w14:textId="3713E47A" w:rsidR="007009E7" w:rsidRDefault="007009E7" w:rsidP="007009E7">
      <w:r>
        <w:t>The appropriate level of funding required</w:t>
      </w:r>
      <w:r w:rsidR="00FB6285">
        <w:t>—</w:t>
      </w:r>
      <w:r>
        <w:t>or ‘how much is enough’</w:t>
      </w:r>
      <w:r w:rsidR="00FB6285">
        <w:t>—</w:t>
      </w:r>
      <w:r>
        <w:t xml:space="preserve">to operate the national </w:t>
      </w:r>
      <w:r w:rsidR="00B77D2E">
        <w:t xml:space="preserve">biosecurity </w:t>
      </w:r>
      <w:r>
        <w:t>system will not be clear until the suite of high-priority pest</w:t>
      </w:r>
      <w:r w:rsidR="00977921">
        <w:t>s</w:t>
      </w:r>
      <w:r>
        <w:t xml:space="preserve"> and diseases and their biosecurity requirements have been agreed and </w:t>
      </w:r>
      <w:r w:rsidR="00152724">
        <w:t>worked through</w:t>
      </w:r>
      <w:r>
        <w:t xml:space="preserve">, including with key industry and community players. </w:t>
      </w:r>
      <w:r w:rsidR="0098052D" w:rsidRPr="0098052D">
        <w:t>However, there is little doubt that implementation of th</w:t>
      </w:r>
      <w:r w:rsidR="00FF4404">
        <w:t>is</w:t>
      </w:r>
      <w:r w:rsidR="004E7C1F">
        <w:t xml:space="preserve"> Review’s</w:t>
      </w:r>
      <w:r w:rsidR="0098052D" w:rsidRPr="0098052D">
        <w:t xml:space="preserve"> </w:t>
      </w:r>
      <w:r w:rsidR="00B33488">
        <w:t xml:space="preserve">draft </w:t>
      </w:r>
      <w:r w:rsidR="0098052D" w:rsidRPr="009D5D5F">
        <w:t>recommendations will increase</w:t>
      </w:r>
      <w:r w:rsidR="0098052D" w:rsidRPr="0098052D">
        <w:t xml:space="preserve"> the cost of the </w:t>
      </w:r>
      <w:r w:rsidR="004E7C1F">
        <w:t>national</w:t>
      </w:r>
      <w:r w:rsidR="0098052D" w:rsidRPr="0098052D">
        <w:t xml:space="preserve"> system.</w:t>
      </w:r>
      <w:r w:rsidR="0098052D">
        <w:t xml:space="preserve"> </w:t>
      </w:r>
      <w:r>
        <w:t xml:space="preserve">While resourcing the national system will remain a key challenge, </w:t>
      </w:r>
      <w:r w:rsidR="0098052D">
        <w:t>this increased cost needs to be balanced against the cost of no additional action. G</w:t>
      </w:r>
      <w:r>
        <w:t xml:space="preserve">overnments </w:t>
      </w:r>
      <w:r w:rsidR="0098052D">
        <w:t>do</w:t>
      </w:r>
      <w:r w:rsidR="00097C66">
        <w:t xml:space="preserve"> </w:t>
      </w:r>
      <w:r>
        <w:t xml:space="preserve">have some options available to provide a more sustainable funding base, including reviewing their own cost recovery arrangements and the potential </w:t>
      </w:r>
      <w:r w:rsidR="00B33488">
        <w:t xml:space="preserve">for </w:t>
      </w:r>
      <w:r>
        <w:t>property-based levies to contribute further to funding the national system. Governments have agreed sound national investment principles and frameworks under the IGAB</w:t>
      </w:r>
      <w:r w:rsidR="00FB6285">
        <w:t>—</w:t>
      </w:r>
      <w:r>
        <w:t>the challenge is building support within governments and with industry for implementation.</w:t>
      </w:r>
    </w:p>
    <w:p w14:paraId="6FF74452" w14:textId="55519F3E" w:rsidR="007009E7" w:rsidRDefault="007009E7" w:rsidP="007009E7">
      <w:r>
        <w:t>Research and innovation (R&amp;I) underpins Australia's science-based approach to biosecurity, but targeted investments in technological innovations can also help reduce the cost of typically high-cost activities, such as surveillance. Current arrangements do</w:t>
      </w:r>
      <w:r w:rsidR="00CC6921">
        <w:t xml:space="preserve"> </w:t>
      </w:r>
      <w:r>
        <w:t>n</w:t>
      </w:r>
      <w:r w:rsidR="00CC6921">
        <w:t>o</w:t>
      </w:r>
      <w:r>
        <w:t xml:space="preserve">t optimise these outcomes. </w:t>
      </w:r>
      <w:r w:rsidR="00276BC8">
        <w:t xml:space="preserve">Clear </w:t>
      </w:r>
      <w:r>
        <w:t xml:space="preserve">national biosecurity R&amp;I priorities are needed to focus investment and a </w:t>
      </w:r>
      <w:r w:rsidRPr="009D5D5F">
        <w:t>new biosecurity R&amp;I</w:t>
      </w:r>
      <w:r>
        <w:t xml:space="preserve"> entity is needed to provide the coordination necessary to drive cross-sectoral research</w:t>
      </w:r>
      <w:r w:rsidR="00173FF2">
        <w:t>,</w:t>
      </w:r>
      <w:r>
        <w:t xml:space="preserve"> technological developments</w:t>
      </w:r>
      <w:r w:rsidR="00173FF2">
        <w:t xml:space="preserve"> and behavioural change</w:t>
      </w:r>
      <w:r>
        <w:t>.</w:t>
      </w:r>
    </w:p>
    <w:p w14:paraId="7C04EC61" w14:textId="0C5CEE68" w:rsidR="007009E7" w:rsidRDefault="007009E7" w:rsidP="007009E7">
      <w:r>
        <w:t>Th</w:t>
      </w:r>
      <w:r w:rsidR="00173FF2">
        <w:t>is</w:t>
      </w:r>
      <w:r>
        <w:t xml:space="preserve"> Review has found the foundation principle of 'shared responsibility' is not clearly understood</w:t>
      </w:r>
      <w:r w:rsidR="00173FF2">
        <w:t>, agreed</w:t>
      </w:r>
      <w:r>
        <w:t xml:space="preserve"> or broadly accepted across the national system. Similarly, the roles and responsibilities of participants are not well defined or agreed. Agreeing roles and responsibilities will be an important first step in realising shared responsibility. To that end, th</w:t>
      </w:r>
      <w:r w:rsidR="00AD38F7">
        <w:t>is</w:t>
      </w:r>
      <w:r>
        <w:t xml:space="preserve"> Review has proposed that </w:t>
      </w:r>
      <w:r w:rsidR="00CC6921">
        <w:t>a</w:t>
      </w:r>
      <w:r>
        <w:t xml:space="preserve"> National Statement of Intent could outline a common and unifying approach to biosecuri</w:t>
      </w:r>
      <w:r w:rsidR="004E37BF">
        <w:t>ty for all system participants.</w:t>
      </w:r>
    </w:p>
    <w:p w14:paraId="63ED4956" w14:textId="5B88D4E5" w:rsidR="007009E7" w:rsidRDefault="007009E7" w:rsidP="007009E7">
      <w:r>
        <w:t>One of the strongest areas of debate during the course of th</w:t>
      </w:r>
      <w:r w:rsidR="0056569E">
        <w:t>is</w:t>
      </w:r>
      <w:r>
        <w:t xml:space="preserve"> Review concerned the adequacy of the national system in addressing biosecurity risks impacting biodiversity and the environment. Incursions of exotic organisms harmful to Australia's environment</w:t>
      </w:r>
      <w:r w:rsidR="00173FF2">
        <w:t xml:space="preserve"> and community amenity</w:t>
      </w:r>
      <w:r>
        <w:t xml:space="preserve"> are a regular occurrence and have been the focus of recent incursions and emergency responses, but national environmental pest and disease risks are yet to be systematically identified, prioritised and planned for. Environmental</w:t>
      </w:r>
      <w:r w:rsidR="00173FF2">
        <w:t xml:space="preserve"> biosecurity</w:t>
      </w:r>
      <w:r>
        <w:t xml:space="preserve"> considerations should be comparable to human health and primary production, and national arrangements need to be explicitly developed to address environmental risks. Environment </w:t>
      </w:r>
      <w:r w:rsidR="00BC75DE">
        <w:t>agencies</w:t>
      </w:r>
      <w:r>
        <w:t xml:space="preserve"> must play a far stronger and direct role in development of national biosecurity policy</w:t>
      </w:r>
      <w:r w:rsidR="00D36278">
        <w:t xml:space="preserve"> and in response arrangements, particularly in those situations where the primary impact of a newly introduced pest is environmental</w:t>
      </w:r>
      <w:r>
        <w:t>.</w:t>
      </w:r>
    </w:p>
    <w:p w14:paraId="21234B13" w14:textId="58ADC078" w:rsidR="00AD38F7" w:rsidRDefault="00AD38F7" w:rsidP="007009E7">
      <w:r w:rsidRPr="00AD38F7">
        <w:lastRenderedPageBreak/>
        <w:t>Understanding, by governments</w:t>
      </w:r>
      <w:r w:rsidR="00536131">
        <w:t>, industry</w:t>
      </w:r>
      <w:r w:rsidRPr="00AD38F7">
        <w:t xml:space="preserve"> and the community, of Australia’s progress and success in dealing with biosecurity matters is another </w:t>
      </w:r>
      <w:r w:rsidR="00CC6921">
        <w:t>area of focus. T</w:t>
      </w:r>
      <w:r w:rsidRPr="00AD38F7">
        <w:t xml:space="preserve">he </w:t>
      </w:r>
      <w:r w:rsidR="00CC6921">
        <w:t xml:space="preserve">Review </w:t>
      </w:r>
      <w:r w:rsidRPr="00AD38F7">
        <w:t>Panel has recommended a number of actions to enhance reporting, including to the public, on the biosecurity system and the contributions of governments and industry.</w:t>
      </w:r>
    </w:p>
    <w:p w14:paraId="6203E1C8" w14:textId="7601674A" w:rsidR="008D6DFD" w:rsidRDefault="007009E7" w:rsidP="007009E7">
      <w:r>
        <w:t xml:space="preserve">The </w:t>
      </w:r>
      <w:r w:rsidR="001B4322">
        <w:t xml:space="preserve">Review </w:t>
      </w:r>
      <w:r>
        <w:t xml:space="preserve">Panel has concluded that a refreshed agreement between Australia’s governments is appropriate and necessary to ensure robust national biosecurity arrangements into the future. The Panel has </w:t>
      </w:r>
      <w:r w:rsidRPr="00683BE0">
        <w:t xml:space="preserve">proposed </w:t>
      </w:r>
      <w:r w:rsidR="005F71C4">
        <w:t>three</w:t>
      </w:r>
      <w:r w:rsidRPr="00683BE0">
        <w:t xml:space="preserve"> priority reform areas</w:t>
      </w:r>
      <w:r w:rsidR="005F71C4">
        <w:t xml:space="preserve"> and associated programs of work</w:t>
      </w:r>
      <w:r w:rsidRPr="00683BE0">
        <w:t xml:space="preserve"> to be delivered under a new, streamli</w:t>
      </w:r>
      <w:r w:rsidR="00683BE0">
        <w:t xml:space="preserve">ned intergovernmental agreement, which are </w:t>
      </w:r>
      <w:r w:rsidR="005F71C4">
        <w:t>detailed</w:t>
      </w:r>
      <w:r w:rsidR="00683BE0">
        <w:t xml:space="preserve"> below</w:t>
      </w:r>
      <w:r w:rsidRPr="00683BE0">
        <w:t>. IGAB1</w:t>
      </w:r>
      <w:r>
        <w:t xml:space="preserve"> was a significant, foundation agreement for government cooperation and collaboration. IGAB2 and subsequent agreements should </w:t>
      </w:r>
      <w:r w:rsidR="00AD38F7">
        <w:t xml:space="preserve">build on achievements to date, and </w:t>
      </w:r>
      <w:r>
        <w:t xml:space="preserve">demonstrate a measured and deliberate advancement in the commitments and achievements of jurisdictions. While the IGAB should remain a government agreement, its governance structures should provide the National Biosecurity Committee </w:t>
      </w:r>
      <w:r w:rsidR="0037184B">
        <w:t xml:space="preserve">(NBC) </w:t>
      </w:r>
      <w:r>
        <w:t>with greater autonomy, and industry and community with a stronger role and voice in further developing the national sy</w:t>
      </w:r>
      <w:r w:rsidR="006310D2">
        <w:t>stem. Finally and importantly, F</w:t>
      </w:r>
      <w:r>
        <w:t xml:space="preserve">irst </w:t>
      </w:r>
      <w:r w:rsidR="006310D2">
        <w:t>M</w:t>
      </w:r>
      <w:r>
        <w:t>inisters, should continue to authorise a strong whole-of-government mandate for jurisdictions to advance the national biosecurity agenda.</w:t>
      </w:r>
    </w:p>
    <w:p w14:paraId="49F9933E" w14:textId="4FAAE0D6" w:rsidR="005F71C4" w:rsidRPr="00D36278" w:rsidRDefault="000C703F" w:rsidP="007668BC">
      <w:pPr>
        <w:rPr>
          <w:rStyle w:val="Strong"/>
        </w:rPr>
      </w:pPr>
      <w:r w:rsidRPr="007D292C">
        <w:rPr>
          <w:rStyle w:val="Strong"/>
        </w:rPr>
        <w:t>Proposed p</w:t>
      </w:r>
      <w:r w:rsidR="00A73FE0" w:rsidRPr="007D292C">
        <w:rPr>
          <w:rStyle w:val="Strong"/>
        </w:rPr>
        <w:t>riority reform areas</w:t>
      </w:r>
      <w:r w:rsidR="00D36278" w:rsidRPr="007D292C">
        <w:rPr>
          <w:rStyle w:val="Strong"/>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Proposed priority reform areas for the IGAB2"/>
      </w:tblPr>
      <w:tblGrid>
        <w:gridCol w:w="3020"/>
        <w:gridCol w:w="3020"/>
        <w:gridCol w:w="3020"/>
      </w:tblGrid>
      <w:tr w:rsidR="008D6DFD" w:rsidRPr="005F71C4" w14:paraId="50989ED5" w14:textId="77777777" w:rsidTr="005276D7">
        <w:trPr>
          <w:tblHeader/>
        </w:trPr>
        <w:tc>
          <w:tcPr>
            <w:tcW w:w="3020" w:type="dxa"/>
          </w:tcPr>
          <w:p w14:paraId="06928659" w14:textId="3C00B16A" w:rsidR="008D6DFD" w:rsidRPr="005F71C4" w:rsidRDefault="00A16522" w:rsidP="005276D7">
            <w:pPr>
              <w:pStyle w:val="TableHeading"/>
              <w:keepNext w:val="0"/>
              <w:widowControl w:val="0"/>
              <w:rPr>
                <w:sz w:val="22"/>
              </w:rPr>
            </w:pPr>
            <w:r>
              <w:rPr>
                <w:sz w:val="22"/>
              </w:rPr>
              <w:t>Reform areas</w:t>
            </w:r>
          </w:p>
        </w:tc>
        <w:tc>
          <w:tcPr>
            <w:tcW w:w="3020" w:type="dxa"/>
          </w:tcPr>
          <w:p w14:paraId="3E38A91F" w14:textId="2E78ED8F" w:rsidR="008D6DFD" w:rsidRPr="005F71C4" w:rsidRDefault="008D6DFD" w:rsidP="005276D7">
            <w:pPr>
              <w:pStyle w:val="TableHeading"/>
              <w:keepNext w:val="0"/>
              <w:widowControl w:val="0"/>
              <w:rPr>
                <w:sz w:val="22"/>
              </w:rPr>
            </w:pPr>
            <w:r w:rsidRPr="005F71C4">
              <w:rPr>
                <w:sz w:val="22"/>
              </w:rPr>
              <w:t>Outcomes</w:t>
            </w:r>
          </w:p>
        </w:tc>
        <w:tc>
          <w:tcPr>
            <w:tcW w:w="3020" w:type="dxa"/>
          </w:tcPr>
          <w:p w14:paraId="1EBCEB39" w14:textId="77777777" w:rsidR="008D6DFD" w:rsidRPr="005F71C4" w:rsidRDefault="005F71C4" w:rsidP="005276D7">
            <w:pPr>
              <w:pStyle w:val="TableHeading"/>
              <w:keepNext w:val="0"/>
              <w:widowControl w:val="0"/>
              <w:rPr>
                <w:sz w:val="22"/>
              </w:rPr>
            </w:pPr>
            <w:r w:rsidRPr="005F71C4">
              <w:rPr>
                <w:sz w:val="22"/>
              </w:rPr>
              <w:t>NBC w</w:t>
            </w:r>
            <w:r w:rsidR="008D6DFD" w:rsidRPr="005F71C4">
              <w:rPr>
                <w:sz w:val="22"/>
              </w:rPr>
              <w:t>ork program and outputs</w:t>
            </w:r>
          </w:p>
        </w:tc>
      </w:tr>
      <w:tr w:rsidR="008D6DFD" w:rsidRPr="00391019" w14:paraId="01D26FC7" w14:textId="77777777" w:rsidTr="005276D7">
        <w:tc>
          <w:tcPr>
            <w:tcW w:w="3020" w:type="dxa"/>
          </w:tcPr>
          <w:p w14:paraId="0A1222E8" w14:textId="51EE2C3D" w:rsidR="008D6DFD" w:rsidRPr="00391019" w:rsidRDefault="004F46DA" w:rsidP="005276D7">
            <w:pPr>
              <w:pStyle w:val="TableHeading"/>
              <w:keepNext w:val="0"/>
              <w:widowControl w:val="0"/>
            </w:pPr>
            <w:r>
              <w:t>1. Governance and s</w:t>
            </w:r>
            <w:r w:rsidR="008D6DFD" w:rsidRPr="00391019">
              <w:t>trategy</w:t>
            </w:r>
          </w:p>
        </w:tc>
        <w:tc>
          <w:tcPr>
            <w:tcW w:w="3020" w:type="dxa"/>
          </w:tcPr>
          <w:p w14:paraId="74D1C35E" w14:textId="77777777" w:rsidR="008D6DFD" w:rsidRDefault="008D6DFD" w:rsidP="005276D7">
            <w:pPr>
              <w:pStyle w:val="TableText"/>
              <w:widowControl w:val="0"/>
            </w:pPr>
            <w:r w:rsidRPr="00391019">
              <w:t>A unified strategic framework for the national biosecurity system</w:t>
            </w:r>
          </w:p>
          <w:p w14:paraId="2E40E9FB" w14:textId="77777777" w:rsidR="008D6DFD" w:rsidRDefault="008D6DFD" w:rsidP="005276D7">
            <w:pPr>
              <w:pStyle w:val="TableText"/>
              <w:widowControl w:val="0"/>
            </w:pPr>
            <w:r w:rsidRPr="00391019">
              <w:t>Improved governance of the national system</w:t>
            </w:r>
          </w:p>
          <w:p w14:paraId="0B5D0D57" w14:textId="5B4E31E1" w:rsidR="008D6DFD" w:rsidRPr="00391019" w:rsidRDefault="008D6DFD" w:rsidP="00A95C4A">
            <w:pPr>
              <w:pStyle w:val="TableText"/>
              <w:widowControl w:val="0"/>
            </w:pPr>
            <w:r w:rsidRPr="00391019">
              <w:t>A consistent approach to biosecurity risk prioritisation and investment across the system (for animal, plant and environmental streams)</w:t>
            </w:r>
          </w:p>
        </w:tc>
        <w:tc>
          <w:tcPr>
            <w:tcW w:w="3020" w:type="dxa"/>
          </w:tcPr>
          <w:p w14:paraId="0BD57D34" w14:textId="77777777" w:rsidR="008D6DFD" w:rsidRDefault="008D6DFD" w:rsidP="005276D7">
            <w:pPr>
              <w:pStyle w:val="TableText"/>
              <w:widowControl w:val="0"/>
            </w:pPr>
            <w:r w:rsidRPr="00391019">
              <w:t>Agreed roles and responsibilities for all system participants</w:t>
            </w:r>
          </w:p>
          <w:p w14:paraId="1830E904" w14:textId="77777777" w:rsidR="008D6DFD" w:rsidRDefault="008D6DFD" w:rsidP="005276D7">
            <w:pPr>
              <w:pStyle w:val="TableText"/>
              <w:widowControl w:val="0"/>
            </w:pPr>
            <w:r w:rsidRPr="00391019">
              <w:t>A National Statement of Intent, developed in collaboration with key system participants</w:t>
            </w:r>
          </w:p>
          <w:p w14:paraId="27680FFA" w14:textId="77777777" w:rsidR="008D6DFD" w:rsidRDefault="008D6DFD" w:rsidP="005276D7">
            <w:pPr>
              <w:pStyle w:val="TableText"/>
              <w:widowControl w:val="0"/>
            </w:pPr>
            <w:r w:rsidRPr="00391019">
              <w:t>A new, streamlined IGAB (IGAB2)</w:t>
            </w:r>
          </w:p>
          <w:p w14:paraId="5E39B546" w14:textId="77777777" w:rsidR="008D6DFD" w:rsidRDefault="008D6DFD" w:rsidP="005276D7">
            <w:pPr>
              <w:pStyle w:val="TableText"/>
              <w:widowControl w:val="0"/>
            </w:pPr>
            <w:r w:rsidRPr="00391019">
              <w:t>Formalised whole-of-government biosecurity arrangements within all jurisdictions, including through memoranda of understanding</w:t>
            </w:r>
          </w:p>
          <w:p w14:paraId="66EC14E5" w14:textId="77777777" w:rsidR="008D6DFD" w:rsidRDefault="008D6DFD" w:rsidP="005276D7">
            <w:pPr>
              <w:pStyle w:val="TableText"/>
              <w:widowControl w:val="0"/>
            </w:pPr>
            <w:r w:rsidRPr="00391019">
              <w:t>Defined core commitments for jurisdictions under the national system</w:t>
            </w:r>
          </w:p>
          <w:p w14:paraId="09EA8690" w14:textId="6B537C04" w:rsidR="008D6DFD" w:rsidRDefault="008D6DFD" w:rsidP="005276D7">
            <w:pPr>
              <w:pStyle w:val="TableText"/>
              <w:widowControl w:val="0"/>
            </w:pPr>
            <w:r w:rsidRPr="00391019">
              <w:t>A stronger NBC and revised sub-committee structure, including a</w:t>
            </w:r>
            <w:r w:rsidR="00B1557B">
              <w:t xml:space="preserve">n Industry and Community </w:t>
            </w:r>
            <w:r w:rsidRPr="00391019">
              <w:t>Advisory Committee, a Chief Environmental Biosecurity Officer, and Environmental Biosecurity Committee</w:t>
            </w:r>
          </w:p>
          <w:p w14:paraId="0538EEF9" w14:textId="77777777" w:rsidR="008D6DFD" w:rsidRDefault="008D6DFD" w:rsidP="005276D7">
            <w:pPr>
              <w:pStyle w:val="TableText"/>
              <w:widowControl w:val="0"/>
            </w:pPr>
            <w:r w:rsidRPr="00391019">
              <w:t>A revised National Framework for Cost-Sharing Biosecurity Activities</w:t>
            </w:r>
          </w:p>
          <w:p w14:paraId="743483D2" w14:textId="77777777" w:rsidR="008D6DFD" w:rsidRDefault="008D6DFD" w:rsidP="005276D7">
            <w:pPr>
              <w:pStyle w:val="TableText"/>
              <w:widowControl w:val="0"/>
            </w:pPr>
            <w:r w:rsidRPr="00391019">
              <w:t>National investment strategy</w:t>
            </w:r>
          </w:p>
          <w:p w14:paraId="1DB2066D" w14:textId="77777777" w:rsidR="008D6DFD" w:rsidRDefault="008D6DFD" w:rsidP="005276D7">
            <w:pPr>
              <w:pStyle w:val="TableText"/>
              <w:widowControl w:val="0"/>
            </w:pPr>
            <w:r w:rsidRPr="00391019">
              <w:t>National biosecurity research and innovation priorities</w:t>
            </w:r>
          </w:p>
          <w:p w14:paraId="51AD563E" w14:textId="77777777" w:rsidR="008D6DFD" w:rsidRPr="00391019" w:rsidRDefault="008D6DFD" w:rsidP="005276D7">
            <w:pPr>
              <w:pStyle w:val="TableText"/>
              <w:widowControl w:val="0"/>
            </w:pPr>
            <w:r w:rsidRPr="00391019">
              <w:t>Agreed uniform and fully inclusive categories of funding activity</w:t>
            </w:r>
          </w:p>
        </w:tc>
      </w:tr>
      <w:tr w:rsidR="008D6DFD" w:rsidRPr="00391019" w14:paraId="13DAF497" w14:textId="77777777" w:rsidTr="005276D7">
        <w:tc>
          <w:tcPr>
            <w:tcW w:w="3020" w:type="dxa"/>
          </w:tcPr>
          <w:p w14:paraId="0116E450" w14:textId="77777777" w:rsidR="008D6DFD" w:rsidRPr="00391019" w:rsidRDefault="008D6DFD" w:rsidP="005276D7">
            <w:pPr>
              <w:pStyle w:val="TableHeading"/>
              <w:keepNext w:val="0"/>
              <w:widowControl w:val="0"/>
            </w:pPr>
            <w:r w:rsidRPr="00391019">
              <w:t>2. National priority pests and diseases</w:t>
            </w:r>
          </w:p>
        </w:tc>
        <w:tc>
          <w:tcPr>
            <w:tcW w:w="3020" w:type="dxa"/>
          </w:tcPr>
          <w:p w14:paraId="66417B53" w14:textId="77777777" w:rsidR="008D6DFD" w:rsidRDefault="008D6DFD" w:rsidP="005276D7">
            <w:pPr>
              <w:pStyle w:val="TableText"/>
              <w:widowControl w:val="0"/>
            </w:pPr>
            <w:r w:rsidRPr="00391019">
              <w:t>Identification of national priority pests and diseases (animal, plant, environmental)</w:t>
            </w:r>
          </w:p>
          <w:p w14:paraId="7924FAB5" w14:textId="77777777" w:rsidR="008D6DFD" w:rsidRDefault="008D6DFD" w:rsidP="005276D7">
            <w:pPr>
              <w:pStyle w:val="TableText"/>
              <w:widowControl w:val="0"/>
            </w:pPr>
            <w:r w:rsidRPr="00391019">
              <w:t xml:space="preserve">Identification of prevention, emergency preparedness and </w:t>
            </w:r>
            <w:r w:rsidRPr="00391019">
              <w:lastRenderedPageBreak/>
              <w:t>response requirements and responsibilities</w:t>
            </w:r>
          </w:p>
          <w:p w14:paraId="1AB2DD81" w14:textId="77777777" w:rsidR="008D6DFD" w:rsidRDefault="008D6DFD" w:rsidP="005276D7">
            <w:pPr>
              <w:pStyle w:val="TableText"/>
              <w:widowControl w:val="0"/>
            </w:pPr>
            <w:r w:rsidRPr="00391019">
              <w:t>Early detection and accurate, timely diagnosis of national priority pests and diseases</w:t>
            </w:r>
          </w:p>
          <w:p w14:paraId="5AE85921" w14:textId="77777777" w:rsidR="008D6DFD" w:rsidRDefault="008D6DFD" w:rsidP="005276D7">
            <w:pPr>
              <w:pStyle w:val="TableText"/>
              <w:widowControl w:val="0"/>
            </w:pPr>
            <w:r w:rsidRPr="00391019">
              <w:t>Demonstration of Australia’s pest and disease status for market access</w:t>
            </w:r>
          </w:p>
          <w:p w14:paraId="11F85F64" w14:textId="703E4822" w:rsidR="008D6DFD" w:rsidRPr="00391019" w:rsidRDefault="008D6DFD" w:rsidP="005276D7">
            <w:pPr>
              <w:pStyle w:val="TableText"/>
              <w:widowControl w:val="0"/>
            </w:pPr>
            <w:r>
              <w:t>Identification of responsibilities for e</w:t>
            </w:r>
            <w:r w:rsidRPr="00DB358A">
              <w:t>st</w:t>
            </w:r>
            <w:r>
              <w:t>ablished</w:t>
            </w:r>
            <w:r w:rsidRPr="00DB358A">
              <w:t xml:space="preserve"> pests and diseases</w:t>
            </w:r>
          </w:p>
        </w:tc>
        <w:tc>
          <w:tcPr>
            <w:tcW w:w="3020" w:type="dxa"/>
          </w:tcPr>
          <w:p w14:paraId="0070361B" w14:textId="77777777" w:rsidR="008D6DFD" w:rsidRDefault="008D6DFD" w:rsidP="005276D7">
            <w:pPr>
              <w:pStyle w:val="TableText"/>
              <w:widowControl w:val="0"/>
            </w:pPr>
            <w:r w:rsidRPr="00DB358A">
              <w:lastRenderedPageBreak/>
              <w:t>Implementation of a systematic national priority (exotic) pest and disease approach, including for environmental biosecurity risks</w:t>
            </w:r>
          </w:p>
          <w:p w14:paraId="6BD854D1" w14:textId="77777777" w:rsidR="008D6DFD" w:rsidRDefault="008D6DFD" w:rsidP="005276D7">
            <w:pPr>
              <w:pStyle w:val="TableText"/>
              <w:widowControl w:val="0"/>
            </w:pPr>
            <w:r w:rsidRPr="00DB358A">
              <w:t xml:space="preserve">Risk assessments for national </w:t>
            </w:r>
            <w:r w:rsidRPr="00DB358A">
              <w:lastRenderedPageBreak/>
              <w:t>priority pests and diseases</w:t>
            </w:r>
          </w:p>
          <w:p w14:paraId="653AB9CE" w14:textId="3FDAADFF" w:rsidR="008D6DFD" w:rsidRDefault="008D6DFD" w:rsidP="005276D7">
            <w:pPr>
              <w:pStyle w:val="TableText"/>
              <w:widowControl w:val="0"/>
            </w:pPr>
            <w:r w:rsidRPr="00B03979">
              <w:t>Activity plans</w:t>
            </w:r>
            <w:r w:rsidRPr="00DB358A">
              <w:t xml:space="preserve"> for managing national priority pest</w:t>
            </w:r>
            <w:r w:rsidR="00A15803">
              <w:t>s</w:t>
            </w:r>
            <w:r w:rsidRPr="00DB358A">
              <w:t xml:space="preserve"> and diseases, agreed by all relevant participants, outlin</w:t>
            </w:r>
            <w:r>
              <w:t>ing</w:t>
            </w:r>
            <w:r w:rsidRPr="00DB358A">
              <w:t xml:space="preserve"> risk mitigation</w:t>
            </w:r>
            <w:r>
              <w:t xml:space="preserve"> measures</w:t>
            </w:r>
            <w:r w:rsidRPr="00DB358A">
              <w:t>, surveillance, diagnostics, response, as well as the relevant participants (including their roles and responsibilities and cost-sharing arrangements)</w:t>
            </w:r>
          </w:p>
          <w:p w14:paraId="18F6FE29" w14:textId="77777777" w:rsidR="008D6DFD" w:rsidRDefault="008D6DFD" w:rsidP="005276D7">
            <w:pPr>
              <w:pStyle w:val="TableText"/>
              <w:widowControl w:val="0"/>
            </w:pPr>
            <w:r w:rsidRPr="00DB358A">
              <w:t>Alignment of biosecurity surveillance activities with major export market risks</w:t>
            </w:r>
          </w:p>
          <w:p w14:paraId="56813B11" w14:textId="4C999473" w:rsidR="008D6DFD" w:rsidRDefault="008D6DFD" w:rsidP="005276D7">
            <w:pPr>
              <w:pStyle w:val="TableText"/>
              <w:widowControl w:val="0"/>
            </w:pPr>
            <w:r w:rsidRPr="00DB358A">
              <w:t xml:space="preserve">Emergency response deeds for aquatic animals and exotic </w:t>
            </w:r>
            <w:r w:rsidR="00081AD5">
              <w:t xml:space="preserve">production </w:t>
            </w:r>
            <w:r w:rsidRPr="00DB358A">
              <w:t>weeds</w:t>
            </w:r>
          </w:p>
          <w:p w14:paraId="36C3E2A7" w14:textId="04B3D48C" w:rsidR="008D6DFD" w:rsidRPr="00391019" w:rsidRDefault="008D6DFD" w:rsidP="005276D7">
            <w:pPr>
              <w:pStyle w:val="TableText"/>
              <w:widowControl w:val="0"/>
            </w:pPr>
            <w:r w:rsidRPr="007A7B0E">
              <w:t>Greater landowner-led resourcing and management of nationally significant established pest</w:t>
            </w:r>
            <w:r w:rsidR="00530C55">
              <w:t>s</w:t>
            </w:r>
            <w:r w:rsidRPr="007A7B0E">
              <w:t xml:space="preserve"> and diseases</w:t>
            </w:r>
          </w:p>
        </w:tc>
      </w:tr>
      <w:tr w:rsidR="008D6DFD" w:rsidRPr="00391019" w14:paraId="65A4E3BC" w14:textId="77777777" w:rsidTr="005276D7">
        <w:tc>
          <w:tcPr>
            <w:tcW w:w="3020" w:type="dxa"/>
          </w:tcPr>
          <w:p w14:paraId="51E6091D" w14:textId="77777777" w:rsidR="008D6DFD" w:rsidRPr="00391019" w:rsidRDefault="008D6DFD" w:rsidP="005276D7">
            <w:pPr>
              <w:pStyle w:val="TableHeading"/>
              <w:keepNext w:val="0"/>
              <w:widowControl w:val="0"/>
            </w:pPr>
            <w:r w:rsidRPr="00DB358A">
              <w:lastRenderedPageBreak/>
              <w:t>3. Knowledge management and system performance</w:t>
            </w:r>
          </w:p>
        </w:tc>
        <w:tc>
          <w:tcPr>
            <w:tcW w:w="3020" w:type="dxa"/>
          </w:tcPr>
          <w:p w14:paraId="00F88996" w14:textId="77777777" w:rsidR="008D6DFD" w:rsidRDefault="008D6DFD" w:rsidP="005276D7">
            <w:pPr>
              <w:pStyle w:val="TableText"/>
              <w:widowControl w:val="0"/>
            </w:pPr>
            <w:r w:rsidRPr="00DB358A">
              <w:t>Improved decision-making and operational efficiency and effectiveness</w:t>
            </w:r>
          </w:p>
          <w:p w14:paraId="59C2F01F" w14:textId="77777777" w:rsidR="008D6DFD" w:rsidRDefault="008D6DFD" w:rsidP="005276D7">
            <w:pPr>
              <w:pStyle w:val="TableText"/>
              <w:widowControl w:val="0"/>
            </w:pPr>
            <w:r w:rsidRPr="00DB358A">
              <w:t>Increased capacity to measure and demonstrate the performance of the national biosecurity system</w:t>
            </w:r>
          </w:p>
          <w:p w14:paraId="2682AAAF" w14:textId="77777777" w:rsidR="008D6DFD" w:rsidRDefault="008D6DFD" w:rsidP="005276D7">
            <w:pPr>
              <w:pStyle w:val="TableText"/>
              <w:widowControl w:val="0"/>
            </w:pPr>
            <w:r w:rsidRPr="00DB358A">
              <w:t>Improved accountability of jurisdictions for commitments under the IGAB</w:t>
            </w:r>
          </w:p>
          <w:p w14:paraId="7DDABD35" w14:textId="1D2E9535" w:rsidR="00D36278" w:rsidRPr="00391019" w:rsidRDefault="008D6DFD" w:rsidP="005276D7">
            <w:pPr>
              <w:pStyle w:val="TableText"/>
              <w:widowControl w:val="0"/>
            </w:pPr>
            <w:r w:rsidRPr="00DB358A">
              <w:t>Greater public understanding of the performance of the system</w:t>
            </w:r>
          </w:p>
        </w:tc>
        <w:tc>
          <w:tcPr>
            <w:tcW w:w="3020" w:type="dxa"/>
          </w:tcPr>
          <w:p w14:paraId="4B999EF4" w14:textId="77777777" w:rsidR="008D6DFD" w:rsidRDefault="008D6DFD" w:rsidP="005276D7">
            <w:pPr>
              <w:pStyle w:val="TableText"/>
              <w:widowControl w:val="0"/>
            </w:pPr>
            <w:r w:rsidRPr="00DB358A">
              <w:t>National collaboration on data</w:t>
            </w:r>
            <w:r>
              <w:t xml:space="preserve"> and intelligence</w:t>
            </w:r>
            <w:r w:rsidRPr="00DB358A">
              <w:t xml:space="preserve"> sharing</w:t>
            </w:r>
          </w:p>
          <w:p w14:paraId="5F73C47D" w14:textId="77777777" w:rsidR="008D6DFD" w:rsidRDefault="008D6DFD" w:rsidP="005276D7">
            <w:pPr>
              <w:pStyle w:val="TableText"/>
              <w:widowControl w:val="0"/>
            </w:pPr>
            <w:r w:rsidRPr="00DB358A">
              <w:t>Agreement on minimum standards and specifications for data sets</w:t>
            </w:r>
          </w:p>
          <w:p w14:paraId="4F70DDF1" w14:textId="77777777" w:rsidR="008D6DFD" w:rsidRDefault="008D6DFD" w:rsidP="005276D7">
            <w:pPr>
              <w:pStyle w:val="TableText"/>
              <w:widowControl w:val="0"/>
            </w:pPr>
            <w:r w:rsidRPr="00DB358A">
              <w:t>An agreed national biosecurity information system accessible to all jurisdictions</w:t>
            </w:r>
          </w:p>
          <w:p w14:paraId="37FF45A3" w14:textId="77777777" w:rsidR="008D6DFD" w:rsidRDefault="008D6DFD" w:rsidP="005276D7">
            <w:pPr>
              <w:pStyle w:val="TableText"/>
              <w:widowControl w:val="0"/>
            </w:pPr>
            <w:r w:rsidRPr="00DB358A">
              <w:t>A performance framework and measurable performance indicators for the national system</w:t>
            </w:r>
          </w:p>
          <w:p w14:paraId="571F44F2" w14:textId="77777777" w:rsidR="008D6DFD" w:rsidRPr="00391019" w:rsidRDefault="008D6DFD" w:rsidP="005276D7">
            <w:pPr>
              <w:pStyle w:val="TableText"/>
              <w:widowControl w:val="0"/>
            </w:pPr>
            <w:r w:rsidRPr="00DB358A">
              <w:t>An independent IGAB Evaluation Program of jurisdictional commitments</w:t>
            </w:r>
          </w:p>
        </w:tc>
      </w:tr>
    </w:tbl>
    <w:p w14:paraId="01C18BC0" w14:textId="3404874F" w:rsidR="002967C1" w:rsidRPr="00A57509" w:rsidRDefault="000A1812" w:rsidP="00FF76DD">
      <w:pPr>
        <w:pStyle w:val="FigureTableNoteSource"/>
        <w:rPr>
          <w:szCs w:val="18"/>
        </w:rPr>
      </w:pPr>
      <w:r w:rsidRPr="00A57509">
        <w:rPr>
          <w:szCs w:val="18"/>
        </w:rPr>
        <w:t xml:space="preserve">*This table also appears in </w:t>
      </w:r>
      <w:r w:rsidR="002567E2" w:rsidRPr="00A57509">
        <w:rPr>
          <w:szCs w:val="18"/>
        </w:rPr>
        <w:t xml:space="preserve">Chapter </w:t>
      </w:r>
      <w:r w:rsidR="002567E2" w:rsidRPr="00A57509">
        <w:rPr>
          <w:szCs w:val="18"/>
        </w:rPr>
        <w:fldChar w:fldCharType="begin"/>
      </w:r>
      <w:r w:rsidR="002567E2" w:rsidRPr="00A57509">
        <w:rPr>
          <w:szCs w:val="18"/>
        </w:rPr>
        <w:instrText xml:space="preserve"> REF _Ref468435758 \r \h </w:instrText>
      </w:r>
      <w:r w:rsidR="00A57509">
        <w:rPr>
          <w:szCs w:val="18"/>
        </w:rPr>
        <w:instrText xml:space="preserve"> \* MERGEFORMAT </w:instrText>
      </w:r>
      <w:r w:rsidR="002567E2" w:rsidRPr="00A57509">
        <w:rPr>
          <w:szCs w:val="18"/>
        </w:rPr>
      </w:r>
      <w:r w:rsidR="002567E2" w:rsidRPr="00A57509">
        <w:rPr>
          <w:szCs w:val="18"/>
        </w:rPr>
        <w:fldChar w:fldCharType="separate"/>
      </w:r>
      <w:r w:rsidR="008303E2">
        <w:rPr>
          <w:szCs w:val="18"/>
        </w:rPr>
        <w:t>10</w:t>
      </w:r>
      <w:r w:rsidR="002567E2" w:rsidRPr="00A57509">
        <w:rPr>
          <w:szCs w:val="18"/>
        </w:rPr>
        <w:fldChar w:fldCharType="end"/>
      </w:r>
      <w:r w:rsidR="002567E2" w:rsidRPr="00A57509">
        <w:rPr>
          <w:szCs w:val="18"/>
        </w:rPr>
        <w:t xml:space="preserve"> </w:t>
      </w:r>
      <w:r w:rsidRPr="00A57509">
        <w:rPr>
          <w:szCs w:val="18"/>
        </w:rPr>
        <w:t>(</w:t>
      </w:r>
      <w:r w:rsidR="002567E2" w:rsidRPr="00A57509">
        <w:rPr>
          <w:szCs w:val="18"/>
        </w:rPr>
        <w:fldChar w:fldCharType="begin"/>
      </w:r>
      <w:r w:rsidR="002567E2" w:rsidRPr="00A57509">
        <w:rPr>
          <w:szCs w:val="18"/>
        </w:rPr>
        <w:instrText xml:space="preserve"> REF _Ref468097439 \h </w:instrText>
      </w:r>
      <w:r w:rsidR="00A57509">
        <w:rPr>
          <w:szCs w:val="18"/>
        </w:rPr>
        <w:instrText xml:space="preserve"> \* MERGEFORMAT </w:instrText>
      </w:r>
      <w:r w:rsidR="002567E2" w:rsidRPr="00A57509">
        <w:rPr>
          <w:szCs w:val="18"/>
        </w:rPr>
      </w:r>
      <w:r w:rsidR="002567E2" w:rsidRPr="00A57509">
        <w:rPr>
          <w:szCs w:val="18"/>
        </w:rPr>
        <w:fldChar w:fldCharType="separate"/>
      </w:r>
      <w:r w:rsidR="008303E2" w:rsidRPr="008303E2">
        <w:rPr>
          <w:szCs w:val="18"/>
        </w:rPr>
        <w:t xml:space="preserve">Table </w:t>
      </w:r>
      <w:r w:rsidR="008303E2" w:rsidRPr="008303E2">
        <w:rPr>
          <w:noProof/>
          <w:szCs w:val="18"/>
        </w:rPr>
        <w:t>11</w:t>
      </w:r>
      <w:r w:rsidR="002567E2" w:rsidRPr="00A57509">
        <w:rPr>
          <w:szCs w:val="18"/>
        </w:rPr>
        <w:fldChar w:fldCharType="end"/>
      </w:r>
      <w:r w:rsidRPr="00A57509">
        <w:rPr>
          <w:szCs w:val="18"/>
        </w:rPr>
        <w:t>)</w:t>
      </w:r>
      <w:r w:rsidR="002567E2" w:rsidRPr="00A57509">
        <w:rPr>
          <w:szCs w:val="18"/>
        </w:rPr>
        <w:t>.</w:t>
      </w:r>
    </w:p>
    <w:p w14:paraId="791B002A" w14:textId="17779721" w:rsidR="00BF7646" w:rsidRDefault="002749BD" w:rsidP="00D0740F">
      <w:pPr>
        <w:pStyle w:val="Heading2"/>
        <w:numPr>
          <w:ilvl w:val="0"/>
          <w:numId w:val="0"/>
        </w:numPr>
        <w:ind w:left="720" w:hanging="720"/>
      </w:pPr>
      <w:bookmarkStart w:id="7" w:name="_Toc430782150"/>
      <w:bookmarkStart w:id="8" w:name="_Toc469654719"/>
      <w:r>
        <w:lastRenderedPageBreak/>
        <w:t xml:space="preserve">Draft </w:t>
      </w:r>
      <w:r w:rsidR="00CB0DA8">
        <w:t>r</w:t>
      </w:r>
      <w:r w:rsidR="00BF7646">
        <w:t>ecommendations</w:t>
      </w:r>
      <w:r w:rsidR="00CB0DA8">
        <w:t xml:space="preserve"> and</w:t>
      </w:r>
      <w:r w:rsidR="00E060DD">
        <w:t xml:space="preserve"> requests for feedback</w:t>
      </w:r>
      <w:bookmarkEnd w:id="8"/>
    </w:p>
    <w:p w14:paraId="1BE24D0A" w14:textId="5ED1CEAB" w:rsidR="008F0F2B" w:rsidRPr="008F0F2B" w:rsidRDefault="003240AB" w:rsidP="00080148">
      <w:pPr>
        <w:pStyle w:val="Glossary"/>
        <w:rPr>
          <w:rStyle w:val="Strong"/>
        </w:rPr>
      </w:pPr>
      <w:r>
        <w:rPr>
          <w:rStyle w:val="Strong"/>
        </w:rPr>
        <w:t>Knowing and owning our r</w:t>
      </w:r>
      <w:r w:rsidR="008F0F2B" w:rsidRPr="008F0F2B">
        <w:rPr>
          <w:rStyle w:val="Strong"/>
        </w:rPr>
        <w:t>oles and responsibilities</w:t>
      </w:r>
    </w:p>
    <w:p w14:paraId="22550975" w14:textId="5CAD3761" w:rsidR="00E46716" w:rsidRPr="00F331C9" w:rsidRDefault="008303E2" w:rsidP="00E46716">
      <w:pPr>
        <w:pStyle w:val="Glossary"/>
        <w:rPr>
          <w:rStyle w:val="Strong"/>
          <w:b w:val="0"/>
          <w:bCs w:val="0"/>
        </w:rPr>
      </w:pPr>
      <w:hyperlink w:anchor="Request_for_feedback_1" w:history="1">
        <w:r w:rsidR="00E46716" w:rsidRPr="00675738">
          <w:rPr>
            <w:rStyle w:val="Hyperlink"/>
          </w:rPr>
          <w:t>Feedback request 1</w:t>
        </w:r>
      </w:hyperlink>
      <w:r w:rsidR="00E46716" w:rsidRPr="00F331C9">
        <w:rPr>
          <w:rStyle w:val="Strong"/>
          <w:b w:val="0"/>
          <w:bCs w:val="0"/>
        </w:rPr>
        <w:tab/>
        <w:t xml:space="preserve">The </w:t>
      </w:r>
      <w:r w:rsidR="00E46716">
        <w:rPr>
          <w:rStyle w:val="Strong"/>
          <w:b w:val="0"/>
          <w:bCs w:val="0"/>
        </w:rPr>
        <w:t xml:space="preserve">Review Panel seeks feedback on the draft roles and responsibilities of national biosecurity </w:t>
      </w:r>
      <w:r w:rsidR="000E777F">
        <w:rPr>
          <w:rStyle w:val="Strong"/>
          <w:b w:val="0"/>
          <w:bCs w:val="0"/>
        </w:rPr>
        <w:t xml:space="preserve">system </w:t>
      </w:r>
      <w:r w:rsidR="00E46716">
        <w:rPr>
          <w:rStyle w:val="Strong"/>
          <w:b w:val="0"/>
          <w:bCs w:val="0"/>
        </w:rPr>
        <w:t>participants.</w:t>
      </w:r>
    </w:p>
    <w:p w14:paraId="53B233E6" w14:textId="1B68B16B" w:rsidR="00080148" w:rsidRDefault="008303E2" w:rsidP="00080148">
      <w:pPr>
        <w:pStyle w:val="Glossary"/>
      </w:pPr>
      <w:hyperlink w:anchor="Draft_recommendation_1" w:history="1">
        <w:r w:rsidR="005F2E75" w:rsidRPr="00B5627A">
          <w:rPr>
            <w:rStyle w:val="Hyperlink"/>
            <w:lang w:eastAsia="ja-JP"/>
          </w:rPr>
          <w:t>Recommendation 1</w:t>
        </w:r>
      </w:hyperlink>
      <w:r w:rsidR="00933868">
        <w:rPr>
          <w:lang w:eastAsia="ja-JP"/>
        </w:rPr>
        <w:tab/>
      </w:r>
      <w:r w:rsidR="00080148">
        <w:t>The NBC and the proposed Industry and Community Advisory Committee, through an open, transparent and collaborative process, should lead the development of a draft National Statement of Intent for public consultation that outlines:</w:t>
      </w:r>
    </w:p>
    <w:p w14:paraId="767DF264" w14:textId="383294B2" w:rsidR="00080148" w:rsidRDefault="003B30DE" w:rsidP="00080148">
      <w:pPr>
        <w:pStyle w:val="ListBullet"/>
        <w:tabs>
          <w:tab w:val="clear" w:pos="284"/>
          <w:tab w:val="num" w:pos="2292"/>
        </w:tabs>
        <w:ind w:left="2292"/>
      </w:pPr>
      <w:r>
        <w:t>a</w:t>
      </w:r>
      <w:r w:rsidR="00080148">
        <w:t xml:space="preserve"> vision, goal and objectives for the national biosecurity system</w:t>
      </w:r>
    </w:p>
    <w:p w14:paraId="58C8DF7C" w14:textId="39CD035D" w:rsidR="00080148" w:rsidRDefault="003B30DE" w:rsidP="00080148">
      <w:pPr>
        <w:pStyle w:val="ListBullet"/>
        <w:tabs>
          <w:tab w:val="clear" w:pos="284"/>
          <w:tab w:val="num" w:pos="2292"/>
        </w:tabs>
        <w:ind w:left="2292"/>
      </w:pPr>
      <w:r>
        <w:t>p</w:t>
      </w:r>
      <w:r w:rsidR="00080148">
        <w:t>rinciples for managing biosecurity</w:t>
      </w:r>
    </w:p>
    <w:p w14:paraId="2D328D50" w14:textId="661E003A" w:rsidR="00080148" w:rsidRDefault="003B30DE" w:rsidP="00080148">
      <w:pPr>
        <w:pStyle w:val="ListBullet"/>
        <w:tabs>
          <w:tab w:val="clear" w:pos="284"/>
          <w:tab w:val="num" w:pos="2292"/>
        </w:tabs>
        <w:ind w:left="2292"/>
      </w:pPr>
      <w:r>
        <w:t>t</w:t>
      </w:r>
      <w:r w:rsidR="00080148">
        <w:t>he meaning and application of ‘shared responsibility’</w:t>
      </w:r>
    </w:p>
    <w:p w14:paraId="0763F3CF" w14:textId="7D931EAF" w:rsidR="00080148" w:rsidRDefault="003B30DE" w:rsidP="00080148">
      <w:pPr>
        <w:pStyle w:val="ListBullet"/>
        <w:tabs>
          <w:tab w:val="clear" w:pos="284"/>
          <w:tab w:val="num" w:pos="2292"/>
        </w:tabs>
        <w:ind w:left="2292"/>
      </w:pPr>
      <w:r>
        <w:t>t</w:t>
      </w:r>
      <w:r w:rsidR="00080148">
        <w:t>he roles, responsibilities and commitments of participants, including accountability measures</w:t>
      </w:r>
    </w:p>
    <w:p w14:paraId="208CF317" w14:textId="60553F56" w:rsidR="00080148" w:rsidRDefault="003B30DE" w:rsidP="00080148">
      <w:pPr>
        <w:pStyle w:val="ListBullet"/>
        <w:tabs>
          <w:tab w:val="clear" w:pos="284"/>
          <w:tab w:val="num" w:pos="2292"/>
        </w:tabs>
        <w:ind w:left="2292"/>
      </w:pPr>
      <w:r>
        <w:t>g</w:t>
      </w:r>
      <w:r w:rsidR="00080148">
        <w:t>overnance arrangements for the national biosecurity system</w:t>
      </w:r>
      <w:r>
        <w:t>.</w:t>
      </w:r>
    </w:p>
    <w:p w14:paraId="5A56773F" w14:textId="7DADF730" w:rsidR="000826EF" w:rsidRDefault="00080148" w:rsidP="00080148">
      <w:pPr>
        <w:pStyle w:val="Glossary"/>
        <w:ind w:firstLine="0"/>
        <w:rPr>
          <w:lang w:eastAsia="ja-JP"/>
        </w:rPr>
      </w:pPr>
      <w:r>
        <w:t xml:space="preserve">The process should involve government (including local government), industry and the </w:t>
      </w:r>
      <w:r w:rsidR="00677B03">
        <w:t>community</w:t>
      </w:r>
      <w:r w:rsidR="007E03E8">
        <w:t>.</w:t>
      </w:r>
    </w:p>
    <w:p w14:paraId="42298713" w14:textId="2F1E385E" w:rsidR="00ED16F9" w:rsidRPr="00ED16F9" w:rsidRDefault="00ED16F9" w:rsidP="005F2E75">
      <w:pPr>
        <w:pStyle w:val="Glossary"/>
        <w:rPr>
          <w:rStyle w:val="Strong"/>
        </w:rPr>
      </w:pPr>
      <w:r w:rsidRPr="00ED16F9">
        <w:rPr>
          <w:rStyle w:val="Strong"/>
        </w:rPr>
        <w:t>Market access</w:t>
      </w:r>
      <w:r w:rsidR="00A77515">
        <w:rPr>
          <w:rStyle w:val="Strong"/>
        </w:rPr>
        <w:t xml:space="preserve"> is key</w:t>
      </w:r>
    </w:p>
    <w:p w14:paraId="4FCE8472" w14:textId="49B89141" w:rsidR="007A18E5" w:rsidRDefault="008303E2" w:rsidP="005F2E75">
      <w:pPr>
        <w:pStyle w:val="Glossary"/>
        <w:rPr>
          <w:lang w:eastAsia="ja-JP"/>
        </w:rPr>
      </w:pPr>
      <w:hyperlink w:anchor="Request_for_feedback_2" w:history="1">
        <w:r w:rsidR="007A18E5" w:rsidRPr="00B5627A">
          <w:rPr>
            <w:rStyle w:val="Hyperlink"/>
          </w:rPr>
          <w:t>Feedback request 2</w:t>
        </w:r>
      </w:hyperlink>
      <w:r w:rsidR="007A18E5">
        <w:rPr>
          <w:rStyle w:val="Strong"/>
          <w:b w:val="0"/>
          <w:bCs w:val="0"/>
        </w:rPr>
        <w:tab/>
      </w:r>
      <w:r w:rsidR="007A18E5">
        <w:t>T</w:t>
      </w:r>
      <w:r w:rsidR="007A18E5" w:rsidRPr="000C5221">
        <w:t xml:space="preserve">he </w:t>
      </w:r>
      <w:r w:rsidR="007A18E5">
        <w:t xml:space="preserve">Review </w:t>
      </w:r>
      <w:r w:rsidR="007A18E5" w:rsidRPr="000C5221">
        <w:t>Panel seek</w:t>
      </w:r>
      <w:r w:rsidR="007A18E5">
        <w:t>s</w:t>
      </w:r>
      <w:r w:rsidR="007A18E5" w:rsidRPr="000C5221">
        <w:t xml:space="preserve"> feedback on the </w:t>
      </w:r>
      <w:r w:rsidR="007A18E5">
        <w:t>total effort and costs associated with demonstrating area freedom by jurisdiction</w:t>
      </w:r>
      <w:r w:rsidR="00046E19">
        <w:t>s</w:t>
      </w:r>
      <w:r w:rsidR="007A18E5">
        <w:t>, and the value of that trade.</w:t>
      </w:r>
    </w:p>
    <w:p w14:paraId="4E2FBFEA" w14:textId="0F3B655D" w:rsidR="005F2E75" w:rsidRDefault="008303E2" w:rsidP="005F2E75">
      <w:pPr>
        <w:pStyle w:val="Glossary"/>
        <w:rPr>
          <w:lang w:eastAsia="ja-JP"/>
        </w:rPr>
      </w:pPr>
      <w:hyperlink w:anchor="Draft_recommendation_2" w:history="1">
        <w:r w:rsidR="005F2E75" w:rsidRPr="00B5627A">
          <w:rPr>
            <w:rStyle w:val="Hyperlink"/>
            <w:lang w:eastAsia="ja-JP"/>
          </w:rPr>
          <w:t>Recommendation 2</w:t>
        </w:r>
      </w:hyperlink>
      <w:r w:rsidR="005F2E75" w:rsidRPr="005F2E75">
        <w:rPr>
          <w:lang w:eastAsia="ja-JP"/>
        </w:rPr>
        <w:tab/>
      </w:r>
      <w:r w:rsidR="009F248E" w:rsidRPr="009F248E">
        <w:rPr>
          <w:lang w:eastAsia="ja-JP"/>
        </w:rPr>
        <w:t>The Primary Industries Technical Market Access and Trade Development Task Group, should seek to enhance engagement with industry to ensure that Australia’s market access strategies are aligned appropriately through an agreed priority setting process, and that the</w:t>
      </w:r>
      <w:r w:rsidR="0065235C">
        <w:rPr>
          <w:lang w:eastAsia="ja-JP"/>
        </w:rPr>
        <w:t xml:space="preserve"> degree of </w:t>
      </w:r>
      <w:r w:rsidR="009F248E" w:rsidRPr="009F248E">
        <w:rPr>
          <w:lang w:eastAsia="ja-JP"/>
        </w:rPr>
        <w:t xml:space="preserve">transparency and communication </w:t>
      </w:r>
      <w:r w:rsidR="0065235C">
        <w:rPr>
          <w:lang w:eastAsia="ja-JP"/>
        </w:rPr>
        <w:t>is carefully weighed against its level of risk to trade activities</w:t>
      </w:r>
      <w:r w:rsidR="009F248E" w:rsidRPr="009F248E">
        <w:rPr>
          <w:lang w:eastAsia="ja-JP"/>
        </w:rPr>
        <w:t>.</w:t>
      </w:r>
    </w:p>
    <w:p w14:paraId="18E24FF3" w14:textId="3CB27D55" w:rsidR="009F248E" w:rsidRDefault="008303E2" w:rsidP="009F248E">
      <w:pPr>
        <w:pStyle w:val="Glossary"/>
        <w:rPr>
          <w:lang w:eastAsia="ja-JP"/>
        </w:rPr>
      </w:pPr>
      <w:hyperlink w:anchor="Draft_recommendation_3" w:history="1">
        <w:r w:rsidR="005F2E75" w:rsidRPr="00B5627A">
          <w:rPr>
            <w:rStyle w:val="Hyperlink"/>
            <w:lang w:eastAsia="ja-JP"/>
          </w:rPr>
          <w:t>Recommendation 3</w:t>
        </w:r>
      </w:hyperlink>
      <w:r w:rsidR="005F2E75">
        <w:rPr>
          <w:lang w:eastAsia="ja-JP"/>
        </w:rPr>
        <w:tab/>
      </w:r>
      <w:r w:rsidR="009F248E">
        <w:rPr>
          <w:lang w:eastAsia="ja-JP"/>
        </w:rPr>
        <w:t>IGAB2 should strengthen consideration of market access requirements within the next NBC work program.</w:t>
      </w:r>
    </w:p>
    <w:p w14:paraId="3D21CBE2" w14:textId="67434BA4" w:rsidR="009F248E" w:rsidRDefault="008303E2" w:rsidP="009F248E">
      <w:pPr>
        <w:pStyle w:val="Glossary"/>
        <w:rPr>
          <w:lang w:eastAsia="ja-JP"/>
        </w:rPr>
      </w:pPr>
      <w:hyperlink w:anchor="Draft_recommendation_4" w:history="1">
        <w:r w:rsidR="005F2E75" w:rsidRPr="00B5627A">
          <w:rPr>
            <w:rStyle w:val="Hyperlink"/>
            <w:lang w:eastAsia="ja-JP"/>
          </w:rPr>
          <w:t>Recommendation 4</w:t>
        </w:r>
      </w:hyperlink>
      <w:r w:rsidR="005F2E75" w:rsidRPr="005F2E75">
        <w:rPr>
          <w:lang w:eastAsia="ja-JP"/>
        </w:rPr>
        <w:tab/>
      </w:r>
      <w:r w:rsidR="009F248E">
        <w:rPr>
          <w:lang w:eastAsia="ja-JP"/>
        </w:rPr>
        <w:t>Jurisdictions’ biosecurity surveillance activities should include pests and diseases that pose the greatest threat to our export markets.</w:t>
      </w:r>
    </w:p>
    <w:p w14:paraId="54977631" w14:textId="0A51D544" w:rsidR="008A28E9" w:rsidRDefault="008303E2" w:rsidP="008A28E9">
      <w:pPr>
        <w:pStyle w:val="Glossary"/>
        <w:rPr>
          <w:lang w:eastAsia="ja-JP"/>
        </w:rPr>
      </w:pPr>
      <w:hyperlink w:anchor="Draft_recommendation_5" w:history="1">
        <w:r w:rsidR="005F2E75" w:rsidRPr="00B5627A">
          <w:rPr>
            <w:rStyle w:val="Hyperlink"/>
            <w:lang w:eastAsia="ja-JP"/>
          </w:rPr>
          <w:t>Recommendation 5</w:t>
        </w:r>
      </w:hyperlink>
      <w:r w:rsidR="005F2E75" w:rsidRPr="005F2E75">
        <w:rPr>
          <w:lang w:eastAsia="ja-JP"/>
        </w:rPr>
        <w:tab/>
      </w:r>
      <w:r w:rsidR="008A28E9">
        <w:rPr>
          <w:lang w:eastAsia="ja-JP"/>
        </w:rPr>
        <w:t>States and territories should utilise (or adapt) the dispute resolution process ag</w:t>
      </w:r>
      <w:r w:rsidR="00A42A3E">
        <w:rPr>
          <w:lang w:eastAsia="ja-JP"/>
        </w:rPr>
        <w:t>reed by m</w:t>
      </w:r>
      <w:r w:rsidR="008A28E9">
        <w:rPr>
          <w:lang w:eastAsia="ja-JP"/>
        </w:rPr>
        <w:t>inisters in 2012 and include the key elements of that in IGAB2</w:t>
      </w:r>
      <w:r w:rsidR="007D292C">
        <w:rPr>
          <w:lang w:eastAsia="ja-JP"/>
        </w:rPr>
        <w:t>.</w:t>
      </w:r>
    </w:p>
    <w:p w14:paraId="519E0E84" w14:textId="234AF07F" w:rsidR="008A28E9" w:rsidRDefault="008303E2" w:rsidP="008A28E9">
      <w:pPr>
        <w:pStyle w:val="Glossary"/>
        <w:rPr>
          <w:lang w:eastAsia="ja-JP"/>
        </w:rPr>
      </w:pPr>
      <w:hyperlink w:anchor="Draft_recommendation_6" w:history="1">
        <w:r w:rsidR="005F2E75" w:rsidRPr="00B5627A">
          <w:rPr>
            <w:rStyle w:val="Hyperlink"/>
            <w:lang w:eastAsia="ja-JP"/>
          </w:rPr>
          <w:t xml:space="preserve">Recommendation </w:t>
        </w:r>
        <w:r w:rsidR="008A28E9" w:rsidRPr="00B5627A">
          <w:rPr>
            <w:rStyle w:val="Hyperlink"/>
            <w:lang w:eastAsia="ja-JP"/>
          </w:rPr>
          <w:t>6</w:t>
        </w:r>
      </w:hyperlink>
      <w:r w:rsidR="0028518A">
        <w:rPr>
          <w:lang w:eastAsia="ja-JP"/>
        </w:rPr>
        <w:tab/>
      </w:r>
      <w:r w:rsidR="008A28E9">
        <w:rPr>
          <w:lang w:eastAsia="ja-JP"/>
        </w:rPr>
        <w:t xml:space="preserve">IGAB2 should clarify the roles and responsibilities of the parties with regard to international and domestic market access, including </w:t>
      </w:r>
      <w:r w:rsidR="008A28E9" w:rsidRPr="00D63727">
        <w:rPr>
          <w:lang w:eastAsia="ja-JP"/>
        </w:rPr>
        <w:t>proof of area freedom.</w:t>
      </w:r>
    </w:p>
    <w:p w14:paraId="379FBA31" w14:textId="4D5BB464" w:rsidR="00B674B9" w:rsidRPr="00B674B9" w:rsidRDefault="0012130A" w:rsidP="00E85DA4">
      <w:pPr>
        <w:pStyle w:val="Glossary"/>
        <w:keepNext/>
        <w:rPr>
          <w:rStyle w:val="Strong"/>
        </w:rPr>
      </w:pPr>
      <w:r>
        <w:rPr>
          <w:rStyle w:val="Strong"/>
        </w:rPr>
        <w:lastRenderedPageBreak/>
        <w:t xml:space="preserve">Stronger </w:t>
      </w:r>
      <w:r w:rsidR="00804F7B">
        <w:rPr>
          <w:rStyle w:val="Strong"/>
        </w:rPr>
        <w:t>e</w:t>
      </w:r>
      <w:r w:rsidR="00B674B9" w:rsidRPr="00B674B9">
        <w:rPr>
          <w:rStyle w:val="Strong"/>
        </w:rPr>
        <w:t>nvironment</w:t>
      </w:r>
      <w:r>
        <w:rPr>
          <w:rStyle w:val="Strong"/>
        </w:rPr>
        <w:t xml:space="preserve">al </w:t>
      </w:r>
      <w:r w:rsidR="00804F7B">
        <w:rPr>
          <w:rStyle w:val="Strong"/>
        </w:rPr>
        <w:t>b</w:t>
      </w:r>
      <w:r>
        <w:rPr>
          <w:rStyle w:val="Strong"/>
        </w:rPr>
        <w:t>iosecurity</w:t>
      </w:r>
    </w:p>
    <w:p w14:paraId="05B6B449" w14:textId="5F3DA1DF" w:rsidR="009C09B9" w:rsidRDefault="008303E2" w:rsidP="005F2E75">
      <w:pPr>
        <w:pStyle w:val="Glossary"/>
        <w:rPr>
          <w:lang w:eastAsia="ja-JP"/>
        </w:rPr>
      </w:pPr>
      <w:hyperlink w:anchor="Draft_recommendation_7" w:history="1">
        <w:r w:rsidR="005F2E75" w:rsidRPr="00B5627A">
          <w:rPr>
            <w:rStyle w:val="Hyperlink"/>
            <w:lang w:eastAsia="ja-JP"/>
          </w:rPr>
          <w:t xml:space="preserve">Recommendation </w:t>
        </w:r>
        <w:r w:rsidR="008A28E9" w:rsidRPr="00B5627A">
          <w:rPr>
            <w:rStyle w:val="Hyperlink"/>
            <w:lang w:eastAsia="ja-JP"/>
          </w:rPr>
          <w:t>7</w:t>
        </w:r>
      </w:hyperlink>
      <w:r w:rsidR="005F2E75">
        <w:rPr>
          <w:lang w:eastAsia="ja-JP"/>
        </w:rPr>
        <w:tab/>
      </w:r>
      <w:r w:rsidR="009C09B9" w:rsidRPr="009C09B9">
        <w:rPr>
          <w:lang w:eastAsia="ja-JP"/>
        </w:rPr>
        <w:t>IGAB2 should include an explicit commitment by jurisdictions to support financially, decisions agreed to under NEBRA, but look to put in place systems tha</w:t>
      </w:r>
      <w:r w:rsidR="00034494">
        <w:rPr>
          <w:lang w:eastAsia="ja-JP"/>
        </w:rPr>
        <w:t>t ensure decisions are evidence-</w:t>
      </w:r>
      <w:r w:rsidR="009C09B9" w:rsidRPr="009C09B9">
        <w:rPr>
          <w:lang w:eastAsia="ja-JP"/>
        </w:rPr>
        <w:t xml:space="preserve">based and transparent, in keeping with best risk management principles, and that give confidence to governments and the community that funds are being committed </w:t>
      </w:r>
      <w:r w:rsidR="00565B46">
        <w:rPr>
          <w:lang w:eastAsia="ja-JP"/>
        </w:rPr>
        <w:t xml:space="preserve">wisely and </w:t>
      </w:r>
      <w:r w:rsidR="009C09B9" w:rsidRPr="009C09B9">
        <w:rPr>
          <w:lang w:eastAsia="ja-JP"/>
        </w:rPr>
        <w:t>appropriately.</w:t>
      </w:r>
    </w:p>
    <w:p w14:paraId="4D2EF6C3" w14:textId="3105A1D8" w:rsidR="00D01B85" w:rsidRDefault="008303E2" w:rsidP="005F2E75">
      <w:pPr>
        <w:pStyle w:val="Glossary"/>
        <w:rPr>
          <w:highlight w:val="yellow"/>
          <w:lang w:eastAsia="ja-JP"/>
        </w:rPr>
      </w:pPr>
      <w:hyperlink w:anchor="Draft_recommendation_8" w:history="1">
        <w:r w:rsidR="005F2E75" w:rsidRPr="00B5627A">
          <w:rPr>
            <w:rStyle w:val="Hyperlink"/>
            <w:lang w:eastAsia="ja-JP"/>
          </w:rPr>
          <w:t xml:space="preserve">Recommendation </w:t>
        </w:r>
        <w:r w:rsidR="008A28E9" w:rsidRPr="00B5627A">
          <w:rPr>
            <w:rStyle w:val="Hyperlink"/>
            <w:lang w:eastAsia="ja-JP"/>
          </w:rPr>
          <w:t>8</w:t>
        </w:r>
      </w:hyperlink>
      <w:r w:rsidR="005F2E75" w:rsidRPr="00D01B85">
        <w:rPr>
          <w:lang w:eastAsia="ja-JP"/>
        </w:rPr>
        <w:tab/>
      </w:r>
      <w:r w:rsidR="00D01B85" w:rsidRPr="00D01B85">
        <w:rPr>
          <w:lang w:eastAsia="ja-JP"/>
        </w:rPr>
        <w:t>Jurisdictions should institute formal arrangements between agriculture and environment agencies to define the objectives of cooperation, leading and support roles, information flow</w:t>
      </w:r>
      <w:r w:rsidR="00677B03">
        <w:rPr>
          <w:lang w:eastAsia="ja-JP"/>
        </w:rPr>
        <w:t xml:space="preserve">s, resources and deliverables. </w:t>
      </w:r>
      <w:r w:rsidR="00D01B85" w:rsidRPr="00D01B85">
        <w:rPr>
          <w:lang w:eastAsia="ja-JP"/>
        </w:rPr>
        <w:t xml:space="preserve">The </w:t>
      </w:r>
      <w:r w:rsidR="00D01B85">
        <w:rPr>
          <w:lang w:eastAsia="ja-JP"/>
        </w:rPr>
        <w:t>Australian Government</w:t>
      </w:r>
      <w:r w:rsidR="00D01B85" w:rsidRPr="00D01B85">
        <w:rPr>
          <w:lang w:eastAsia="ja-JP"/>
        </w:rPr>
        <w:t xml:space="preserve"> agriculture and environment departments should enter into a M</w:t>
      </w:r>
      <w:r w:rsidR="00D01B85">
        <w:rPr>
          <w:lang w:eastAsia="ja-JP"/>
        </w:rPr>
        <w:t xml:space="preserve">emorandum </w:t>
      </w:r>
      <w:r w:rsidR="00D01B85" w:rsidRPr="00D01B85">
        <w:rPr>
          <w:lang w:eastAsia="ja-JP"/>
        </w:rPr>
        <w:t>o</w:t>
      </w:r>
      <w:r w:rsidR="00D01B85">
        <w:rPr>
          <w:lang w:eastAsia="ja-JP"/>
        </w:rPr>
        <w:t xml:space="preserve">f </w:t>
      </w:r>
      <w:r w:rsidR="00D01B85" w:rsidRPr="00D01B85">
        <w:rPr>
          <w:lang w:eastAsia="ja-JP"/>
        </w:rPr>
        <w:t>U</w:t>
      </w:r>
      <w:r w:rsidR="00D01B85">
        <w:rPr>
          <w:lang w:eastAsia="ja-JP"/>
        </w:rPr>
        <w:t>nderstanding</w:t>
      </w:r>
      <w:r w:rsidR="00D01B85" w:rsidRPr="00D01B85">
        <w:rPr>
          <w:lang w:eastAsia="ja-JP"/>
        </w:rPr>
        <w:t>, modelled on those with health and immigration</w:t>
      </w:r>
      <w:r w:rsidR="00D01B85">
        <w:rPr>
          <w:lang w:eastAsia="ja-JP"/>
        </w:rPr>
        <w:t xml:space="preserve"> agencies</w:t>
      </w:r>
      <w:r w:rsidR="00D01B85" w:rsidRPr="00D01B85">
        <w:rPr>
          <w:lang w:eastAsia="ja-JP"/>
        </w:rPr>
        <w:t>.</w:t>
      </w:r>
    </w:p>
    <w:p w14:paraId="1DBD710E" w14:textId="115E5EF0" w:rsidR="005F2E75" w:rsidRDefault="008303E2" w:rsidP="005F2E75">
      <w:pPr>
        <w:pStyle w:val="Glossary"/>
        <w:rPr>
          <w:lang w:eastAsia="ja-JP"/>
        </w:rPr>
      </w:pPr>
      <w:hyperlink w:anchor="Draft_recommendation_9" w:history="1">
        <w:r w:rsidR="005F2E75" w:rsidRPr="00B5627A">
          <w:rPr>
            <w:rStyle w:val="Hyperlink"/>
            <w:lang w:eastAsia="ja-JP"/>
          </w:rPr>
          <w:t xml:space="preserve">Recommendation </w:t>
        </w:r>
        <w:r w:rsidR="009C09B9" w:rsidRPr="00B5627A">
          <w:rPr>
            <w:rStyle w:val="Hyperlink"/>
            <w:lang w:eastAsia="ja-JP"/>
          </w:rPr>
          <w:t>9</w:t>
        </w:r>
      </w:hyperlink>
      <w:r w:rsidR="005F2E75">
        <w:rPr>
          <w:lang w:eastAsia="ja-JP"/>
        </w:rPr>
        <w:tab/>
        <w:t>The IGAB should make clearer commitments to environmental biosecurity and include:</w:t>
      </w:r>
    </w:p>
    <w:p w14:paraId="2AF48CF2" w14:textId="77777777" w:rsidR="005F2E75" w:rsidRDefault="005F2E75" w:rsidP="005F2E75">
      <w:pPr>
        <w:pStyle w:val="ListBullet"/>
        <w:tabs>
          <w:tab w:val="clear" w:pos="284"/>
          <w:tab w:val="num" w:pos="2444"/>
        </w:tabs>
        <w:ind w:left="2444"/>
        <w:rPr>
          <w:lang w:eastAsia="ja-JP"/>
        </w:rPr>
      </w:pPr>
      <w:r>
        <w:rPr>
          <w:lang w:eastAsia="ja-JP"/>
        </w:rPr>
        <w:t>the principle of ecologically sustainable development</w:t>
      </w:r>
    </w:p>
    <w:p w14:paraId="02CFF004" w14:textId="77777777" w:rsidR="005F2E75" w:rsidRDefault="009C09B9" w:rsidP="005F2E75">
      <w:pPr>
        <w:pStyle w:val="ListBullet"/>
        <w:tabs>
          <w:tab w:val="clear" w:pos="284"/>
          <w:tab w:val="num" w:pos="2444"/>
        </w:tabs>
        <w:ind w:left="2444"/>
        <w:rPr>
          <w:lang w:eastAsia="ja-JP"/>
        </w:rPr>
      </w:pPr>
      <w:r>
        <w:rPr>
          <w:lang w:eastAsia="ja-JP"/>
        </w:rPr>
        <w:t xml:space="preserve">acknowledgement of </w:t>
      </w:r>
      <w:r w:rsidR="005F2E75">
        <w:rPr>
          <w:lang w:eastAsia="ja-JP"/>
        </w:rPr>
        <w:t>Australia’s international responsibilities under the Convention on Biological Diversity</w:t>
      </w:r>
    </w:p>
    <w:p w14:paraId="7E378398" w14:textId="77777777" w:rsidR="005F2E75" w:rsidRDefault="005F2E75" w:rsidP="005F2E75">
      <w:pPr>
        <w:pStyle w:val="ListBullet"/>
        <w:tabs>
          <w:tab w:val="clear" w:pos="284"/>
          <w:tab w:val="num" w:pos="2444"/>
        </w:tabs>
        <w:ind w:left="2444"/>
        <w:rPr>
          <w:lang w:eastAsia="ja-JP"/>
        </w:rPr>
      </w:pPr>
      <w:r>
        <w:rPr>
          <w:lang w:eastAsia="ja-JP"/>
        </w:rPr>
        <w:t>a program of work to determine, plan and prepare for national priority pests and diseases impacting the environment and native species</w:t>
      </w:r>
    </w:p>
    <w:p w14:paraId="32C05CA0" w14:textId="77777777" w:rsidR="005F2E75" w:rsidRDefault="005F2E75" w:rsidP="005F2E75">
      <w:pPr>
        <w:pStyle w:val="ListBullet"/>
        <w:tabs>
          <w:tab w:val="clear" w:pos="284"/>
          <w:tab w:val="num" w:pos="2444"/>
        </w:tabs>
        <w:ind w:left="2444"/>
        <w:rPr>
          <w:lang w:eastAsia="ja-JP"/>
        </w:rPr>
      </w:pPr>
      <w:r>
        <w:rPr>
          <w:lang w:eastAsia="ja-JP"/>
        </w:rPr>
        <w:t>a focus on environment and community as well as industry partnerships</w:t>
      </w:r>
    </w:p>
    <w:p w14:paraId="18AE4104" w14:textId="79570765" w:rsidR="005F2E75" w:rsidRDefault="005F2E75" w:rsidP="005F2E75">
      <w:pPr>
        <w:pStyle w:val="ListBullet"/>
        <w:tabs>
          <w:tab w:val="clear" w:pos="284"/>
          <w:tab w:val="num" w:pos="2444"/>
        </w:tabs>
        <w:ind w:left="2444"/>
        <w:rPr>
          <w:lang w:eastAsia="ja-JP"/>
        </w:rPr>
      </w:pPr>
      <w:r>
        <w:rPr>
          <w:lang w:eastAsia="ja-JP"/>
        </w:rPr>
        <w:t xml:space="preserve">invertebrate transmitted diseases as well </w:t>
      </w:r>
      <w:r w:rsidR="00446B83">
        <w:rPr>
          <w:lang w:eastAsia="ja-JP"/>
        </w:rPr>
        <w:t xml:space="preserve">as </w:t>
      </w:r>
      <w:r>
        <w:rPr>
          <w:lang w:eastAsia="ja-JP"/>
        </w:rPr>
        <w:t>animal diseases.</w:t>
      </w:r>
    </w:p>
    <w:p w14:paraId="7000F697" w14:textId="61999BA4" w:rsidR="00D01B85" w:rsidRDefault="008303E2" w:rsidP="005F2E75">
      <w:pPr>
        <w:pStyle w:val="Glossary"/>
        <w:rPr>
          <w:lang w:eastAsia="ja-JP"/>
        </w:rPr>
      </w:pPr>
      <w:hyperlink w:anchor="Draft_recommendation_10" w:history="1">
        <w:r w:rsidR="005F2E75" w:rsidRPr="00B5627A">
          <w:rPr>
            <w:rStyle w:val="Hyperlink"/>
            <w:lang w:eastAsia="ja-JP"/>
          </w:rPr>
          <w:t>Recommendation 1</w:t>
        </w:r>
        <w:r w:rsidR="009C09B9" w:rsidRPr="00B5627A">
          <w:rPr>
            <w:rStyle w:val="Hyperlink"/>
            <w:lang w:eastAsia="ja-JP"/>
          </w:rPr>
          <w:t>0</w:t>
        </w:r>
      </w:hyperlink>
      <w:r w:rsidR="005F2E75">
        <w:rPr>
          <w:lang w:eastAsia="ja-JP"/>
        </w:rPr>
        <w:tab/>
      </w:r>
      <w:r w:rsidR="005F2E75" w:rsidRPr="00D01B85">
        <w:rPr>
          <w:lang w:eastAsia="ja-JP"/>
        </w:rPr>
        <w:t xml:space="preserve">The Australian Government should establish the senior, expert position of Chief Environmental Biosecurity Officer within the environment </w:t>
      </w:r>
      <w:r w:rsidR="00BA0BB6" w:rsidRPr="00D01B85">
        <w:rPr>
          <w:lang w:eastAsia="ja-JP"/>
        </w:rPr>
        <w:t>department</w:t>
      </w:r>
      <w:r w:rsidR="005F2E75" w:rsidRPr="00D01B85">
        <w:rPr>
          <w:lang w:eastAsia="ja-JP"/>
        </w:rPr>
        <w:t>.</w:t>
      </w:r>
      <w:r w:rsidR="009C09B9" w:rsidRPr="00D01B85">
        <w:rPr>
          <w:lang w:eastAsia="ja-JP"/>
        </w:rPr>
        <w:t xml:space="preserve"> A less preferred option is to house the position in the agriculture </w:t>
      </w:r>
      <w:r w:rsidR="008F0F2B" w:rsidRPr="00D01B85">
        <w:rPr>
          <w:lang w:eastAsia="ja-JP"/>
        </w:rPr>
        <w:t>department</w:t>
      </w:r>
      <w:r w:rsidR="009C09B9" w:rsidRPr="00D01B85">
        <w:rPr>
          <w:lang w:eastAsia="ja-JP"/>
        </w:rPr>
        <w:t>.</w:t>
      </w:r>
      <w:r w:rsidR="005F2E75" w:rsidRPr="00D01B85">
        <w:rPr>
          <w:lang w:eastAsia="ja-JP"/>
        </w:rPr>
        <w:t xml:space="preserve"> The position should report on the effectiveness of Australia’s environmental biosecurity arrangements and achievements. Reports should be made publicly available.</w:t>
      </w:r>
    </w:p>
    <w:p w14:paraId="7000EB46" w14:textId="0197D694" w:rsidR="005F2E75" w:rsidRPr="005F2E75" w:rsidRDefault="008303E2" w:rsidP="005F2E75">
      <w:pPr>
        <w:pStyle w:val="Glossary"/>
      </w:pPr>
      <w:hyperlink w:anchor="Draft_recommendation_11" w:history="1">
        <w:r w:rsidR="005F2E75" w:rsidRPr="00B5627A">
          <w:rPr>
            <w:rStyle w:val="Hyperlink"/>
          </w:rPr>
          <w:t>Recommendation 1</w:t>
        </w:r>
        <w:r w:rsidR="009C09B9" w:rsidRPr="00B5627A">
          <w:rPr>
            <w:rStyle w:val="Hyperlink"/>
          </w:rPr>
          <w:t>1</w:t>
        </w:r>
      </w:hyperlink>
      <w:r w:rsidR="00DD7DC3">
        <w:tab/>
      </w:r>
      <w:r w:rsidR="008F0F2B">
        <w:t xml:space="preserve">The </w:t>
      </w:r>
      <w:r w:rsidR="005F2E75" w:rsidRPr="005F2E75">
        <w:t>NBC should establish and resource a new Environmental Biosecurity Committee</w:t>
      </w:r>
      <w:r w:rsidR="005562D5">
        <w:t xml:space="preserve"> (EBC)</w:t>
      </w:r>
      <w:r w:rsidR="005F2E75" w:rsidRPr="005F2E75">
        <w:t xml:space="preserve">, comprising government and external environment biosecurity experts and representatives from </w:t>
      </w:r>
      <w:r w:rsidR="00B03979">
        <w:t>both the animal and plant sectoral committees of the NBC</w:t>
      </w:r>
      <w:r w:rsidR="005F2E75" w:rsidRPr="009C09B9">
        <w:t>, to</w:t>
      </w:r>
      <w:r w:rsidR="005F2E75" w:rsidRPr="005F2E75">
        <w:t xml:space="preserve"> support the role of the Chief Environmental Biosecurity Officer.</w:t>
      </w:r>
      <w:r w:rsidR="00E261A5">
        <w:t xml:space="preserve"> </w:t>
      </w:r>
      <w:r w:rsidR="005562D5">
        <w:t xml:space="preserve">The role of the EBC should be reviewed following </w:t>
      </w:r>
      <w:r w:rsidR="003D762C">
        <w:t>its work to prioritise national biosecurity risks impacting the environment</w:t>
      </w:r>
      <w:r w:rsidR="005562D5">
        <w:t>.</w:t>
      </w:r>
    </w:p>
    <w:p w14:paraId="6E4ED656" w14:textId="7192458C" w:rsidR="005F2E75" w:rsidRDefault="008303E2" w:rsidP="005F2E75">
      <w:pPr>
        <w:pStyle w:val="Glossary"/>
        <w:rPr>
          <w:lang w:eastAsia="ja-JP"/>
        </w:rPr>
      </w:pPr>
      <w:hyperlink w:anchor="Draft_recommendation_12" w:history="1">
        <w:r w:rsidR="005F2E75" w:rsidRPr="00B5627A">
          <w:rPr>
            <w:rStyle w:val="Hyperlink"/>
            <w:lang w:eastAsia="ja-JP"/>
          </w:rPr>
          <w:t>Recommendation 1</w:t>
        </w:r>
        <w:r w:rsidR="009C09B9" w:rsidRPr="00B5627A">
          <w:rPr>
            <w:rStyle w:val="Hyperlink"/>
            <w:lang w:eastAsia="ja-JP"/>
          </w:rPr>
          <w:t>2</w:t>
        </w:r>
      </w:hyperlink>
      <w:r w:rsidR="005F2E75">
        <w:rPr>
          <w:lang w:eastAsia="ja-JP"/>
        </w:rPr>
        <w:tab/>
      </w:r>
      <w:r w:rsidR="00744DB5">
        <w:rPr>
          <w:lang w:eastAsia="ja-JP"/>
        </w:rPr>
        <w:t>G</w:t>
      </w:r>
      <w:r w:rsidR="005F2E75">
        <w:rPr>
          <w:lang w:eastAsia="ja-JP"/>
        </w:rPr>
        <w:t>reater and explicit roles</w:t>
      </w:r>
      <w:r w:rsidR="009C09B9">
        <w:rPr>
          <w:lang w:eastAsia="ja-JP"/>
        </w:rPr>
        <w:t xml:space="preserve"> should be developed</w:t>
      </w:r>
      <w:r w:rsidR="005F2E75">
        <w:rPr>
          <w:lang w:eastAsia="ja-JP"/>
        </w:rPr>
        <w:t xml:space="preserve"> </w:t>
      </w:r>
      <w:r w:rsidR="005F2E75" w:rsidRPr="009C09B9">
        <w:rPr>
          <w:lang w:eastAsia="ja-JP"/>
        </w:rPr>
        <w:t>for AHA and PHA</w:t>
      </w:r>
      <w:r w:rsidR="005F2E75">
        <w:rPr>
          <w:lang w:eastAsia="ja-JP"/>
        </w:rPr>
        <w:t xml:space="preserve"> in environmental biosecurity, instituted through amended constitutions and expanded board expertise.</w:t>
      </w:r>
    </w:p>
    <w:p w14:paraId="61818F76" w14:textId="04AA494B" w:rsidR="00B674B9" w:rsidRPr="00B674B9" w:rsidRDefault="0012130A" w:rsidP="00E85DA4">
      <w:pPr>
        <w:pStyle w:val="Glossary"/>
        <w:keepNext/>
        <w:rPr>
          <w:rStyle w:val="Strong"/>
        </w:rPr>
      </w:pPr>
      <w:r>
        <w:rPr>
          <w:rStyle w:val="Strong"/>
        </w:rPr>
        <w:lastRenderedPageBreak/>
        <w:t>Building the national system</w:t>
      </w:r>
    </w:p>
    <w:p w14:paraId="42698333" w14:textId="0F040896" w:rsidR="005F2E75" w:rsidRDefault="008303E2" w:rsidP="005F2E75">
      <w:pPr>
        <w:pStyle w:val="Glossary"/>
        <w:rPr>
          <w:lang w:eastAsia="ja-JP"/>
        </w:rPr>
      </w:pPr>
      <w:hyperlink w:anchor="Draft_recommendation_13" w:history="1">
        <w:r w:rsidR="005F2E75" w:rsidRPr="00B5627A">
          <w:rPr>
            <w:rStyle w:val="Hyperlink"/>
            <w:lang w:eastAsia="ja-JP"/>
          </w:rPr>
          <w:t>Recommendation 1</w:t>
        </w:r>
        <w:r w:rsidR="009C09B9" w:rsidRPr="00B5627A">
          <w:rPr>
            <w:rStyle w:val="Hyperlink"/>
            <w:lang w:eastAsia="ja-JP"/>
          </w:rPr>
          <w:t>3</w:t>
        </w:r>
      </w:hyperlink>
      <w:r w:rsidR="005F2E75">
        <w:rPr>
          <w:lang w:eastAsia="ja-JP"/>
        </w:rPr>
        <w:tab/>
      </w:r>
      <w:r w:rsidR="008F0F2B">
        <w:rPr>
          <w:lang w:eastAsia="ja-JP"/>
        </w:rPr>
        <w:t>Jurisdictions</w:t>
      </w:r>
      <w:r w:rsidR="009C09B9" w:rsidRPr="00204CE0">
        <w:rPr>
          <w:lang w:eastAsia="ja-JP"/>
        </w:rPr>
        <w:t xml:space="preserve"> should</w:t>
      </w:r>
      <w:r w:rsidR="009C09B9">
        <w:rPr>
          <w:lang w:eastAsia="ja-JP"/>
        </w:rPr>
        <w:t xml:space="preserve"> </w:t>
      </w:r>
      <w:r w:rsidR="005F2E75">
        <w:rPr>
          <w:lang w:eastAsia="ja-JP"/>
        </w:rPr>
        <w:t>adopt a systematic approach to determine and plan for national priority animal, plant and environmental pests and diseases.</w:t>
      </w:r>
    </w:p>
    <w:p w14:paraId="64DB137E" w14:textId="74EB1ED1" w:rsidR="00453187" w:rsidRDefault="008303E2" w:rsidP="005F2E75">
      <w:pPr>
        <w:pStyle w:val="Glossary"/>
        <w:rPr>
          <w:lang w:eastAsia="ja-JP"/>
        </w:rPr>
      </w:pPr>
      <w:hyperlink w:anchor="Draft_recommendation_14" w:history="1">
        <w:r w:rsidR="005F2E75" w:rsidRPr="00B5627A">
          <w:rPr>
            <w:rStyle w:val="Hyperlink"/>
            <w:lang w:eastAsia="ja-JP"/>
          </w:rPr>
          <w:t>Recommendation 1</w:t>
        </w:r>
        <w:r w:rsidR="00B52320" w:rsidRPr="00B5627A">
          <w:rPr>
            <w:rStyle w:val="Hyperlink"/>
            <w:lang w:eastAsia="ja-JP"/>
          </w:rPr>
          <w:t>4</w:t>
        </w:r>
      </w:hyperlink>
      <w:r w:rsidR="005F2E75">
        <w:rPr>
          <w:lang w:eastAsia="ja-JP"/>
        </w:rPr>
        <w:tab/>
      </w:r>
      <w:r w:rsidR="00453187" w:rsidRPr="00453187">
        <w:rPr>
          <w:lang w:eastAsia="ja-JP"/>
        </w:rPr>
        <w:t>The NBC should lead five-yearly national-level risk prioritisation for emerging animal, plant and environmental risks and pathways, in partnership with system participants, reporting to AGSOC and AGMIN.</w:t>
      </w:r>
    </w:p>
    <w:p w14:paraId="46E06269" w14:textId="77777777" w:rsidR="00204CE0" w:rsidRPr="00204CE0" w:rsidRDefault="00204CE0" w:rsidP="00E85DA4">
      <w:pPr>
        <w:keepNext/>
        <w:spacing w:before="120" w:after="120"/>
        <w:ind w:left="2126" w:hanging="2126"/>
        <w:rPr>
          <w:rStyle w:val="Strong"/>
        </w:rPr>
      </w:pPr>
      <w:r w:rsidRPr="00204CE0">
        <w:rPr>
          <w:rStyle w:val="Strong"/>
        </w:rPr>
        <w:t>Research and innovation</w:t>
      </w:r>
    </w:p>
    <w:p w14:paraId="21D48A38" w14:textId="3EB7643F" w:rsidR="00DC4934" w:rsidRDefault="008303E2" w:rsidP="00C12B2F">
      <w:pPr>
        <w:pStyle w:val="Glossary"/>
        <w:rPr>
          <w:lang w:eastAsia="ja-JP"/>
        </w:rPr>
      </w:pPr>
      <w:hyperlink w:anchor="Draft_recommendation_15" w:history="1">
        <w:r w:rsidR="00DC4934" w:rsidRPr="00803A63">
          <w:rPr>
            <w:rStyle w:val="Hyperlink"/>
            <w:lang w:eastAsia="ja-JP"/>
          </w:rPr>
          <w:t>Recommendation 1</w:t>
        </w:r>
        <w:r w:rsidR="00527BBF" w:rsidRPr="00803A63">
          <w:rPr>
            <w:rStyle w:val="Hyperlink"/>
            <w:lang w:eastAsia="ja-JP"/>
          </w:rPr>
          <w:t>5</w:t>
        </w:r>
      </w:hyperlink>
      <w:r w:rsidR="00DC4934" w:rsidRPr="00803A63">
        <w:rPr>
          <w:lang w:eastAsia="ja-JP"/>
        </w:rPr>
        <w:tab/>
        <w:t xml:space="preserve">The sectoral committees of the NBC, with the endorsement </w:t>
      </w:r>
      <w:r w:rsidR="00807740" w:rsidRPr="00803A63">
        <w:rPr>
          <w:lang w:eastAsia="ja-JP"/>
        </w:rPr>
        <w:t>of</w:t>
      </w:r>
      <w:r w:rsidR="00A24E32" w:rsidRPr="00803A63">
        <w:rPr>
          <w:lang w:eastAsia="ja-JP"/>
        </w:rPr>
        <w:t xml:space="preserve"> the</w:t>
      </w:r>
      <w:r w:rsidR="00DC4934" w:rsidRPr="00803A63">
        <w:rPr>
          <w:lang w:eastAsia="ja-JP"/>
        </w:rPr>
        <w:t xml:space="preserve"> NBC,</w:t>
      </w:r>
      <w:r w:rsidR="00DC4934" w:rsidRPr="00DC4934">
        <w:rPr>
          <w:lang w:eastAsia="ja-JP"/>
        </w:rPr>
        <w:t xml:space="preserve"> </w:t>
      </w:r>
      <w:r w:rsidR="00B52320">
        <w:rPr>
          <w:lang w:eastAsia="ja-JP"/>
        </w:rPr>
        <w:t xml:space="preserve">should </w:t>
      </w:r>
      <w:r w:rsidR="00DC4934" w:rsidRPr="00DC4934">
        <w:rPr>
          <w:lang w:eastAsia="ja-JP"/>
        </w:rPr>
        <w:t xml:space="preserve">develop an agreed set of National Biosecurity R&amp;I Priorities, in consultation with system participants and in line with the agreed national priority pests and diseases. Priorities at a sectoral and cross-sectoral level need to be considered. The priorities should be developed within </w:t>
      </w:r>
      <w:r w:rsidR="00A24E32" w:rsidRPr="00B52320">
        <w:rPr>
          <w:lang w:eastAsia="ja-JP"/>
        </w:rPr>
        <w:t>two</w:t>
      </w:r>
      <w:r w:rsidR="00DC4934" w:rsidRPr="00B52320">
        <w:rPr>
          <w:lang w:eastAsia="ja-JP"/>
        </w:rPr>
        <w:t xml:space="preserve"> years of the final IGAB review report, and should be reviewed every </w:t>
      </w:r>
      <w:r w:rsidR="00A24E32" w:rsidRPr="00B52320">
        <w:rPr>
          <w:lang w:eastAsia="ja-JP"/>
        </w:rPr>
        <w:t>five</w:t>
      </w:r>
      <w:r w:rsidR="00DC4934" w:rsidRPr="00DC4934">
        <w:rPr>
          <w:lang w:eastAsia="ja-JP"/>
        </w:rPr>
        <w:t xml:space="preserve"> years.</w:t>
      </w:r>
    </w:p>
    <w:p w14:paraId="0C3B6182" w14:textId="26EA79F9" w:rsidR="009446C0" w:rsidRPr="00C12B2F" w:rsidRDefault="008303E2" w:rsidP="00C12B2F">
      <w:pPr>
        <w:pStyle w:val="Glossary"/>
        <w:rPr>
          <w:rStyle w:val="Strong"/>
          <w:b w:val="0"/>
          <w:bCs w:val="0"/>
        </w:rPr>
      </w:pPr>
      <w:hyperlink w:anchor="Request_for_feedback_3" w:history="1">
        <w:r w:rsidR="009446C0" w:rsidRPr="00B5627A">
          <w:rPr>
            <w:rStyle w:val="Hyperlink"/>
          </w:rPr>
          <w:t xml:space="preserve">Feedback request </w:t>
        </w:r>
        <w:r w:rsidR="005B64C9" w:rsidRPr="00B5627A">
          <w:rPr>
            <w:rStyle w:val="Hyperlink"/>
          </w:rPr>
          <w:t>3</w:t>
        </w:r>
      </w:hyperlink>
      <w:r w:rsidR="009446C0" w:rsidRPr="00C12B2F">
        <w:rPr>
          <w:rStyle w:val="Strong"/>
          <w:b w:val="0"/>
          <w:bCs w:val="0"/>
        </w:rPr>
        <w:tab/>
        <w:t>The Review Panel seeks feedback on the following options for a new entity for cross-sectoral biosecurity R&amp;I:</w:t>
      </w:r>
    </w:p>
    <w:p w14:paraId="7759E769" w14:textId="5BFE592F" w:rsidR="009446C0" w:rsidRDefault="009446C0" w:rsidP="009446C0">
      <w:pPr>
        <w:pStyle w:val="Glossary"/>
        <w:rPr>
          <w:rStyle w:val="Strong"/>
          <w:b w:val="0"/>
          <w:bCs w:val="0"/>
        </w:rPr>
      </w:pPr>
      <w:r w:rsidRPr="009446C0">
        <w:rPr>
          <w:rStyle w:val="Strong"/>
          <w:b w:val="0"/>
          <w:bCs w:val="0"/>
        </w:rPr>
        <w:tab/>
      </w:r>
      <w:r w:rsidRPr="007141CB">
        <w:rPr>
          <w:rStyle w:val="Strong"/>
          <w:b w:val="0"/>
          <w:bCs w:val="0"/>
        </w:rPr>
        <w:t>Option 1:</w:t>
      </w:r>
      <w:r w:rsidR="004539A4">
        <w:rPr>
          <w:rStyle w:val="Strong"/>
          <w:b w:val="0"/>
          <w:bCs w:val="0"/>
        </w:rPr>
        <w:t xml:space="preserve"> E</w:t>
      </w:r>
      <w:r>
        <w:rPr>
          <w:rStyle w:val="Strong"/>
          <w:b w:val="0"/>
          <w:bCs w:val="0"/>
        </w:rPr>
        <w:t xml:space="preserve">stablishing a new stand-alone entity for cross-sectoral </w:t>
      </w:r>
      <w:r w:rsidR="002A2E03">
        <w:rPr>
          <w:rStyle w:val="Strong"/>
          <w:b w:val="0"/>
          <w:bCs w:val="0"/>
        </w:rPr>
        <w:t xml:space="preserve">biosecurity </w:t>
      </w:r>
      <w:r>
        <w:rPr>
          <w:rStyle w:val="Strong"/>
          <w:b w:val="0"/>
          <w:bCs w:val="0"/>
        </w:rPr>
        <w:t>R&amp;I.</w:t>
      </w:r>
    </w:p>
    <w:p w14:paraId="09257C17" w14:textId="63FA3F08" w:rsidR="009446C0" w:rsidRDefault="009446C0" w:rsidP="009446C0">
      <w:pPr>
        <w:pStyle w:val="Glossary"/>
        <w:rPr>
          <w:rStyle w:val="Strong"/>
          <w:b w:val="0"/>
          <w:bCs w:val="0"/>
        </w:rPr>
      </w:pPr>
      <w:r w:rsidRPr="009446C0">
        <w:rPr>
          <w:rStyle w:val="Strong"/>
          <w:b w:val="0"/>
          <w:bCs w:val="0"/>
        </w:rPr>
        <w:tab/>
      </w:r>
      <w:r w:rsidRPr="007141CB">
        <w:rPr>
          <w:rStyle w:val="Strong"/>
          <w:b w:val="0"/>
          <w:bCs w:val="0"/>
        </w:rPr>
        <w:t>Option 2:</w:t>
      </w:r>
      <w:r w:rsidR="004539A4">
        <w:rPr>
          <w:rStyle w:val="Strong"/>
          <w:b w:val="0"/>
          <w:bCs w:val="0"/>
        </w:rPr>
        <w:t xml:space="preserve"> A</w:t>
      </w:r>
      <w:r>
        <w:rPr>
          <w:rStyle w:val="Strong"/>
          <w:b w:val="0"/>
          <w:bCs w:val="0"/>
        </w:rPr>
        <w:t>ddressing cross-sectoral biosecurity R&amp;I within an existing RDC (for example, the Rural Industries RDC).</w:t>
      </w:r>
    </w:p>
    <w:p w14:paraId="181207CC" w14:textId="308BAD5C" w:rsidR="009446C0" w:rsidRPr="009446C0" w:rsidRDefault="009446C0" w:rsidP="009446C0">
      <w:pPr>
        <w:pStyle w:val="Glossary"/>
      </w:pPr>
      <w:r>
        <w:rPr>
          <w:rStyle w:val="Strong"/>
          <w:b w:val="0"/>
          <w:bCs w:val="0"/>
        </w:rPr>
        <w:tab/>
      </w:r>
      <w:r w:rsidRPr="00561FD5">
        <w:rPr>
          <w:rStyle w:val="Strong"/>
          <w:b w:val="0"/>
          <w:bCs w:val="0"/>
        </w:rPr>
        <w:t>The Panel also seeks feedback on the funding options and would welcome alternative suggestions.</w:t>
      </w:r>
    </w:p>
    <w:p w14:paraId="71C73C5D" w14:textId="05303914" w:rsidR="00B674B9" w:rsidRPr="00B674B9" w:rsidRDefault="009446C0" w:rsidP="00E85DA4">
      <w:pPr>
        <w:pStyle w:val="Glossary"/>
        <w:keepNext/>
        <w:rPr>
          <w:rStyle w:val="Strong"/>
        </w:rPr>
      </w:pPr>
      <w:r>
        <w:rPr>
          <w:rStyle w:val="Strong"/>
        </w:rPr>
        <w:t>Strengthening g</w:t>
      </w:r>
      <w:r w:rsidR="00B674B9" w:rsidRPr="00B674B9">
        <w:rPr>
          <w:rStyle w:val="Strong"/>
        </w:rPr>
        <w:t>overnance</w:t>
      </w:r>
    </w:p>
    <w:p w14:paraId="0363BA91" w14:textId="385A33F6" w:rsidR="0094727C" w:rsidRDefault="008303E2" w:rsidP="0094727C">
      <w:pPr>
        <w:pStyle w:val="Glossary"/>
        <w:rPr>
          <w:lang w:eastAsia="ja-JP"/>
        </w:rPr>
      </w:pPr>
      <w:hyperlink w:anchor="Draft_recommendation_16" w:history="1">
        <w:r w:rsidR="002749BD" w:rsidRPr="00B5627A">
          <w:rPr>
            <w:rStyle w:val="Hyperlink"/>
            <w:lang w:eastAsia="ja-JP"/>
          </w:rPr>
          <w:t xml:space="preserve">Recommendation </w:t>
        </w:r>
        <w:r w:rsidR="00DC4934" w:rsidRPr="00B5627A">
          <w:rPr>
            <w:rStyle w:val="Hyperlink"/>
            <w:lang w:eastAsia="ja-JP"/>
          </w:rPr>
          <w:t>1</w:t>
        </w:r>
        <w:r w:rsidR="00527BBF">
          <w:rPr>
            <w:rStyle w:val="Hyperlink"/>
            <w:lang w:eastAsia="ja-JP"/>
          </w:rPr>
          <w:t>6</w:t>
        </w:r>
      </w:hyperlink>
      <w:r w:rsidR="002749BD" w:rsidRPr="002749BD">
        <w:rPr>
          <w:lang w:eastAsia="ja-JP"/>
        </w:rPr>
        <w:tab/>
      </w:r>
      <w:r w:rsidR="00744DB5">
        <w:rPr>
          <w:lang w:eastAsia="ja-JP"/>
        </w:rPr>
        <w:t>A</w:t>
      </w:r>
      <w:r w:rsidR="002749BD" w:rsidRPr="002749BD">
        <w:rPr>
          <w:lang w:eastAsia="ja-JP"/>
        </w:rPr>
        <w:t xml:space="preserve"> future IGAB should remain an agreement between the First Ministers of the Australian, state and territory governments.</w:t>
      </w:r>
    </w:p>
    <w:p w14:paraId="23F90D0B" w14:textId="30B58BDA" w:rsidR="00E55618" w:rsidRDefault="008303E2" w:rsidP="005F2E75">
      <w:pPr>
        <w:pStyle w:val="Glossary"/>
        <w:rPr>
          <w:lang w:eastAsia="ja-JP"/>
        </w:rPr>
      </w:pPr>
      <w:hyperlink w:anchor="Draft_recommendation_17" w:history="1">
        <w:r w:rsidR="0094727C" w:rsidRPr="00EC0C62">
          <w:rPr>
            <w:rStyle w:val="Hyperlink"/>
            <w:lang w:eastAsia="ja-JP"/>
          </w:rPr>
          <w:t xml:space="preserve">Recommendation </w:t>
        </w:r>
        <w:r w:rsidR="00B52320" w:rsidRPr="00EC0C62">
          <w:rPr>
            <w:rStyle w:val="Hyperlink"/>
            <w:lang w:eastAsia="ja-JP"/>
          </w:rPr>
          <w:t>1</w:t>
        </w:r>
        <w:r w:rsidR="00527BBF" w:rsidRPr="00EC0C62">
          <w:rPr>
            <w:rStyle w:val="Hyperlink"/>
            <w:lang w:eastAsia="ja-JP"/>
          </w:rPr>
          <w:t>7</w:t>
        </w:r>
      </w:hyperlink>
      <w:r w:rsidR="0094727C" w:rsidRPr="0094727C">
        <w:rPr>
          <w:lang w:eastAsia="ja-JP"/>
        </w:rPr>
        <w:tab/>
      </w:r>
      <w:r w:rsidR="00F12067" w:rsidRPr="00F12067">
        <w:rPr>
          <w:lang w:eastAsia="ja-JP"/>
        </w:rPr>
        <w:t>First Ministers should, within IGAB2, identify lead ministers and agencies for biosecurity (assumed to be agriculture or primary industries) and require supporting whole-of-government arrangements to be in place, including through memoranda of understanding.</w:t>
      </w:r>
    </w:p>
    <w:p w14:paraId="24761399" w14:textId="49A9C77C" w:rsidR="0094727C" w:rsidRDefault="008303E2" w:rsidP="005F2E75">
      <w:pPr>
        <w:pStyle w:val="Glossary"/>
        <w:rPr>
          <w:lang w:eastAsia="ja-JP"/>
        </w:rPr>
      </w:pPr>
      <w:hyperlink w:anchor="Draft_recommendation_18" w:history="1">
        <w:r w:rsidR="0094727C" w:rsidRPr="00EC0C62">
          <w:rPr>
            <w:rStyle w:val="Hyperlink"/>
            <w:lang w:eastAsia="ja-JP"/>
          </w:rPr>
          <w:t xml:space="preserve">Recommendation </w:t>
        </w:r>
        <w:r w:rsidR="00B52320" w:rsidRPr="00EC0C62">
          <w:rPr>
            <w:rStyle w:val="Hyperlink"/>
            <w:lang w:eastAsia="ja-JP"/>
          </w:rPr>
          <w:t>1</w:t>
        </w:r>
        <w:r w:rsidR="00527BBF" w:rsidRPr="00EC0C62">
          <w:rPr>
            <w:rStyle w:val="Hyperlink"/>
            <w:lang w:eastAsia="ja-JP"/>
          </w:rPr>
          <w:t>8</w:t>
        </w:r>
      </w:hyperlink>
      <w:r w:rsidR="0094727C" w:rsidRPr="0094727C">
        <w:rPr>
          <w:lang w:eastAsia="ja-JP"/>
        </w:rPr>
        <w:tab/>
        <w:t>First Ministers should formally establish the NBC and articulate its Terms of Reference in the IGAB.</w:t>
      </w:r>
    </w:p>
    <w:p w14:paraId="60DA9BB0" w14:textId="084E025E" w:rsidR="0094727C" w:rsidRDefault="008303E2" w:rsidP="005F2E75">
      <w:pPr>
        <w:pStyle w:val="Glossary"/>
        <w:rPr>
          <w:lang w:eastAsia="ja-JP"/>
        </w:rPr>
      </w:pPr>
      <w:hyperlink w:anchor="Draft_recommendation_19" w:history="1">
        <w:r w:rsidR="0094727C" w:rsidRPr="00B5627A">
          <w:rPr>
            <w:rStyle w:val="Hyperlink"/>
            <w:lang w:eastAsia="ja-JP"/>
          </w:rPr>
          <w:t xml:space="preserve">Recommendation </w:t>
        </w:r>
        <w:r w:rsidR="00527BBF">
          <w:rPr>
            <w:rStyle w:val="Hyperlink"/>
            <w:lang w:eastAsia="ja-JP"/>
          </w:rPr>
          <w:t>19</w:t>
        </w:r>
      </w:hyperlink>
      <w:r w:rsidR="0094727C" w:rsidRPr="0094727C">
        <w:rPr>
          <w:lang w:eastAsia="ja-JP"/>
        </w:rPr>
        <w:tab/>
        <w:t>The NBC</w:t>
      </w:r>
      <w:r w:rsidR="00B52320">
        <w:rPr>
          <w:lang w:eastAsia="ja-JP"/>
        </w:rPr>
        <w:t xml:space="preserve"> should</w:t>
      </w:r>
      <w:r w:rsidR="0094727C" w:rsidRPr="0094727C">
        <w:rPr>
          <w:lang w:eastAsia="ja-JP"/>
        </w:rPr>
        <w:t xml:space="preserve"> include the CEO of the Australian Local Government Association, and the New Zealand Government be invited to include a representative.</w:t>
      </w:r>
    </w:p>
    <w:p w14:paraId="052DFF7B" w14:textId="6EA1B839" w:rsidR="00432A57" w:rsidRDefault="008303E2" w:rsidP="005F2E75">
      <w:pPr>
        <w:pStyle w:val="Glossary"/>
        <w:rPr>
          <w:lang w:eastAsia="ja-JP"/>
        </w:rPr>
      </w:pPr>
      <w:hyperlink w:anchor="Request_for_feedback_4" w:history="1">
        <w:r w:rsidR="00432A57" w:rsidRPr="00B5627A">
          <w:rPr>
            <w:rStyle w:val="Hyperlink"/>
            <w:lang w:eastAsia="ja-JP"/>
          </w:rPr>
          <w:t xml:space="preserve">Feedback request </w:t>
        </w:r>
        <w:r w:rsidR="005B64C9" w:rsidRPr="00B5627A">
          <w:rPr>
            <w:rStyle w:val="Hyperlink"/>
            <w:lang w:eastAsia="ja-JP"/>
          </w:rPr>
          <w:t>4</w:t>
        </w:r>
      </w:hyperlink>
      <w:r w:rsidR="00432A57">
        <w:rPr>
          <w:lang w:eastAsia="ja-JP"/>
        </w:rPr>
        <w:tab/>
        <w:t>The Review Panel seeks feedback on the proposed Terms of Reference for the NBC.</w:t>
      </w:r>
    </w:p>
    <w:p w14:paraId="3D93973D" w14:textId="3C854EF6" w:rsidR="001617D0" w:rsidRDefault="008303E2" w:rsidP="005F2E75">
      <w:pPr>
        <w:pStyle w:val="Glossary"/>
        <w:rPr>
          <w:lang w:eastAsia="ja-JP"/>
        </w:rPr>
      </w:pPr>
      <w:hyperlink w:anchor="Draft_recommendation_20" w:history="1">
        <w:r w:rsidR="001617D0" w:rsidRPr="00EC0C62">
          <w:rPr>
            <w:rStyle w:val="Hyperlink"/>
            <w:lang w:eastAsia="ja-JP"/>
          </w:rPr>
          <w:t>Recommendation 2</w:t>
        </w:r>
        <w:r w:rsidR="00527BBF" w:rsidRPr="00EC0C62">
          <w:rPr>
            <w:rStyle w:val="Hyperlink"/>
            <w:lang w:eastAsia="ja-JP"/>
          </w:rPr>
          <w:t>0</w:t>
        </w:r>
      </w:hyperlink>
      <w:r w:rsidR="001617D0" w:rsidRPr="001617D0">
        <w:rPr>
          <w:lang w:eastAsia="ja-JP"/>
        </w:rPr>
        <w:tab/>
        <w:t>The NBC</w:t>
      </w:r>
      <w:r w:rsidR="00B52320">
        <w:rPr>
          <w:lang w:eastAsia="ja-JP"/>
        </w:rPr>
        <w:t xml:space="preserve"> should</w:t>
      </w:r>
      <w:r w:rsidR="001617D0" w:rsidRPr="001617D0">
        <w:rPr>
          <w:lang w:eastAsia="ja-JP"/>
        </w:rPr>
        <w:t xml:space="preserve"> adopt a sub-committee structure that aligns with the revised national biosecurity system objectives and national reform priorities in the IGAB. All NBC </w:t>
      </w:r>
      <w:r w:rsidR="00057709">
        <w:rPr>
          <w:lang w:eastAsia="ja-JP"/>
        </w:rPr>
        <w:t>working groups</w:t>
      </w:r>
      <w:r w:rsidR="001617D0" w:rsidRPr="001617D0">
        <w:rPr>
          <w:lang w:eastAsia="ja-JP"/>
        </w:rPr>
        <w:t xml:space="preserve"> and expert groups should be task-specific and, wherever possible, time-limited.</w:t>
      </w:r>
    </w:p>
    <w:p w14:paraId="621DD301" w14:textId="0E027B8C" w:rsidR="00B91BBF" w:rsidRDefault="008303E2" w:rsidP="00B91BBF">
      <w:pPr>
        <w:pStyle w:val="Glossary"/>
        <w:rPr>
          <w:lang w:eastAsia="ja-JP"/>
        </w:rPr>
      </w:pPr>
      <w:hyperlink w:anchor="Draft_recommendation_21" w:history="1">
        <w:r w:rsidR="00E16052" w:rsidRPr="00B5627A">
          <w:rPr>
            <w:rStyle w:val="Hyperlink"/>
            <w:lang w:eastAsia="ja-JP"/>
          </w:rPr>
          <w:t>Recommendation 2</w:t>
        </w:r>
        <w:r w:rsidR="00527BBF">
          <w:rPr>
            <w:rStyle w:val="Hyperlink"/>
            <w:lang w:eastAsia="ja-JP"/>
          </w:rPr>
          <w:t>1</w:t>
        </w:r>
      </w:hyperlink>
      <w:r w:rsidR="00E16052" w:rsidRPr="00E16052">
        <w:rPr>
          <w:lang w:eastAsia="ja-JP"/>
        </w:rPr>
        <w:tab/>
      </w:r>
      <w:r w:rsidR="00A82C78">
        <w:rPr>
          <w:lang w:eastAsia="ja-JP"/>
        </w:rPr>
        <w:t>The NBC should take steps to increase its public profile and openness, including establishing a stand-alone website. The website could be maintained by, but be separate from, the Australian Government Department of Agriculture and Water Resources, and could accommodate and centralise all information on the NBC, its committees, and their activities. Key policy frameworks, agreements and reports of the NBC should be made publicly available on the site</w:t>
      </w:r>
      <w:r w:rsidR="00132493">
        <w:rPr>
          <w:lang w:eastAsia="ja-JP"/>
        </w:rPr>
        <w:t>.</w:t>
      </w:r>
    </w:p>
    <w:p w14:paraId="2D34B105" w14:textId="0FF2FC38" w:rsidR="00B91BBF" w:rsidRDefault="008303E2" w:rsidP="00B91BBF">
      <w:pPr>
        <w:pStyle w:val="Glossary"/>
        <w:rPr>
          <w:lang w:eastAsia="ja-JP"/>
        </w:rPr>
      </w:pPr>
      <w:hyperlink w:anchor="Draft_recommendation_22" w:history="1">
        <w:r w:rsidR="00B91BBF" w:rsidRPr="00B5627A">
          <w:rPr>
            <w:rStyle w:val="Hyperlink"/>
            <w:lang w:eastAsia="ja-JP"/>
          </w:rPr>
          <w:t>Recommendation 2</w:t>
        </w:r>
        <w:r w:rsidR="00527BBF">
          <w:rPr>
            <w:rStyle w:val="Hyperlink"/>
            <w:lang w:eastAsia="ja-JP"/>
          </w:rPr>
          <w:t>2</w:t>
        </w:r>
      </w:hyperlink>
      <w:r w:rsidR="00B91BBF" w:rsidRPr="00B91BBF">
        <w:rPr>
          <w:lang w:eastAsia="ja-JP"/>
        </w:rPr>
        <w:tab/>
        <w:t>AGSOC</w:t>
      </w:r>
      <w:r w:rsidR="00ED16F9">
        <w:rPr>
          <w:lang w:eastAsia="ja-JP"/>
        </w:rPr>
        <w:t xml:space="preserve"> should</w:t>
      </w:r>
      <w:r w:rsidR="00B91BBF" w:rsidRPr="00B91BBF">
        <w:rPr>
          <w:lang w:eastAsia="ja-JP"/>
        </w:rPr>
        <w:t xml:space="preserve"> establish and </w:t>
      </w:r>
      <w:r w:rsidR="00BA4A47">
        <w:rPr>
          <w:lang w:eastAsia="ja-JP"/>
        </w:rPr>
        <w:t xml:space="preserve">provide </w:t>
      </w:r>
      <w:r w:rsidR="00B91BBF" w:rsidRPr="00B91BBF">
        <w:rPr>
          <w:lang w:eastAsia="ja-JP"/>
        </w:rPr>
        <w:t xml:space="preserve">oversight </w:t>
      </w:r>
      <w:r w:rsidR="00BA4A47">
        <w:rPr>
          <w:lang w:eastAsia="ja-JP"/>
        </w:rPr>
        <w:t xml:space="preserve">to </w:t>
      </w:r>
      <w:r w:rsidR="00B91BBF" w:rsidRPr="00B91BBF">
        <w:rPr>
          <w:lang w:eastAsia="ja-JP"/>
        </w:rPr>
        <w:t xml:space="preserve">an independent IGAB Evaluation Program to assess and report on implementation of each jurisdictions’ commitments under the IGAB. </w:t>
      </w:r>
      <w:r w:rsidR="0081049D">
        <w:rPr>
          <w:lang w:eastAsia="ja-JP"/>
        </w:rPr>
        <w:t xml:space="preserve">The evaluations, or a summary of them, should be made publicly available </w:t>
      </w:r>
      <w:r w:rsidR="004F03BA">
        <w:rPr>
          <w:lang w:eastAsia="ja-JP"/>
        </w:rPr>
        <w:t>following</w:t>
      </w:r>
      <w:r w:rsidR="0081049D">
        <w:rPr>
          <w:lang w:eastAsia="ja-JP"/>
        </w:rPr>
        <w:t xml:space="preserve"> ministerial consideration</w:t>
      </w:r>
      <w:r w:rsidR="00B91BBF" w:rsidRPr="00B91BBF">
        <w:rPr>
          <w:lang w:eastAsia="ja-JP"/>
        </w:rPr>
        <w:t>.</w:t>
      </w:r>
    </w:p>
    <w:p w14:paraId="5977D69F" w14:textId="1E3BC36B" w:rsidR="00B91BBF" w:rsidRDefault="008303E2" w:rsidP="00B91BBF">
      <w:pPr>
        <w:pStyle w:val="Glossary"/>
        <w:rPr>
          <w:lang w:eastAsia="ja-JP"/>
        </w:rPr>
      </w:pPr>
      <w:hyperlink w:anchor="Draft_recommendation_23" w:history="1">
        <w:r w:rsidR="00B91BBF" w:rsidRPr="00B5627A">
          <w:rPr>
            <w:rStyle w:val="Hyperlink"/>
            <w:lang w:eastAsia="ja-JP"/>
          </w:rPr>
          <w:t>Recommendation 2</w:t>
        </w:r>
        <w:r w:rsidR="00527BBF">
          <w:rPr>
            <w:rStyle w:val="Hyperlink"/>
            <w:lang w:eastAsia="ja-JP"/>
          </w:rPr>
          <w:t>3</w:t>
        </w:r>
      </w:hyperlink>
      <w:r w:rsidR="00B91BBF" w:rsidRPr="00B91BBF">
        <w:rPr>
          <w:lang w:eastAsia="ja-JP"/>
        </w:rPr>
        <w:tab/>
        <w:t xml:space="preserve">The NBC </w:t>
      </w:r>
      <w:r w:rsidR="00ED16F9">
        <w:rPr>
          <w:lang w:eastAsia="ja-JP"/>
        </w:rPr>
        <w:t xml:space="preserve">should </w:t>
      </w:r>
      <w:r w:rsidR="00B91BBF" w:rsidRPr="00B91BBF">
        <w:rPr>
          <w:lang w:eastAsia="ja-JP"/>
        </w:rPr>
        <w:t>clarify core commitments of jurisdictions for use in the independent IGAB Evaluation Program to be documented in a future IGAB.</w:t>
      </w:r>
    </w:p>
    <w:p w14:paraId="65716860" w14:textId="1C4E2BB3" w:rsidR="00B91BBF" w:rsidRDefault="008303E2" w:rsidP="00B91BBF">
      <w:pPr>
        <w:pStyle w:val="Glossary"/>
        <w:rPr>
          <w:lang w:eastAsia="ja-JP"/>
        </w:rPr>
      </w:pPr>
      <w:hyperlink w:anchor="Draft_recommendation_24" w:history="1">
        <w:r w:rsidR="00B91BBF" w:rsidRPr="00B5627A">
          <w:rPr>
            <w:rStyle w:val="Hyperlink"/>
            <w:lang w:eastAsia="ja-JP"/>
          </w:rPr>
          <w:t>Recommendation 2</w:t>
        </w:r>
        <w:r w:rsidR="00527BBF">
          <w:rPr>
            <w:rStyle w:val="Hyperlink"/>
            <w:lang w:eastAsia="ja-JP"/>
          </w:rPr>
          <w:t>4</w:t>
        </w:r>
      </w:hyperlink>
      <w:r w:rsidR="00B91BBF" w:rsidRPr="00B91BBF">
        <w:rPr>
          <w:lang w:eastAsia="ja-JP"/>
        </w:rPr>
        <w:tab/>
      </w:r>
      <w:r w:rsidR="00264D30" w:rsidRPr="00264D30">
        <w:rPr>
          <w:lang w:eastAsia="ja-JP"/>
        </w:rPr>
        <w:t xml:space="preserve">The NBC should report annually to AGMIN on its progress of priority reform areas. </w:t>
      </w:r>
      <w:r w:rsidR="00807740">
        <w:rPr>
          <w:lang w:eastAsia="ja-JP"/>
        </w:rPr>
        <w:t xml:space="preserve">The </w:t>
      </w:r>
      <w:r w:rsidR="00264D30" w:rsidRPr="00264D30">
        <w:rPr>
          <w:lang w:eastAsia="ja-JP"/>
        </w:rPr>
        <w:t>NBC’s work program and annual report should be made publicly available</w:t>
      </w:r>
      <w:r w:rsidR="00C32871">
        <w:rPr>
          <w:lang w:eastAsia="ja-JP"/>
        </w:rPr>
        <w:t xml:space="preserve"> upon ministerial consideration</w:t>
      </w:r>
      <w:r w:rsidR="00264D30" w:rsidRPr="00264D30">
        <w:rPr>
          <w:lang w:eastAsia="ja-JP"/>
        </w:rPr>
        <w:t>.</w:t>
      </w:r>
    </w:p>
    <w:p w14:paraId="4ABE2A2E" w14:textId="54844961" w:rsidR="00B91BBF" w:rsidRDefault="008303E2" w:rsidP="00B91BBF">
      <w:pPr>
        <w:pStyle w:val="Glossary"/>
        <w:rPr>
          <w:lang w:eastAsia="ja-JP"/>
        </w:rPr>
      </w:pPr>
      <w:hyperlink w:anchor="Draft_recommendation_25" w:history="1">
        <w:r w:rsidR="00B91BBF" w:rsidRPr="00B5627A">
          <w:rPr>
            <w:rStyle w:val="Hyperlink"/>
            <w:lang w:eastAsia="ja-JP"/>
          </w:rPr>
          <w:t>Recommendation 2</w:t>
        </w:r>
        <w:r w:rsidR="00527BBF">
          <w:rPr>
            <w:rStyle w:val="Hyperlink"/>
            <w:lang w:eastAsia="ja-JP"/>
          </w:rPr>
          <w:t>5</w:t>
        </w:r>
      </w:hyperlink>
      <w:r w:rsidR="00B91BBF" w:rsidRPr="00B91BBF">
        <w:rPr>
          <w:lang w:eastAsia="ja-JP"/>
        </w:rPr>
        <w:tab/>
        <w:t xml:space="preserve">AGSOC </w:t>
      </w:r>
      <w:r w:rsidR="00ED16F9">
        <w:rPr>
          <w:lang w:eastAsia="ja-JP"/>
        </w:rPr>
        <w:t xml:space="preserve">should </w:t>
      </w:r>
      <w:r w:rsidR="00B91BBF" w:rsidRPr="00B91BBF">
        <w:rPr>
          <w:lang w:eastAsia="ja-JP"/>
        </w:rPr>
        <w:t>establish, as a priority, a</w:t>
      </w:r>
      <w:r w:rsidR="00C96D9A">
        <w:rPr>
          <w:lang w:eastAsia="ja-JP"/>
        </w:rPr>
        <w:t>n Industry and</w:t>
      </w:r>
      <w:r w:rsidR="00B91BBF" w:rsidRPr="00B91BBF">
        <w:rPr>
          <w:lang w:eastAsia="ja-JP"/>
        </w:rPr>
        <w:t xml:space="preserve"> </w:t>
      </w:r>
      <w:r w:rsidR="00C96D9A">
        <w:rPr>
          <w:lang w:eastAsia="ja-JP"/>
        </w:rPr>
        <w:t>Community</w:t>
      </w:r>
      <w:r w:rsidR="00B91BBF" w:rsidRPr="00B91BBF">
        <w:rPr>
          <w:lang w:eastAsia="ja-JP"/>
        </w:rPr>
        <w:t xml:space="preserve"> Advisory Committee to provide advice to the NBC on key policies and reforms.</w:t>
      </w:r>
    </w:p>
    <w:p w14:paraId="7C64F17C" w14:textId="73664D04" w:rsidR="00B91BBF" w:rsidRDefault="008303E2" w:rsidP="00B91BBF">
      <w:pPr>
        <w:pStyle w:val="Glossary"/>
        <w:rPr>
          <w:lang w:eastAsia="ja-JP"/>
        </w:rPr>
      </w:pPr>
      <w:hyperlink w:anchor="Draft_recommendation_26" w:history="1">
        <w:r w:rsidR="00B91BBF" w:rsidRPr="006E173E">
          <w:rPr>
            <w:rStyle w:val="Hyperlink"/>
            <w:lang w:eastAsia="ja-JP"/>
          </w:rPr>
          <w:t xml:space="preserve">Recommendation </w:t>
        </w:r>
        <w:r w:rsidR="00DC4934" w:rsidRPr="006E173E">
          <w:rPr>
            <w:rStyle w:val="Hyperlink"/>
            <w:lang w:eastAsia="ja-JP"/>
          </w:rPr>
          <w:t>2</w:t>
        </w:r>
        <w:r w:rsidR="00527BBF" w:rsidRPr="006E173E">
          <w:rPr>
            <w:rStyle w:val="Hyperlink"/>
            <w:lang w:eastAsia="ja-JP"/>
          </w:rPr>
          <w:t>6</w:t>
        </w:r>
      </w:hyperlink>
      <w:r w:rsidR="00B91BBF" w:rsidRPr="00B91BBF">
        <w:rPr>
          <w:lang w:eastAsia="ja-JP"/>
        </w:rPr>
        <w:tab/>
      </w:r>
      <w:r w:rsidR="00ED16F9">
        <w:rPr>
          <w:lang w:eastAsia="ja-JP"/>
        </w:rPr>
        <w:t>The NBC should c</w:t>
      </w:r>
      <w:r w:rsidR="00B91BBF" w:rsidRPr="00B91BBF">
        <w:rPr>
          <w:lang w:eastAsia="ja-JP"/>
        </w:rPr>
        <w:t>onven</w:t>
      </w:r>
      <w:r w:rsidR="00ED16F9">
        <w:rPr>
          <w:lang w:eastAsia="ja-JP"/>
        </w:rPr>
        <w:t>e</w:t>
      </w:r>
      <w:r w:rsidR="00B91BBF" w:rsidRPr="00B91BBF">
        <w:rPr>
          <w:lang w:eastAsia="ja-JP"/>
        </w:rPr>
        <w:t xml:space="preserve"> a dedicated annual national Biosecurity Roundtable for AHA and PHA members to provide direct input to the NBC.</w:t>
      </w:r>
    </w:p>
    <w:p w14:paraId="47912CE4" w14:textId="7AB28D10" w:rsidR="00B674B9" w:rsidRPr="00B674B9" w:rsidRDefault="00B674B9" w:rsidP="00E85DA4">
      <w:pPr>
        <w:pStyle w:val="Glossary"/>
        <w:keepNext/>
        <w:tabs>
          <w:tab w:val="left" w:pos="2454"/>
        </w:tabs>
        <w:rPr>
          <w:rStyle w:val="Strong"/>
        </w:rPr>
      </w:pPr>
      <w:r w:rsidRPr="00B674B9">
        <w:rPr>
          <w:rStyle w:val="Strong"/>
        </w:rPr>
        <w:t>Funding</w:t>
      </w:r>
      <w:r w:rsidR="006975EA">
        <w:rPr>
          <w:rStyle w:val="Strong"/>
        </w:rPr>
        <w:t xml:space="preserve"> our national system</w:t>
      </w:r>
    </w:p>
    <w:p w14:paraId="2773F0A2" w14:textId="40DBF26B" w:rsidR="00854465" w:rsidRDefault="008303E2" w:rsidP="00854465">
      <w:pPr>
        <w:pStyle w:val="Glossary"/>
        <w:tabs>
          <w:tab w:val="left" w:pos="2454"/>
        </w:tabs>
        <w:rPr>
          <w:lang w:eastAsia="ja-JP"/>
        </w:rPr>
      </w:pPr>
      <w:hyperlink w:anchor="Draft_recommendation_27" w:history="1">
        <w:r w:rsidR="00854465" w:rsidRPr="006E173E">
          <w:rPr>
            <w:rStyle w:val="Hyperlink"/>
            <w:lang w:eastAsia="ja-JP"/>
          </w:rPr>
          <w:t xml:space="preserve">Recommendation </w:t>
        </w:r>
        <w:r w:rsidR="00ED16F9" w:rsidRPr="006E173E">
          <w:rPr>
            <w:rStyle w:val="Hyperlink"/>
            <w:lang w:eastAsia="ja-JP"/>
          </w:rPr>
          <w:t>2</w:t>
        </w:r>
        <w:r w:rsidR="00527BBF" w:rsidRPr="006E173E">
          <w:rPr>
            <w:rStyle w:val="Hyperlink"/>
            <w:lang w:eastAsia="ja-JP"/>
          </w:rPr>
          <w:t>7</w:t>
        </w:r>
      </w:hyperlink>
      <w:r w:rsidR="00854465">
        <w:rPr>
          <w:lang w:eastAsia="ja-JP"/>
        </w:rPr>
        <w:tab/>
      </w:r>
      <w:r w:rsidR="00854465" w:rsidRPr="00854465">
        <w:rPr>
          <w:lang w:eastAsia="ja-JP"/>
        </w:rPr>
        <w:t xml:space="preserve">The NBC and the Industry and Community Advisory </w:t>
      </w:r>
      <w:r w:rsidR="00200679">
        <w:rPr>
          <w:lang w:eastAsia="ja-JP"/>
        </w:rPr>
        <w:t>Committee</w:t>
      </w:r>
      <w:r w:rsidR="00854465" w:rsidRPr="00854465">
        <w:rPr>
          <w:lang w:eastAsia="ja-JP"/>
        </w:rPr>
        <w:t xml:space="preserve">, in consultation with other key stakeholders, </w:t>
      </w:r>
      <w:r w:rsidR="00ED16F9">
        <w:rPr>
          <w:lang w:eastAsia="ja-JP"/>
        </w:rPr>
        <w:t xml:space="preserve">should </w:t>
      </w:r>
      <w:r w:rsidR="00854465" w:rsidRPr="00854465">
        <w:rPr>
          <w:lang w:eastAsia="ja-JP"/>
        </w:rPr>
        <w:t>revise the National Framework for Cost Sharing Biosecurity Activities to enable its practical application.</w:t>
      </w:r>
    </w:p>
    <w:p w14:paraId="25E34D78" w14:textId="7F4A8369" w:rsidR="00D80661" w:rsidRDefault="008303E2" w:rsidP="00E212C8">
      <w:pPr>
        <w:pStyle w:val="Glossary"/>
      </w:pPr>
      <w:hyperlink w:anchor="Draft_recommendation_28" w:history="1">
        <w:r w:rsidR="00D80661" w:rsidRPr="006E173E">
          <w:rPr>
            <w:rStyle w:val="Hyperlink"/>
          </w:rPr>
          <w:t xml:space="preserve">Recommendation </w:t>
        </w:r>
        <w:r w:rsidR="00ED16F9" w:rsidRPr="006E173E">
          <w:rPr>
            <w:rStyle w:val="Hyperlink"/>
          </w:rPr>
          <w:t>2</w:t>
        </w:r>
        <w:r w:rsidR="00527BBF" w:rsidRPr="006E173E">
          <w:rPr>
            <w:rStyle w:val="Hyperlink"/>
          </w:rPr>
          <w:t>8</w:t>
        </w:r>
      </w:hyperlink>
      <w:r w:rsidR="00D80661" w:rsidRPr="00D80661">
        <w:tab/>
        <w:t xml:space="preserve">The NBC, with key industry and non-government partners, </w:t>
      </w:r>
      <w:r w:rsidR="00ED16F9">
        <w:t xml:space="preserve">should </w:t>
      </w:r>
      <w:r w:rsidR="00D80661" w:rsidRPr="00D80661">
        <w:t>agree uniform and fully inclusive categories of</w:t>
      </w:r>
      <w:r w:rsidR="00ED16F9">
        <w:t xml:space="preserve"> funding</w:t>
      </w:r>
      <w:r w:rsidR="00D80661" w:rsidRPr="00D80661">
        <w:t xml:space="preserve"> activity for the national biosecurity system.</w:t>
      </w:r>
    </w:p>
    <w:p w14:paraId="1C1FCD89" w14:textId="3EBEC805" w:rsidR="008241EF" w:rsidRDefault="008303E2" w:rsidP="00E212C8">
      <w:pPr>
        <w:pStyle w:val="Glossary"/>
      </w:pPr>
      <w:hyperlink w:anchor="Draft_recommendation_29" w:history="1">
        <w:r w:rsidR="008241EF" w:rsidRPr="00B5627A">
          <w:rPr>
            <w:rStyle w:val="Hyperlink"/>
          </w:rPr>
          <w:t xml:space="preserve">Recommendation </w:t>
        </w:r>
        <w:r w:rsidR="00527BBF">
          <w:rPr>
            <w:rStyle w:val="Hyperlink"/>
          </w:rPr>
          <w:t>29</w:t>
        </w:r>
      </w:hyperlink>
      <w:r w:rsidR="008241EF" w:rsidRPr="008241EF">
        <w:tab/>
      </w:r>
      <w:r w:rsidR="008241EF" w:rsidRPr="00683BE0">
        <w:t>The</w:t>
      </w:r>
      <w:r w:rsidR="008F0F2B" w:rsidRPr="00683BE0">
        <w:t xml:space="preserve"> IGAB should include</w:t>
      </w:r>
      <w:r w:rsidR="00ED16F9" w:rsidRPr="00683BE0">
        <w:t xml:space="preserve"> </w:t>
      </w:r>
      <w:r w:rsidR="008F0F2B" w:rsidRPr="00683BE0">
        <w:t xml:space="preserve">an ongoing commitment to the </w:t>
      </w:r>
      <w:r w:rsidR="00ED16F9" w:rsidRPr="00683BE0">
        <w:t xml:space="preserve">funding </w:t>
      </w:r>
      <w:r w:rsidR="008241EF" w:rsidRPr="00683BE0">
        <w:t>stocktake, with governments publicly reporting their expenditure and the high-level stocktake results under</w:t>
      </w:r>
      <w:r w:rsidR="008F0F2B" w:rsidRPr="00683BE0">
        <w:t xml:space="preserve"> uniform and fully inclusive categories</w:t>
      </w:r>
      <w:r w:rsidR="008241EF" w:rsidRPr="00683BE0">
        <w:t>.</w:t>
      </w:r>
    </w:p>
    <w:p w14:paraId="0B1CCB8D" w14:textId="6781F643" w:rsidR="005673BB" w:rsidRDefault="008303E2" w:rsidP="00E212C8">
      <w:pPr>
        <w:pStyle w:val="Glossary"/>
      </w:pPr>
      <w:hyperlink w:anchor="Draft_recommendation_30" w:history="1">
        <w:r w:rsidR="005673BB" w:rsidRPr="00B5627A">
          <w:rPr>
            <w:rStyle w:val="Hyperlink"/>
          </w:rPr>
          <w:t>Recommendation 3</w:t>
        </w:r>
        <w:r w:rsidR="00527BBF">
          <w:rPr>
            <w:rStyle w:val="Hyperlink"/>
          </w:rPr>
          <w:t>0</w:t>
        </w:r>
      </w:hyperlink>
      <w:r w:rsidR="005673BB" w:rsidRPr="005673BB">
        <w:tab/>
      </w:r>
      <w:r w:rsidR="00744DB5">
        <w:t>A</w:t>
      </w:r>
      <w:r w:rsidR="005673BB" w:rsidRPr="005673BB">
        <w:t xml:space="preserve">ll governments </w:t>
      </w:r>
      <w:r w:rsidR="00ED16F9">
        <w:t xml:space="preserve">should </w:t>
      </w:r>
      <w:r w:rsidR="005673BB" w:rsidRPr="005673BB">
        <w:t>review their current biosecurity expenditure, with a view to redirecting funding into areas that return the highest yields to farmers, industry and the community. This approach will require a planned and coordinated strategy of engagement and communication.</w:t>
      </w:r>
    </w:p>
    <w:p w14:paraId="6AB99E56" w14:textId="534F4B23" w:rsidR="005673BB" w:rsidRDefault="008303E2" w:rsidP="00E212C8">
      <w:pPr>
        <w:pStyle w:val="Glossary"/>
      </w:pPr>
      <w:hyperlink w:anchor="Draft_recommendation_31" w:history="1">
        <w:r w:rsidR="005673BB" w:rsidRPr="00B5627A">
          <w:rPr>
            <w:rStyle w:val="Hyperlink"/>
          </w:rPr>
          <w:t>Recommendation 3</w:t>
        </w:r>
        <w:r w:rsidR="00527BBF">
          <w:rPr>
            <w:rStyle w:val="Hyperlink"/>
          </w:rPr>
          <w:t>1</w:t>
        </w:r>
      </w:hyperlink>
      <w:r w:rsidR="005673BB" w:rsidRPr="005673BB">
        <w:tab/>
      </w:r>
      <w:r w:rsidR="0017772E" w:rsidRPr="0017772E">
        <w:t xml:space="preserve">The </w:t>
      </w:r>
      <w:r w:rsidR="0002377F" w:rsidRPr="0002377F">
        <w:t xml:space="preserve">Risk Return Resource Allocation </w:t>
      </w:r>
      <w:r w:rsidR="0017772E" w:rsidRPr="0017772E">
        <w:t>model should be extended to include all jurisdictions and their investments, with the Australian Government providing assistance to jurisdictions to build national capacity.</w:t>
      </w:r>
    </w:p>
    <w:p w14:paraId="6DFC3955" w14:textId="2E52F44D" w:rsidR="005673BB" w:rsidRDefault="008303E2" w:rsidP="00E212C8">
      <w:pPr>
        <w:pStyle w:val="Glossary"/>
      </w:pPr>
      <w:hyperlink w:anchor="Draft_recommendation_32" w:history="1">
        <w:r w:rsidR="005673BB" w:rsidRPr="00B5627A">
          <w:rPr>
            <w:rStyle w:val="Hyperlink"/>
          </w:rPr>
          <w:t>Recommendation 3</w:t>
        </w:r>
        <w:r w:rsidR="00527BBF">
          <w:rPr>
            <w:rStyle w:val="Hyperlink"/>
          </w:rPr>
          <w:t>2</w:t>
        </w:r>
      </w:hyperlink>
      <w:r w:rsidR="005673BB" w:rsidRPr="005673BB">
        <w:tab/>
      </w:r>
      <w:r w:rsidR="00386F86" w:rsidRPr="00ED16F9">
        <w:t>AHA and PHA</w:t>
      </w:r>
      <w:r w:rsidR="00ED16F9">
        <w:t xml:space="preserve"> should</w:t>
      </w:r>
      <w:r w:rsidR="00386F86" w:rsidRPr="00386F86">
        <w:t xml:space="preserve"> coordinate an industry stocktake of national biosecurity system investments, making the results publicly available.</w:t>
      </w:r>
    </w:p>
    <w:p w14:paraId="588B75DF" w14:textId="735C4AA5" w:rsidR="00501D1B" w:rsidRDefault="008303E2" w:rsidP="00E212C8">
      <w:pPr>
        <w:pStyle w:val="Glossary"/>
      </w:pPr>
      <w:hyperlink w:anchor="Request_for_feedback_5" w:history="1">
        <w:r w:rsidR="00501D1B" w:rsidRPr="00B5627A">
          <w:rPr>
            <w:rStyle w:val="Hyperlink"/>
          </w:rPr>
          <w:t xml:space="preserve">Feedback request </w:t>
        </w:r>
        <w:r w:rsidR="005B64C9" w:rsidRPr="00B5627A">
          <w:rPr>
            <w:rStyle w:val="Hyperlink"/>
          </w:rPr>
          <w:t>5</w:t>
        </w:r>
      </w:hyperlink>
      <w:r w:rsidR="00501D1B">
        <w:tab/>
        <w:t>The Review Panel seeks feedback on the following</w:t>
      </w:r>
      <w:r w:rsidR="00EE1338">
        <w:t xml:space="preserve"> options to ensure a more rapid-</w:t>
      </w:r>
      <w:r w:rsidR="00501D1B">
        <w:t>response to an exotic pest or disease incursion:</w:t>
      </w:r>
    </w:p>
    <w:p w14:paraId="70DCF75B" w14:textId="2A668BCB" w:rsidR="00501D1B" w:rsidRDefault="00501D1B" w:rsidP="00E212C8">
      <w:pPr>
        <w:pStyle w:val="Glossary"/>
      </w:pPr>
      <w:r>
        <w:tab/>
      </w:r>
      <w:r w:rsidRPr="007141CB">
        <w:t>Option 1:</w:t>
      </w:r>
      <w:r>
        <w:rPr>
          <w:b/>
        </w:rPr>
        <w:t xml:space="preserve"> </w:t>
      </w:r>
      <w:r w:rsidR="00EE1338">
        <w:t>C</w:t>
      </w:r>
      <w:r>
        <w:t xml:space="preserve">ost-sharing arrangements should provide for </w:t>
      </w:r>
      <w:r w:rsidR="00101504">
        <w:t>four</w:t>
      </w:r>
      <w:r>
        <w:t xml:space="preserve"> weeks of monitoring, assessment and preliminary control strategies, while an overall assessment is conducted on the possibility of successful eradication.</w:t>
      </w:r>
    </w:p>
    <w:p w14:paraId="764FB1B0" w14:textId="1533BA1B" w:rsidR="00501D1B" w:rsidRPr="00501D1B" w:rsidRDefault="00501D1B" w:rsidP="00E212C8">
      <w:pPr>
        <w:pStyle w:val="Glossary"/>
      </w:pPr>
      <w:r>
        <w:rPr>
          <w:b/>
        </w:rPr>
        <w:tab/>
      </w:r>
      <w:r w:rsidRPr="007141CB">
        <w:t>Option 2:</w:t>
      </w:r>
      <w:r>
        <w:rPr>
          <w:b/>
        </w:rPr>
        <w:t xml:space="preserve"> </w:t>
      </w:r>
      <w:r w:rsidR="00EE1338">
        <w:t>C</w:t>
      </w:r>
      <w:r>
        <w:t>ost-sharing arrangements should include a default funding arrangement for when decisions cannot be quickly reached about the success or other</w:t>
      </w:r>
      <w:r w:rsidR="00132493">
        <w:t>wise of an eradication program.</w:t>
      </w:r>
    </w:p>
    <w:p w14:paraId="003067E5" w14:textId="5E3C5456" w:rsidR="00996D64" w:rsidRDefault="008303E2" w:rsidP="00E212C8">
      <w:pPr>
        <w:pStyle w:val="Glossary"/>
      </w:pPr>
      <w:hyperlink w:anchor="Draft_recommendation_33" w:history="1">
        <w:r w:rsidR="00996D64" w:rsidRPr="00B5627A">
          <w:rPr>
            <w:rStyle w:val="Hyperlink"/>
          </w:rPr>
          <w:t>Recommendation 3</w:t>
        </w:r>
        <w:r w:rsidR="00527BBF">
          <w:rPr>
            <w:rStyle w:val="Hyperlink"/>
          </w:rPr>
          <w:t>3</w:t>
        </w:r>
      </w:hyperlink>
      <w:r w:rsidR="00996D64" w:rsidRPr="00996D64">
        <w:tab/>
      </w:r>
      <w:r w:rsidR="001D63E5" w:rsidRPr="001D63E5">
        <w:t xml:space="preserve">The emergency response deeds for aquatic animals and exotic </w:t>
      </w:r>
      <w:r w:rsidR="00CB0E8E">
        <w:t xml:space="preserve">production </w:t>
      </w:r>
      <w:r w:rsidR="001D63E5" w:rsidRPr="001D63E5">
        <w:t>weeds</w:t>
      </w:r>
      <w:r w:rsidR="00ED16F9">
        <w:t xml:space="preserve"> should be finalised </w:t>
      </w:r>
      <w:r w:rsidR="006C1BCD">
        <w:t>within 12 months</w:t>
      </w:r>
      <w:r w:rsidR="001D63E5" w:rsidRPr="001D63E5">
        <w:t>.</w:t>
      </w:r>
    </w:p>
    <w:p w14:paraId="5C0E72F6" w14:textId="33A50409" w:rsidR="00ED16F9" w:rsidRDefault="008303E2" w:rsidP="005F2E75">
      <w:pPr>
        <w:pStyle w:val="Glossary"/>
        <w:rPr>
          <w:lang w:eastAsia="ja-JP"/>
        </w:rPr>
      </w:pPr>
      <w:hyperlink w:anchor="Draft_recommendation_34" w:history="1">
        <w:r w:rsidR="005F2E75" w:rsidRPr="00B5627A">
          <w:rPr>
            <w:rStyle w:val="Hyperlink"/>
            <w:lang w:eastAsia="ja-JP"/>
          </w:rPr>
          <w:t>Recommendation 3</w:t>
        </w:r>
        <w:r w:rsidR="00527BBF">
          <w:rPr>
            <w:rStyle w:val="Hyperlink"/>
            <w:lang w:eastAsia="ja-JP"/>
          </w:rPr>
          <w:t>4</w:t>
        </w:r>
      </w:hyperlink>
      <w:r w:rsidR="005F2E75">
        <w:rPr>
          <w:lang w:eastAsia="ja-JP"/>
        </w:rPr>
        <w:tab/>
      </w:r>
      <w:r w:rsidR="007F1BC0">
        <w:rPr>
          <w:lang w:eastAsia="ja-JP"/>
        </w:rPr>
        <w:t>S</w:t>
      </w:r>
      <w:r w:rsidR="0031058F" w:rsidRPr="0031058F">
        <w:rPr>
          <w:lang w:eastAsia="ja-JP"/>
        </w:rPr>
        <w:t>tate and territory governments</w:t>
      </w:r>
      <w:r w:rsidR="00ED16F9">
        <w:rPr>
          <w:lang w:eastAsia="ja-JP"/>
        </w:rPr>
        <w:t xml:space="preserve"> should</w:t>
      </w:r>
      <w:r w:rsidR="0031058F" w:rsidRPr="0031058F">
        <w:rPr>
          <w:lang w:eastAsia="ja-JP"/>
        </w:rPr>
        <w:t xml:space="preserve"> review their biosecurity cost-recovery arrangements to ensure they are consistent, appropriate and transparent.</w:t>
      </w:r>
    </w:p>
    <w:p w14:paraId="315D3F1B" w14:textId="5738DB7C" w:rsidR="00ED16F9" w:rsidRDefault="008303E2" w:rsidP="0031058F">
      <w:pPr>
        <w:pStyle w:val="Glossary"/>
        <w:rPr>
          <w:lang w:eastAsia="ja-JP"/>
        </w:rPr>
      </w:pPr>
      <w:hyperlink w:anchor="Draft_recommendation_35" w:history="1">
        <w:r w:rsidR="00ED16F9" w:rsidRPr="00B5627A">
          <w:rPr>
            <w:rStyle w:val="Hyperlink"/>
            <w:lang w:eastAsia="ja-JP"/>
          </w:rPr>
          <w:t>Recommendation 3</w:t>
        </w:r>
        <w:r w:rsidR="00527BBF">
          <w:rPr>
            <w:rStyle w:val="Hyperlink"/>
            <w:lang w:eastAsia="ja-JP"/>
          </w:rPr>
          <w:t>5</w:t>
        </w:r>
      </w:hyperlink>
      <w:r w:rsidR="00ED16F9">
        <w:rPr>
          <w:lang w:eastAsia="ja-JP"/>
        </w:rPr>
        <w:tab/>
      </w:r>
      <w:r w:rsidR="00ED16F9" w:rsidRPr="00917161">
        <w:rPr>
          <w:lang w:eastAsia="ja-JP"/>
        </w:rPr>
        <w:t>All levels of government could help meet their budgetary challenges by reviewing biosecurity levies and rates/charges currently or potentially applying to system participants. These should be commensurate with agreed national cost sharing principles, which the Review Panel considers should be reviewed.</w:t>
      </w:r>
    </w:p>
    <w:p w14:paraId="614ABAB6" w14:textId="2F265EC8" w:rsidR="00B674B9" w:rsidRPr="00B674B9" w:rsidRDefault="00185185" w:rsidP="00E85DA4">
      <w:pPr>
        <w:pStyle w:val="Glossary"/>
        <w:keepNext/>
        <w:rPr>
          <w:rStyle w:val="Strong"/>
        </w:rPr>
      </w:pPr>
      <w:r>
        <w:rPr>
          <w:rStyle w:val="Strong"/>
        </w:rPr>
        <w:t>Measuring system p</w:t>
      </w:r>
      <w:r w:rsidR="00B674B9" w:rsidRPr="00B674B9">
        <w:rPr>
          <w:rStyle w:val="Strong"/>
        </w:rPr>
        <w:t>erformance</w:t>
      </w:r>
    </w:p>
    <w:p w14:paraId="0AE9B209" w14:textId="11C03961" w:rsidR="0031058F" w:rsidRDefault="008303E2" w:rsidP="0031058F">
      <w:pPr>
        <w:pStyle w:val="Glossary"/>
        <w:rPr>
          <w:lang w:eastAsia="ja-JP"/>
        </w:rPr>
      </w:pPr>
      <w:hyperlink w:anchor="Draft_recommendation_36" w:history="1">
        <w:r w:rsidR="0031058F" w:rsidRPr="006E173E">
          <w:rPr>
            <w:rStyle w:val="Hyperlink"/>
            <w:lang w:eastAsia="ja-JP"/>
          </w:rPr>
          <w:t xml:space="preserve">Recommendation </w:t>
        </w:r>
        <w:r w:rsidR="00DC4934" w:rsidRPr="006E173E">
          <w:rPr>
            <w:rStyle w:val="Hyperlink"/>
            <w:lang w:eastAsia="ja-JP"/>
          </w:rPr>
          <w:t>3</w:t>
        </w:r>
        <w:r w:rsidR="00527BBF" w:rsidRPr="006E173E">
          <w:rPr>
            <w:rStyle w:val="Hyperlink"/>
            <w:lang w:eastAsia="ja-JP"/>
          </w:rPr>
          <w:t>6</w:t>
        </w:r>
      </w:hyperlink>
      <w:r w:rsidR="0031058F" w:rsidRPr="0031058F">
        <w:rPr>
          <w:lang w:eastAsia="ja-JP"/>
        </w:rPr>
        <w:tab/>
      </w:r>
      <w:r w:rsidR="00221E1D" w:rsidRPr="00221E1D">
        <w:rPr>
          <w:lang w:eastAsia="ja-JP"/>
        </w:rPr>
        <w:t>The NBC should establish a time-limited task group to progress development of a performance framework and performance measures for the national biosecurity system</w:t>
      </w:r>
      <w:r w:rsidR="00221E1D">
        <w:rPr>
          <w:lang w:eastAsia="ja-JP"/>
        </w:rPr>
        <w:t>.</w:t>
      </w:r>
    </w:p>
    <w:p w14:paraId="425FB58C" w14:textId="3BDE278A" w:rsidR="005F2E75" w:rsidRDefault="008303E2" w:rsidP="005F2E75">
      <w:pPr>
        <w:pStyle w:val="Glossary"/>
        <w:rPr>
          <w:lang w:eastAsia="ja-JP"/>
        </w:rPr>
      </w:pPr>
      <w:hyperlink w:anchor="Draft_recommendation_37" w:history="1">
        <w:r w:rsidR="005F2E75" w:rsidRPr="006E173E">
          <w:rPr>
            <w:rStyle w:val="Hyperlink"/>
            <w:lang w:eastAsia="ja-JP"/>
          </w:rPr>
          <w:t xml:space="preserve">Recommendation </w:t>
        </w:r>
        <w:r w:rsidR="00ED16F9" w:rsidRPr="006E173E">
          <w:rPr>
            <w:rStyle w:val="Hyperlink"/>
            <w:lang w:eastAsia="ja-JP"/>
          </w:rPr>
          <w:t>3</w:t>
        </w:r>
        <w:r w:rsidR="00527BBF" w:rsidRPr="006E173E">
          <w:rPr>
            <w:rStyle w:val="Hyperlink"/>
            <w:lang w:eastAsia="ja-JP"/>
          </w:rPr>
          <w:t>7</w:t>
        </w:r>
      </w:hyperlink>
      <w:r w:rsidR="005F2E75">
        <w:rPr>
          <w:lang w:eastAsia="ja-JP"/>
        </w:rPr>
        <w:tab/>
        <w:t>The Australian Government should facilitate development of an integrated, national biosecurity information system to provide a common platform for all jurisdictions to share and access biosecurity data and information in the national interest.</w:t>
      </w:r>
    </w:p>
    <w:p w14:paraId="6CC49120" w14:textId="2C161CF8" w:rsidR="005F2E75" w:rsidRDefault="008303E2" w:rsidP="005F2E75">
      <w:pPr>
        <w:pStyle w:val="Glossary"/>
        <w:rPr>
          <w:lang w:eastAsia="ja-JP"/>
        </w:rPr>
      </w:pPr>
      <w:hyperlink w:anchor="Draft_recommendation_38" w:history="1">
        <w:r w:rsidR="005F2E75" w:rsidRPr="006E173E">
          <w:rPr>
            <w:rStyle w:val="Hyperlink"/>
            <w:lang w:eastAsia="ja-JP"/>
          </w:rPr>
          <w:t xml:space="preserve">Recommendation </w:t>
        </w:r>
        <w:r w:rsidR="00CB0DA8" w:rsidRPr="006E173E">
          <w:rPr>
            <w:rStyle w:val="Hyperlink"/>
            <w:lang w:eastAsia="ja-JP"/>
          </w:rPr>
          <w:t>3</w:t>
        </w:r>
        <w:r w:rsidR="00527BBF" w:rsidRPr="006E173E">
          <w:rPr>
            <w:rStyle w:val="Hyperlink"/>
            <w:lang w:eastAsia="ja-JP"/>
          </w:rPr>
          <w:t>8</w:t>
        </w:r>
      </w:hyperlink>
      <w:r w:rsidR="005F2E75">
        <w:rPr>
          <w:lang w:eastAsia="ja-JP"/>
        </w:rPr>
        <w:tab/>
        <w:t>Data and knowledge sharing should be a core commitment of jurisdictions under the IGAB.</w:t>
      </w:r>
      <w:r w:rsidR="00ED16F9">
        <w:rPr>
          <w:lang w:eastAsia="ja-JP"/>
        </w:rPr>
        <w:t xml:space="preserve"> Minimum standards and specifications should be agreed for data sets.</w:t>
      </w:r>
    </w:p>
    <w:p w14:paraId="4C006D96" w14:textId="097A339A" w:rsidR="005673BB" w:rsidRDefault="008303E2" w:rsidP="005F2E75">
      <w:pPr>
        <w:pStyle w:val="Glossary"/>
        <w:rPr>
          <w:lang w:eastAsia="ja-JP"/>
        </w:rPr>
      </w:pPr>
      <w:hyperlink w:anchor="Draft_recommendation_39" w:history="1">
        <w:r w:rsidR="005F2E75" w:rsidRPr="00B5627A">
          <w:rPr>
            <w:rStyle w:val="Hyperlink"/>
            <w:lang w:eastAsia="ja-JP"/>
          </w:rPr>
          <w:t xml:space="preserve">Recommendation </w:t>
        </w:r>
        <w:r w:rsidR="00527BBF">
          <w:rPr>
            <w:rStyle w:val="Hyperlink"/>
            <w:lang w:eastAsia="ja-JP"/>
          </w:rPr>
          <w:t>39</w:t>
        </w:r>
      </w:hyperlink>
      <w:r w:rsidR="005F2E75">
        <w:rPr>
          <w:lang w:eastAsia="ja-JP"/>
        </w:rPr>
        <w:tab/>
        <w:t xml:space="preserve">The Australian Government </w:t>
      </w:r>
      <w:r w:rsidR="00706232">
        <w:rPr>
          <w:lang w:eastAsia="ja-JP"/>
        </w:rPr>
        <w:t xml:space="preserve">should </w:t>
      </w:r>
      <w:r w:rsidR="005F2E75">
        <w:rPr>
          <w:lang w:eastAsia="ja-JP"/>
        </w:rPr>
        <w:t xml:space="preserve">establish, within the Department of Agriculture and Water Resources, a dedicated National Biosecurity Intelligence Unit, to coordinate and provide advice to </w:t>
      </w:r>
      <w:r w:rsidR="0037184B">
        <w:rPr>
          <w:lang w:eastAsia="ja-JP"/>
        </w:rPr>
        <w:t xml:space="preserve">the </w:t>
      </w:r>
      <w:r w:rsidR="005F2E75">
        <w:rPr>
          <w:lang w:eastAsia="ja-JP"/>
        </w:rPr>
        <w:t>NBC, AGSOC and AGMIN on biosecurity intelligence covering emerging risks and pathways, and international and domestic pest and disease detection.</w:t>
      </w:r>
    </w:p>
    <w:p w14:paraId="142808AA" w14:textId="14715781" w:rsidR="00DA3CD0" w:rsidRPr="00B674B9" w:rsidRDefault="00DA3CD0" w:rsidP="00E85DA4">
      <w:pPr>
        <w:pStyle w:val="Glossary"/>
        <w:keepNext/>
        <w:rPr>
          <w:rStyle w:val="Strong"/>
        </w:rPr>
      </w:pPr>
      <w:r>
        <w:rPr>
          <w:rStyle w:val="Strong"/>
        </w:rPr>
        <w:t>A future system, a future IGAB</w:t>
      </w:r>
    </w:p>
    <w:p w14:paraId="0E41FA32" w14:textId="2BE28406" w:rsidR="00DA3CD0" w:rsidRDefault="008303E2" w:rsidP="00DA3CD0">
      <w:pPr>
        <w:pStyle w:val="Glossary"/>
        <w:rPr>
          <w:lang w:eastAsia="ja-JP"/>
        </w:rPr>
      </w:pPr>
      <w:hyperlink w:anchor="Draft_recommendation_40" w:history="1">
        <w:r w:rsidR="00DA3CD0" w:rsidRPr="00B5627A">
          <w:rPr>
            <w:rStyle w:val="Hyperlink"/>
            <w:lang w:eastAsia="ja-JP"/>
          </w:rPr>
          <w:t>Recommendation 4</w:t>
        </w:r>
        <w:r w:rsidR="005464B2">
          <w:rPr>
            <w:rStyle w:val="Hyperlink"/>
            <w:lang w:eastAsia="ja-JP"/>
          </w:rPr>
          <w:t>0</w:t>
        </w:r>
      </w:hyperlink>
      <w:r w:rsidR="00DA3CD0" w:rsidRPr="0031058F">
        <w:rPr>
          <w:lang w:eastAsia="ja-JP"/>
        </w:rPr>
        <w:tab/>
      </w:r>
      <w:r w:rsidR="00F12983" w:rsidRPr="00D36278">
        <w:rPr>
          <w:lang w:eastAsia="ja-JP"/>
        </w:rPr>
        <w:t>Jurisdictions should adopt the proposed new priority reform areas and associated work program for IGAB2, and amend the IGAB in line with proposed revisions.</w:t>
      </w:r>
    </w:p>
    <w:p w14:paraId="529EA900" w14:textId="77777777" w:rsidR="00BF7646" w:rsidRDefault="00BF7646" w:rsidP="00D0740F">
      <w:pPr>
        <w:pStyle w:val="Heading2"/>
        <w:numPr>
          <w:ilvl w:val="0"/>
          <w:numId w:val="0"/>
        </w:numPr>
        <w:ind w:left="720" w:hanging="720"/>
      </w:pPr>
      <w:bookmarkStart w:id="9" w:name="_Toc469654720"/>
      <w:r>
        <w:lastRenderedPageBreak/>
        <w:t>Acronyms and abbreviations</w:t>
      </w:r>
      <w:bookmarkEnd w:id="9"/>
    </w:p>
    <w:p w14:paraId="2BC64AAE" w14:textId="1D606EE0" w:rsidR="00A24E32" w:rsidRDefault="00A24E32" w:rsidP="00AD38F7">
      <w:pPr>
        <w:pStyle w:val="Glossary"/>
        <w:tabs>
          <w:tab w:val="left" w:pos="2190"/>
        </w:tabs>
        <w:rPr>
          <w:lang w:eastAsia="ja-JP"/>
        </w:rPr>
      </w:pPr>
      <w:r>
        <w:rPr>
          <w:lang w:eastAsia="ja-JP"/>
        </w:rPr>
        <w:t>ABARES</w:t>
      </w:r>
      <w:r w:rsidR="00AD38F7">
        <w:rPr>
          <w:lang w:eastAsia="ja-JP"/>
        </w:rPr>
        <w:tab/>
        <w:t>Australian Bure</w:t>
      </w:r>
      <w:r w:rsidR="00C12B2F">
        <w:rPr>
          <w:lang w:eastAsia="ja-JP"/>
        </w:rPr>
        <w:t>au of Agricultural and Resource</w:t>
      </w:r>
      <w:r w:rsidR="00AD38F7">
        <w:rPr>
          <w:lang w:eastAsia="ja-JP"/>
        </w:rPr>
        <w:t xml:space="preserve"> Economics and Sciences</w:t>
      </w:r>
    </w:p>
    <w:p w14:paraId="712BBB57" w14:textId="77777777" w:rsidR="005F2E75" w:rsidRDefault="005F2E75" w:rsidP="005F2E75">
      <w:pPr>
        <w:pStyle w:val="Glossary"/>
        <w:rPr>
          <w:lang w:eastAsia="ja-JP"/>
        </w:rPr>
      </w:pPr>
      <w:r>
        <w:rPr>
          <w:lang w:eastAsia="ja-JP"/>
        </w:rPr>
        <w:t>AGMIN</w:t>
      </w:r>
      <w:r>
        <w:rPr>
          <w:lang w:eastAsia="ja-JP"/>
        </w:rPr>
        <w:tab/>
        <w:t>Agriculture Ministers’ Forum</w:t>
      </w:r>
    </w:p>
    <w:p w14:paraId="35BEF968" w14:textId="77777777" w:rsidR="005F2E75" w:rsidRDefault="005F2E75" w:rsidP="005F2E75">
      <w:pPr>
        <w:pStyle w:val="Glossary"/>
        <w:rPr>
          <w:lang w:eastAsia="ja-JP"/>
        </w:rPr>
      </w:pPr>
      <w:r>
        <w:rPr>
          <w:lang w:eastAsia="ja-JP"/>
        </w:rPr>
        <w:t>AGSOC</w:t>
      </w:r>
      <w:r>
        <w:rPr>
          <w:lang w:eastAsia="ja-JP"/>
        </w:rPr>
        <w:tab/>
        <w:t xml:space="preserve">Agriculture Senior </w:t>
      </w:r>
      <w:r w:rsidR="003412A0">
        <w:rPr>
          <w:lang w:eastAsia="ja-JP"/>
        </w:rPr>
        <w:t>O</w:t>
      </w:r>
      <w:r>
        <w:rPr>
          <w:lang w:eastAsia="ja-JP"/>
        </w:rPr>
        <w:t>fficials Committee</w:t>
      </w:r>
    </w:p>
    <w:p w14:paraId="7A72EDE8" w14:textId="77777777" w:rsidR="005F2E75" w:rsidRDefault="005F2E75" w:rsidP="005F2E75">
      <w:pPr>
        <w:pStyle w:val="Glossary"/>
        <w:rPr>
          <w:lang w:eastAsia="ja-JP"/>
        </w:rPr>
      </w:pPr>
      <w:r>
        <w:rPr>
          <w:lang w:eastAsia="ja-JP"/>
        </w:rPr>
        <w:t>AHA</w:t>
      </w:r>
      <w:r>
        <w:rPr>
          <w:lang w:eastAsia="ja-JP"/>
        </w:rPr>
        <w:tab/>
        <w:t>Animal Health Australia</w:t>
      </w:r>
    </w:p>
    <w:p w14:paraId="261DE966" w14:textId="77777777" w:rsidR="005F2E75" w:rsidRDefault="005F2E75" w:rsidP="005F2E75">
      <w:pPr>
        <w:pStyle w:val="Glossary"/>
        <w:rPr>
          <w:lang w:eastAsia="ja-JP"/>
        </w:rPr>
      </w:pPr>
      <w:r>
        <w:rPr>
          <w:lang w:eastAsia="ja-JP"/>
        </w:rPr>
        <w:t>AHC</w:t>
      </w:r>
      <w:r>
        <w:rPr>
          <w:lang w:eastAsia="ja-JP"/>
        </w:rPr>
        <w:tab/>
        <w:t xml:space="preserve">Animal </w:t>
      </w:r>
      <w:r w:rsidR="003412A0">
        <w:rPr>
          <w:lang w:eastAsia="ja-JP"/>
        </w:rPr>
        <w:t>H</w:t>
      </w:r>
      <w:r>
        <w:rPr>
          <w:lang w:eastAsia="ja-JP"/>
        </w:rPr>
        <w:t>ealth Committee</w:t>
      </w:r>
    </w:p>
    <w:p w14:paraId="648FBB4E" w14:textId="77777777" w:rsidR="005F2E75" w:rsidRDefault="005F2E75" w:rsidP="005F2E75">
      <w:pPr>
        <w:pStyle w:val="Glossary"/>
        <w:rPr>
          <w:lang w:eastAsia="ja-JP"/>
        </w:rPr>
      </w:pPr>
      <w:r>
        <w:rPr>
          <w:lang w:eastAsia="ja-JP"/>
        </w:rPr>
        <w:t>ALOP</w:t>
      </w:r>
      <w:r>
        <w:rPr>
          <w:lang w:eastAsia="ja-JP"/>
        </w:rPr>
        <w:tab/>
        <w:t>Appropriate Level of Protection</w:t>
      </w:r>
    </w:p>
    <w:p w14:paraId="79118396" w14:textId="77777777" w:rsidR="005F2E75" w:rsidRDefault="005F2E75" w:rsidP="005F2E75">
      <w:pPr>
        <w:pStyle w:val="Glossary"/>
        <w:rPr>
          <w:lang w:eastAsia="ja-JP"/>
        </w:rPr>
      </w:pPr>
      <w:r>
        <w:rPr>
          <w:lang w:eastAsia="ja-JP"/>
        </w:rPr>
        <w:t>BIRA</w:t>
      </w:r>
      <w:r>
        <w:rPr>
          <w:lang w:eastAsia="ja-JP"/>
        </w:rPr>
        <w:tab/>
        <w:t>Biosecurity Import Risk Analysis</w:t>
      </w:r>
    </w:p>
    <w:p w14:paraId="2FF2130B" w14:textId="77777777" w:rsidR="005F2E75" w:rsidRDefault="005F2E75" w:rsidP="005F2E75">
      <w:pPr>
        <w:pStyle w:val="Glossary"/>
        <w:rPr>
          <w:lang w:eastAsia="ja-JP"/>
        </w:rPr>
      </w:pPr>
      <w:r>
        <w:rPr>
          <w:lang w:eastAsia="ja-JP"/>
        </w:rPr>
        <w:t>COAG</w:t>
      </w:r>
      <w:r>
        <w:rPr>
          <w:lang w:eastAsia="ja-JP"/>
        </w:rPr>
        <w:tab/>
        <w:t xml:space="preserve">Council of Australian Governments </w:t>
      </w:r>
    </w:p>
    <w:p w14:paraId="74D16914" w14:textId="77777777" w:rsidR="00D32DA0" w:rsidRDefault="00D32DA0" w:rsidP="00D32DA0">
      <w:pPr>
        <w:pStyle w:val="Glossary"/>
        <w:tabs>
          <w:tab w:val="left" w:pos="2250"/>
        </w:tabs>
        <w:rPr>
          <w:lang w:eastAsia="ja-JP"/>
        </w:rPr>
      </w:pPr>
      <w:r>
        <w:rPr>
          <w:lang w:eastAsia="ja-JP"/>
        </w:rPr>
        <w:t>CSIRO</w:t>
      </w:r>
      <w:r>
        <w:rPr>
          <w:lang w:eastAsia="ja-JP"/>
        </w:rPr>
        <w:tab/>
        <w:t>Commonwealth Scientific and Industrial Research Organisation</w:t>
      </w:r>
    </w:p>
    <w:p w14:paraId="20B92D89" w14:textId="77777777" w:rsidR="00D32DA0" w:rsidRDefault="00D32DA0" w:rsidP="00D32DA0">
      <w:pPr>
        <w:pStyle w:val="Glossary"/>
        <w:tabs>
          <w:tab w:val="left" w:pos="2280"/>
        </w:tabs>
        <w:rPr>
          <w:lang w:eastAsia="ja-JP"/>
        </w:rPr>
      </w:pPr>
      <w:r>
        <w:rPr>
          <w:lang w:eastAsia="ja-JP"/>
        </w:rPr>
        <w:t>EADRA</w:t>
      </w:r>
      <w:r>
        <w:rPr>
          <w:lang w:eastAsia="ja-JP"/>
        </w:rPr>
        <w:tab/>
        <w:t>Emergency Animal Disease Response Agreement</w:t>
      </w:r>
    </w:p>
    <w:p w14:paraId="48C6AAE2" w14:textId="3E803F6F" w:rsidR="004554BF" w:rsidRDefault="004554BF" w:rsidP="00D32DA0">
      <w:pPr>
        <w:pStyle w:val="Glossary"/>
        <w:tabs>
          <w:tab w:val="left" w:pos="2280"/>
        </w:tabs>
        <w:rPr>
          <w:lang w:eastAsia="ja-JP"/>
        </w:rPr>
      </w:pPr>
      <w:r>
        <w:rPr>
          <w:lang w:eastAsia="ja-JP"/>
        </w:rPr>
        <w:t>EPBC Act</w:t>
      </w:r>
      <w:r>
        <w:rPr>
          <w:lang w:eastAsia="ja-JP"/>
        </w:rPr>
        <w:tab/>
      </w:r>
      <w:r w:rsidRPr="004554BF">
        <w:rPr>
          <w:i/>
          <w:lang w:eastAsia="ja-JP"/>
        </w:rPr>
        <w:t>Environment Protection and Biodiversity Conservation Act 1999</w:t>
      </w:r>
      <w:r w:rsidRPr="004554BF">
        <w:rPr>
          <w:lang w:eastAsia="ja-JP"/>
        </w:rPr>
        <w:t xml:space="preserve"> (Cwlth)</w:t>
      </w:r>
    </w:p>
    <w:p w14:paraId="7B14B19D" w14:textId="77777777" w:rsidR="00D32DA0" w:rsidRDefault="00D32DA0" w:rsidP="00D32DA0">
      <w:pPr>
        <w:pStyle w:val="Glossary"/>
        <w:tabs>
          <w:tab w:val="left" w:pos="2280"/>
        </w:tabs>
        <w:rPr>
          <w:lang w:eastAsia="ja-JP"/>
        </w:rPr>
      </w:pPr>
      <w:r>
        <w:rPr>
          <w:lang w:eastAsia="ja-JP"/>
        </w:rPr>
        <w:t>EPPRD</w:t>
      </w:r>
      <w:r>
        <w:rPr>
          <w:lang w:eastAsia="ja-JP"/>
        </w:rPr>
        <w:tab/>
        <w:t>Emergency Plant Pest Response Deed</w:t>
      </w:r>
    </w:p>
    <w:p w14:paraId="63EED3DC" w14:textId="77777777" w:rsidR="005F2E75" w:rsidRDefault="005F2E75" w:rsidP="005F2E75">
      <w:pPr>
        <w:pStyle w:val="Glossary"/>
        <w:rPr>
          <w:lang w:eastAsia="ja-JP"/>
        </w:rPr>
      </w:pPr>
      <w:r>
        <w:rPr>
          <w:lang w:eastAsia="ja-JP"/>
        </w:rPr>
        <w:t>IGAB</w:t>
      </w:r>
      <w:r>
        <w:rPr>
          <w:lang w:eastAsia="ja-JP"/>
        </w:rPr>
        <w:tab/>
        <w:t>Intergovernmental Agreement on Biosecurity</w:t>
      </w:r>
    </w:p>
    <w:p w14:paraId="5C429AA1" w14:textId="27B456F8" w:rsidR="003D24CF" w:rsidRDefault="003D24CF" w:rsidP="00F13DE0">
      <w:pPr>
        <w:pStyle w:val="Glossary"/>
        <w:tabs>
          <w:tab w:val="left" w:pos="2400"/>
        </w:tabs>
        <w:rPr>
          <w:lang w:eastAsia="ja-JP"/>
        </w:rPr>
      </w:pPr>
      <w:r>
        <w:rPr>
          <w:lang w:eastAsia="ja-JP"/>
        </w:rPr>
        <w:t>IPAC</w:t>
      </w:r>
      <w:r w:rsidR="00F13DE0">
        <w:rPr>
          <w:lang w:eastAsia="ja-JP"/>
        </w:rPr>
        <w:tab/>
      </w:r>
      <w:r w:rsidR="00D41485">
        <w:rPr>
          <w:lang w:eastAsia="ja-JP"/>
        </w:rPr>
        <w:t xml:space="preserve">Invasive </w:t>
      </w:r>
      <w:r w:rsidR="00E96A9A">
        <w:rPr>
          <w:lang w:eastAsia="ja-JP"/>
        </w:rPr>
        <w:t>Plants and</w:t>
      </w:r>
      <w:r w:rsidR="00D41485">
        <w:rPr>
          <w:lang w:eastAsia="ja-JP"/>
        </w:rPr>
        <w:t xml:space="preserve"> Animal</w:t>
      </w:r>
      <w:r w:rsidR="00E96A9A">
        <w:rPr>
          <w:lang w:eastAsia="ja-JP"/>
        </w:rPr>
        <w:t>s</w:t>
      </w:r>
      <w:r w:rsidR="00D41485">
        <w:rPr>
          <w:lang w:eastAsia="ja-JP"/>
        </w:rPr>
        <w:t xml:space="preserve"> Committee</w:t>
      </w:r>
    </w:p>
    <w:p w14:paraId="0232E80F" w14:textId="77777777" w:rsidR="005F2E75" w:rsidRDefault="005F2E75" w:rsidP="005F2E75">
      <w:pPr>
        <w:pStyle w:val="Glossary"/>
        <w:rPr>
          <w:lang w:eastAsia="ja-JP"/>
        </w:rPr>
      </w:pPr>
      <w:r>
        <w:rPr>
          <w:lang w:eastAsia="ja-JP"/>
        </w:rPr>
        <w:t>NEBRA</w:t>
      </w:r>
      <w:r>
        <w:rPr>
          <w:lang w:eastAsia="ja-JP"/>
        </w:rPr>
        <w:tab/>
        <w:t>National Environmental Biosecurity Response Agreement</w:t>
      </w:r>
    </w:p>
    <w:p w14:paraId="75FD4B8E" w14:textId="77777777" w:rsidR="005F2E75" w:rsidRDefault="005F2E75" w:rsidP="005F2E75">
      <w:pPr>
        <w:pStyle w:val="Glossary"/>
        <w:rPr>
          <w:lang w:eastAsia="ja-JP"/>
        </w:rPr>
      </w:pPr>
      <w:r>
        <w:rPr>
          <w:lang w:eastAsia="ja-JP"/>
        </w:rPr>
        <w:t>NBC</w:t>
      </w:r>
      <w:r>
        <w:rPr>
          <w:lang w:eastAsia="ja-JP"/>
        </w:rPr>
        <w:tab/>
        <w:t>National Biosecurity Committee</w:t>
      </w:r>
    </w:p>
    <w:p w14:paraId="11488B11" w14:textId="77777777" w:rsidR="00D32DA0" w:rsidRDefault="00933868" w:rsidP="00F13DE0">
      <w:pPr>
        <w:pStyle w:val="Glossary"/>
        <w:tabs>
          <w:tab w:val="left" w:pos="2370"/>
        </w:tabs>
        <w:rPr>
          <w:lang w:eastAsia="ja-JP"/>
        </w:rPr>
      </w:pPr>
      <w:r>
        <w:rPr>
          <w:lang w:eastAsia="ja-JP"/>
        </w:rPr>
        <w:t>M</w:t>
      </w:r>
      <w:r w:rsidR="00D32DA0">
        <w:rPr>
          <w:lang w:eastAsia="ja-JP"/>
        </w:rPr>
        <w:t>PSC</w:t>
      </w:r>
      <w:r w:rsidR="00F13DE0">
        <w:rPr>
          <w:lang w:eastAsia="ja-JP"/>
        </w:rPr>
        <w:tab/>
      </w:r>
      <w:r>
        <w:rPr>
          <w:lang w:eastAsia="ja-JP"/>
        </w:rPr>
        <w:t>Marine Pest Sectoral Committee</w:t>
      </w:r>
    </w:p>
    <w:p w14:paraId="270BB4C3" w14:textId="77777777" w:rsidR="005F2E75" w:rsidRDefault="005F2E75" w:rsidP="005F2E75">
      <w:pPr>
        <w:pStyle w:val="Glossary"/>
        <w:rPr>
          <w:lang w:eastAsia="ja-JP"/>
        </w:rPr>
      </w:pPr>
      <w:r>
        <w:rPr>
          <w:lang w:eastAsia="ja-JP"/>
        </w:rPr>
        <w:t>PHA</w:t>
      </w:r>
      <w:r>
        <w:rPr>
          <w:lang w:eastAsia="ja-JP"/>
        </w:rPr>
        <w:tab/>
        <w:t>Plant Health Australia</w:t>
      </w:r>
    </w:p>
    <w:p w14:paraId="07226F6A" w14:textId="77777777" w:rsidR="005F2E75" w:rsidRPr="005F2E75" w:rsidRDefault="005F2E75" w:rsidP="005F2E75">
      <w:pPr>
        <w:pStyle w:val="Glossary"/>
        <w:rPr>
          <w:lang w:eastAsia="ja-JP"/>
        </w:rPr>
      </w:pPr>
      <w:r>
        <w:rPr>
          <w:lang w:eastAsia="ja-JP"/>
        </w:rPr>
        <w:t>PHC</w:t>
      </w:r>
      <w:r>
        <w:rPr>
          <w:lang w:eastAsia="ja-JP"/>
        </w:rPr>
        <w:tab/>
        <w:t xml:space="preserve">Plant </w:t>
      </w:r>
      <w:r w:rsidR="003412A0">
        <w:rPr>
          <w:lang w:eastAsia="ja-JP"/>
        </w:rPr>
        <w:t>H</w:t>
      </w:r>
      <w:r>
        <w:rPr>
          <w:lang w:eastAsia="ja-JP"/>
        </w:rPr>
        <w:t>ealth Committee</w:t>
      </w:r>
    </w:p>
    <w:p w14:paraId="4F18EF6D" w14:textId="1CF00AD3" w:rsidR="006854A2" w:rsidRDefault="00786398" w:rsidP="006854A2">
      <w:pPr>
        <w:pStyle w:val="Glossary"/>
        <w:tabs>
          <w:tab w:val="left" w:pos="2265"/>
        </w:tabs>
        <w:rPr>
          <w:lang w:eastAsia="ja-JP"/>
        </w:rPr>
      </w:pPr>
      <w:r>
        <w:rPr>
          <w:lang w:eastAsia="ja-JP"/>
        </w:rPr>
        <w:t>PITMA</w:t>
      </w:r>
      <w:r w:rsidR="006854A2">
        <w:rPr>
          <w:lang w:eastAsia="ja-JP"/>
        </w:rPr>
        <w:t>T</w:t>
      </w:r>
      <w:r>
        <w:rPr>
          <w:lang w:eastAsia="ja-JP"/>
        </w:rPr>
        <w:t>D</w:t>
      </w:r>
      <w:r w:rsidR="006854A2">
        <w:rPr>
          <w:lang w:eastAsia="ja-JP"/>
        </w:rPr>
        <w:tab/>
      </w:r>
      <w:r w:rsidR="006854A2" w:rsidRPr="009F248E">
        <w:rPr>
          <w:lang w:eastAsia="ja-JP"/>
        </w:rPr>
        <w:t>Primary Industries Technical Market Access and Trade Development Task Group</w:t>
      </w:r>
    </w:p>
    <w:p w14:paraId="0AA6121A" w14:textId="77777777" w:rsidR="00A9051C" w:rsidRDefault="003D24CF" w:rsidP="003D24CF">
      <w:pPr>
        <w:pStyle w:val="Glossary"/>
        <w:tabs>
          <w:tab w:val="left" w:pos="2220"/>
        </w:tabs>
        <w:rPr>
          <w:lang w:eastAsia="ja-JP"/>
        </w:rPr>
      </w:pPr>
      <w:r>
        <w:rPr>
          <w:lang w:eastAsia="ja-JP"/>
        </w:rPr>
        <w:t>RDCs</w:t>
      </w:r>
      <w:r>
        <w:rPr>
          <w:lang w:eastAsia="ja-JP"/>
        </w:rPr>
        <w:tab/>
        <w:t>Research and Development Corporations</w:t>
      </w:r>
    </w:p>
    <w:p w14:paraId="297B3FCC" w14:textId="62F5FCD6" w:rsidR="00897C13" w:rsidRDefault="00897C13" w:rsidP="003D24CF">
      <w:pPr>
        <w:pStyle w:val="Glossary"/>
        <w:tabs>
          <w:tab w:val="left" w:pos="2220"/>
        </w:tabs>
        <w:rPr>
          <w:lang w:eastAsia="ja-JP"/>
        </w:rPr>
      </w:pPr>
      <w:r>
        <w:rPr>
          <w:lang w:eastAsia="ja-JP"/>
        </w:rPr>
        <w:t>RIFA</w:t>
      </w:r>
      <w:r>
        <w:rPr>
          <w:lang w:eastAsia="ja-JP"/>
        </w:rPr>
        <w:tab/>
        <w:t xml:space="preserve">Red Imported Fire Ant </w:t>
      </w:r>
      <w:r>
        <w:t>(</w:t>
      </w:r>
      <w:r w:rsidRPr="001C205C">
        <w:rPr>
          <w:i/>
        </w:rPr>
        <w:t>Solenopsis invicta</w:t>
      </w:r>
      <w:r>
        <w:rPr>
          <w:i/>
        </w:rPr>
        <w:t xml:space="preserve"> </w:t>
      </w:r>
      <w:r>
        <w:t>Buren)</w:t>
      </w:r>
    </w:p>
    <w:p w14:paraId="68702E0B" w14:textId="1DD2BEEB" w:rsidR="00F82D83" w:rsidRDefault="00F82D83" w:rsidP="003D24CF">
      <w:pPr>
        <w:pStyle w:val="Glossary"/>
        <w:tabs>
          <w:tab w:val="left" w:pos="2220"/>
        </w:tabs>
        <w:rPr>
          <w:lang w:eastAsia="ja-JP"/>
        </w:rPr>
      </w:pPr>
      <w:r>
        <w:rPr>
          <w:lang w:eastAsia="ja-JP"/>
        </w:rPr>
        <w:t>RRRA model</w:t>
      </w:r>
      <w:r>
        <w:rPr>
          <w:lang w:eastAsia="ja-JP"/>
        </w:rPr>
        <w:tab/>
        <w:t>Risk Return Resource Allocation (RRRA) model, as developed by the Australian Government Department of Agriculture and Water Resources</w:t>
      </w:r>
    </w:p>
    <w:p w14:paraId="70BE6506" w14:textId="3EE09B61" w:rsidR="006D76CD" w:rsidRDefault="006D76CD" w:rsidP="003D24CF">
      <w:pPr>
        <w:pStyle w:val="Glossary"/>
        <w:tabs>
          <w:tab w:val="left" w:pos="2220"/>
        </w:tabs>
        <w:rPr>
          <w:lang w:eastAsia="ja-JP"/>
        </w:rPr>
      </w:pPr>
      <w:r>
        <w:rPr>
          <w:lang w:eastAsia="ja-JP"/>
        </w:rPr>
        <w:t>SPS Agreement</w:t>
      </w:r>
      <w:r>
        <w:rPr>
          <w:lang w:eastAsia="ja-JP"/>
        </w:rPr>
        <w:tab/>
        <w:t>Agreement on the Application of Sanitary and Phytosanitary Measures</w:t>
      </w:r>
    </w:p>
    <w:p w14:paraId="7CDCE821" w14:textId="4037FE52" w:rsidR="006D76CD" w:rsidRDefault="006D76CD" w:rsidP="003D24CF">
      <w:pPr>
        <w:pStyle w:val="Glossary"/>
        <w:tabs>
          <w:tab w:val="left" w:pos="2220"/>
        </w:tabs>
        <w:rPr>
          <w:lang w:eastAsia="ja-JP"/>
        </w:rPr>
        <w:sectPr w:rsidR="006D76CD" w:rsidSect="001D6B85">
          <w:headerReference w:type="default" r:id="rId21"/>
          <w:footerReference w:type="default" r:id="rId22"/>
          <w:pgSz w:w="11906" w:h="16838" w:code="9"/>
          <w:pgMar w:top="1418" w:right="1418" w:bottom="1418" w:left="1418" w:header="567" w:footer="284" w:gutter="0"/>
          <w:pgNumType w:fmt="lowerRoman" w:start="1"/>
          <w:cols w:space="708"/>
          <w:titlePg/>
          <w:docGrid w:linePitch="360"/>
        </w:sectPr>
      </w:pPr>
      <w:r>
        <w:rPr>
          <w:lang w:eastAsia="ja-JP"/>
        </w:rPr>
        <w:t>WTO</w:t>
      </w:r>
      <w:r>
        <w:rPr>
          <w:lang w:eastAsia="ja-JP"/>
        </w:rPr>
        <w:tab/>
        <w:t>World Trade Organization</w:t>
      </w:r>
    </w:p>
    <w:p w14:paraId="20111955" w14:textId="108B25F6" w:rsidR="0003507A" w:rsidRDefault="001B2AB1" w:rsidP="00AB06E7">
      <w:pPr>
        <w:pStyle w:val="Heading2"/>
      </w:pPr>
      <w:bookmarkStart w:id="10" w:name="_Australia’s_biosecurity_system"/>
      <w:bookmarkStart w:id="11" w:name="_Toc430782151"/>
      <w:bookmarkStart w:id="12" w:name="_Toc469654721"/>
      <w:bookmarkEnd w:id="7"/>
      <w:bookmarkEnd w:id="10"/>
      <w:r>
        <w:lastRenderedPageBreak/>
        <w:t>Australia’s biosecurity system</w:t>
      </w:r>
      <w:bookmarkEnd w:id="11"/>
      <w:bookmarkEnd w:id="12"/>
    </w:p>
    <w:p w14:paraId="4B0599F6" w14:textId="48D8A555" w:rsidR="001B2AB1" w:rsidRDefault="001B2AB1" w:rsidP="001B2AB1">
      <w:r>
        <w:t xml:space="preserve">Australia’s biosecurity system plays a critical role in protecting the quality of life of all Australians and our place on the world stage: our </w:t>
      </w:r>
      <w:r w:rsidR="0003694B">
        <w:t>first</w:t>
      </w:r>
      <w:r>
        <w:t>-class produce is safe and available to domestic and international consumers</w:t>
      </w:r>
      <w:r w:rsidR="00A24E32">
        <w:t>;</w:t>
      </w:r>
      <w:r>
        <w:t xml:space="preserve"> we have access to premium agricultural trade markets</w:t>
      </w:r>
      <w:r w:rsidR="00A24E32">
        <w:t>;</w:t>
      </w:r>
      <w:r>
        <w:t xml:space="preserve"> our native fauna and flora (and their diversity) are unique and of immeasurable value</w:t>
      </w:r>
      <w:r w:rsidR="00A24E32">
        <w:t>;</w:t>
      </w:r>
      <w:r>
        <w:t xml:space="preserve"> we are free from many of the major animal, plant and environmental pests and diseases found in other parts of the world; and</w:t>
      </w:r>
      <w:r w:rsidR="00A24E32">
        <w:t>,</w:t>
      </w:r>
      <w:r>
        <w:t xml:space="preserve"> our natural, social and urban amenities ensure we remain a highly desirable and rewarding destination for tourists and other visitors. These economic, environmental </w:t>
      </w:r>
      <w:r w:rsidR="00CB4F84">
        <w:t xml:space="preserve">and </w:t>
      </w:r>
      <w:r>
        <w:t>social benefits</w:t>
      </w:r>
      <w:r w:rsidR="00CB4F84">
        <w:t>,</w:t>
      </w:r>
      <w:r>
        <w:t xml:space="preserve"> and Australia’s reputational advantages—worth many billions of dollars—rely on a strong and focussed national biosecurity system.</w:t>
      </w:r>
    </w:p>
    <w:p w14:paraId="30F0422B" w14:textId="2851E7D5" w:rsidR="001B2AB1" w:rsidRDefault="001B2AB1" w:rsidP="001B2AB1">
      <w:r>
        <w:t>All Australian governments have agreed, consistent with our obligations as a member of the World Trade Organization</w:t>
      </w:r>
      <w:r w:rsidR="006D76CD">
        <w:t xml:space="preserve"> and signatory </w:t>
      </w:r>
      <w:r w:rsidR="006D76CD" w:rsidRPr="006D76CD">
        <w:t>to the Agreement on the Application of Sanitary and Phytosanitary Measures (the SPS Agreement)</w:t>
      </w:r>
      <w:r w:rsidRPr="00933868">
        <w:t>,</w:t>
      </w:r>
      <w:r>
        <w:t xml:space="preserve"> to maintain a level of protection considered appropriate for life or health within our borders—the Appropriate Level of Protection (ALOP). Australia’s ALOP provides for a high-level biosecurity standard aimed at reducing risk to a very low level, but not to zero, reflecting community expectations while recognising that zero risk is not feasible. This level applies across the full range of activities that encompass the biosecurity system, where risk-based measures are applied.</w:t>
      </w:r>
    </w:p>
    <w:p w14:paraId="0C273042" w14:textId="20A6EF58" w:rsidR="001B2AB1" w:rsidRDefault="001B2AB1" w:rsidP="001B2AB1">
      <w:r>
        <w:t>Australia’s biosecurity system is extensive and complex. There are many component parts</w:t>
      </w:r>
      <w:r w:rsidR="0050398D">
        <w:t xml:space="preserve"> </w:t>
      </w:r>
      <w:r>
        <w:t>covering the spectrum of pest and disease threats to Australia’s production systems</w:t>
      </w:r>
      <w:r w:rsidR="00A05019">
        <w:t>,</w:t>
      </w:r>
      <w:r>
        <w:t xml:space="preserve"> people</w:t>
      </w:r>
      <w:r w:rsidR="0050398D">
        <w:t xml:space="preserve"> and environment</w:t>
      </w:r>
      <w:r w:rsidR="007700A4">
        <w:t xml:space="preserve"> (</w:t>
      </w:r>
      <w:r w:rsidR="007700A4">
        <w:fldChar w:fldCharType="begin"/>
      </w:r>
      <w:r w:rsidR="007700A4">
        <w:instrText xml:space="preserve"> REF _Ref467580240 \h </w:instrText>
      </w:r>
      <w:r w:rsidR="007700A4">
        <w:fldChar w:fldCharType="separate"/>
      </w:r>
      <w:r w:rsidR="008303E2" w:rsidRPr="00C673AD">
        <w:t xml:space="preserve">Figure </w:t>
      </w:r>
      <w:r w:rsidR="008303E2">
        <w:rPr>
          <w:noProof/>
        </w:rPr>
        <w:t>1</w:t>
      </w:r>
      <w:r w:rsidR="007700A4">
        <w:fldChar w:fldCharType="end"/>
      </w:r>
      <w:r w:rsidR="007700A4">
        <w:t>)</w:t>
      </w:r>
      <w:r>
        <w:t xml:space="preserve">. The system is also multilayered, involving complementary measures applied offshore, at the border and onshore </w:t>
      </w:r>
      <w:r w:rsidR="0050398D">
        <w:t xml:space="preserve">and </w:t>
      </w:r>
      <w:r>
        <w:t>a broad range of participants, cove</w:t>
      </w:r>
      <w:r w:rsidR="002D26D3">
        <w:t>ring all Australian governments (</w:t>
      </w:r>
      <w:r>
        <w:t>Australian, state, territory and local</w:t>
      </w:r>
      <w:r w:rsidR="002D26D3">
        <w:t>)</w:t>
      </w:r>
      <w:r>
        <w:t>, industry groups, individual producers, researchers and community members. A strong system would not be possible without con</w:t>
      </w:r>
      <w:r w:rsidR="0050398D">
        <w:t xml:space="preserve">tributions from and cooperation </w:t>
      </w:r>
      <w:r>
        <w:t>between all system participants across the full extent of biosecurity activities.</w:t>
      </w:r>
    </w:p>
    <w:p w14:paraId="56731623" w14:textId="6799B68A" w:rsidR="008B6C72" w:rsidRDefault="00E735BB" w:rsidP="00491316">
      <w:pPr>
        <w:pStyle w:val="Picture"/>
      </w:pPr>
      <w:r>
        <w:drawing>
          <wp:inline distT="0" distB="0" distL="0" distR="0" wp14:anchorId="53EC95D9" wp14:editId="24EDCC88">
            <wp:extent cx="4467225" cy="2888524"/>
            <wp:effectExtent l="0" t="0" r="0" b="7620"/>
            <wp:docPr id="7" name="Picture 7" descr="Shows the: goal of Australia's biosecurity system, which is to minimise the impact of pests and diseases on Australia’s economy, environment and the community,  and, the objectives of the national system, that: reduce the likelihood of exotic pests and diseases from entering, becoming established or spreading in Australia; prepare and allow for effective responses to, and management of, exotic and emerging pests and diseases that enter, establish or spread in Australia; and, ensure that, where appropriate, significant pests and diseases already in Australia are contained, suppressed or otherwise man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03543" cy="2912007"/>
                    </a:xfrm>
                    <a:prstGeom prst="rect">
                      <a:avLst/>
                    </a:prstGeom>
                    <a:noFill/>
                  </pic:spPr>
                </pic:pic>
              </a:graphicData>
            </a:graphic>
          </wp:inline>
        </w:drawing>
      </w:r>
    </w:p>
    <w:p w14:paraId="18252578" w14:textId="6974E167" w:rsidR="008B6C72" w:rsidRPr="00C673AD" w:rsidRDefault="008B6C72" w:rsidP="00C673AD">
      <w:pPr>
        <w:pStyle w:val="Caption"/>
        <w:keepNext w:val="0"/>
        <w:rPr>
          <w:sz w:val="22"/>
          <w:szCs w:val="22"/>
        </w:rPr>
      </w:pPr>
      <w:bookmarkStart w:id="13" w:name="_Ref467580240"/>
      <w:bookmarkStart w:id="14" w:name="_Toc468176736"/>
      <w:r w:rsidRPr="00C673AD">
        <w:rPr>
          <w:sz w:val="22"/>
          <w:szCs w:val="22"/>
        </w:rPr>
        <w:t xml:space="preserve">Figure </w:t>
      </w:r>
      <w:r w:rsidR="00D56373" w:rsidRPr="00C673AD">
        <w:rPr>
          <w:sz w:val="22"/>
          <w:szCs w:val="22"/>
        </w:rPr>
        <w:fldChar w:fldCharType="begin"/>
      </w:r>
      <w:r w:rsidR="00D56373" w:rsidRPr="00C673AD">
        <w:rPr>
          <w:sz w:val="22"/>
          <w:szCs w:val="22"/>
        </w:rPr>
        <w:instrText xml:space="preserve"> SEQ Figure \* ARABIC </w:instrText>
      </w:r>
      <w:r w:rsidR="00D56373" w:rsidRPr="00C673AD">
        <w:rPr>
          <w:sz w:val="22"/>
          <w:szCs w:val="22"/>
        </w:rPr>
        <w:fldChar w:fldCharType="separate"/>
      </w:r>
      <w:r w:rsidR="008303E2">
        <w:rPr>
          <w:noProof/>
          <w:sz w:val="22"/>
          <w:szCs w:val="22"/>
        </w:rPr>
        <w:t>1</w:t>
      </w:r>
      <w:r w:rsidR="00D56373" w:rsidRPr="00C673AD">
        <w:rPr>
          <w:noProof/>
          <w:sz w:val="22"/>
          <w:szCs w:val="22"/>
        </w:rPr>
        <w:fldChar w:fldCharType="end"/>
      </w:r>
      <w:bookmarkEnd w:id="13"/>
      <w:r w:rsidRPr="00C673AD">
        <w:rPr>
          <w:sz w:val="22"/>
          <w:szCs w:val="22"/>
        </w:rPr>
        <w:t xml:space="preserve">: </w:t>
      </w:r>
      <w:r w:rsidR="005F1B01" w:rsidRPr="00C673AD">
        <w:rPr>
          <w:sz w:val="22"/>
          <w:szCs w:val="22"/>
        </w:rPr>
        <w:t xml:space="preserve">Goal and objectives of </w:t>
      </w:r>
      <w:r w:rsidRPr="00C673AD">
        <w:rPr>
          <w:sz w:val="22"/>
          <w:szCs w:val="22"/>
        </w:rPr>
        <w:t>Australia's biosecurity system</w:t>
      </w:r>
      <w:r w:rsidR="005F1B01" w:rsidRPr="00C673AD">
        <w:rPr>
          <w:sz w:val="22"/>
          <w:szCs w:val="22"/>
        </w:rPr>
        <w:t xml:space="preserve"> from the 2012 IGAB</w:t>
      </w:r>
      <w:bookmarkEnd w:id="14"/>
    </w:p>
    <w:p w14:paraId="641B1D85" w14:textId="77777777" w:rsidR="002D07F5" w:rsidRPr="00AC663D" w:rsidRDefault="001B2AB1" w:rsidP="00AB06E7">
      <w:pPr>
        <w:pStyle w:val="Heading3"/>
      </w:pPr>
      <w:bookmarkStart w:id="15" w:name="_Toc430782152"/>
      <w:bookmarkStart w:id="16" w:name="_Toc469654722"/>
      <w:r>
        <w:lastRenderedPageBreak/>
        <w:t>An evolving system</w:t>
      </w:r>
      <w:bookmarkEnd w:id="15"/>
      <w:bookmarkEnd w:id="16"/>
    </w:p>
    <w:p w14:paraId="7F48689B" w14:textId="77777777" w:rsidR="001B2AB1" w:rsidRDefault="001B2AB1" w:rsidP="001B2AB1">
      <w:r>
        <w:t>Australia’s biosecurity system has continuously evolved and adapted to address emerging challenges and opportunities</w:t>
      </w:r>
      <w:r w:rsidR="00A24E32">
        <w:t>,</w:t>
      </w:r>
      <w:r>
        <w:t xml:space="preserve"> and to reflect changing risks, priorities and circumstances.</w:t>
      </w:r>
    </w:p>
    <w:p w14:paraId="17E1F4BA" w14:textId="3D5039A6" w:rsidR="001B2AB1" w:rsidRDefault="001B2AB1" w:rsidP="001B2AB1">
      <w:r w:rsidRPr="00EC7906">
        <w:t>Since 2000, there has been significant activity across the national biosecurity system—particularly in recent years (</w:t>
      </w:r>
      <w:r w:rsidR="00F21A25" w:rsidRPr="00EC7906">
        <w:fldChar w:fldCharType="begin"/>
      </w:r>
      <w:r w:rsidR="00F21A25" w:rsidRPr="00EC7906">
        <w:instrText xml:space="preserve"> REF _Ref467252050 \h </w:instrText>
      </w:r>
      <w:r w:rsidR="007700A4" w:rsidRPr="00EC7906">
        <w:instrText xml:space="preserve"> \* MERGEFORMAT </w:instrText>
      </w:r>
      <w:r w:rsidR="00F21A25" w:rsidRPr="00EC7906">
        <w:fldChar w:fldCharType="separate"/>
      </w:r>
      <w:r w:rsidR="008303E2" w:rsidRPr="00375F10">
        <w:t xml:space="preserve">Figure </w:t>
      </w:r>
      <w:r w:rsidR="008303E2">
        <w:rPr>
          <w:noProof/>
        </w:rPr>
        <w:t>2</w:t>
      </w:r>
      <w:r w:rsidR="00F21A25" w:rsidRPr="00EC7906">
        <w:fldChar w:fldCharType="end"/>
      </w:r>
      <w:r w:rsidR="002C7872">
        <w:t xml:space="preserve">). </w:t>
      </w:r>
      <w:r w:rsidRPr="00EC7906">
        <w:t>All jurisdictions have introduced a range of legislative, governance and system improvements. Industry has</w:t>
      </w:r>
      <w:r>
        <w:t xml:space="preserve"> similarly been active and increasingly engaged. However, Australia continues to experience a notable number of incursions, reinforcing the need for constant vigilance and continuous review</w:t>
      </w:r>
      <w:r w:rsidR="002F408F">
        <w:t xml:space="preserve"> and reform</w:t>
      </w:r>
      <w:r w:rsidR="002C7872">
        <w:t xml:space="preserve"> of the system.</w:t>
      </w:r>
    </w:p>
    <w:p w14:paraId="52764522" w14:textId="77777777" w:rsidR="001B2AB1" w:rsidRDefault="001B2AB1" w:rsidP="001B2AB1">
      <w:r>
        <w:t>System-wide reviews have and continue to strengthen the national biosecurity system; driving structural, behavioural change, and highlighting risks and improvements to be addressed by governments, industry and other system participants.</w:t>
      </w:r>
    </w:p>
    <w:p w14:paraId="1E4700B8" w14:textId="484A0824" w:rsidR="001B2AB1" w:rsidRDefault="001B2AB1" w:rsidP="001B2AB1">
      <w:r>
        <w:t>In 1996, Professor Malcolm Nairn AM chaired an independent review of Australia’s then quarantine system (</w:t>
      </w:r>
      <w:hyperlink w:anchor="Nairn_et_al_1996" w:history="1">
        <w:r w:rsidR="00BA3212" w:rsidRPr="00BA3212">
          <w:rPr>
            <w:rStyle w:val="Hyperlink"/>
          </w:rPr>
          <w:t xml:space="preserve">Nairn </w:t>
        </w:r>
        <w:r w:rsidR="005276D7" w:rsidRPr="00BA3212">
          <w:rPr>
            <w:rStyle w:val="Hyperlink"/>
          </w:rPr>
          <w:t>et al.</w:t>
        </w:r>
        <w:r w:rsidRPr="00BA3212">
          <w:rPr>
            <w:rStyle w:val="Hyperlink"/>
          </w:rPr>
          <w:t xml:space="preserve"> </w:t>
        </w:r>
        <w:r w:rsidR="005276D7" w:rsidRPr="00BA3212">
          <w:rPr>
            <w:rStyle w:val="Hyperlink"/>
          </w:rPr>
          <w:t>1996</w:t>
        </w:r>
      </w:hyperlink>
      <w:r>
        <w:t>). A key recommendation was the adoption of the principle of shared responsibility, namely that a partnership approach be the foundation for the then quarantine system, in recognition of the role all stakeholders in the system—governments, industry and the community—have to play. The system of shared responsibility would</w:t>
      </w:r>
      <w:r w:rsidR="00CA30D5">
        <w:t xml:space="preserve"> be</w:t>
      </w:r>
      <w:r>
        <w:t xml:space="preserve"> most effective when stakeholders were aware of each other’s roles and responsibilities</w:t>
      </w:r>
      <w:r w:rsidR="00A24E32">
        <w:t>,</w:t>
      </w:r>
      <w:r>
        <w:t xml:space="preserve"> and were working collaboratively to</w:t>
      </w:r>
      <w:r w:rsidR="002C7872">
        <w:t>ward achieving agreed outcomes.</w:t>
      </w:r>
    </w:p>
    <w:p w14:paraId="24F364BE" w14:textId="77777777" w:rsidR="001B2AB1" w:rsidRDefault="001B2AB1" w:rsidP="001B2AB1">
      <w:r>
        <w:t>Other recommendations focussed on environmental considerations in quarantine, increasing the profile of plant quarantine through establishing an ‘Australian Plant Health Council’ and a Chief Plant Protection Officer position, risks analyses for imports, and considering the broad range of views from industry and the general public in quarantine matters.</w:t>
      </w:r>
    </w:p>
    <w:p w14:paraId="0166D36C" w14:textId="1F1AED14" w:rsidR="004C313D" w:rsidRDefault="004C313D" w:rsidP="0078480E">
      <w:r>
        <w:t>In 2005,</w:t>
      </w:r>
      <w:r w:rsidR="005562D5">
        <w:t xml:space="preserve"> </w:t>
      </w:r>
      <w:r w:rsidR="00156037">
        <w:t xml:space="preserve">Mr </w:t>
      </w:r>
      <w:r w:rsidR="00D36278">
        <w:t xml:space="preserve">Roger Smith, a former Northern Territory Government </w:t>
      </w:r>
      <w:r w:rsidR="005B64C9">
        <w:t>senior official</w:t>
      </w:r>
      <w:r w:rsidR="00970E73">
        <w:t xml:space="preserve">, prepared a discussion paper on biosecurity </w:t>
      </w:r>
      <w:r w:rsidR="005B64C9">
        <w:t>in Australia for the Primary Industries Standing Committee (a predecessor to AGSOC)</w:t>
      </w:r>
      <w:r w:rsidR="00970E73">
        <w:t xml:space="preserve">, highlighting the </w:t>
      </w:r>
      <w:r w:rsidR="00906C29">
        <w:t xml:space="preserve">value of </w:t>
      </w:r>
      <w:r w:rsidR="00747FFE">
        <w:t xml:space="preserve">a national approach to biosecurity that brought </w:t>
      </w:r>
      <w:r w:rsidR="00970E73">
        <w:t xml:space="preserve">together </w:t>
      </w:r>
      <w:r w:rsidR="003E0117">
        <w:t xml:space="preserve">the </w:t>
      </w:r>
      <w:r w:rsidR="00970E73">
        <w:t xml:space="preserve">various </w:t>
      </w:r>
      <w:r w:rsidR="003E0117">
        <w:t xml:space="preserve">biosecurity </w:t>
      </w:r>
      <w:r w:rsidR="00970E73">
        <w:t xml:space="preserve">components </w:t>
      </w:r>
      <w:r w:rsidR="003E0117">
        <w:t>and functions from across all nine jurisdictions.</w:t>
      </w:r>
    </w:p>
    <w:p w14:paraId="286C94F5" w14:textId="7B4C08D4" w:rsidR="001B2AB1" w:rsidRDefault="001B2AB1" w:rsidP="001B2AB1">
      <w:r>
        <w:t>In 2008, a</w:t>
      </w:r>
      <w:r w:rsidR="00CA30D5">
        <w:t>n independent</w:t>
      </w:r>
      <w:r>
        <w:t xml:space="preserve"> review chaired by Mr Roger Beale AO (</w:t>
      </w:r>
      <w:hyperlink w:anchor="Beale_et_al_2008" w:history="1">
        <w:r w:rsidR="005276D7" w:rsidRPr="00BA3212">
          <w:rPr>
            <w:rStyle w:val="Hyperlink"/>
          </w:rPr>
          <w:t>Beale et al. 2008</w:t>
        </w:r>
      </w:hyperlink>
      <w:r>
        <w:t>) built on the shared responsibility principle, arguing for a seamless system that fully involved all players, and a move from the concept of quarantine to a broader concept of biosecurity which emphasised managed risk, not zero risk. This risk-based approach broadened the focus of the system from the border only to encompass pre-border and post-border measures, and sought to direct biosecurity controls to where they were most effective</w:t>
      </w:r>
      <w:r w:rsidR="00AC6893">
        <w:t>.</w:t>
      </w:r>
    </w:p>
    <w:p w14:paraId="689B3CDD" w14:textId="662B7681" w:rsidR="001B2AB1" w:rsidRDefault="001B2AB1" w:rsidP="001B2AB1">
      <w:r>
        <w:t>The Beale Review also recommended the development</w:t>
      </w:r>
      <w:r w:rsidR="00A24E32">
        <w:t xml:space="preserve"> of a</w:t>
      </w:r>
      <w:r>
        <w:t xml:space="preserve"> National Agreement on Biosecurity to underpin a partnership approach between the Australian, state and territory governments on biosecurity</w:t>
      </w:r>
      <w:r w:rsidR="00FF76DD">
        <w:t>, building on various existing agreements between governments</w:t>
      </w:r>
      <w:r>
        <w:t xml:space="preserve">. Governments’ pursuit of this recommendation has taken the form of the Intergovernmental Agreement on Biosecurity (IGAB), signed in 2012 by </w:t>
      </w:r>
      <w:r w:rsidR="006310D2">
        <w:t>F</w:t>
      </w:r>
      <w:r>
        <w:t xml:space="preserve">irst </w:t>
      </w:r>
      <w:r w:rsidR="006310D2">
        <w:t>M</w:t>
      </w:r>
      <w:r>
        <w:t>inisters from all governments</w:t>
      </w:r>
      <w:r w:rsidRPr="00EC7906">
        <w:t xml:space="preserve">, except Tasmania. </w:t>
      </w:r>
      <w:r>
        <w:t>This agreement has become the principal agreement and collaborative mechanism for governments on biosecurity matters.</w:t>
      </w:r>
    </w:p>
    <w:p w14:paraId="267ADD87" w14:textId="05C8B9E5" w:rsidR="001B2AB1" w:rsidRPr="005762B9" w:rsidRDefault="001B2AB1" w:rsidP="001B2AB1">
      <w:r>
        <w:t xml:space="preserve">In 2011, Mr Ken Matthews AO conducted an independent assessment of Australia’s preparedness for the threat of foot-and-mouth </w:t>
      </w:r>
      <w:r w:rsidRPr="005762B9">
        <w:t>disease</w:t>
      </w:r>
      <w:r w:rsidR="007700A4" w:rsidRPr="005762B9">
        <w:t xml:space="preserve"> (</w:t>
      </w:r>
      <w:hyperlink w:anchor="Mathews_2011" w:history="1">
        <w:r w:rsidR="007700A4" w:rsidRPr="00BA3212">
          <w:rPr>
            <w:rStyle w:val="Hyperlink"/>
          </w:rPr>
          <w:t>Mat</w:t>
        </w:r>
        <w:r w:rsidR="007E4287" w:rsidRPr="00BA3212">
          <w:rPr>
            <w:rStyle w:val="Hyperlink"/>
          </w:rPr>
          <w:t>t</w:t>
        </w:r>
        <w:r w:rsidR="007700A4" w:rsidRPr="00BA3212">
          <w:rPr>
            <w:rStyle w:val="Hyperlink"/>
          </w:rPr>
          <w:t>hews</w:t>
        </w:r>
        <w:r w:rsidR="007E4287" w:rsidRPr="00BA3212">
          <w:rPr>
            <w:rStyle w:val="Hyperlink"/>
          </w:rPr>
          <w:t xml:space="preserve"> 2011</w:t>
        </w:r>
      </w:hyperlink>
      <w:r w:rsidR="007700A4" w:rsidRPr="005762B9">
        <w:t>)</w:t>
      </w:r>
      <w:r w:rsidRPr="005762B9">
        <w:t xml:space="preserve">, including the capacity </w:t>
      </w:r>
      <w:r w:rsidRPr="005762B9">
        <w:lastRenderedPageBreak/>
        <w:t>to prevent and respond to a</w:t>
      </w:r>
      <w:r w:rsidR="00CB4F84">
        <w:t>n</w:t>
      </w:r>
      <w:r w:rsidRPr="005762B9">
        <w:t xml:space="preserve"> outbreak. Recommendations covered the areas of government leadership, a need for greater focus on prevention and preparedness and clarity on responsibility and accountability for disease planning processes.</w:t>
      </w:r>
    </w:p>
    <w:p w14:paraId="52914574" w14:textId="437489AB" w:rsidR="001B2AB1" w:rsidRPr="005762B9" w:rsidRDefault="001B2AB1" w:rsidP="001B2AB1">
      <w:r w:rsidRPr="005762B9">
        <w:t>A 2013 report by ABARES put the cost of a large foot-and-mouth disease outbreak in Australia at more than $50 billion over 10 years, indicating expectations of very large adverse economic and social impacts and financial losses</w:t>
      </w:r>
      <w:r w:rsidR="007E4287" w:rsidRPr="005762B9">
        <w:t xml:space="preserve"> (</w:t>
      </w:r>
      <w:hyperlink w:anchor="Buete_et_al_2013" w:history="1">
        <w:r w:rsidR="007E4287" w:rsidRPr="00BA3212">
          <w:rPr>
            <w:rStyle w:val="Hyperlink"/>
          </w:rPr>
          <w:t>Buetre et al. 2013</w:t>
        </w:r>
      </w:hyperlink>
      <w:r w:rsidR="007E4287" w:rsidRPr="005762B9">
        <w:t>)</w:t>
      </w:r>
      <w:r w:rsidRPr="005762B9">
        <w:t>. The findings highlighted the importance of response preparedness and stakeholder collaboration</w:t>
      </w:r>
      <w:r w:rsidR="00A24E32" w:rsidRPr="005762B9">
        <w:t>,</w:t>
      </w:r>
      <w:r w:rsidRPr="005762B9">
        <w:t xml:space="preserve"> and the significance of market access </w:t>
      </w:r>
      <w:r w:rsidR="0074148C">
        <w:t>considerations for biosecurity.</w:t>
      </w:r>
    </w:p>
    <w:p w14:paraId="2A2262EF" w14:textId="604CFCFE" w:rsidR="001B2AB1" w:rsidRDefault="000D2CDF" w:rsidP="001B2AB1">
      <w:r w:rsidRPr="005762B9">
        <w:t>In 2015</w:t>
      </w:r>
      <w:r w:rsidR="001B2AB1" w:rsidRPr="005762B9">
        <w:t xml:space="preserve">, the Australian Government led a </w:t>
      </w:r>
      <w:r w:rsidR="00A24E32" w:rsidRPr="005762B9">
        <w:t>re</w:t>
      </w:r>
      <w:r w:rsidR="001B2AB1" w:rsidRPr="005762B9">
        <w:t>view of national marine pest biosecurity arrangements</w:t>
      </w:r>
      <w:r w:rsidR="007700A4" w:rsidRPr="005762B9">
        <w:t xml:space="preserve"> (</w:t>
      </w:r>
      <w:hyperlink w:anchor="DAWR_2015" w:history="1">
        <w:r w:rsidR="00592169" w:rsidRPr="00BA3212">
          <w:rPr>
            <w:rStyle w:val="Hyperlink"/>
          </w:rPr>
          <w:t>DAWR 2015</w:t>
        </w:r>
      </w:hyperlink>
      <w:r w:rsidR="007700A4" w:rsidRPr="005762B9">
        <w:t>)</w:t>
      </w:r>
      <w:r w:rsidR="001B2AB1" w:rsidRPr="005762B9">
        <w:t>. The review’s recommendations sought to provide a new prevention focus for mar</w:t>
      </w:r>
      <w:r w:rsidR="00592169" w:rsidRPr="005762B9">
        <w:t>ine pest biosecurity, dev</w:t>
      </w:r>
      <w:r w:rsidR="00592169">
        <w:t>elop</w:t>
      </w:r>
      <w:r w:rsidR="001B2AB1">
        <w:t xml:space="preserve"> stronger response arrangements for dealing with incursions</w:t>
      </w:r>
      <w:r w:rsidR="000679B7">
        <w:t>,</w:t>
      </w:r>
      <w:r w:rsidR="001B2AB1">
        <w:t xml:space="preserve"> </w:t>
      </w:r>
      <w:r w:rsidR="000679B7">
        <w:t>and</w:t>
      </w:r>
      <w:r w:rsidR="001B2AB1">
        <w:t xml:space="preserve"> improv</w:t>
      </w:r>
      <w:r w:rsidR="000679B7">
        <w:t>e</w:t>
      </w:r>
      <w:r w:rsidR="001B2AB1">
        <w:t xml:space="preserve"> relationships and sharing responsibility for marine pest biosecurity between researchers, industries, governments and the community. The review also highlighted the greater cost-effectiveness and efficiency of preventive measures to reduce impacts of marine pests.</w:t>
      </w:r>
    </w:p>
    <w:p w14:paraId="043A44F8" w14:textId="60F6DBCB" w:rsidR="001B2AB1" w:rsidRDefault="001B2AB1" w:rsidP="001B2AB1">
      <w:r>
        <w:t xml:space="preserve">Other recent reviews </w:t>
      </w:r>
      <w:r w:rsidR="00497846">
        <w:t xml:space="preserve">and inquiries </w:t>
      </w:r>
      <w:r>
        <w:t xml:space="preserve">attest to the increasingly tight fiscal environment for governments, including declines in the resourcing available and capability of jurisdictional biosecurity systems. Agencies responsible for biosecurity across all governments have identified challenges </w:t>
      </w:r>
      <w:r w:rsidR="00F211D8">
        <w:t>in</w:t>
      </w:r>
      <w:r>
        <w:t xml:space="preserve"> continuing to meet their national biosecurity commitments</w:t>
      </w:r>
      <w:r w:rsidR="00A45F70">
        <w:t>:</w:t>
      </w:r>
    </w:p>
    <w:p w14:paraId="4A747EE9" w14:textId="0F2A7E76" w:rsidR="001B2AB1" w:rsidRDefault="001B2AB1" w:rsidP="00026A1B">
      <w:pPr>
        <w:pStyle w:val="ListBullet"/>
      </w:pPr>
      <w:r>
        <w:t xml:space="preserve">In March 2015, the Queensland Government commissioned an independent report </w:t>
      </w:r>
      <w:r w:rsidR="003971E4">
        <w:t xml:space="preserve">chaired by Ms </w:t>
      </w:r>
      <w:r w:rsidR="003971E4" w:rsidRPr="005762B9">
        <w:t xml:space="preserve">Renata Brooks, </w:t>
      </w:r>
      <w:r w:rsidRPr="005762B9">
        <w:t>on the capability of the Queensland biosecurity system</w:t>
      </w:r>
      <w:r w:rsidR="007700A4" w:rsidRPr="005762B9">
        <w:t xml:space="preserve"> (</w:t>
      </w:r>
      <w:hyperlink w:anchor="Brooks_2015" w:history="1">
        <w:r w:rsidR="007700A4" w:rsidRPr="00BA3212">
          <w:rPr>
            <w:rStyle w:val="Hyperlink"/>
          </w:rPr>
          <w:t>Brooks et al</w:t>
        </w:r>
        <w:r w:rsidR="00592169" w:rsidRPr="00BA3212">
          <w:rPr>
            <w:rStyle w:val="Hyperlink"/>
          </w:rPr>
          <w:t>.</w:t>
        </w:r>
        <w:r w:rsidR="008F0F2B" w:rsidRPr="00BA3212">
          <w:rPr>
            <w:rStyle w:val="Hyperlink"/>
          </w:rPr>
          <w:t xml:space="preserve"> 2015</w:t>
        </w:r>
      </w:hyperlink>
      <w:r w:rsidR="007700A4" w:rsidRPr="005762B9">
        <w:t>)</w:t>
      </w:r>
      <w:r w:rsidRPr="005762B9">
        <w:t>. The final report highlighted critical gaps in Queensland’s biosecurity system, including a pressing need to build</w:t>
      </w:r>
      <w:r>
        <w:t xml:space="preserve"> capacity to respond to incursions. The report also noted a 26 per cent reduction in staffing between 2012 and 2015</w:t>
      </w:r>
      <w:r w:rsidR="00A24E32">
        <w:t>.</w:t>
      </w:r>
    </w:p>
    <w:p w14:paraId="72359FE9" w14:textId="572B0DD1" w:rsidR="001B2AB1" w:rsidRDefault="001B2AB1" w:rsidP="00026A1B">
      <w:pPr>
        <w:pStyle w:val="ListBullet"/>
      </w:pPr>
      <w:r>
        <w:t xml:space="preserve">In May 2015, the Australian Senate Environment and Communication References Committee released its report into environmental </w:t>
      </w:r>
      <w:r w:rsidRPr="005762B9">
        <w:t>biosecurity</w:t>
      </w:r>
      <w:r w:rsidR="007700A4" w:rsidRPr="005762B9">
        <w:t xml:space="preserve"> (</w:t>
      </w:r>
      <w:hyperlink w:anchor="Commonwealth_of_Australia_2015" w:history="1">
        <w:r w:rsidR="000C4259" w:rsidRPr="00BA3212">
          <w:rPr>
            <w:rStyle w:val="Hyperlink"/>
          </w:rPr>
          <w:t>Commonwealth of Australia 2015</w:t>
        </w:r>
      </w:hyperlink>
      <w:r w:rsidR="007700A4" w:rsidRPr="005762B9">
        <w:t>)</w:t>
      </w:r>
      <w:r w:rsidRPr="005762B9">
        <w:t>, suggesting the effective operation of the national biosecurity system is threatened</w:t>
      </w:r>
      <w:r>
        <w:t xml:space="preserve"> by a lack of resources, including within the Australian Government departments of agriculture and environment, and within scientific bodies, such as the CSIRO.</w:t>
      </w:r>
    </w:p>
    <w:p w14:paraId="0E44A3BC" w14:textId="7FFD51E4" w:rsidR="001B2AB1" w:rsidRDefault="001B2AB1" w:rsidP="00026A1B">
      <w:pPr>
        <w:pStyle w:val="ListBullet"/>
      </w:pPr>
      <w:r>
        <w:t>In August 2015, the Victorian Auditor-General reported a reduction in the Victorian Government’s ability to detect, respond and prepare for an emergency response outbreak</w:t>
      </w:r>
      <w:r w:rsidR="007700A4">
        <w:t xml:space="preserve"> </w:t>
      </w:r>
      <w:r w:rsidR="007700A4" w:rsidRPr="005762B9">
        <w:t>(</w:t>
      </w:r>
      <w:hyperlink w:anchor="VAGO_2015" w:history="1">
        <w:r w:rsidR="007700A4" w:rsidRPr="00DE6C31">
          <w:rPr>
            <w:rStyle w:val="Hyperlink"/>
          </w:rPr>
          <w:t>VAGO 2015</w:t>
        </w:r>
      </w:hyperlink>
      <w:r w:rsidR="007700A4" w:rsidRPr="005762B9">
        <w:t>)</w:t>
      </w:r>
      <w:r w:rsidRPr="005762B9">
        <w:t>. The report</w:t>
      </w:r>
      <w:r>
        <w:t xml:space="preserve"> highlighted a 49 per cent reduction in state recurrent funding for core livestock biosecurity activities between</w:t>
      </w:r>
      <w:r w:rsidR="0014029A">
        <w:t xml:space="preserve"> </w:t>
      </w:r>
      <w:r>
        <w:t>2009–10 and 2014</w:t>
      </w:r>
      <w:r w:rsidR="00296368">
        <w:t>–</w:t>
      </w:r>
      <w:r>
        <w:t>15; staffing reductions, including specialist positions, were also highlighted.</w:t>
      </w:r>
    </w:p>
    <w:p w14:paraId="2CAB3C43" w14:textId="77777777" w:rsidR="007E7F36" w:rsidRPr="002530F0" w:rsidRDefault="007E7F36" w:rsidP="007E7F36">
      <w:pPr>
        <w:pStyle w:val="ListBullet"/>
      </w:pPr>
      <w:r w:rsidRPr="002530F0">
        <w:t xml:space="preserve">In May 2016, the World Organisation for Animal Health (OIE) released its assessment of Australia’s veterinary services, measured against 47 criteria, with 38 given the highest competency level </w:t>
      </w:r>
      <w:hyperlink w:anchor="Schneider_et_al_2015" w:history="1">
        <w:r w:rsidRPr="002530F0">
          <w:rPr>
            <w:rStyle w:val="Hyperlink"/>
          </w:rPr>
          <w:t>(Schneider et al. 2015</w:t>
        </w:r>
      </w:hyperlink>
      <w:r w:rsidRPr="002530F0">
        <w:t>). The report noted the high level of biosecurity in Australia, but identified inadequate staffing levels as a key issue for jurisdictions to consider.</w:t>
      </w:r>
    </w:p>
    <w:p w14:paraId="08DF6A04" w14:textId="6922FFF7" w:rsidR="00851C46" w:rsidRDefault="001B2AB1" w:rsidP="0074148C">
      <w:r>
        <w:t xml:space="preserve">The 2016 IGAB Review of Australia’s biosecurity system and the underpinning 2012 Intergovernmental Agreement on Biosecurity is another step in </w:t>
      </w:r>
      <w:r w:rsidR="00F211D8">
        <w:t xml:space="preserve">the </w:t>
      </w:r>
      <w:r>
        <w:t>continuous improvement</w:t>
      </w:r>
      <w:r w:rsidR="00F211D8">
        <w:t xml:space="preserve"> process</w:t>
      </w:r>
      <w:r>
        <w:t>, essential for maintaining the strength of the national system, its focus on priorities and ability to address areas of emerging need and concern.</w:t>
      </w:r>
    </w:p>
    <w:p w14:paraId="7DF2DD9D" w14:textId="77777777" w:rsidR="00F21A25" w:rsidRDefault="00F21A25" w:rsidP="00267841">
      <w:pPr>
        <w:sectPr w:rsidR="00F21A25" w:rsidSect="002D12BF">
          <w:pgSz w:w="11906" w:h="16838"/>
          <w:pgMar w:top="1418" w:right="1418" w:bottom="1418" w:left="1418" w:header="567" w:footer="283" w:gutter="0"/>
          <w:pgNumType w:start="1"/>
          <w:cols w:space="708"/>
          <w:docGrid w:linePitch="360"/>
        </w:sectPr>
      </w:pPr>
    </w:p>
    <w:p w14:paraId="692CB8C8" w14:textId="3FB8E727" w:rsidR="00F21A25" w:rsidRDefault="00F21A25" w:rsidP="002C7872">
      <w:pPr>
        <w:pStyle w:val="Picture"/>
      </w:pPr>
      <w:r>
        <w:lastRenderedPageBreak/>
        <w:tab/>
      </w:r>
      <w:r w:rsidR="00005DCF">
        <w:drawing>
          <wp:inline distT="0" distB="0" distL="0" distR="0" wp14:anchorId="6FCCC2E2" wp14:editId="51CC4D21">
            <wp:extent cx="8156614" cy="5601620"/>
            <wp:effectExtent l="0" t="0" r="0" b="0"/>
            <wp:docPr id="12" name="Picture 12" descr="Shows activity in Australia's biosecurity system between 2000 and 2016 in relation to significant animal and plant incursions (not all incursions are shown in the illustration), governance arrangements, and reviews of biosecurity arrangements. The figure illustrated that during this time there have been: 13 major animal disease incursions in Australia, of which 8 have been eradicated and 5 are being managed by jurisdictions, 4 major international outbreaks are also listed; 25 major plant pest or diseases incursions in Australia, of which 5 have been eradicated, 15 are under eradication, and 5 are being managed by jurisdictions. There have also been changes to biosecurity governance arrangements, including for example the established of Plant Health Australia (Animal Health Australia was established in 1996), finalisation of the animal, plant and environmental emergency response deeds, the introduction of singular legislation by some jurisdictions—notably Western Australia, New South Wales and Queensland—and the implementation of new legislation at the Commonwealth level. Major reviews that have occurred over this period include the 2008 Beale review, 2011 Matthews review, 2015 review of marine pest biosecurity, and this review (the 2016 review of the intergovernmental agreement on bio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58702" cy="5603054"/>
                    </a:xfrm>
                    <a:prstGeom prst="rect">
                      <a:avLst/>
                    </a:prstGeom>
                    <a:noFill/>
                  </pic:spPr>
                </pic:pic>
              </a:graphicData>
            </a:graphic>
          </wp:inline>
        </w:drawing>
      </w:r>
    </w:p>
    <w:p w14:paraId="73B9CE75" w14:textId="43F81FBC" w:rsidR="00F21A25" w:rsidRPr="00375F10" w:rsidRDefault="00F21A25" w:rsidP="00375F10">
      <w:pPr>
        <w:pStyle w:val="Caption"/>
        <w:rPr>
          <w:sz w:val="22"/>
          <w:szCs w:val="22"/>
        </w:rPr>
        <w:sectPr w:rsidR="00F21A25" w:rsidRPr="00375F10" w:rsidSect="007A26FA">
          <w:pgSz w:w="16838" w:h="11906" w:orient="landscape"/>
          <w:pgMar w:top="1418" w:right="1418" w:bottom="1276" w:left="1418" w:header="567" w:footer="283" w:gutter="0"/>
          <w:cols w:space="708"/>
          <w:docGrid w:linePitch="360"/>
        </w:sectPr>
      </w:pPr>
      <w:r>
        <w:tab/>
      </w:r>
      <w:bookmarkStart w:id="17" w:name="_Ref467252050"/>
      <w:bookmarkStart w:id="18" w:name="_Toc468176737"/>
      <w:r w:rsidRPr="00375F10">
        <w:rPr>
          <w:sz w:val="22"/>
          <w:szCs w:val="22"/>
        </w:rPr>
        <w:t xml:space="preserve">Figure </w:t>
      </w:r>
      <w:r w:rsidR="00D56373" w:rsidRPr="00375F10">
        <w:rPr>
          <w:sz w:val="22"/>
          <w:szCs w:val="22"/>
        </w:rPr>
        <w:fldChar w:fldCharType="begin"/>
      </w:r>
      <w:r w:rsidR="00D56373" w:rsidRPr="00375F10">
        <w:rPr>
          <w:sz w:val="22"/>
          <w:szCs w:val="22"/>
        </w:rPr>
        <w:instrText xml:space="preserve"> SEQ Figure \* ARABIC </w:instrText>
      </w:r>
      <w:r w:rsidR="00D56373" w:rsidRPr="00375F10">
        <w:rPr>
          <w:sz w:val="22"/>
          <w:szCs w:val="22"/>
        </w:rPr>
        <w:fldChar w:fldCharType="separate"/>
      </w:r>
      <w:r w:rsidR="008303E2">
        <w:rPr>
          <w:noProof/>
          <w:sz w:val="22"/>
          <w:szCs w:val="22"/>
        </w:rPr>
        <w:t>2</w:t>
      </w:r>
      <w:r w:rsidR="00D56373" w:rsidRPr="00375F10">
        <w:rPr>
          <w:noProof/>
          <w:sz w:val="22"/>
          <w:szCs w:val="22"/>
        </w:rPr>
        <w:fldChar w:fldCharType="end"/>
      </w:r>
      <w:bookmarkEnd w:id="17"/>
      <w:r w:rsidRPr="00375F10">
        <w:rPr>
          <w:sz w:val="22"/>
          <w:szCs w:val="22"/>
        </w:rPr>
        <w:t>: Recent activity in Australia's biosecurity system</w:t>
      </w:r>
      <w:bookmarkEnd w:id="18"/>
    </w:p>
    <w:p w14:paraId="3A325DBC" w14:textId="77777777" w:rsidR="002D07F5" w:rsidRPr="00AC663D" w:rsidRDefault="001B2AB1" w:rsidP="00AC663D">
      <w:pPr>
        <w:pStyle w:val="Heading3"/>
      </w:pPr>
      <w:bookmarkStart w:id="19" w:name="_Toc430782153"/>
      <w:bookmarkStart w:id="20" w:name="_Toc469654723"/>
      <w:r>
        <w:lastRenderedPageBreak/>
        <w:t>Future risks and pathways</w:t>
      </w:r>
      <w:bookmarkEnd w:id="19"/>
      <w:bookmarkEnd w:id="20"/>
    </w:p>
    <w:p w14:paraId="69AA03A8" w14:textId="43413F3F" w:rsidR="005B64C9" w:rsidRDefault="005B64C9" w:rsidP="005B64C9">
      <w:pPr>
        <w:rPr>
          <w:rFonts w:cs="Times New Roman"/>
        </w:rPr>
      </w:pPr>
      <w:r>
        <w:t>Managing biosecurity risk has become more challenging due to increasing risks, the changing nature of risks, and increases in associated management costs. Factors such as globalisation, international and interstate migration, climate change, tourism, and the increasing movement of goods are all contributing to shifts in biosecurity risks (</w:t>
      </w:r>
      <w:hyperlink w:anchor="CSIRO_2014" w:history="1">
        <w:r w:rsidRPr="00BA3212">
          <w:rPr>
            <w:rStyle w:val="Hyperlink"/>
          </w:rPr>
          <w:t>CSIRO 2014</w:t>
        </w:r>
      </w:hyperlink>
      <w:r>
        <w:t xml:space="preserve">; </w:t>
      </w:r>
      <w:hyperlink w:anchor="Grafton_2015" w:history="1">
        <w:r w:rsidRPr="00BA3212">
          <w:rPr>
            <w:rStyle w:val="Hyperlink"/>
          </w:rPr>
          <w:t>Grafton et al. 2015</w:t>
        </w:r>
      </w:hyperlink>
      <w:r>
        <w:t xml:space="preserve">; </w:t>
      </w:r>
      <w:hyperlink w:anchor="Haikowicz_Eady_2015" w:history="1">
        <w:r w:rsidRPr="00BA3212">
          <w:rPr>
            <w:rStyle w:val="Hyperlink"/>
          </w:rPr>
          <w:t>Hajkowicz and Eady 2015</w:t>
        </w:r>
      </w:hyperlink>
      <w:r>
        <w:t>).</w:t>
      </w:r>
    </w:p>
    <w:p w14:paraId="3A5B3553" w14:textId="24801EB9" w:rsidR="005B64C9" w:rsidRDefault="005B64C9" w:rsidP="005B64C9">
      <w:r>
        <w:t>For Australia, over the last decade the number of aircraft passengers has increased by 80 per cent, the number of sea containers imported by 82 per cent and bulk cargo imports by 16 per cent. Current volumes already present challenges requiring, in 2015–16, the border assessment, screening, inspection or clearance of 46 000 sea containers on the Country Action List, 640 000 air freight consignments (under $1 000 in value), 138 million international mail articles, 19 million arriving international passengers, and 800 000 sea p</w:t>
      </w:r>
      <w:r w:rsidR="00873A70">
        <w:t>assengers and crew (</w:t>
      </w:r>
      <w:hyperlink w:anchor="DAWR_2016" w:history="1">
        <w:r w:rsidR="00873A70" w:rsidRPr="00372466">
          <w:rPr>
            <w:rStyle w:val="Hyperlink"/>
          </w:rPr>
          <w:t>DAWR 2016</w:t>
        </w:r>
      </w:hyperlink>
      <w:r w:rsidR="00873A70">
        <w:t>).</w:t>
      </w:r>
    </w:p>
    <w:p w14:paraId="58197D34" w14:textId="7E1C26F5" w:rsidR="005B64C9" w:rsidRDefault="005B64C9" w:rsidP="005B64C9">
      <w:r>
        <w:t>Future global growth will lead to increased trade and passenger volumes across Australia, along with change in origin of trade and passengers—with more coming from what are considered higher risk origins. Between 2013 and 2025, containerised imports are forecast to rise by 50 per cent, non-containerised imports by 27 per cent and air cargo imports are expected to be double that of air cargo exports. Dynamic changes are forecast in the maritime sector: coastal and international trading (facilitating Australia’s maritime trade) is expected to see more foreign flagged vessels operating; and cruise ships are increasingly visiting low-volume regulated ports in New South Wales and Western Australia, anchoring offshore and transporting passengers to destinations in far north Queensland and north Western Australia. Significant changes are also expected in the patterns for international air travel, with inbound arrivals to rise by around 93 per cent by 2030 (</w:t>
      </w:r>
      <w:hyperlink w:anchor="DIRD_2014" w:history="1">
        <w:r w:rsidRPr="00372466">
          <w:rPr>
            <w:rStyle w:val="Hyperlink"/>
          </w:rPr>
          <w:t>DIRD 2014</w:t>
        </w:r>
      </w:hyperlink>
      <w:r>
        <w:t>).</w:t>
      </w:r>
    </w:p>
    <w:p w14:paraId="3DA7E2EA" w14:textId="1BA0DF28" w:rsidR="00267602" w:rsidRPr="00267602" w:rsidRDefault="00267602" w:rsidP="00267602">
      <w:r w:rsidRPr="00267602">
        <w:t xml:space="preserve">In a constantly changing biosecurity environment, Australia’s biosecurity system must remain strong and focussed, and build capability and capacity to address future challenges. Future and emerging global trends will significantly change, and increase the magnitude and complexity of </w:t>
      </w:r>
      <w:r w:rsidR="00D25765">
        <w:t>the biosecurity risks we face—</w:t>
      </w:r>
      <w:r w:rsidRPr="00267602">
        <w:t>Australia cannot rely on previous success or our geo</w:t>
      </w:r>
      <w:r w:rsidR="004D7358">
        <w:t xml:space="preserve">graphic isolation. </w:t>
      </w:r>
      <w:r w:rsidR="00CB4F84">
        <w:t>T</w:t>
      </w:r>
      <w:r w:rsidR="004D7358">
        <w:t>he CSIRO</w:t>
      </w:r>
      <w:r w:rsidRPr="00267602">
        <w:t xml:space="preserve"> </w:t>
      </w:r>
      <w:r w:rsidR="00CB4F84">
        <w:t xml:space="preserve">has </w:t>
      </w:r>
      <w:r w:rsidRPr="00267602">
        <w:t xml:space="preserve">identified a number of intersecting global megatrends </w:t>
      </w:r>
      <w:r w:rsidR="00CB4F84">
        <w:t xml:space="preserve">that </w:t>
      </w:r>
      <w:r w:rsidRPr="00267602">
        <w:t>point to a future where existing biosecurity processes and p</w:t>
      </w:r>
      <w:r>
        <w:t>ractices may not be sufficient</w:t>
      </w:r>
      <w:r w:rsidR="00CB4F84">
        <w:t xml:space="preserve"> </w:t>
      </w:r>
      <w:r w:rsidR="00CB4F84" w:rsidRPr="00267602">
        <w:t>(</w:t>
      </w:r>
      <w:hyperlink w:anchor="CSIRO_2014" w:history="1">
        <w:r w:rsidR="00CB4F84" w:rsidRPr="00372466">
          <w:rPr>
            <w:rStyle w:val="Hyperlink"/>
          </w:rPr>
          <w:t>CSIRO 2014</w:t>
        </w:r>
      </w:hyperlink>
      <w:r w:rsidR="00CB4F84" w:rsidRPr="00267602">
        <w:t>)</w:t>
      </w:r>
      <w:r>
        <w:t>.</w:t>
      </w:r>
    </w:p>
    <w:p w14:paraId="10023E49" w14:textId="353333CF" w:rsidR="001B2AB1" w:rsidRPr="00267602" w:rsidRDefault="00267602" w:rsidP="00267602">
      <w:r w:rsidRPr="00267602">
        <w:t>Based upon feedback and information provided as part of th</w:t>
      </w:r>
      <w:r w:rsidR="0056569E">
        <w:t>is</w:t>
      </w:r>
      <w:r w:rsidRPr="00267602">
        <w:t xml:space="preserve"> Review, the Review Panel considers current and likely future risks to include:</w:t>
      </w:r>
    </w:p>
    <w:p w14:paraId="411C2414" w14:textId="5345A395" w:rsidR="001B2AB1" w:rsidRPr="001B2AB1" w:rsidRDefault="006357CE" w:rsidP="001B2AB1">
      <w:pPr>
        <w:pStyle w:val="ListBullet"/>
      </w:pPr>
      <w:r>
        <w:t>t</w:t>
      </w:r>
      <w:r w:rsidR="001B2AB1" w:rsidRPr="001B2AB1">
        <w:t>ourism, trade and market access:</w:t>
      </w:r>
    </w:p>
    <w:p w14:paraId="6FA0D786" w14:textId="4EAF9868" w:rsidR="001B2AB1" w:rsidRDefault="006357CE" w:rsidP="001B2AB1">
      <w:pPr>
        <w:pStyle w:val="ListBullet2"/>
      </w:pPr>
      <w:r>
        <w:t>i</w:t>
      </w:r>
      <w:r w:rsidR="001B2AB1">
        <w:t>ncreased global trade volumes (including the ever-growing choice for online shopping), where export growth (increased shipping) will mean new pathways for new aquatic and other pests and diseases</w:t>
      </w:r>
    </w:p>
    <w:p w14:paraId="08791BBB" w14:textId="5AAA79E6" w:rsidR="001B2AB1" w:rsidRDefault="006357CE" w:rsidP="001B2AB1">
      <w:pPr>
        <w:pStyle w:val="ListBullet2"/>
      </w:pPr>
      <w:r>
        <w:t>i</w:t>
      </w:r>
      <w:r w:rsidR="001B2AB1">
        <w:t>ncreased imports of processed food, as processors continue to shift operation</w:t>
      </w:r>
      <w:r>
        <w:t>s to their lowest-cost location</w:t>
      </w:r>
    </w:p>
    <w:p w14:paraId="292985B7" w14:textId="05ED5FB9" w:rsidR="001B2AB1" w:rsidRDefault="006357CE" w:rsidP="001B2AB1">
      <w:pPr>
        <w:pStyle w:val="ListBullet2"/>
      </w:pPr>
      <w:r>
        <w:t>i</w:t>
      </w:r>
      <w:r w:rsidR="001B2AB1">
        <w:t>ncreased international scrutiny. As trading partners strengthen their own biosecurity systems and requirements, Australia’s market access negotiations will be harder, including a growing need to demonstrate our pest and disease freedom</w:t>
      </w:r>
      <w:r w:rsidR="00027C98">
        <w:t>.</w:t>
      </w:r>
    </w:p>
    <w:p w14:paraId="38FB7A79" w14:textId="13108D91" w:rsidR="001B2AB1" w:rsidRDefault="006357CE" w:rsidP="001B2AB1">
      <w:pPr>
        <w:pStyle w:val="ListBullet2"/>
      </w:pPr>
      <w:r>
        <w:lastRenderedPageBreak/>
        <w:t>i</w:t>
      </w:r>
      <w:r w:rsidR="001B2AB1">
        <w:t>ncreased passenger air and sea travel, bringing increased international tourist entry and activity, including to more remote parts of Australia</w:t>
      </w:r>
      <w:r>
        <w:t xml:space="preserve">, and increasingly from </w:t>
      </w:r>
      <w:r w:rsidR="007A1EB7">
        <w:t>countries which have not been historically represented</w:t>
      </w:r>
      <w:r w:rsidR="0027412D">
        <w:t>.</w:t>
      </w:r>
    </w:p>
    <w:p w14:paraId="22964841" w14:textId="177D51D6" w:rsidR="001B2AB1" w:rsidRDefault="006357CE" w:rsidP="001B2AB1">
      <w:pPr>
        <w:pStyle w:val="ListBullet"/>
      </w:pPr>
      <w:r>
        <w:t>o</w:t>
      </w:r>
      <w:r w:rsidR="001B2AB1">
        <w:t>ther global trends:</w:t>
      </w:r>
    </w:p>
    <w:p w14:paraId="7A5EA659" w14:textId="620E24DB" w:rsidR="001B2AB1" w:rsidRDefault="006357CE" w:rsidP="001B2AB1">
      <w:pPr>
        <w:pStyle w:val="ListBullet2"/>
      </w:pPr>
      <w:r>
        <w:t>i</w:t>
      </w:r>
      <w:r w:rsidR="001B2AB1">
        <w:t>ncreased agricultural expansion and intensification. The trend towards fewer, larger farms may mean that outbreaks will have greater consequences for the owner of the farm and the markets supplied by the farm. Increased agricultural expansion will also have particular relevance to northern Australia where increased agricultural production may create a</w:t>
      </w:r>
      <w:r w:rsidR="00A24E32">
        <w:t>n</w:t>
      </w:r>
      <w:r w:rsidR="001B2AB1">
        <w:t xml:space="preserve"> environment for new </w:t>
      </w:r>
      <w:r w:rsidR="0027412D">
        <w:t>pests and diseases to establish</w:t>
      </w:r>
    </w:p>
    <w:p w14:paraId="1C20A224" w14:textId="008C233D" w:rsidR="001B2AB1" w:rsidRDefault="006357CE" w:rsidP="001B2AB1">
      <w:pPr>
        <w:pStyle w:val="ListBullet2"/>
      </w:pPr>
      <w:r>
        <w:t>i</w:t>
      </w:r>
      <w:r w:rsidR="001B2AB1">
        <w:t>ncreased urbanisation, bringing biosecurity risks closer to agriculturally and environme</w:t>
      </w:r>
      <w:r w:rsidR="0027412D">
        <w:t>ntally sensitive areas</w:t>
      </w:r>
    </w:p>
    <w:p w14:paraId="2AF8F1A8" w14:textId="219C13C6" w:rsidR="001B2AB1" w:rsidRDefault="006357CE" w:rsidP="001B2AB1">
      <w:pPr>
        <w:pStyle w:val="ListBullet2"/>
      </w:pPr>
      <w:r>
        <w:t>c</w:t>
      </w:r>
      <w:r w:rsidR="001B2AB1">
        <w:t>limate change, bringing biodiversity pressures and altering the geographical distribution of pests and diseases globally, including within a</w:t>
      </w:r>
      <w:r>
        <w:t>nd in the vicinity of Australia</w:t>
      </w:r>
    </w:p>
    <w:p w14:paraId="2B5B84D0" w14:textId="643BF3CE" w:rsidR="001B2AB1" w:rsidRDefault="006357CE" w:rsidP="001B2AB1">
      <w:pPr>
        <w:pStyle w:val="ListBullet2"/>
      </w:pPr>
      <w:r>
        <w:t>c</w:t>
      </w:r>
      <w:r w:rsidR="001B2AB1">
        <w:t>hanging consumer expectations, covering the significant growth in products such as free-range meat and eggs, and a rise in organic farming—productio</w:t>
      </w:r>
      <w:r>
        <w:t>n systems with biosecurity risk.</w:t>
      </w:r>
    </w:p>
    <w:p w14:paraId="7102DDAD" w14:textId="08D8F134" w:rsidR="001B2AB1" w:rsidRDefault="006357CE" w:rsidP="001B2AB1">
      <w:pPr>
        <w:pStyle w:val="ListBullet"/>
      </w:pPr>
      <w:r>
        <w:t>f</w:t>
      </w:r>
      <w:r w:rsidR="001B2AB1">
        <w:t>inancial risks:</w:t>
      </w:r>
    </w:p>
    <w:p w14:paraId="15FF25F1" w14:textId="3D271B1C" w:rsidR="001B2AB1" w:rsidRDefault="006357CE" w:rsidP="001B2AB1">
      <w:pPr>
        <w:pStyle w:val="ListBullet2"/>
      </w:pPr>
      <w:r>
        <w:t>s</w:t>
      </w:r>
      <w:r w:rsidR="001B2AB1">
        <w:t>ustainable funding allocation, driving greater focus on innovation and cost-saving technologies, as well as greater efficiencies in and effectiveness of the methods u</w:t>
      </w:r>
      <w:r>
        <w:t>sed to manage biosecurity risks</w:t>
      </w:r>
    </w:p>
    <w:p w14:paraId="785F5E32" w14:textId="7F055E8E" w:rsidR="001B2AB1" w:rsidRDefault="006357CE" w:rsidP="000A1812">
      <w:pPr>
        <w:pStyle w:val="ListBullet2"/>
      </w:pPr>
      <w:r>
        <w:t>d</w:t>
      </w:r>
      <w:r w:rsidR="001B2AB1">
        <w:t>eclining government resources, forcing greater government attention to areas of greater risk (and return on investment), and affecting access to qualified and experienced specialists (for example, veterinarians and plant pathologists).</w:t>
      </w:r>
      <w:r w:rsidR="0027412D">
        <w:t xml:space="preserve"> </w:t>
      </w:r>
      <w:r w:rsidR="007A1EB7" w:rsidRPr="000A1812">
        <w:t>While this approach is logical under conditions of constrained resources</w:t>
      </w:r>
      <w:r w:rsidR="0027412D" w:rsidRPr="000A1812">
        <w:t xml:space="preserve">, </w:t>
      </w:r>
      <w:r w:rsidR="000A1812">
        <w:t>it</w:t>
      </w:r>
      <w:r w:rsidR="0027412D" w:rsidRPr="000A1812">
        <w:t xml:space="preserve"> will impact the overall level of risk, that is, it is not a risk-free decision</w:t>
      </w:r>
      <w:r w:rsidR="0027412D">
        <w:t>.</w:t>
      </w:r>
    </w:p>
    <w:p w14:paraId="7DADA796" w14:textId="3FCCE92F" w:rsidR="001B2AB1" w:rsidRDefault="00B224C9" w:rsidP="001B2AB1">
      <w:r>
        <w:t xml:space="preserve">A strong national biosecurity system will require a sustained focus on all these risk areas. </w:t>
      </w:r>
      <w:r w:rsidR="001B2AB1">
        <w:t xml:space="preserve">The Review Panel has sought to assist key decision makers prepare for some of these risks </w:t>
      </w:r>
      <w:r>
        <w:t xml:space="preserve">by proposing a number of </w:t>
      </w:r>
      <w:r w:rsidR="001B2AB1">
        <w:t>structu</w:t>
      </w:r>
      <w:r>
        <w:t>ral and systematic improvements, as outlined in this Draft Report.</w:t>
      </w:r>
    </w:p>
    <w:p w14:paraId="0A03166A" w14:textId="77777777" w:rsidR="008F63D3" w:rsidRDefault="00F21A25" w:rsidP="008F63D3">
      <w:pPr>
        <w:pStyle w:val="Heading3"/>
      </w:pPr>
      <w:bookmarkStart w:id="21" w:name="_Toc469654724"/>
      <w:r>
        <w:t>The 2012 IGAB</w:t>
      </w:r>
      <w:bookmarkEnd w:id="21"/>
    </w:p>
    <w:p w14:paraId="337F89CB" w14:textId="67AC62D8" w:rsidR="00F21A25" w:rsidRDefault="00F21A25" w:rsidP="00F21A25">
      <w:r>
        <w:t>The 2012 IGAB creat</w:t>
      </w:r>
      <w:r w:rsidR="00657291">
        <w:t>ed</w:t>
      </w:r>
      <w:r>
        <w:t xml:space="preserve"> a framework </w:t>
      </w:r>
      <w:r w:rsidR="00657291">
        <w:t xml:space="preserve">for </w:t>
      </w:r>
      <w:r>
        <w:t xml:space="preserve">governments to coordinate and identify priority areas of </w:t>
      </w:r>
      <w:r w:rsidR="00657291">
        <w:t xml:space="preserve">reform and action to build a stronger and more effective national biosecurity system. </w:t>
      </w:r>
      <w:r>
        <w:t xml:space="preserve">The agreement comprised two parts: the first part established </w:t>
      </w:r>
      <w:r w:rsidR="00470B36">
        <w:t xml:space="preserve">the goal, </w:t>
      </w:r>
      <w:r>
        <w:t>objectives and principles of the system, as well as the purpose and scope of the agreement; the second part, the schedules, outlined the priority work areas for governments and their key decision-making committee, the NBC.</w:t>
      </w:r>
    </w:p>
    <w:p w14:paraId="3ED60DCF" w14:textId="771BBEED" w:rsidR="00F21A25" w:rsidRDefault="00F21A25" w:rsidP="00F21A25">
      <w:r>
        <w:t xml:space="preserve">The 2012 IGAB was an important step for governments, recognising the value of further strengthening and institutionalising intergovernmental relationships—a sign of growing maturity in the national biosecurity system. The agreement has undoubtedly contributed to a stronger working partnership between all governments. </w:t>
      </w:r>
      <w:r w:rsidR="008F0F2B">
        <w:t xml:space="preserve">While not a signatory, Tasmania has fully </w:t>
      </w:r>
      <w:r w:rsidR="00470B36">
        <w:t xml:space="preserve">engaged and </w:t>
      </w:r>
      <w:r w:rsidR="00704893">
        <w:t>c</w:t>
      </w:r>
      <w:r w:rsidR="008F0F2B">
        <w:t>ooperated in the spirit of the agreement.</w:t>
      </w:r>
    </w:p>
    <w:p w14:paraId="34DC889B" w14:textId="4C7E81C3" w:rsidR="00F21A25" w:rsidRDefault="00F21A25" w:rsidP="00F21A25">
      <w:r>
        <w:t xml:space="preserve">The achievements of the IGAB, while not necessarily well or publicly documented, are many and cover a broad range of activities across the system, including the development of significant and </w:t>
      </w:r>
      <w:r>
        <w:lastRenderedPageBreak/>
        <w:t xml:space="preserve">sound national policy principles and frameworks. Many of these achievements </w:t>
      </w:r>
      <w:r w:rsidR="00704893">
        <w:t xml:space="preserve">have been drawn upon </w:t>
      </w:r>
      <w:r>
        <w:t>throughout this</w:t>
      </w:r>
      <w:r w:rsidR="00704893">
        <w:t xml:space="preserve"> D</w:t>
      </w:r>
      <w:r w:rsidR="00771098">
        <w:t>raft</w:t>
      </w:r>
      <w:r>
        <w:t xml:space="preserve"> </w:t>
      </w:r>
      <w:r w:rsidR="00704893">
        <w:t>R</w:t>
      </w:r>
      <w:r>
        <w:t xml:space="preserve">eport </w:t>
      </w:r>
      <w:r w:rsidR="00704893">
        <w:t>and include the development of:</w:t>
      </w:r>
    </w:p>
    <w:p w14:paraId="0B7163F3" w14:textId="68CC79F9" w:rsidR="00F21A25" w:rsidRDefault="0027412D" w:rsidP="00F21A25">
      <w:pPr>
        <w:pStyle w:val="ListBullet"/>
      </w:pPr>
      <w:r>
        <w:t xml:space="preserve">the </w:t>
      </w:r>
      <w:r w:rsidR="00F21A25">
        <w:t>National Environmental Biosecurity Response Agreement (NEBRA)</w:t>
      </w:r>
    </w:p>
    <w:p w14:paraId="18141940" w14:textId="59763451" w:rsidR="00F21A25" w:rsidRDefault="0027412D" w:rsidP="00F21A25">
      <w:pPr>
        <w:pStyle w:val="ListBullet"/>
      </w:pPr>
      <w:r>
        <w:t xml:space="preserve">the </w:t>
      </w:r>
      <w:r w:rsidR="00F21A25">
        <w:t>National Transition Program Policy Framework</w:t>
      </w:r>
    </w:p>
    <w:p w14:paraId="56197A06" w14:textId="60F6971C" w:rsidR="00F21A25" w:rsidRDefault="0027412D" w:rsidP="00F21A25">
      <w:pPr>
        <w:pStyle w:val="ListBullet"/>
      </w:pPr>
      <w:r>
        <w:t xml:space="preserve">the </w:t>
      </w:r>
      <w:r w:rsidR="00F21A25">
        <w:t>National Framework for Benefit Cost Analysis</w:t>
      </w:r>
    </w:p>
    <w:p w14:paraId="2A6B26DA" w14:textId="756FDBD9" w:rsidR="00F21A25" w:rsidRDefault="0027412D" w:rsidP="00F21A25">
      <w:pPr>
        <w:pStyle w:val="ListBullet"/>
      </w:pPr>
      <w:r>
        <w:t xml:space="preserve">the </w:t>
      </w:r>
      <w:r w:rsidR="00F21A25">
        <w:t>National Framework for Cost Sharing Biosecurity Activities</w:t>
      </w:r>
    </w:p>
    <w:p w14:paraId="6BBE3789" w14:textId="5F51F863" w:rsidR="00F21A25" w:rsidRDefault="0027412D" w:rsidP="00F21A25">
      <w:pPr>
        <w:pStyle w:val="ListBullet"/>
      </w:pPr>
      <w:r>
        <w:t>the n</w:t>
      </w:r>
      <w:r w:rsidR="00F21A25">
        <w:t>ational portfolio investment optimisation model</w:t>
      </w:r>
    </w:p>
    <w:p w14:paraId="7B656167" w14:textId="66B2CA33" w:rsidR="00F21A25" w:rsidRDefault="0027412D" w:rsidP="00F21A25">
      <w:pPr>
        <w:pStyle w:val="ListBullet"/>
      </w:pPr>
      <w:r>
        <w:t>the n</w:t>
      </w:r>
      <w:r w:rsidR="00F21A25">
        <w:t>ational stocktake of biosecurity investment</w:t>
      </w:r>
    </w:p>
    <w:p w14:paraId="7B569623" w14:textId="19A6CD79" w:rsidR="00F21A25" w:rsidRDefault="0027412D" w:rsidP="00F21A25">
      <w:pPr>
        <w:pStyle w:val="ListBullet"/>
      </w:pPr>
      <w:r>
        <w:t>a</w:t>
      </w:r>
      <w:r w:rsidR="00A24E32">
        <w:t xml:space="preserve"> </w:t>
      </w:r>
      <w:r w:rsidR="00F21A25">
        <w:t>framework for the management of the national surveillance and diagnostic capability</w:t>
      </w:r>
    </w:p>
    <w:p w14:paraId="43CAC84E" w14:textId="7EAAC1B8" w:rsidR="00F21A25" w:rsidRDefault="0027412D" w:rsidP="00F21A25">
      <w:pPr>
        <w:pStyle w:val="ListBullet"/>
      </w:pPr>
      <w:r>
        <w:t xml:space="preserve">the </w:t>
      </w:r>
      <w:r w:rsidR="00A24E32">
        <w:t>P</w:t>
      </w:r>
      <w:r w:rsidR="00F21A25">
        <w:t>lant</w:t>
      </w:r>
      <w:r w:rsidR="00723713">
        <w:t xml:space="preserve">, </w:t>
      </w:r>
      <w:r w:rsidR="00F21A25">
        <w:t>Animal</w:t>
      </w:r>
      <w:r w:rsidR="00723713">
        <w:t>, and Environment and Community</w:t>
      </w:r>
      <w:r w:rsidR="00F21A25">
        <w:t xml:space="preserve"> Biosecurity RD&amp;E strategies</w:t>
      </w:r>
    </w:p>
    <w:p w14:paraId="55734176" w14:textId="2F25534E" w:rsidR="00F21A25" w:rsidRDefault="0027412D" w:rsidP="00F21A25">
      <w:pPr>
        <w:pStyle w:val="ListBullet"/>
      </w:pPr>
      <w:r>
        <w:t>a</w:t>
      </w:r>
      <w:r w:rsidR="00F21A25">
        <w:t xml:space="preserve"> national policy framework for the management of Established Pests and Diseases of National Significance that provides a lead role for industry and community</w:t>
      </w:r>
    </w:p>
    <w:p w14:paraId="41A31FA3" w14:textId="5735C01E" w:rsidR="00F21A25" w:rsidRDefault="0027412D" w:rsidP="00F21A25">
      <w:pPr>
        <w:pStyle w:val="ListBullet"/>
      </w:pPr>
      <w:r>
        <w:t xml:space="preserve">the </w:t>
      </w:r>
      <w:r w:rsidR="00F21A25">
        <w:t>National Biosecurity Engagement and Communications Framework and the revitalisation of the Biosecurity Incident National Communications Network</w:t>
      </w:r>
    </w:p>
    <w:p w14:paraId="2A018CE7" w14:textId="45F9A197" w:rsidR="00F21A25" w:rsidRDefault="0027412D" w:rsidP="00F21A25">
      <w:pPr>
        <w:pStyle w:val="ListBullet"/>
      </w:pPr>
      <w:r>
        <w:t>s</w:t>
      </w:r>
      <w:r w:rsidR="00F21A25">
        <w:t>elf-assessment methods that assist jurisdictions to assess and improve their emergency prepar</w:t>
      </w:r>
      <w:r w:rsidR="00CA5BE3">
        <w:t>edness capability and capacity.</w:t>
      </w:r>
    </w:p>
    <w:p w14:paraId="18DBFFB7" w14:textId="3075ABA7" w:rsidR="008F63D3" w:rsidRDefault="00F21A25" w:rsidP="00F21A25">
      <w:r>
        <w:t xml:space="preserve">The 2012 IGAB was an ambitious document, detailing </w:t>
      </w:r>
      <w:r w:rsidR="00AD5BA2">
        <w:t xml:space="preserve">more than </w:t>
      </w:r>
      <w:r>
        <w:t>40 priority areas for reform by governments</w:t>
      </w:r>
      <w:r w:rsidR="00CF7516">
        <w:t xml:space="preserve">. Perhaps not surprisingly, </w:t>
      </w:r>
      <w:r w:rsidR="00F211D8">
        <w:t xml:space="preserve">there </w:t>
      </w:r>
      <w:r>
        <w:t xml:space="preserve">remains work to complete. </w:t>
      </w:r>
      <w:r w:rsidR="00CF7516">
        <w:t>In 2015, t</w:t>
      </w:r>
      <w:r>
        <w:t xml:space="preserve">he NBC </w:t>
      </w:r>
      <w:r w:rsidR="00CF7516">
        <w:t>conducted</w:t>
      </w:r>
      <w:r>
        <w:t xml:space="preserve"> an internal assessment to identify the outstanding priority reform areas and determine how best to progress implementation. </w:t>
      </w:r>
      <w:r w:rsidR="00CF7516">
        <w:t xml:space="preserve">As a consequence, reform areas were further prioritised and streamlined. </w:t>
      </w:r>
      <w:r>
        <w:t>Governments have also recognised the wisdom of regular ongoing review, stipulating a minimum review of the agreement every five years.</w:t>
      </w:r>
    </w:p>
    <w:p w14:paraId="4AEDC594" w14:textId="2261CFA4" w:rsidR="0003507A" w:rsidRDefault="00561771" w:rsidP="00210276">
      <w:pPr>
        <w:pStyle w:val="Heading2"/>
      </w:pPr>
      <w:bookmarkStart w:id="22" w:name="_Knowing_and_owning"/>
      <w:bookmarkStart w:id="23" w:name="_Toc469654725"/>
      <w:bookmarkEnd w:id="22"/>
      <w:r>
        <w:lastRenderedPageBreak/>
        <w:t>Knowing and owning our roles and responsibilities</w:t>
      </w:r>
      <w:bookmarkEnd w:id="23"/>
    </w:p>
    <w:p w14:paraId="1EC19E27" w14:textId="77777777" w:rsidR="00FE2212" w:rsidRPr="003A13A0" w:rsidRDefault="00FE2212" w:rsidP="00FE2212">
      <w:pPr>
        <w:pStyle w:val="BoxHeading"/>
        <w:rPr>
          <w:sz w:val="22"/>
        </w:rPr>
      </w:pPr>
      <w:r w:rsidRPr="003A13A0">
        <w:rPr>
          <w:sz w:val="22"/>
        </w:rPr>
        <w:t>Key points</w:t>
      </w:r>
    </w:p>
    <w:p w14:paraId="04DCFA6A" w14:textId="5C4A4C00" w:rsidR="00827497" w:rsidRPr="003A13A0" w:rsidRDefault="00827497" w:rsidP="00827497">
      <w:pPr>
        <w:pStyle w:val="BoxTextBullet"/>
        <w:rPr>
          <w:sz w:val="22"/>
        </w:rPr>
      </w:pPr>
      <w:r w:rsidRPr="003A13A0">
        <w:rPr>
          <w:sz w:val="22"/>
        </w:rPr>
        <w:t>'Shared responsibility' is not clearly defined and hence poorly understood. A common unders</w:t>
      </w:r>
      <w:r w:rsidR="005A6C26" w:rsidRPr="003A13A0">
        <w:rPr>
          <w:sz w:val="22"/>
        </w:rPr>
        <w:t>tanding is yet to be realised.</w:t>
      </w:r>
    </w:p>
    <w:p w14:paraId="2C7F697C" w14:textId="6776B6BC" w:rsidR="00827497" w:rsidRPr="003A13A0" w:rsidRDefault="00827497" w:rsidP="00827497">
      <w:pPr>
        <w:pStyle w:val="BoxTextBullet"/>
        <w:rPr>
          <w:sz w:val="22"/>
        </w:rPr>
      </w:pPr>
      <w:r w:rsidRPr="003A13A0">
        <w:rPr>
          <w:sz w:val="22"/>
        </w:rPr>
        <w:t xml:space="preserve">The roles and responsibilities of participants in the national biosecurity system are not </w:t>
      </w:r>
      <w:r w:rsidR="00C50127" w:rsidRPr="003A13A0">
        <w:rPr>
          <w:sz w:val="22"/>
        </w:rPr>
        <w:t xml:space="preserve">well </w:t>
      </w:r>
      <w:r w:rsidRPr="003A13A0">
        <w:rPr>
          <w:sz w:val="22"/>
        </w:rPr>
        <w:t>articulated and have not been agreed. Agreeing roles and responsibilities would be an important first step in realising shared responsibility.</w:t>
      </w:r>
    </w:p>
    <w:p w14:paraId="2EFE7DA2" w14:textId="3B2336CC" w:rsidR="00827497" w:rsidRPr="003A13A0" w:rsidRDefault="00827497" w:rsidP="00827497">
      <w:pPr>
        <w:pStyle w:val="BoxTextBullet"/>
        <w:rPr>
          <w:sz w:val="22"/>
        </w:rPr>
      </w:pPr>
      <w:r w:rsidRPr="003A13A0">
        <w:rPr>
          <w:sz w:val="22"/>
        </w:rPr>
        <w:t xml:space="preserve">To date governments have </w:t>
      </w:r>
      <w:r w:rsidR="006A7677" w:rsidRPr="003A13A0">
        <w:rPr>
          <w:sz w:val="22"/>
        </w:rPr>
        <w:t>appeared</w:t>
      </w:r>
      <w:r w:rsidRPr="003A13A0">
        <w:rPr>
          <w:sz w:val="22"/>
        </w:rPr>
        <w:t xml:space="preserve"> reluctant to provide other system participants opportunities to take greater ownership of, and responsibility for, activities in the national biosecurity system.</w:t>
      </w:r>
    </w:p>
    <w:p w14:paraId="7426838B" w14:textId="77777777" w:rsidR="00827497" w:rsidRPr="003A13A0" w:rsidRDefault="00827497" w:rsidP="00827497">
      <w:pPr>
        <w:pStyle w:val="BoxTextBullet"/>
        <w:rPr>
          <w:sz w:val="22"/>
        </w:rPr>
      </w:pPr>
      <w:r w:rsidRPr="003A13A0">
        <w:rPr>
          <w:sz w:val="22"/>
        </w:rPr>
        <w:t>A National Statement of Intent would outline a common and unifying approach to biosecurity for all system participants.</w:t>
      </w:r>
    </w:p>
    <w:p w14:paraId="04916795" w14:textId="77777777" w:rsidR="00827497" w:rsidRPr="003A13A0" w:rsidRDefault="00827497" w:rsidP="00827497">
      <w:pPr>
        <w:pStyle w:val="BoxTextBullet"/>
        <w:rPr>
          <w:sz w:val="22"/>
        </w:rPr>
      </w:pPr>
      <w:r w:rsidRPr="003A13A0">
        <w:rPr>
          <w:sz w:val="22"/>
        </w:rPr>
        <w:t>Engagement and communication across the system is mixed; a change in culture is needed.</w:t>
      </w:r>
    </w:p>
    <w:p w14:paraId="593F6AD0" w14:textId="77777777" w:rsidR="002D07F5" w:rsidRPr="00AC663D" w:rsidRDefault="00FE2212" w:rsidP="00AC663D">
      <w:pPr>
        <w:pStyle w:val="Heading3"/>
      </w:pPr>
      <w:bookmarkStart w:id="24" w:name="_Toc430782158"/>
      <w:bookmarkStart w:id="25" w:name="_Toc469654726"/>
      <w:r>
        <w:t>What is shared responsibility</w:t>
      </w:r>
      <w:bookmarkEnd w:id="24"/>
      <w:r w:rsidR="00933868">
        <w:t>?</w:t>
      </w:r>
      <w:bookmarkEnd w:id="25"/>
    </w:p>
    <w:p w14:paraId="70F1836D" w14:textId="5D5F800C" w:rsidR="00827497" w:rsidRDefault="00827497" w:rsidP="00827497">
      <w:r>
        <w:t>Shared responsibility has been seen as the mainstay of the national biosecurity system for some time. It has been a feature of many reviews (</w:t>
      </w:r>
      <w:hyperlink w:anchor="Nairn_et_al_1996" w:history="1">
        <w:r w:rsidRPr="00372466">
          <w:rPr>
            <w:rStyle w:val="Hyperlink"/>
          </w:rPr>
          <w:t>Nairn et al. 1996</w:t>
        </w:r>
      </w:hyperlink>
      <w:r w:rsidRPr="00F51796">
        <w:t xml:space="preserve">; </w:t>
      </w:r>
      <w:hyperlink w:anchor="Beale_et_al_2008" w:history="1">
        <w:r w:rsidRPr="00372466">
          <w:rPr>
            <w:rStyle w:val="Hyperlink"/>
          </w:rPr>
          <w:t>Beale et al. 2008</w:t>
        </w:r>
      </w:hyperlink>
      <w:r w:rsidRPr="00F51796">
        <w:t xml:space="preserve">; </w:t>
      </w:r>
      <w:hyperlink w:anchor="Mathews_2011" w:history="1">
        <w:r w:rsidRPr="00372466">
          <w:rPr>
            <w:rStyle w:val="Hyperlink"/>
          </w:rPr>
          <w:t>Matthews 2011</w:t>
        </w:r>
      </w:hyperlink>
      <w:r w:rsidRPr="00F51796">
        <w:t xml:space="preserve">; </w:t>
      </w:r>
      <w:hyperlink w:anchor="DAWR_2015" w:history="1">
        <w:r w:rsidR="006D448B" w:rsidRPr="00372466">
          <w:rPr>
            <w:rStyle w:val="Hyperlink"/>
          </w:rPr>
          <w:t>DAWR</w:t>
        </w:r>
        <w:r w:rsidRPr="00372466">
          <w:rPr>
            <w:rStyle w:val="Hyperlink"/>
          </w:rPr>
          <w:t xml:space="preserve"> 2015</w:t>
        </w:r>
      </w:hyperlink>
      <w:r w:rsidRPr="00F51796">
        <w:t>)</w:t>
      </w:r>
      <w:r>
        <w:t>, and is one of the IGAB’s core principles, and it is also included in numerous frameworks that have been developed (for example, the National Biosecurity Engagement and Communication Framework).</w:t>
      </w:r>
    </w:p>
    <w:p w14:paraId="7C4BF2F1" w14:textId="77777777" w:rsidR="00827497" w:rsidRDefault="00827497" w:rsidP="00827497">
      <w:r>
        <w:t xml:space="preserve">Throughout this </w:t>
      </w:r>
      <w:r w:rsidR="00771098">
        <w:t>R</w:t>
      </w:r>
      <w:r>
        <w:t>eview, governments, industry and community members have drawn the Review Panel’s attention to the concept. Feedback received clearly indicates that application of shared responsibility has not been clearly understood or broadly accepted by participants across the national biosecurity system. This has led to misconceptions around the concept (seen by some only as a cost-shifting mechanism), and has caused difficulties in its application:</w:t>
      </w:r>
    </w:p>
    <w:p w14:paraId="7BC89DCF" w14:textId="77777777" w:rsidR="00827497" w:rsidRDefault="00827497" w:rsidP="00827497">
      <w:pPr>
        <w:pStyle w:val="Quote"/>
      </w:pPr>
      <w:r>
        <w:t>This term [shared responsibility] whilst used extensively has never been properly articulated or achieved a common meaning amongst members of the biosecurity community. As a consequence, it means many things to many people and no-one has responsibility (Voice of Horticulture submission, pp. 2–3)</w:t>
      </w:r>
    </w:p>
    <w:p w14:paraId="5A5AFDFE" w14:textId="6A4F4F73" w:rsidR="00827497" w:rsidRDefault="00827497" w:rsidP="00827497">
      <w:pPr>
        <w:pStyle w:val="Quote"/>
      </w:pPr>
      <w:r>
        <w:t>There remains a considerable lack of clarity about what shared responsibility means in practice… it is evident that a common position on what the concept does and should mean has yet to be achieved… A misunderstood rationale for why shared responsibility is necessary and a lack of clarity about the expected behavioural change is the key barrier to its use as a policy principle (Queensland Government Department of Agriculture and Fisheries submission, p. 3)</w:t>
      </w:r>
    </w:p>
    <w:p w14:paraId="6C9150B0" w14:textId="62584177" w:rsidR="00827497" w:rsidRDefault="00827497" w:rsidP="00827497">
      <w:r>
        <w:lastRenderedPageBreak/>
        <w:t>The Panel agrees with the assessments—there is confusion and a lack of clarity, made more difficult by unclear roles and responsibilities for system participants</w:t>
      </w:r>
      <w:r w:rsidR="00450D72">
        <w:t>—though some progress has been made</w:t>
      </w:r>
      <w:r>
        <w:t xml:space="preserve">. The animal and plant emergency response deeds are founded on shared responsibility, and provide strong evidence of the benefits that come from a partnership approach. Other examples </w:t>
      </w:r>
      <w:r w:rsidR="00463DA0">
        <w:t>include</w:t>
      </w:r>
      <w:r>
        <w:t xml:space="preserve"> </w:t>
      </w:r>
      <w:r w:rsidRPr="004D072C">
        <w:t>AHA and PHA</w:t>
      </w:r>
      <w:r w:rsidR="00463DA0">
        <w:t>, and the General Biosecurity Duty or</w:t>
      </w:r>
      <w:r w:rsidR="004300A3">
        <w:t xml:space="preserve"> General Biosecurity</w:t>
      </w:r>
      <w:r w:rsidR="00463DA0">
        <w:t xml:space="preserve"> Obligation</w:t>
      </w:r>
      <w:r w:rsidR="00C86AE7">
        <w:t>—</w:t>
      </w:r>
      <w:r w:rsidR="00463DA0">
        <w:t>a regulatory articulation of shared responsibility featured in biosecurity legislation in New South Wales and Queensland</w:t>
      </w:r>
      <w:r w:rsidR="00AE6A3B">
        <w:t xml:space="preserve"> (</w:t>
      </w:r>
      <w:r w:rsidR="00694E23">
        <w:t xml:space="preserve">similarly, the Panel notes the Tasmanian Government has recently sought feedback on a </w:t>
      </w:r>
      <w:r w:rsidR="006F70C0">
        <w:t xml:space="preserve">general </w:t>
      </w:r>
      <w:r w:rsidR="00694E23">
        <w:t>biosecurity obligation as part of proposed legislative changes</w:t>
      </w:r>
      <w:r w:rsidR="00AE6A3B">
        <w:t>)</w:t>
      </w:r>
      <w:r>
        <w:t>.</w:t>
      </w:r>
    </w:p>
    <w:p w14:paraId="62BF0DBD" w14:textId="58EDED55" w:rsidR="007A1EB7" w:rsidRDefault="007A1EB7" w:rsidP="007A1EB7">
      <w:r>
        <w:t>Governments face a dilemma: to provide greater responsibility to participants to encourage behavioural change, or</w:t>
      </w:r>
      <w:r w:rsidR="00A608A0">
        <w:t>,</w:t>
      </w:r>
      <w:r>
        <w:t xml:space="preserve"> to delay providing responsibility until behavioural change has been demonstrated. The existence of successful industry participation programs both outside (for example, Landcare) and inside biosecurity (for example, </w:t>
      </w:r>
      <w:r w:rsidR="00F81546">
        <w:t>the National Bee Pest Surveillance Program</w:t>
      </w:r>
      <w:r>
        <w:t>) suggests that careful allocation of roles and responsibilities followed by evaluation, can be very successful. As well, there is no possibility that governments can undertake the biosecurity task alone.</w:t>
      </w:r>
    </w:p>
    <w:p w14:paraId="47904488" w14:textId="66E9F77A" w:rsidR="00B3267A" w:rsidRDefault="007A1EB7" w:rsidP="00827497">
      <w:r>
        <w:t xml:space="preserve">In relation to shared responsibility and planning ahead, </w:t>
      </w:r>
      <w:hyperlink w:anchor="Handmer_ONeill_2016" w:history="1">
        <w:r w:rsidRPr="00296368">
          <w:rPr>
            <w:rStyle w:val="Hyperlink"/>
          </w:rPr>
          <w:t>Handmer and O’Neill (2016)</w:t>
        </w:r>
      </w:hyperlink>
      <w:r>
        <w:t xml:space="preserve"> evaluated some of the sparse empirical evidence about the link between preparedness and actual behaviour in</w:t>
      </w:r>
      <w:r w:rsidR="00B3267A">
        <w:t xml:space="preserve"> the face of a major disaster—</w:t>
      </w:r>
      <w:r>
        <w:t>the 2009 Victo</w:t>
      </w:r>
      <w:r w:rsidR="00B3267A">
        <w:t xml:space="preserve">rian Black Saturday bushfires. </w:t>
      </w:r>
      <w:r>
        <w:t xml:space="preserve">Among other things, they found that being well prepared to leave is the safest option, but householders can find it very difficult to assess all the relevant factors. </w:t>
      </w:r>
      <w:r w:rsidR="00B3267A">
        <w:t>S</w:t>
      </w:r>
      <w:r>
        <w:t>ince those bushfires, significant effort has been put towards</w:t>
      </w:r>
      <w:r w:rsidR="004C1976">
        <w:t xml:space="preserve"> wider acceptance and effective adoption of shared responsibility in natural disaster management throughout Australia, particularly bushfires (</w:t>
      </w:r>
      <w:hyperlink w:anchor="McLennan_2014" w:history="1">
        <w:r w:rsidR="004C1976" w:rsidRPr="00372466">
          <w:rPr>
            <w:rStyle w:val="Hyperlink"/>
          </w:rPr>
          <w:t>McLennan and Handmer 2014</w:t>
        </w:r>
      </w:hyperlink>
      <w:r w:rsidR="004C1976">
        <w:t>)</w:t>
      </w:r>
      <w:r w:rsidR="00B3267A">
        <w:t xml:space="preserve"> and cyclone preparedness</w:t>
      </w:r>
      <w:r w:rsidR="004C1976">
        <w:t>.</w:t>
      </w:r>
    </w:p>
    <w:p w14:paraId="1DD15F5C" w14:textId="05864DDE" w:rsidR="00827497" w:rsidRDefault="004C1976" w:rsidP="00827497">
      <w:r>
        <w:t>The Bushfire Cooperative Research Centre has undertaken significant work on shared responsibility, given a sharpened focus by the 2009 Victoria</w:t>
      </w:r>
      <w:r w:rsidR="00EC00FD">
        <w:t>n bushfires</w:t>
      </w:r>
      <w:r>
        <w:t xml:space="preserve"> and the related 2010 Royal Commission (</w:t>
      </w:r>
      <w:hyperlink w:anchor="Teague_et_al_2010" w:history="1">
        <w:r w:rsidRPr="00372466">
          <w:rPr>
            <w:rStyle w:val="Hyperlink"/>
          </w:rPr>
          <w:t>Teague et al. 2010</w:t>
        </w:r>
      </w:hyperlink>
      <w:r>
        <w:t>).</w:t>
      </w:r>
      <w:r w:rsidR="00827497">
        <w:t xml:space="preserve"> Reform </w:t>
      </w:r>
      <w:r w:rsidR="00B3267A">
        <w:t xml:space="preserve">has been pursued with </w:t>
      </w:r>
      <w:r w:rsidR="00827497">
        <w:t xml:space="preserve">the changed perspectives, behaviour and actions </w:t>
      </w:r>
      <w:r w:rsidR="00B3267A">
        <w:t xml:space="preserve">to be </w:t>
      </w:r>
      <w:r w:rsidR="00827497">
        <w:t xml:space="preserve">taken by individuals </w:t>
      </w:r>
      <w:r w:rsidR="00B3267A">
        <w:t>in</w:t>
      </w:r>
      <w:r w:rsidR="00827497">
        <w:t xml:space="preserve"> disaster management (for example, in areas such as bushfire preparedness and response). Importantly, these changes had strong policy support through the </w:t>
      </w:r>
      <w:r w:rsidR="000254A1">
        <w:t>C</w:t>
      </w:r>
      <w:r w:rsidR="00827497" w:rsidRPr="004D072C">
        <w:t>OAG</w:t>
      </w:r>
      <w:r w:rsidR="00827497">
        <w:t xml:space="preserve"> National Strategy for Disaster Resilience, positioning shared responsibility as a key component of a national approach to disaster management.</w:t>
      </w:r>
      <w:r w:rsidR="00B3267A">
        <w:t xml:space="preserve"> Despite the compelling logic, </w:t>
      </w:r>
      <w:r w:rsidR="00B3267A" w:rsidRPr="00B3267A">
        <w:t>the Panel is unaware of any analysis of their effectiveness, except to note that the number of deaths from more recent events has been significantly</w:t>
      </w:r>
      <w:r w:rsidR="00B3267A">
        <w:t xml:space="preserve"> smaller.</w:t>
      </w:r>
    </w:p>
    <w:p w14:paraId="044403CC" w14:textId="3671411E" w:rsidR="00827497" w:rsidRDefault="00827497" w:rsidP="00827497">
      <w:r>
        <w:t>The Panel considers opportunities exist to learn from th</w:t>
      </w:r>
      <w:r w:rsidR="00B3267A">
        <w:t>e</w:t>
      </w:r>
      <w:r>
        <w:t xml:space="preserve"> work</w:t>
      </w:r>
      <w:r w:rsidR="00B3267A">
        <w:t xml:space="preserve"> on natural disasters</w:t>
      </w:r>
      <w:r>
        <w:t>, and these should be explored by all Australian governments.</w:t>
      </w:r>
    </w:p>
    <w:p w14:paraId="40526580" w14:textId="065419AA" w:rsidR="00827497" w:rsidRDefault="00827497" w:rsidP="00827497">
      <w:r>
        <w:t xml:space="preserve">Building on this work, the Review Panel has sought to give further clarity to the concept by </w:t>
      </w:r>
      <w:r w:rsidR="00BE0549">
        <w:t>proposing a simple</w:t>
      </w:r>
      <w:r>
        <w:t xml:space="preserve"> definition </w:t>
      </w:r>
      <w:r w:rsidR="00BE0549">
        <w:t>for inclusion</w:t>
      </w:r>
      <w:r>
        <w:t xml:space="preserve"> in the IGAB and other key national biosecurity system </w:t>
      </w:r>
      <w:r w:rsidR="00BE0549">
        <w:t>policies</w:t>
      </w:r>
      <w:r>
        <w:t xml:space="preserve">. The Panel acknowledges that all parties will have some, but not an </w:t>
      </w:r>
      <w:r w:rsidR="002A21FB">
        <w:t>equal, level of responsibility:</w:t>
      </w:r>
    </w:p>
    <w:p w14:paraId="340CC8C6" w14:textId="77777777" w:rsidR="00827497" w:rsidRDefault="00827497" w:rsidP="004434CF">
      <w:pPr>
        <w:pStyle w:val="Quote"/>
      </w:pPr>
      <w:r>
        <w:t>Shared responsibility means everyone takes responsibility for biosecurity matters under their control. Everyone has an obligation to take action to protect Australia from pests and diseases.</w:t>
      </w:r>
    </w:p>
    <w:p w14:paraId="49565C12" w14:textId="357FC366" w:rsidR="00827497" w:rsidRDefault="0078092E" w:rsidP="00827497">
      <w:r>
        <w:lastRenderedPageBreak/>
        <w:t xml:space="preserve">The </w:t>
      </w:r>
      <w:r w:rsidR="00827497">
        <w:t xml:space="preserve">application of shared responsibility for biosecurity </w:t>
      </w:r>
      <w:r>
        <w:t xml:space="preserve">is </w:t>
      </w:r>
      <w:r w:rsidR="00827497">
        <w:t xml:space="preserve">difficult and </w:t>
      </w:r>
      <w:r w:rsidR="00827497" w:rsidRPr="00F51796">
        <w:t>ch</w:t>
      </w:r>
      <w:r>
        <w:t>allenging (</w:t>
      </w:r>
      <w:hyperlink w:anchor="Higgins_et_al_2016" w:history="1">
        <w:r w:rsidRPr="00372466">
          <w:rPr>
            <w:rStyle w:val="Hyperlink"/>
          </w:rPr>
          <w:t>Higgins et al. 2016</w:t>
        </w:r>
      </w:hyperlink>
      <w:r>
        <w:t xml:space="preserve">), primarily because </w:t>
      </w:r>
      <w:r w:rsidR="00827497">
        <w:t xml:space="preserve">the roles and responsibilities of participants across the national biosecurity system are not clearly understood, accepted, or consistently recognised across the system by all </w:t>
      </w:r>
      <w:r w:rsidR="00CA5BE3">
        <w:t>involved</w:t>
      </w:r>
      <w:r w:rsidR="00827497">
        <w:t>:</w:t>
      </w:r>
    </w:p>
    <w:p w14:paraId="1116EDBE" w14:textId="77777777" w:rsidR="00827497" w:rsidRDefault="00827497" w:rsidP="004D072C">
      <w:pPr>
        <w:pStyle w:val="Quote"/>
      </w:pPr>
      <w:r>
        <w:t>Governments, and industry to some degree, have failed to raise the overall general awareness of the importance of the national biosecurity system and the roles stakeholders have particularly the general community</w:t>
      </w:r>
      <w:r w:rsidR="006366E3">
        <w:t xml:space="preserve"> … </w:t>
      </w:r>
      <w:r>
        <w:t>Government agencies generally have a very good understanding of the role[s] and responsibilities of each other however there is not the same amount of understanding around industry’s role by both parties (Nursery and Garden Industry Australia submission, pp. 9–10)</w:t>
      </w:r>
    </w:p>
    <w:p w14:paraId="37AB4546" w14:textId="46B06A4C" w:rsidR="00827497" w:rsidRDefault="00827497" w:rsidP="004D072C">
      <w:pPr>
        <w:pStyle w:val="Quote"/>
      </w:pPr>
      <w:r>
        <w:t>Work done by [the Biosecurity Council of Western Australia] identified that stakeholders had relatively consistent perceptions about the broad roles and responsibilities of industry, government and communities—but were less sure of the more specific roles/responsibilities (Biosecurity Council of Western Australia submission, p</w:t>
      </w:r>
      <w:r w:rsidR="00771098">
        <w:t>.</w:t>
      </w:r>
      <w:r w:rsidR="00EC00FD">
        <w:t xml:space="preserve"> </w:t>
      </w:r>
      <w:r>
        <w:t>1)</w:t>
      </w:r>
    </w:p>
    <w:p w14:paraId="60184A5B" w14:textId="77777777" w:rsidR="00CA5BE3" w:rsidRDefault="00CA5BE3" w:rsidP="00827497">
      <w:r>
        <w:t xml:space="preserve">Also, </w:t>
      </w:r>
      <w:r w:rsidRPr="003A3F2D">
        <w:t>the language used to identify stakeholders within the national biosecurity system—such as risk creators and risk beneficiaries—can be divisive. Biosecurity must be acknowledged as everyone’s responsibility, and that it is in everyone’s interest to be involved. Designating someone as a risk creator seems unlikely to engender a positive reaction. It may be more appropriate to recognise all stakeholders that interact with the system as ‘participants’—as is the case for New Zealand’s biosecurity system.</w:t>
      </w:r>
    </w:p>
    <w:p w14:paraId="408D718F" w14:textId="1EE97441" w:rsidR="00827497" w:rsidRDefault="00827497" w:rsidP="00827497">
      <w:r>
        <w:t>For the national biosecurity system to be effective, everyone must be aware of and acknowledge their roles and responsibilities, and those of other system participants. The Review Panel considers defining the roles and responsibilities of all participants an important first step in helping to</w:t>
      </w:r>
      <w:r w:rsidR="003F4643">
        <w:t xml:space="preserve"> realise shared responsibility.</w:t>
      </w:r>
    </w:p>
    <w:p w14:paraId="0D4A60B5" w14:textId="1BD53303" w:rsidR="00827497" w:rsidRDefault="00827497" w:rsidP="00827497">
      <w:r>
        <w:t>To initiate this process and facilitate discussion between all system participants, the Panel has suggested a set of draft roles and responsibilities</w:t>
      </w:r>
      <w:r w:rsidR="00D75820">
        <w:t xml:space="preserve"> (</w:t>
      </w:r>
      <w:r w:rsidR="00D75820">
        <w:fldChar w:fldCharType="begin"/>
      </w:r>
      <w:r w:rsidR="00D75820">
        <w:instrText xml:space="preserve"> REF _Ref466893627 \h </w:instrText>
      </w:r>
      <w:r w:rsidR="00D75820">
        <w:fldChar w:fldCharType="separate"/>
      </w:r>
      <w:r w:rsidR="008303E2" w:rsidRPr="00375F10">
        <w:t xml:space="preserve">Table </w:t>
      </w:r>
      <w:r w:rsidR="008303E2">
        <w:rPr>
          <w:noProof/>
        </w:rPr>
        <w:t>1</w:t>
      </w:r>
      <w:r w:rsidR="00D75820">
        <w:fldChar w:fldCharType="end"/>
      </w:r>
      <w:r w:rsidR="00D75820">
        <w:t>)</w:t>
      </w:r>
      <w:r w:rsidR="00771098">
        <w:t>, and is seeking feedback on these</w:t>
      </w:r>
      <w:r>
        <w:t xml:space="preserve">. </w:t>
      </w:r>
      <w:r w:rsidR="00F81546" w:rsidRPr="00F81546">
        <w:t>These have been developed from information provided by stakeholders during th</w:t>
      </w:r>
      <w:r w:rsidR="0056569E">
        <w:t>is</w:t>
      </w:r>
      <w:r w:rsidR="00F81546" w:rsidRPr="00F81546">
        <w:t xml:space="preserve"> </w:t>
      </w:r>
      <w:r w:rsidR="0056569E">
        <w:t>R</w:t>
      </w:r>
      <w:r w:rsidR="00F81546" w:rsidRPr="00F81546">
        <w:t xml:space="preserve">eview, including the </w:t>
      </w:r>
      <w:r w:rsidR="00414C46">
        <w:t xml:space="preserve">Australian Government and the </w:t>
      </w:r>
      <w:r w:rsidR="00F81546" w:rsidRPr="00F81546">
        <w:t>Plant Biosecurity Cooperative Research Centre.</w:t>
      </w:r>
    </w:p>
    <w:p w14:paraId="796CA67D" w14:textId="75B7D478" w:rsidR="00894575" w:rsidRPr="003A13A0" w:rsidRDefault="005963B0" w:rsidP="00600839">
      <w:pPr>
        <w:pStyle w:val="BoxHeading"/>
        <w:shd w:val="clear" w:color="auto" w:fill="D9D9D9" w:themeFill="background1" w:themeFillShade="D9"/>
        <w:rPr>
          <w:sz w:val="22"/>
        </w:rPr>
      </w:pPr>
      <w:bookmarkStart w:id="26" w:name="Request_for_feedback_1"/>
      <w:bookmarkStart w:id="27" w:name="_Ref455668776"/>
      <w:bookmarkStart w:id="28" w:name="_Toc409769091"/>
      <w:r w:rsidRPr="003A13A0">
        <w:rPr>
          <w:sz w:val="22"/>
        </w:rPr>
        <w:t>Request for feedback</w:t>
      </w:r>
      <w:r w:rsidR="00600839" w:rsidRPr="003A13A0">
        <w:rPr>
          <w:sz w:val="22"/>
        </w:rPr>
        <w:t xml:space="preserve"> </w:t>
      </w:r>
      <w:r w:rsidR="00771098" w:rsidRPr="003A13A0">
        <w:rPr>
          <w:sz w:val="22"/>
        </w:rPr>
        <w:t>1</w:t>
      </w:r>
      <w:r w:rsidR="00600839" w:rsidRPr="003A13A0">
        <w:rPr>
          <w:sz w:val="22"/>
        </w:rPr>
        <w:t>:</w:t>
      </w:r>
    </w:p>
    <w:bookmarkEnd w:id="26"/>
    <w:p w14:paraId="583C0617" w14:textId="59F2F114" w:rsidR="00894575" w:rsidRPr="003A13A0" w:rsidRDefault="005963B0" w:rsidP="00600839">
      <w:pPr>
        <w:pStyle w:val="BoxText"/>
        <w:shd w:val="clear" w:color="auto" w:fill="D9D9D9" w:themeFill="background1" w:themeFillShade="D9"/>
        <w:rPr>
          <w:sz w:val="22"/>
        </w:rPr>
      </w:pPr>
      <w:r w:rsidRPr="003A13A0">
        <w:rPr>
          <w:sz w:val="22"/>
        </w:rPr>
        <w:t>T</w:t>
      </w:r>
      <w:r w:rsidR="00894575" w:rsidRPr="003A13A0">
        <w:rPr>
          <w:sz w:val="22"/>
        </w:rPr>
        <w:t xml:space="preserve">he </w:t>
      </w:r>
      <w:r w:rsidRPr="003A13A0">
        <w:rPr>
          <w:sz w:val="22"/>
        </w:rPr>
        <w:t xml:space="preserve">Review </w:t>
      </w:r>
      <w:r w:rsidR="00894575" w:rsidRPr="003A13A0">
        <w:rPr>
          <w:sz w:val="22"/>
        </w:rPr>
        <w:t>Panel seek</w:t>
      </w:r>
      <w:r w:rsidRPr="003A13A0">
        <w:rPr>
          <w:sz w:val="22"/>
        </w:rPr>
        <w:t>s</w:t>
      </w:r>
      <w:r w:rsidR="00894575" w:rsidRPr="003A13A0">
        <w:rPr>
          <w:sz w:val="22"/>
        </w:rPr>
        <w:t xml:space="preserve"> feedback on the draft roles and responsibilities</w:t>
      </w:r>
      <w:r w:rsidR="002E54ED" w:rsidRPr="003A13A0">
        <w:rPr>
          <w:sz w:val="22"/>
        </w:rPr>
        <w:t xml:space="preserve"> of national biosecurity </w:t>
      </w:r>
      <w:r w:rsidR="000E777F">
        <w:rPr>
          <w:sz w:val="22"/>
        </w:rPr>
        <w:t xml:space="preserve">system </w:t>
      </w:r>
      <w:r w:rsidR="002E54ED" w:rsidRPr="003A13A0">
        <w:rPr>
          <w:sz w:val="22"/>
        </w:rPr>
        <w:t>participants</w:t>
      </w:r>
      <w:r w:rsidR="00894575" w:rsidRPr="003A13A0">
        <w:rPr>
          <w:sz w:val="22"/>
        </w:rPr>
        <w:t>.</w:t>
      </w:r>
      <w:bookmarkEnd w:id="27"/>
      <w:bookmarkEnd w:id="28"/>
    </w:p>
    <w:p w14:paraId="6E469148" w14:textId="5E51D770" w:rsidR="00894575" w:rsidRDefault="00B3267A" w:rsidP="00267841">
      <w:r>
        <w:t xml:space="preserve">Shared responsibility has been criticised by some industry stakeholder as cost shifting. While governments will have a responsibility to assist in encouraging and involving other system participants, consideration of public and private benefits will need to be made where funding is an issue. </w:t>
      </w:r>
      <w:r w:rsidR="00771098">
        <w:t>A separate, second step would involve developing a means to measure how effectively system participants are meeting their defined roles and responsibilities.</w:t>
      </w:r>
    </w:p>
    <w:p w14:paraId="24405A23" w14:textId="77777777" w:rsidR="00894575" w:rsidRDefault="00894575" w:rsidP="00D05812">
      <w:pPr>
        <w:pStyle w:val="Caption"/>
        <w:sectPr w:rsidR="00894575" w:rsidSect="00A9051C">
          <w:pgSz w:w="11906" w:h="16838"/>
          <w:pgMar w:top="1418" w:right="1418" w:bottom="1418" w:left="1418" w:header="567" w:footer="283" w:gutter="0"/>
          <w:cols w:space="708"/>
          <w:docGrid w:linePitch="360"/>
        </w:sectPr>
      </w:pPr>
    </w:p>
    <w:p w14:paraId="53CEC89B" w14:textId="0E69BE42" w:rsidR="000C1539" w:rsidRPr="00375F10" w:rsidRDefault="000C1539" w:rsidP="000C1539">
      <w:pPr>
        <w:pStyle w:val="Caption"/>
        <w:rPr>
          <w:sz w:val="22"/>
          <w:szCs w:val="22"/>
        </w:rPr>
      </w:pPr>
      <w:bookmarkStart w:id="29" w:name="_Ref466893627"/>
      <w:bookmarkStart w:id="30" w:name="_Toc468176722"/>
      <w:r w:rsidRPr="00375F10">
        <w:rPr>
          <w:sz w:val="22"/>
          <w:szCs w:val="22"/>
        </w:rPr>
        <w:lastRenderedPageBreak/>
        <w:t xml:space="preserve">Table </w:t>
      </w:r>
      <w:r w:rsidR="00D56373" w:rsidRPr="00375F10">
        <w:rPr>
          <w:sz w:val="22"/>
          <w:szCs w:val="22"/>
        </w:rPr>
        <w:fldChar w:fldCharType="begin"/>
      </w:r>
      <w:r w:rsidR="00D56373" w:rsidRPr="00375F10">
        <w:rPr>
          <w:sz w:val="22"/>
          <w:szCs w:val="22"/>
        </w:rPr>
        <w:instrText xml:space="preserve"> SEQ Table \* ARABIC </w:instrText>
      </w:r>
      <w:r w:rsidR="00D56373" w:rsidRPr="00375F10">
        <w:rPr>
          <w:sz w:val="22"/>
          <w:szCs w:val="22"/>
        </w:rPr>
        <w:fldChar w:fldCharType="separate"/>
      </w:r>
      <w:r w:rsidR="008303E2">
        <w:rPr>
          <w:noProof/>
          <w:sz w:val="22"/>
          <w:szCs w:val="22"/>
        </w:rPr>
        <w:t>1</w:t>
      </w:r>
      <w:r w:rsidR="00D56373" w:rsidRPr="00375F10">
        <w:rPr>
          <w:noProof/>
          <w:sz w:val="22"/>
          <w:szCs w:val="22"/>
        </w:rPr>
        <w:fldChar w:fldCharType="end"/>
      </w:r>
      <w:bookmarkEnd w:id="29"/>
      <w:r w:rsidR="00081BB4" w:rsidRPr="00375F10">
        <w:rPr>
          <w:sz w:val="22"/>
          <w:szCs w:val="22"/>
        </w:rPr>
        <w:t>:</w:t>
      </w:r>
      <w:r w:rsidRPr="00375F10">
        <w:rPr>
          <w:sz w:val="22"/>
          <w:szCs w:val="22"/>
        </w:rPr>
        <w:t xml:space="preserve"> Draft roles and responsibilities of national biosecurity system participants</w:t>
      </w:r>
      <w:bookmarkEnd w:id="3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Proposed draft roles and responsibilities of participants in the national biosecurity system"/>
      </w:tblPr>
      <w:tblGrid>
        <w:gridCol w:w="2332"/>
        <w:gridCol w:w="2332"/>
        <w:gridCol w:w="2332"/>
        <w:gridCol w:w="2332"/>
        <w:gridCol w:w="2332"/>
        <w:gridCol w:w="2332"/>
      </w:tblGrid>
      <w:tr w:rsidR="009E5A18" w:rsidRPr="007C5C4F" w14:paraId="57E93632" w14:textId="77777777" w:rsidTr="000C1539">
        <w:trPr>
          <w:tblHeader/>
        </w:trPr>
        <w:tc>
          <w:tcPr>
            <w:tcW w:w="2332" w:type="dxa"/>
          </w:tcPr>
          <w:p w14:paraId="3EF2BE9F" w14:textId="77777777" w:rsidR="009E5A18" w:rsidRPr="004B67C2" w:rsidRDefault="009E5A18" w:rsidP="000C1539">
            <w:pPr>
              <w:pStyle w:val="TableHeading"/>
              <w:rPr>
                <w:szCs w:val="18"/>
              </w:rPr>
            </w:pPr>
            <w:r w:rsidRPr="004B67C2">
              <w:rPr>
                <w:szCs w:val="18"/>
              </w:rPr>
              <w:t>Australian Government</w:t>
            </w:r>
          </w:p>
        </w:tc>
        <w:tc>
          <w:tcPr>
            <w:tcW w:w="2332" w:type="dxa"/>
          </w:tcPr>
          <w:p w14:paraId="0187AB37" w14:textId="77777777" w:rsidR="009E5A18" w:rsidRPr="004B67C2" w:rsidRDefault="009E5A18" w:rsidP="000C1539">
            <w:pPr>
              <w:pStyle w:val="TableHeading"/>
              <w:rPr>
                <w:szCs w:val="18"/>
              </w:rPr>
            </w:pPr>
            <w:r w:rsidRPr="004B67C2">
              <w:rPr>
                <w:szCs w:val="18"/>
              </w:rPr>
              <w:t>State and territory governments</w:t>
            </w:r>
          </w:p>
        </w:tc>
        <w:tc>
          <w:tcPr>
            <w:tcW w:w="2332" w:type="dxa"/>
          </w:tcPr>
          <w:p w14:paraId="4CBFFB1A" w14:textId="2265AC3F" w:rsidR="009E5A18" w:rsidRPr="004B67C2" w:rsidRDefault="009E5A18" w:rsidP="000C1539">
            <w:pPr>
              <w:pStyle w:val="TableHeading"/>
              <w:rPr>
                <w:szCs w:val="18"/>
              </w:rPr>
            </w:pPr>
            <w:r w:rsidRPr="004B67C2">
              <w:rPr>
                <w:szCs w:val="18"/>
              </w:rPr>
              <w:t xml:space="preserve">Local </w:t>
            </w:r>
            <w:r w:rsidR="00A62C19" w:rsidRPr="004B67C2">
              <w:rPr>
                <w:szCs w:val="18"/>
              </w:rPr>
              <w:t>g</w:t>
            </w:r>
            <w:r w:rsidRPr="004B67C2">
              <w:rPr>
                <w:szCs w:val="18"/>
              </w:rPr>
              <w:t>overnment</w:t>
            </w:r>
          </w:p>
        </w:tc>
        <w:tc>
          <w:tcPr>
            <w:tcW w:w="2332" w:type="dxa"/>
          </w:tcPr>
          <w:p w14:paraId="7C10EF08" w14:textId="582EB7B9" w:rsidR="009E5A18" w:rsidRPr="004B67C2" w:rsidRDefault="009E5A18" w:rsidP="000C1539">
            <w:pPr>
              <w:pStyle w:val="TableHeading"/>
              <w:rPr>
                <w:szCs w:val="18"/>
              </w:rPr>
            </w:pPr>
            <w:r w:rsidRPr="004B67C2">
              <w:rPr>
                <w:szCs w:val="18"/>
              </w:rPr>
              <w:t>Industry</w:t>
            </w:r>
          </w:p>
        </w:tc>
        <w:tc>
          <w:tcPr>
            <w:tcW w:w="2332" w:type="dxa"/>
          </w:tcPr>
          <w:p w14:paraId="30AF025D" w14:textId="633F1F5A" w:rsidR="009E5A18" w:rsidRPr="004B67C2" w:rsidRDefault="00210701" w:rsidP="00210701">
            <w:pPr>
              <w:pStyle w:val="TableHeading"/>
              <w:rPr>
                <w:szCs w:val="18"/>
              </w:rPr>
            </w:pPr>
            <w:r w:rsidRPr="004B67C2">
              <w:rPr>
                <w:szCs w:val="18"/>
              </w:rPr>
              <w:t>General c</w:t>
            </w:r>
            <w:r w:rsidR="009E5A18" w:rsidRPr="004B67C2">
              <w:rPr>
                <w:szCs w:val="18"/>
              </w:rPr>
              <w:t>ommunity</w:t>
            </w:r>
          </w:p>
        </w:tc>
        <w:tc>
          <w:tcPr>
            <w:tcW w:w="2332" w:type="dxa"/>
          </w:tcPr>
          <w:p w14:paraId="44FA7863" w14:textId="318DB63E" w:rsidR="009E5A18" w:rsidRPr="004B67C2" w:rsidRDefault="009E5A18" w:rsidP="00A62C19">
            <w:pPr>
              <w:pStyle w:val="TableHeading"/>
              <w:rPr>
                <w:szCs w:val="18"/>
              </w:rPr>
            </w:pPr>
            <w:r w:rsidRPr="004B67C2">
              <w:rPr>
                <w:szCs w:val="18"/>
              </w:rPr>
              <w:t>N</w:t>
            </w:r>
            <w:r w:rsidR="00A62C19" w:rsidRPr="004B67C2">
              <w:rPr>
                <w:szCs w:val="18"/>
              </w:rPr>
              <w:t xml:space="preserve">on-government </w:t>
            </w:r>
            <w:r w:rsidRPr="004B67C2">
              <w:rPr>
                <w:szCs w:val="18"/>
              </w:rPr>
              <w:t>O</w:t>
            </w:r>
            <w:r w:rsidR="00A62C19" w:rsidRPr="004B67C2">
              <w:rPr>
                <w:szCs w:val="18"/>
              </w:rPr>
              <w:t>rganisation</w:t>
            </w:r>
            <w:r w:rsidRPr="004B67C2">
              <w:rPr>
                <w:szCs w:val="18"/>
              </w:rPr>
              <w:t>s</w:t>
            </w:r>
          </w:p>
        </w:tc>
      </w:tr>
      <w:tr w:rsidR="009E5A18" w:rsidRPr="009E5A18" w14:paraId="6DE7E1C7" w14:textId="77777777" w:rsidTr="000C1539">
        <w:tc>
          <w:tcPr>
            <w:tcW w:w="2332" w:type="dxa"/>
          </w:tcPr>
          <w:p w14:paraId="06075A9D" w14:textId="77777777" w:rsidR="008F4874" w:rsidRPr="004B67C2" w:rsidRDefault="008F4874" w:rsidP="008F4874">
            <w:pPr>
              <w:pStyle w:val="TableBullet"/>
              <w:rPr>
                <w:szCs w:val="18"/>
              </w:rPr>
            </w:pPr>
            <w:r w:rsidRPr="004B67C2">
              <w:rPr>
                <w:szCs w:val="18"/>
              </w:rPr>
              <w:t xml:space="preserve">matters relating to the national border, including development and enforcement of quarantine </w:t>
            </w:r>
          </w:p>
          <w:p w14:paraId="632BF700" w14:textId="4D78747F" w:rsidR="008F4874" w:rsidRPr="004B67C2" w:rsidRDefault="008F4874" w:rsidP="008F4874">
            <w:pPr>
              <w:pStyle w:val="TableBullet"/>
              <w:rPr>
                <w:szCs w:val="18"/>
              </w:rPr>
            </w:pPr>
            <w:r w:rsidRPr="004B67C2">
              <w:rPr>
                <w:szCs w:val="18"/>
              </w:rPr>
              <w:t xml:space="preserve">assessing potential risks associated with imported </w:t>
            </w:r>
            <w:r w:rsidR="00AD7E57" w:rsidRPr="004B67C2">
              <w:rPr>
                <w:szCs w:val="18"/>
              </w:rPr>
              <w:t>goods</w:t>
            </w:r>
          </w:p>
          <w:p w14:paraId="28AF9D28" w14:textId="77777777" w:rsidR="008F4874" w:rsidRPr="004B67C2" w:rsidRDefault="008F4874" w:rsidP="008F4874">
            <w:pPr>
              <w:pStyle w:val="TableBullet"/>
              <w:rPr>
                <w:szCs w:val="18"/>
              </w:rPr>
            </w:pPr>
            <w:r w:rsidRPr="004B67C2">
              <w:rPr>
                <w:szCs w:val="18"/>
              </w:rPr>
              <w:t>negotiating and facilitating international trade and market access, including by certifying sanitary and phytosanitary conditions</w:t>
            </w:r>
          </w:p>
          <w:p w14:paraId="742CDF6B" w14:textId="77777777" w:rsidR="008F4874" w:rsidRPr="004B67C2" w:rsidRDefault="008F4874" w:rsidP="008F4874">
            <w:pPr>
              <w:pStyle w:val="TableBullet"/>
              <w:rPr>
                <w:szCs w:val="18"/>
              </w:rPr>
            </w:pPr>
            <w:r w:rsidRPr="004B67C2">
              <w:rPr>
                <w:szCs w:val="18"/>
              </w:rPr>
              <w:t>monitoring and reporting Australia’s pest and disease status to meet international obligations</w:t>
            </w:r>
          </w:p>
          <w:p w14:paraId="78840E8B" w14:textId="77777777" w:rsidR="008F4874" w:rsidRPr="004B67C2" w:rsidRDefault="008F4874" w:rsidP="008F4874">
            <w:pPr>
              <w:pStyle w:val="TableBullet"/>
              <w:rPr>
                <w:szCs w:val="18"/>
              </w:rPr>
            </w:pPr>
            <w:r w:rsidRPr="004B67C2">
              <w:rPr>
                <w:szCs w:val="18"/>
              </w:rPr>
              <w:t>incorporating biosecurity risks into threat abatement and recovery plans for threatened species and ecological communities</w:t>
            </w:r>
          </w:p>
          <w:p w14:paraId="7D2EE24E" w14:textId="77777777" w:rsidR="008F4874" w:rsidRPr="004B67C2" w:rsidRDefault="008F4874" w:rsidP="008F4874">
            <w:pPr>
              <w:pStyle w:val="TableBullet"/>
              <w:rPr>
                <w:szCs w:val="18"/>
              </w:rPr>
            </w:pPr>
            <w:r w:rsidRPr="004B67C2">
              <w:rPr>
                <w:szCs w:val="18"/>
              </w:rPr>
              <w:t>fulfilling obligations, including those under the WTO, the Convention on Biological Diversity and other international agreements and strategies</w:t>
            </w:r>
          </w:p>
          <w:p w14:paraId="0AACB543" w14:textId="77777777" w:rsidR="008F4874" w:rsidRPr="004B67C2" w:rsidRDefault="008F4874" w:rsidP="008F4874">
            <w:pPr>
              <w:pStyle w:val="TableBullet"/>
              <w:rPr>
                <w:szCs w:val="18"/>
              </w:rPr>
            </w:pPr>
            <w:r w:rsidRPr="004B67C2">
              <w:rPr>
                <w:szCs w:val="18"/>
              </w:rPr>
              <w:t xml:space="preserve">promoting biosecurity partnerships between </w:t>
            </w:r>
            <w:r w:rsidRPr="004B67C2">
              <w:rPr>
                <w:szCs w:val="18"/>
              </w:rPr>
              <w:lastRenderedPageBreak/>
              <w:t>government, industry and the community</w:t>
            </w:r>
          </w:p>
          <w:p w14:paraId="1EB2869C" w14:textId="64C482D5" w:rsidR="008F4874" w:rsidRPr="004B67C2" w:rsidRDefault="008F4874" w:rsidP="008F4874">
            <w:pPr>
              <w:pStyle w:val="TableBullet"/>
              <w:rPr>
                <w:szCs w:val="18"/>
              </w:rPr>
            </w:pPr>
            <w:r w:rsidRPr="004B67C2">
              <w:rPr>
                <w:szCs w:val="18"/>
              </w:rPr>
              <w:t>managing pests and diseases on land under its responsibility</w:t>
            </w:r>
          </w:p>
          <w:p w14:paraId="41E2DC26" w14:textId="77777777" w:rsidR="008F4874" w:rsidRPr="004B67C2" w:rsidRDefault="008F4874" w:rsidP="008F4874">
            <w:pPr>
              <w:pStyle w:val="TableBullet"/>
              <w:rPr>
                <w:szCs w:val="18"/>
              </w:rPr>
            </w:pPr>
            <w:r w:rsidRPr="004B67C2">
              <w:rPr>
                <w:szCs w:val="18"/>
              </w:rPr>
              <w:t>responding to and controlling detections of exotic pests or diseases that have passed through border controls and are directly related to an imported good</w:t>
            </w:r>
          </w:p>
          <w:p w14:paraId="21FABAE1" w14:textId="77777777" w:rsidR="003C300B" w:rsidRPr="004B67C2" w:rsidRDefault="008F4874" w:rsidP="008F4874">
            <w:pPr>
              <w:pStyle w:val="TableBullet"/>
              <w:rPr>
                <w:szCs w:val="18"/>
              </w:rPr>
            </w:pPr>
            <w:r w:rsidRPr="004B67C2">
              <w:rPr>
                <w:szCs w:val="18"/>
              </w:rPr>
              <w:t>providing national leadership for strategic biosecurity issues, including responses to exotic pests and diseases, and management of nationally significant established pests and diseases</w:t>
            </w:r>
          </w:p>
          <w:p w14:paraId="49A44372" w14:textId="14EE3839" w:rsidR="00AD7E57" w:rsidRPr="004B67C2" w:rsidRDefault="00AD7E57" w:rsidP="008F4874">
            <w:pPr>
              <w:pStyle w:val="TableBullet"/>
              <w:rPr>
                <w:szCs w:val="18"/>
              </w:rPr>
            </w:pPr>
            <w:r w:rsidRPr="004B67C2">
              <w:rPr>
                <w:szCs w:val="18"/>
              </w:rPr>
              <w:t>fulfilling commitments within the IGAB</w:t>
            </w:r>
          </w:p>
        </w:tc>
        <w:tc>
          <w:tcPr>
            <w:tcW w:w="2332" w:type="dxa"/>
          </w:tcPr>
          <w:p w14:paraId="6D94BACB" w14:textId="7536A45E" w:rsidR="008F4874" w:rsidRPr="004B67C2" w:rsidRDefault="008F4874" w:rsidP="008F4874">
            <w:pPr>
              <w:pStyle w:val="TableBullet"/>
              <w:rPr>
                <w:szCs w:val="18"/>
              </w:rPr>
            </w:pPr>
            <w:r w:rsidRPr="004B67C2">
              <w:rPr>
                <w:szCs w:val="18"/>
              </w:rPr>
              <w:lastRenderedPageBreak/>
              <w:t xml:space="preserve">biosecurity </w:t>
            </w:r>
            <w:r w:rsidR="004A1E94">
              <w:rPr>
                <w:szCs w:val="18"/>
              </w:rPr>
              <w:t>within</w:t>
            </w:r>
            <w:r w:rsidRPr="004B67C2">
              <w:rPr>
                <w:szCs w:val="18"/>
              </w:rPr>
              <w:t xml:space="preserve"> their borders, including enforcement actions and regulatory interventions</w:t>
            </w:r>
          </w:p>
          <w:p w14:paraId="7DCEECF0" w14:textId="77777777" w:rsidR="008F4874" w:rsidRPr="004B67C2" w:rsidRDefault="008F4874" w:rsidP="008F4874">
            <w:pPr>
              <w:pStyle w:val="TableBullet"/>
              <w:rPr>
                <w:szCs w:val="18"/>
              </w:rPr>
            </w:pPr>
            <w:r w:rsidRPr="004B67C2">
              <w:rPr>
                <w:szCs w:val="18"/>
              </w:rPr>
              <w:t>supporting international trade and market access negotiations</w:t>
            </w:r>
          </w:p>
          <w:p w14:paraId="0664A24F" w14:textId="77777777" w:rsidR="008F4874" w:rsidRPr="004B67C2" w:rsidRDefault="008F4874" w:rsidP="008F4874">
            <w:pPr>
              <w:pStyle w:val="TableBullet"/>
              <w:rPr>
                <w:szCs w:val="18"/>
              </w:rPr>
            </w:pPr>
            <w:r w:rsidRPr="004B67C2">
              <w:rPr>
                <w:szCs w:val="18"/>
              </w:rPr>
              <w:t>negotiating and facilitating domestic trade</w:t>
            </w:r>
          </w:p>
          <w:p w14:paraId="5DB3728F" w14:textId="77777777" w:rsidR="008F4874" w:rsidRPr="004B67C2" w:rsidRDefault="008F4874" w:rsidP="008F4874">
            <w:pPr>
              <w:pStyle w:val="TableBullet"/>
              <w:rPr>
                <w:szCs w:val="18"/>
              </w:rPr>
            </w:pPr>
            <w:r w:rsidRPr="004B67C2">
              <w:rPr>
                <w:szCs w:val="18"/>
              </w:rPr>
              <w:t>monitoring pest and disease status to meet domestic and international obligations</w:t>
            </w:r>
          </w:p>
          <w:p w14:paraId="2F010744" w14:textId="77777777" w:rsidR="00AD7E57" w:rsidRPr="004B67C2" w:rsidRDefault="00AD7E57" w:rsidP="008F4874">
            <w:pPr>
              <w:pStyle w:val="TableBullet"/>
              <w:rPr>
                <w:szCs w:val="18"/>
              </w:rPr>
            </w:pPr>
            <w:r w:rsidRPr="004B67C2">
              <w:rPr>
                <w:szCs w:val="18"/>
              </w:rPr>
              <w:t>managing eradication and containment programs for nationally agreed and other pest and disease incursions</w:t>
            </w:r>
          </w:p>
          <w:p w14:paraId="2C05D837" w14:textId="77777777" w:rsidR="008F4874" w:rsidRPr="004B67C2" w:rsidRDefault="008F4874" w:rsidP="008F4874">
            <w:pPr>
              <w:pStyle w:val="TableBullet"/>
              <w:rPr>
                <w:szCs w:val="18"/>
              </w:rPr>
            </w:pPr>
            <w:r w:rsidRPr="004B67C2">
              <w:rPr>
                <w:szCs w:val="18"/>
              </w:rPr>
              <w:t>undertaking biosecurity activities on public lands under their jurisdiction, and on private land under certain circumstances</w:t>
            </w:r>
          </w:p>
          <w:p w14:paraId="77447F68" w14:textId="77777777" w:rsidR="008F4874" w:rsidRPr="004B67C2" w:rsidRDefault="008F4874" w:rsidP="008F4874">
            <w:pPr>
              <w:pStyle w:val="TableBullet"/>
              <w:rPr>
                <w:szCs w:val="18"/>
              </w:rPr>
            </w:pPr>
            <w:r w:rsidRPr="004B67C2">
              <w:rPr>
                <w:szCs w:val="18"/>
              </w:rPr>
              <w:t>complying with international obligations</w:t>
            </w:r>
          </w:p>
          <w:p w14:paraId="19D8B949" w14:textId="77777777" w:rsidR="008F4874" w:rsidRPr="004B67C2" w:rsidRDefault="008F4874" w:rsidP="008F4874">
            <w:pPr>
              <w:pStyle w:val="TableBullet"/>
              <w:rPr>
                <w:szCs w:val="18"/>
              </w:rPr>
            </w:pPr>
            <w:r w:rsidRPr="004B67C2">
              <w:rPr>
                <w:szCs w:val="18"/>
              </w:rPr>
              <w:t xml:space="preserve">promoting partnerships between all governments, industry and the community to prevent the entry or </w:t>
            </w:r>
            <w:r w:rsidRPr="004B67C2">
              <w:rPr>
                <w:szCs w:val="18"/>
              </w:rPr>
              <w:lastRenderedPageBreak/>
              <w:t>establishment of pests and diseases</w:t>
            </w:r>
          </w:p>
          <w:p w14:paraId="2A48ECC7" w14:textId="6D0006C9" w:rsidR="008F4874" w:rsidRPr="004B67C2" w:rsidRDefault="008F4874" w:rsidP="008F4874">
            <w:pPr>
              <w:pStyle w:val="TableBullet"/>
              <w:rPr>
                <w:szCs w:val="18"/>
              </w:rPr>
            </w:pPr>
            <w:r w:rsidRPr="004B67C2">
              <w:rPr>
                <w:szCs w:val="18"/>
              </w:rPr>
              <w:t>maintaining capacity to prepare for, detect and respond to exotic pest</w:t>
            </w:r>
            <w:r w:rsidR="004A1E94">
              <w:rPr>
                <w:szCs w:val="18"/>
              </w:rPr>
              <w:t xml:space="preserve"> and disease </w:t>
            </w:r>
            <w:r w:rsidRPr="004B67C2">
              <w:rPr>
                <w:szCs w:val="18"/>
              </w:rPr>
              <w:t>incursions</w:t>
            </w:r>
          </w:p>
          <w:p w14:paraId="4AB05E2B" w14:textId="77777777" w:rsidR="008F4874" w:rsidRPr="004B67C2" w:rsidRDefault="008F4874" w:rsidP="008F4874">
            <w:pPr>
              <w:pStyle w:val="TableBullet"/>
              <w:rPr>
                <w:szCs w:val="18"/>
              </w:rPr>
            </w:pPr>
            <w:r w:rsidRPr="004B67C2">
              <w:rPr>
                <w:szCs w:val="18"/>
              </w:rPr>
              <w:t>supporting landholders and the community to manage established pests and diseases</w:t>
            </w:r>
          </w:p>
          <w:p w14:paraId="6B196339" w14:textId="77777777" w:rsidR="008F4874" w:rsidRPr="004B67C2" w:rsidRDefault="008F4874" w:rsidP="008F4874">
            <w:pPr>
              <w:pStyle w:val="TableBullet"/>
              <w:rPr>
                <w:szCs w:val="18"/>
              </w:rPr>
            </w:pPr>
            <w:r w:rsidRPr="004B67C2">
              <w:rPr>
                <w:szCs w:val="18"/>
              </w:rPr>
              <w:t>managing established pests and diseases on land under its responsibility</w:t>
            </w:r>
          </w:p>
          <w:p w14:paraId="4800661C" w14:textId="77777777" w:rsidR="008F4874" w:rsidRPr="004B67C2" w:rsidRDefault="008F4874" w:rsidP="008F4874">
            <w:pPr>
              <w:pStyle w:val="TableBullet"/>
              <w:rPr>
                <w:szCs w:val="18"/>
              </w:rPr>
            </w:pPr>
            <w:r w:rsidRPr="004B67C2">
              <w:rPr>
                <w:szCs w:val="18"/>
              </w:rPr>
              <w:t>undertaking surveillance and diagnostics to support early detection and diagnosis</w:t>
            </w:r>
          </w:p>
          <w:p w14:paraId="333B4E63" w14:textId="77777777" w:rsidR="003C300B" w:rsidRPr="004B67C2" w:rsidRDefault="00AD7E57" w:rsidP="00AD7E57">
            <w:pPr>
              <w:pStyle w:val="TableBullet"/>
              <w:rPr>
                <w:szCs w:val="18"/>
              </w:rPr>
            </w:pPr>
            <w:r w:rsidRPr="004B67C2">
              <w:rPr>
                <w:szCs w:val="18"/>
              </w:rPr>
              <w:t>regulating the keeping of plants and animals that pose significant risks</w:t>
            </w:r>
          </w:p>
          <w:p w14:paraId="0E1B7E00" w14:textId="053B0B47" w:rsidR="00AD7E57" w:rsidRPr="004B67C2" w:rsidRDefault="00AD7E57" w:rsidP="00AD7E57">
            <w:pPr>
              <w:pStyle w:val="TableBullet"/>
              <w:rPr>
                <w:szCs w:val="18"/>
              </w:rPr>
            </w:pPr>
            <w:r w:rsidRPr="004B67C2">
              <w:rPr>
                <w:szCs w:val="18"/>
              </w:rPr>
              <w:t>fulfilling commitments within the IGAB</w:t>
            </w:r>
          </w:p>
        </w:tc>
        <w:tc>
          <w:tcPr>
            <w:tcW w:w="2332" w:type="dxa"/>
          </w:tcPr>
          <w:p w14:paraId="6B24EF76" w14:textId="77777777" w:rsidR="008F4874" w:rsidRPr="004B67C2" w:rsidRDefault="008F4874" w:rsidP="008F4874">
            <w:pPr>
              <w:pStyle w:val="TableBullet"/>
              <w:rPr>
                <w:szCs w:val="18"/>
              </w:rPr>
            </w:pPr>
            <w:r w:rsidRPr="004B67C2">
              <w:rPr>
                <w:szCs w:val="18"/>
              </w:rPr>
              <w:lastRenderedPageBreak/>
              <w:t>managing local and regional incursion response programs</w:t>
            </w:r>
          </w:p>
          <w:p w14:paraId="0303824C" w14:textId="77777777" w:rsidR="008F4874" w:rsidRPr="004B67C2" w:rsidRDefault="008F4874" w:rsidP="008F4874">
            <w:pPr>
              <w:pStyle w:val="TableBullet"/>
              <w:rPr>
                <w:szCs w:val="18"/>
              </w:rPr>
            </w:pPr>
            <w:r w:rsidRPr="004B67C2">
              <w:rPr>
                <w:szCs w:val="18"/>
              </w:rPr>
              <w:t xml:space="preserve">regional collaboration between local councils to deal with regional biosecurity issues </w:t>
            </w:r>
          </w:p>
          <w:p w14:paraId="38AA5DF9" w14:textId="77777777" w:rsidR="008F4874" w:rsidRPr="004B67C2" w:rsidRDefault="008F4874" w:rsidP="008F4874">
            <w:pPr>
              <w:pStyle w:val="TableBullet"/>
              <w:rPr>
                <w:szCs w:val="18"/>
              </w:rPr>
            </w:pPr>
            <w:r w:rsidRPr="004B67C2">
              <w:rPr>
                <w:szCs w:val="18"/>
              </w:rPr>
              <w:t>working in partnership with all governments, industry and the community</w:t>
            </w:r>
          </w:p>
          <w:p w14:paraId="7AE3F46B" w14:textId="77777777" w:rsidR="008F4874" w:rsidRPr="004B67C2" w:rsidRDefault="008F4874" w:rsidP="008F4874">
            <w:pPr>
              <w:pStyle w:val="TableBullet"/>
              <w:rPr>
                <w:szCs w:val="18"/>
              </w:rPr>
            </w:pPr>
            <w:r w:rsidRPr="004B67C2">
              <w:rPr>
                <w:szCs w:val="18"/>
              </w:rPr>
              <w:t xml:space="preserve">promoting reporting of new or unusual weeds, pests and diseases </w:t>
            </w:r>
          </w:p>
          <w:p w14:paraId="1624B159" w14:textId="77777777" w:rsidR="008F4874" w:rsidRPr="004B67C2" w:rsidRDefault="008F4874" w:rsidP="008F4874">
            <w:pPr>
              <w:pStyle w:val="TableBullet"/>
              <w:rPr>
                <w:szCs w:val="18"/>
              </w:rPr>
            </w:pPr>
            <w:r w:rsidRPr="004B67C2">
              <w:rPr>
                <w:szCs w:val="18"/>
              </w:rPr>
              <w:t>enforcing pest management legislation</w:t>
            </w:r>
          </w:p>
          <w:p w14:paraId="18B45C35" w14:textId="77777777" w:rsidR="008F4874" w:rsidRPr="004B67C2" w:rsidRDefault="008F4874" w:rsidP="008F4874">
            <w:pPr>
              <w:pStyle w:val="TableBullet"/>
              <w:rPr>
                <w:szCs w:val="18"/>
              </w:rPr>
            </w:pPr>
            <w:r w:rsidRPr="004B67C2">
              <w:rPr>
                <w:szCs w:val="18"/>
              </w:rPr>
              <w:t>providing support and information to the local community on biosecurity pest and disease management</w:t>
            </w:r>
          </w:p>
          <w:p w14:paraId="18F904ED" w14:textId="3FF1E091" w:rsidR="001B7055" w:rsidRPr="004B67C2" w:rsidRDefault="008F4874" w:rsidP="0041568C">
            <w:pPr>
              <w:pStyle w:val="TableBullet"/>
              <w:rPr>
                <w:szCs w:val="18"/>
              </w:rPr>
            </w:pPr>
            <w:r w:rsidRPr="004B67C2">
              <w:rPr>
                <w:szCs w:val="18"/>
              </w:rPr>
              <w:t>the management of pest species on local government-owned land</w:t>
            </w:r>
          </w:p>
        </w:tc>
        <w:tc>
          <w:tcPr>
            <w:tcW w:w="2332" w:type="dxa"/>
          </w:tcPr>
          <w:p w14:paraId="158AD29A" w14:textId="77777777" w:rsidR="008F4874" w:rsidRPr="004B67C2" w:rsidRDefault="008F4874" w:rsidP="008F4874">
            <w:pPr>
              <w:pStyle w:val="TableBullet"/>
              <w:rPr>
                <w:szCs w:val="18"/>
              </w:rPr>
            </w:pPr>
            <w:r w:rsidRPr="004B67C2">
              <w:rPr>
                <w:szCs w:val="18"/>
              </w:rPr>
              <w:t>awareness and understanding of Australia’s biosecurity system and its requirements</w:t>
            </w:r>
          </w:p>
          <w:p w14:paraId="09BE11B9" w14:textId="77777777" w:rsidR="008F4874" w:rsidRPr="004B67C2" w:rsidRDefault="008F4874" w:rsidP="008F4874">
            <w:pPr>
              <w:pStyle w:val="TableBullet"/>
              <w:rPr>
                <w:szCs w:val="18"/>
              </w:rPr>
            </w:pPr>
            <w:r w:rsidRPr="004B67C2">
              <w:rPr>
                <w:szCs w:val="18"/>
              </w:rPr>
              <w:t>building risk mitigation measures into normal industry practices</w:t>
            </w:r>
          </w:p>
          <w:p w14:paraId="5BBAAD63" w14:textId="77777777" w:rsidR="008F4874" w:rsidRPr="004B67C2" w:rsidRDefault="008F4874" w:rsidP="008F4874">
            <w:pPr>
              <w:pStyle w:val="TableBullet"/>
              <w:rPr>
                <w:szCs w:val="18"/>
              </w:rPr>
            </w:pPr>
            <w:r w:rsidRPr="004B67C2">
              <w:rPr>
                <w:szCs w:val="18"/>
              </w:rPr>
              <w:t>complying with international and domestic obligations and regulations</w:t>
            </w:r>
          </w:p>
          <w:p w14:paraId="239A9E3C" w14:textId="77777777" w:rsidR="008F4874" w:rsidRPr="004B67C2" w:rsidRDefault="008F4874" w:rsidP="008F4874">
            <w:pPr>
              <w:pStyle w:val="TableBullet"/>
              <w:rPr>
                <w:szCs w:val="18"/>
              </w:rPr>
            </w:pPr>
            <w:r w:rsidRPr="004B67C2">
              <w:rPr>
                <w:szCs w:val="18"/>
              </w:rPr>
              <w:t>maintaining capacity to prepare for, and respond to, exotic pests and diseases</w:t>
            </w:r>
          </w:p>
          <w:p w14:paraId="7DB53384" w14:textId="77777777" w:rsidR="008F4874" w:rsidRPr="004B67C2" w:rsidRDefault="008F4874" w:rsidP="008F4874">
            <w:pPr>
              <w:pStyle w:val="TableBullet"/>
              <w:rPr>
                <w:szCs w:val="18"/>
              </w:rPr>
            </w:pPr>
            <w:r w:rsidRPr="004B67C2">
              <w:rPr>
                <w:szCs w:val="18"/>
              </w:rPr>
              <w:t>promoting reporting of new or unusual weeds, pests and diseases</w:t>
            </w:r>
          </w:p>
          <w:p w14:paraId="2B865959" w14:textId="77777777" w:rsidR="008F4874" w:rsidRPr="004B67C2" w:rsidRDefault="008F4874" w:rsidP="008F4874">
            <w:pPr>
              <w:pStyle w:val="TableBullet"/>
              <w:rPr>
                <w:szCs w:val="18"/>
              </w:rPr>
            </w:pPr>
            <w:r w:rsidRPr="004B67C2">
              <w:rPr>
                <w:szCs w:val="18"/>
              </w:rPr>
              <w:t xml:space="preserve">contributing to the surveillance network for exotic and established pests and diseases </w:t>
            </w:r>
          </w:p>
          <w:p w14:paraId="5C1E71B0" w14:textId="77777777" w:rsidR="008F4874" w:rsidRPr="004B67C2" w:rsidRDefault="008F4874" w:rsidP="008F4874">
            <w:pPr>
              <w:pStyle w:val="TableBullet"/>
              <w:rPr>
                <w:szCs w:val="18"/>
              </w:rPr>
            </w:pPr>
            <w:r w:rsidRPr="004B67C2">
              <w:rPr>
                <w:szCs w:val="18"/>
              </w:rPr>
              <w:t>promoting partnerships between government</w:t>
            </w:r>
            <w:r w:rsidRPr="004B67C2">
              <w:rPr>
                <w:b/>
                <w:szCs w:val="18"/>
              </w:rPr>
              <w:t>s</w:t>
            </w:r>
            <w:r w:rsidRPr="004B67C2">
              <w:rPr>
                <w:szCs w:val="18"/>
              </w:rPr>
              <w:t>, industry and the community, where a peak body</w:t>
            </w:r>
          </w:p>
          <w:p w14:paraId="16FC5C49" w14:textId="77777777" w:rsidR="008F4874" w:rsidRPr="004B67C2" w:rsidRDefault="008F4874" w:rsidP="008F4874">
            <w:pPr>
              <w:pStyle w:val="TableBullet"/>
              <w:rPr>
                <w:szCs w:val="18"/>
              </w:rPr>
            </w:pPr>
            <w:r w:rsidRPr="004B67C2">
              <w:rPr>
                <w:szCs w:val="18"/>
              </w:rPr>
              <w:t>leading collective action to manage pests and diseases on behalf of their members, where a peak body</w:t>
            </w:r>
          </w:p>
          <w:p w14:paraId="6A6D0CD9" w14:textId="77777777" w:rsidR="008F4874" w:rsidRPr="004B67C2" w:rsidRDefault="008F4874" w:rsidP="008F4874">
            <w:pPr>
              <w:pStyle w:val="TableBullet"/>
              <w:rPr>
                <w:szCs w:val="18"/>
              </w:rPr>
            </w:pPr>
            <w:r w:rsidRPr="004B67C2">
              <w:rPr>
                <w:szCs w:val="18"/>
              </w:rPr>
              <w:t xml:space="preserve">advocating biosecurity and leading biosecurity initiatives in the interest of their </w:t>
            </w:r>
            <w:r w:rsidRPr="004B67C2">
              <w:rPr>
                <w:szCs w:val="18"/>
              </w:rPr>
              <w:lastRenderedPageBreak/>
              <w:t>members, where a peak body</w:t>
            </w:r>
          </w:p>
          <w:p w14:paraId="37BEC32E" w14:textId="7492C0BD" w:rsidR="001B7055" w:rsidRPr="004B67C2" w:rsidRDefault="008F4874" w:rsidP="008F4874">
            <w:pPr>
              <w:pStyle w:val="TableBullet"/>
              <w:rPr>
                <w:szCs w:val="18"/>
              </w:rPr>
            </w:pPr>
            <w:r w:rsidRPr="004B67C2">
              <w:rPr>
                <w:szCs w:val="18"/>
              </w:rPr>
              <w:t>managing declared established pests and diseases on private lands</w:t>
            </w:r>
          </w:p>
        </w:tc>
        <w:tc>
          <w:tcPr>
            <w:tcW w:w="2332" w:type="dxa"/>
          </w:tcPr>
          <w:p w14:paraId="7C05A961" w14:textId="77777777" w:rsidR="008F4874" w:rsidRPr="004B67C2" w:rsidRDefault="008F4874" w:rsidP="008F4874">
            <w:pPr>
              <w:pStyle w:val="TableBullet"/>
              <w:rPr>
                <w:szCs w:val="18"/>
              </w:rPr>
            </w:pPr>
            <w:r w:rsidRPr="004B67C2">
              <w:rPr>
                <w:szCs w:val="18"/>
              </w:rPr>
              <w:lastRenderedPageBreak/>
              <w:t>awareness of Australia’s biosecurity requirements</w:t>
            </w:r>
          </w:p>
          <w:p w14:paraId="003FE9B9" w14:textId="77777777" w:rsidR="008F4874" w:rsidRPr="004B67C2" w:rsidRDefault="008F4874" w:rsidP="008F4874">
            <w:pPr>
              <w:pStyle w:val="TableBullet"/>
              <w:rPr>
                <w:szCs w:val="18"/>
              </w:rPr>
            </w:pPr>
            <w:r w:rsidRPr="004B67C2">
              <w:rPr>
                <w:szCs w:val="18"/>
              </w:rPr>
              <w:t xml:space="preserve">awareness of Australia’s biosecurity obligations, including for importing goods, and domestic and international travel </w:t>
            </w:r>
          </w:p>
          <w:p w14:paraId="2EF61EDF" w14:textId="77777777" w:rsidR="008F4874" w:rsidRPr="004B67C2" w:rsidRDefault="008F4874" w:rsidP="008F4874">
            <w:pPr>
              <w:pStyle w:val="TableBullet"/>
              <w:rPr>
                <w:szCs w:val="18"/>
              </w:rPr>
            </w:pPr>
            <w:r w:rsidRPr="004B67C2">
              <w:rPr>
                <w:szCs w:val="18"/>
              </w:rPr>
              <w:t xml:space="preserve">reporting new or unusual weeds, pests and diseases </w:t>
            </w:r>
          </w:p>
          <w:p w14:paraId="330B217D" w14:textId="77777777" w:rsidR="008F4874" w:rsidRPr="004B67C2" w:rsidRDefault="008F4874" w:rsidP="008F4874">
            <w:pPr>
              <w:pStyle w:val="TableBullet"/>
              <w:rPr>
                <w:szCs w:val="18"/>
              </w:rPr>
            </w:pPr>
            <w:r w:rsidRPr="004B67C2">
              <w:rPr>
                <w:szCs w:val="18"/>
              </w:rPr>
              <w:t xml:space="preserve">contributing to community action to manage biosecurity risks and protect valuable public assets, such as parks and reserves </w:t>
            </w:r>
          </w:p>
          <w:p w14:paraId="4D107D6B" w14:textId="17706B03" w:rsidR="008F4874" w:rsidRPr="004B67C2" w:rsidRDefault="008F4874" w:rsidP="008F4874">
            <w:pPr>
              <w:pStyle w:val="TableBullet"/>
              <w:rPr>
                <w:szCs w:val="18"/>
              </w:rPr>
            </w:pPr>
            <w:r w:rsidRPr="004B67C2">
              <w:rPr>
                <w:szCs w:val="18"/>
              </w:rPr>
              <w:t>building biosecurity risk mitigation measures into normal practices</w:t>
            </w:r>
            <w:r w:rsidR="00650893">
              <w:rPr>
                <w:szCs w:val="18"/>
              </w:rPr>
              <w:t>,</w:t>
            </w:r>
            <w:r w:rsidRPr="004B67C2">
              <w:rPr>
                <w:szCs w:val="18"/>
              </w:rPr>
              <w:t xml:space="preserve"> where a community member is a landholder/manager</w:t>
            </w:r>
          </w:p>
          <w:p w14:paraId="5B0F4195" w14:textId="331388E2" w:rsidR="001B7055" w:rsidRPr="004B67C2" w:rsidRDefault="008F4874" w:rsidP="000C1539">
            <w:pPr>
              <w:pStyle w:val="TableBullet"/>
              <w:rPr>
                <w:szCs w:val="18"/>
              </w:rPr>
            </w:pPr>
            <w:r w:rsidRPr="004B67C2">
              <w:rPr>
                <w:szCs w:val="18"/>
              </w:rPr>
              <w:t>managing declared established pests and diseases, where a community member is a landholder/manager</w:t>
            </w:r>
          </w:p>
        </w:tc>
        <w:tc>
          <w:tcPr>
            <w:tcW w:w="2332" w:type="dxa"/>
          </w:tcPr>
          <w:p w14:paraId="040B9494" w14:textId="77777777" w:rsidR="008F4874" w:rsidRPr="004B67C2" w:rsidRDefault="008F4874" w:rsidP="004B67C2">
            <w:pPr>
              <w:pStyle w:val="TableBullet"/>
            </w:pPr>
            <w:r w:rsidRPr="004B67C2">
              <w:t>promoting awareness of Australia’s biosecurity requirements to their members</w:t>
            </w:r>
          </w:p>
          <w:p w14:paraId="4B4FA444" w14:textId="77777777" w:rsidR="008F4874" w:rsidRPr="004B67C2" w:rsidRDefault="008F4874" w:rsidP="008F4874">
            <w:pPr>
              <w:pStyle w:val="TableBullet"/>
              <w:rPr>
                <w:szCs w:val="18"/>
              </w:rPr>
            </w:pPr>
            <w:r w:rsidRPr="004B67C2">
              <w:rPr>
                <w:szCs w:val="18"/>
              </w:rPr>
              <w:t xml:space="preserve">disseminating biosecurity information to industry, landholders, and the community and other stakeholders </w:t>
            </w:r>
          </w:p>
          <w:p w14:paraId="495DAEE0" w14:textId="77777777" w:rsidR="008F4874" w:rsidRPr="004B67C2" w:rsidRDefault="008F4874" w:rsidP="008F4874">
            <w:pPr>
              <w:pStyle w:val="TableBullet"/>
              <w:rPr>
                <w:szCs w:val="18"/>
              </w:rPr>
            </w:pPr>
            <w:r w:rsidRPr="004B67C2">
              <w:rPr>
                <w:szCs w:val="18"/>
              </w:rPr>
              <w:t>promoting reporting of new or unusual weeds, pests and diseases</w:t>
            </w:r>
          </w:p>
          <w:p w14:paraId="3BACC3FF" w14:textId="6A5A021B" w:rsidR="00FD5DA9" w:rsidRPr="004B67C2" w:rsidRDefault="008F4874" w:rsidP="004B67C2">
            <w:pPr>
              <w:pStyle w:val="TableBullet"/>
            </w:pPr>
            <w:r w:rsidRPr="004B67C2">
              <w:t>working with local governments (and other governments, as required), industry, landholders, and the community to manage established pests and diseases</w:t>
            </w:r>
          </w:p>
        </w:tc>
      </w:tr>
    </w:tbl>
    <w:p w14:paraId="2FECEE20" w14:textId="77777777" w:rsidR="00894575" w:rsidRDefault="00894575" w:rsidP="00267841"/>
    <w:p w14:paraId="2F780164" w14:textId="77777777" w:rsidR="00CD691B" w:rsidRDefault="00CD691B" w:rsidP="00267841">
      <w:pPr>
        <w:sectPr w:rsidR="00CD691B" w:rsidSect="007C5C4F">
          <w:pgSz w:w="16838" w:h="11906" w:orient="landscape"/>
          <w:pgMar w:top="1134" w:right="1418" w:bottom="1135" w:left="1418" w:header="567" w:footer="283" w:gutter="0"/>
          <w:cols w:space="708"/>
          <w:docGrid w:linePitch="360"/>
        </w:sectPr>
      </w:pPr>
    </w:p>
    <w:p w14:paraId="29DA22E9" w14:textId="77777777" w:rsidR="00543CE3" w:rsidRPr="00AC663D" w:rsidRDefault="000C5221" w:rsidP="00AC663D">
      <w:pPr>
        <w:pStyle w:val="Heading3"/>
      </w:pPr>
      <w:bookmarkStart w:id="31" w:name="_Toc351391256"/>
      <w:bookmarkStart w:id="32" w:name="_Toc430782159"/>
      <w:bookmarkStart w:id="33" w:name="_Toc469654727"/>
      <w:r>
        <w:lastRenderedPageBreak/>
        <w:t>Greater ownership and participation</w:t>
      </w:r>
      <w:bookmarkEnd w:id="31"/>
      <w:bookmarkEnd w:id="32"/>
      <w:bookmarkEnd w:id="33"/>
    </w:p>
    <w:p w14:paraId="307A065C" w14:textId="1C67C8A7" w:rsidR="00961DDE" w:rsidRDefault="00961DDE" w:rsidP="00961DDE">
      <w:r>
        <w:t>At present, the national biosecurity system is heavily reliant on Australian, state and territory governments to ensure its ongoing effectiveness. During th</w:t>
      </w:r>
      <w:r w:rsidR="00771098">
        <w:t>is</w:t>
      </w:r>
      <w:r>
        <w:t xml:space="preserve"> </w:t>
      </w:r>
      <w:r w:rsidR="00771098">
        <w:t>R</w:t>
      </w:r>
      <w:r>
        <w:t xml:space="preserve">eview, stakeholders noted a reluctance by governments to provide other participants with opportunities to take greater ownership of and responsibility for activities in the </w:t>
      </w:r>
      <w:r w:rsidR="00EC00FD">
        <w:t xml:space="preserve">national </w:t>
      </w:r>
      <w:r>
        <w:t>system. While governments have clear responsibilities for some activities (for example, regulatory and international responsibilities), the Review Panel considers opportunities exist for industry, local government and community members to play a greater role than they have in the past. Particular opportunities lie in the areas of priority setting, decision making and funding, policy development and implementation, and on-ground activities, such as surveillance, monitoring and reporting.</w:t>
      </w:r>
    </w:p>
    <w:p w14:paraId="5452B65C" w14:textId="412D8635" w:rsidR="000C5221" w:rsidRDefault="00961DDE" w:rsidP="00961DDE">
      <w:r>
        <w:t>The willingness and ability of additional participants to take on greater roles must be recognised and acted on. At present, the full capability and capacity of participants is not appropriately recognised or utilised. In addition, some industry and community members do not fully understand how and when they can, or should, be involved in biosecurity activities, perhaps due to poorly underst</w:t>
      </w:r>
      <w:r w:rsidR="009A5AFA">
        <w:t>ood roles and responsibilities.</w:t>
      </w:r>
    </w:p>
    <w:p w14:paraId="042AD772" w14:textId="77777777" w:rsidR="000C5221" w:rsidRDefault="000C5221" w:rsidP="000C5221">
      <w:pPr>
        <w:pStyle w:val="Heading4"/>
      </w:pPr>
      <w:r>
        <w:t>A greater role for industry and the community</w:t>
      </w:r>
    </w:p>
    <w:p w14:paraId="10751601" w14:textId="451BB7A1" w:rsidR="00A1206C" w:rsidRDefault="002445D7" w:rsidP="00A1206C">
      <w:r>
        <w:t xml:space="preserve">Australian </w:t>
      </w:r>
      <w:r w:rsidR="006602DE">
        <w:t>g</w:t>
      </w:r>
      <w:r>
        <w:t xml:space="preserve">overnments </w:t>
      </w:r>
      <w:r w:rsidR="00741CE9">
        <w:t>should</w:t>
      </w:r>
      <w:r>
        <w:t xml:space="preserve"> provide greater opportunities for industry to be involved in what have traditionally been their areas of discrete responsibility</w:t>
      </w:r>
      <w:r w:rsidR="00741CE9">
        <w:t xml:space="preserve">; involvement has been </w:t>
      </w:r>
      <w:r w:rsidR="0063715B">
        <w:t xml:space="preserve">more, though not exclusively, </w:t>
      </w:r>
      <w:r w:rsidR="00741CE9">
        <w:t>focussed in the area of emergency response</w:t>
      </w:r>
      <w:r w:rsidRPr="004F7364">
        <w:t xml:space="preserve">. </w:t>
      </w:r>
      <w:r w:rsidR="0063715B" w:rsidRPr="004F7364">
        <w:t>Grain and horticulture industries, for instance, have 136</w:t>
      </w:r>
      <w:r w:rsidR="0063715B">
        <w:t> industry surveillance programs in place. Most of these programs are run by industry groups but some also invest with their state government in delivering the program (</w:t>
      </w:r>
      <w:hyperlink w:anchor="RSC_2015" w:history="1">
        <w:r w:rsidR="0063715B" w:rsidRPr="00372466">
          <w:rPr>
            <w:rStyle w:val="Hyperlink"/>
          </w:rPr>
          <w:t>RSC 2015</w:t>
        </w:r>
      </w:hyperlink>
      <w:r w:rsidR="0063715B">
        <w:t xml:space="preserve">). </w:t>
      </w:r>
      <w:r w:rsidR="0065235C">
        <w:t>F</w:t>
      </w:r>
      <w:r>
        <w:t xml:space="preserve">or industry to realise a greater role across the system, it must be prepared for the additional commitments and accountability that will stem from this, including taking ownership of issues and working in </w:t>
      </w:r>
      <w:r w:rsidR="00771098">
        <w:t xml:space="preserve">a </w:t>
      </w:r>
      <w:r w:rsidR="00BA5A54">
        <w:t xml:space="preserve">coordinated fashion </w:t>
      </w:r>
      <w:r>
        <w:t>for the national interest</w:t>
      </w:r>
      <w:r w:rsidRPr="00D51EA1">
        <w:t>.</w:t>
      </w:r>
      <w:r w:rsidR="00BA5A54" w:rsidRPr="00D51EA1">
        <w:t xml:space="preserve"> In particular, </w:t>
      </w:r>
      <w:r w:rsidR="00D51EA1" w:rsidRPr="00D51EA1">
        <w:t>i</w:t>
      </w:r>
      <w:r w:rsidR="00A1206C" w:rsidRPr="00D51EA1">
        <w:t>ndustry</w:t>
      </w:r>
      <w:r w:rsidR="00A1206C">
        <w:t xml:space="preserve"> should take greater ownership for biosecurity issues which it can drive with limited, or no, government involvement. The Livestock Biosecurity Network</w:t>
      </w:r>
      <w:r w:rsidR="00770364">
        <w:t xml:space="preserve"> (LBN)</w:t>
      </w:r>
      <w:r w:rsidR="00A1206C">
        <w:t xml:space="preserve"> is one example of </w:t>
      </w:r>
      <w:r w:rsidR="00D51EA1">
        <w:t xml:space="preserve">such </w:t>
      </w:r>
      <w:r w:rsidR="00A1206C">
        <w:t>an initiative (</w:t>
      </w:r>
      <w:r w:rsidR="00A1206C">
        <w:fldChar w:fldCharType="begin"/>
      </w:r>
      <w:r w:rsidR="00A1206C">
        <w:instrText xml:space="preserve"> REF _Ref466893742 \h </w:instrText>
      </w:r>
      <w:r w:rsidR="00A1206C">
        <w:fldChar w:fldCharType="separate"/>
      </w:r>
      <w:r w:rsidR="008303E2">
        <w:t xml:space="preserve">Box </w:t>
      </w:r>
      <w:r w:rsidR="008303E2">
        <w:rPr>
          <w:noProof/>
        </w:rPr>
        <w:t>1</w:t>
      </w:r>
      <w:r w:rsidR="00A1206C">
        <w:fldChar w:fldCharType="end"/>
      </w:r>
      <w:r w:rsidR="00A1206C">
        <w:t>).</w:t>
      </w:r>
    </w:p>
    <w:p w14:paraId="76D9F07D" w14:textId="24FF0F85" w:rsidR="000C5221" w:rsidRDefault="0038726B" w:rsidP="0002368E">
      <w:pPr>
        <w:pStyle w:val="BoxHeading"/>
      </w:pPr>
      <w:bookmarkStart w:id="34" w:name="_Ref466893742"/>
      <w:bookmarkStart w:id="35" w:name="_Toc468176745"/>
      <w:bookmarkStart w:id="36" w:name="_Toc468444394"/>
      <w:r>
        <w:t xml:space="preserve">Box </w:t>
      </w:r>
      <w:r w:rsidR="008303E2">
        <w:fldChar w:fldCharType="begin"/>
      </w:r>
      <w:r w:rsidR="008303E2">
        <w:instrText xml:space="preserve"> SEQ Box \* ARABIC </w:instrText>
      </w:r>
      <w:r w:rsidR="008303E2">
        <w:fldChar w:fldCharType="separate"/>
      </w:r>
      <w:r w:rsidR="008303E2">
        <w:rPr>
          <w:noProof/>
        </w:rPr>
        <w:t>1</w:t>
      </w:r>
      <w:r w:rsidR="008303E2">
        <w:rPr>
          <w:noProof/>
        </w:rPr>
        <w:fldChar w:fldCharType="end"/>
      </w:r>
      <w:bookmarkEnd w:id="34"/>
      <w:r w:rsidR="00081BB4">
        <w:t>:</w:t>
      </w:r>
      <w:r>
        <w:t xml:space="preserve"> The Livestock Biosecurity Network</w:t>
      </w:r>
      <w:bookmarkEnd w:id="35"/>
      <w:bookmarkEnd w:id="36"/>
    </w:p>
    <w:p w14:paraId="21EBDA3B" w14:textId="603E8752" w:rsidR="002445D7" w:rsidRDefault="002445D7" w:rsidP="002445D7">
      <w:pPr>
        <w:pStyle w:val="BoxText"/>
      </w:pPr>
      <w:r>
        <w:t xml:space="preserve">The </w:t>
      </w:r>
      <w:r w:rsidR="004A5A99">
        <w:t xml:space="preserve">LBN </w:t>
      </w:r>
      <w:r>
        <w:t xml:space="preserve">is an industry-led initiative founded in 2013 by the peak industry councils for cattle, sheep and wool, and is supported through ongoing contributions from the Cattle Council of Australia. The LBN plays a key role in managing on-farm biosecurity by working with producers and industry members to provide tools and information to minimise the risks to the health, productivity </w:t>
      </w:r>
      <w:r w:rsidR="004A5A99">
        <w:t>and market access of livestock.</w:t>
      </w:r>
    </w:p>
    <w:p w14:paraId="2304FBA4" w14:textId="18FA7994" w:rsidR="008B3F9B" w:rsidRDefault="002445D7" w:rsidP="002445D7">
      <w:pPr>
        <w:pStyle w:val="BoxText"/>
      </w:pPr>
      <w:r>
        <w:t>One example of the LBN’s on-ground work includes farm biosecurity plans. The LBN has worked extensively with state farming organisations, animal health authorities and producers to develop and deliver tools and training to assist producers in developing biosecurity management plans for their businesses. For example, trigger factors in Queensland, such as Bovine Johne’s Disease management and increased activity related to gas and mineral exploration and extraction, have reinforced the need for better on-farm biosecurity management.</w:t>
      </w:r>
    </w:p>
    <w:p w14:paraId="10595D62" w14:textId="795B2A69" w:rsidR="00771098" w:rsidRDefault="00771098" w:rsidP="00771098">
      <w:pPr>
        <w:pStyle w:val="BoxSource"/>
      </w:pPr>
      <w:r>
        <w:t xml:space="preserve">Source: Adapted from the </w:t>
      </w:r>
      <w:hyperlink r:id="rId25" w:history="1">
        <w:r w:rsidRPr="00771098">
          <w:rPr>
            <w:rStyle w:val="Hyperlink"/>
          </w:rPr>
          <w:t>Livestock Biosecurity Network</w:t>
        </w:r>
      </w:hyperlink>
      <w:r>
        <w:t xml:space="preserve"> website</w:t>
      </w:r>
      <w:r w:rsidR="00C92CFB">
        <w:t>.</w:t>
      </w:r>
    </w:p>
    <w:p w14:paraId="732FA728" w14:textId="11978553" w:rsidR="00511E2E" w:rsidRPr="006A448E" w:rsidRDefault="00C70D6B" w:rsidP="002445D7">
      <w:r w:rsidRPr="008C057D">
        <w:t xml:space="preserve">The Review Panel is aware that major food retailers also have sophisticated quality assurance programs in place to manage food quality and traceability. While biosecurity has not been the </w:t>
      </w:r>
      <w:r w:rsidRPr="008C057D">
        <w:lastRenderedPageBreak/>
        <w:t>main focus to date, it is increasingly on the ‘risk radar’ for their supply chains. Fresh fruit product withdrawals due to fruit fly infestations and the 2015 outbreak of Panama disease tropical race 4 in Queensland bananas were considered prime example of how biosecurity incidents can disrupt food supply. Food retailers move a significant amount of product to a large number of locations, including internationally, to maintain quality and supply and there is significant potential for retailers to integrate biosecurity considerations into their existing assurance and traceability programs.</w:t>
      </w:r>
    </w:p>
    <w:p w14:paraId="4F6038AA" w14:textId="7732B3E7" w:rsidR="002445D7" w:rsidRDefault="002445D7" w:rsidP="002445D7">
      <w:r>
        <w:t>Industry assurance schemes (or third-party programs), developed and agreed in partnership with governments, are other examples of how greater ownership for biosecurity activities can be realised (</w:t>
      </w:r>
      <w:r>
        <w:fldChar w:fldCharType="begin"/>
      </w:r>
      <w:r>
        <w:instrText xml:space="preserve"> REF _Ref466895713 \h </w:instrText>
      </w:r>
      <w:r>
        <w:fldChar w:fldCharType="separate"/>
      </w:r>
      <w:r w:rsidR="008303E2">
        <w:t xml:space="preserve">Box </w:t>
      </w:r>
      <w:r w:rsidR="008303E2">
        <w:rPr>
          <w:noProof/>
        </w:rPr>
        <w:t>2</w:t>
      </w:r>
      <w:r>
        <w:fldChar w:fldCharType="end"/>
      </w:r>
      <w:r>
        <w:t>). Stakeholders noted these benefits:</w:t>
      </w:r>
    </w:p>
    <w:p w14:paraId="396AB736" w14:textId="77777777" w:rsidR="002445D7" w:rsidRDefault="002445D7" w:rsidP="002445D7">
      <w:pPr>
        <w:pStyle w:val="Quote"/>
      </w:pPr>
      <w:r>
        <w:t>There are significant advantages to be gained through government/industry partnerships around third party programs including demonstrating the shared responsibility mantra, improving overall biosecurity at farm level and reducing business cost. Third party programs have the potential to be market drivers for change at the farm level and will improve grower’s adoption of shared responsibility (Nursery and Garden Industry Australia submission, p. 13)</w:t>
      </w:r>
    </w:p>
    <w:p w14:paraId="4E036A35" w14:textId="5B2DA4B2" w:rsidR="00A1206C" w:rsidRDefault="00A1206C" w:rsidP="00525575">
      <w:pPr>
        <w:pStyle w:val="BoxHeading"/>
      </w:pPr>
      <w:bookmarkStart w:id="37" w:name="_Ref466895713"/>
      <w:bookmarkStart w:id="38" w:name="_Toc468176746"/>
      <w:bookmarkStart w:id="39" w:name="_Toc468444395"/>
      <w:r>
        <w:t xml:space="preserve">Box </w:t>
      </w:r>
      <w:r w:rsidR="008303E2">
        <w:fldChar w:fldCharType="begin"/>
      </w:r>
      <w:r w:rsidR="008303E2">
        <w:instrText xml:space="preserve"> SEQ Box \* ARABIC </w:instrText>
      </w:r>
      <w:r w:rsidR="008303E2">
        <w:fldChar w:fldCharType="separate"/>
      </w:r>
      <w:r w:rsidR="008303E2">
        <w:rPr>
          <w:noProof/>
        </w:rPr>
        <w:t>2</w:t>
      </w:r>
      <w:r w:rsidR="008303E2">
        <w:rPr>
          <w:noProof/>
        </w:rPr>
        <w:fldChar w:fldCharType="end"/>
      </w:r>
      <w:bookmarkEnd w:id="37"/>
      <w:r w:rsidR="00081BB4">
        <w:t>:</w:t>
      </w:r>
      <w:r>
        <w:t xml:space="preserve"> Australian production </w:t>
      </w:r>
      <w:r w:rsidR="00AC6697">
        <w:t>nurseries certification program—</w:t>
      </w:r>
      <w:r>
        <w:t>BioSecure</w:t>
      </w:r>
      <w:r w:rsidR="006A448E">
        <w:t xml:space="preserve"> </w:t>
      </w:r>
      <w:r w:rsidR="00AC6697" w:rsidRPr="006A448E">
        <w:t>HACCP</w:t>
      </w:r>
      <w:bookmarkEnd w:id="38"/>
      <w:bookmarkEnd w:id="39"/>
    </w:p>
    <w:p w14:paraId="740E5A0D" w14:textId="011438EE" w:rsidR="00A1206C" w:rsidRDefault="007E3789" w:rsidP="008946B4">
      <w:pPr>
        <w:pStyle w:val="BoxText"/>
      </w:pPr>
      <w:r w:rsidRPr="008946B4">
        <w:t>BioS</w:t>
      </w:r>
      <w:r w:rsidR="00A1206C" w:rsidRPr="008946B4">
        <w:t>ecure</w:t>
      </w:r>
      <w:r w:rsidR="006A448E">
        <w:t xml:space="preserve"> </w:t>
      </w:r>
      <w:r w:rsidR="00AC6697" w:rsidRPr="006A448E">
        <w:t>HACCP</w:t>
      </w:r>
      <w:r w:rsidR="00A1206C">
        <w:t xml:space="preserve"> comprises a set of protocols and procedures that enable businesses to manage biosecurity risks by establishing effective internal quarantine processes for both imported and exported plant material, and validates many of the best management practice strategies under the Nursey Industry Accreditation Scheme Australia (NIASA).</w:t>
      </w:r>
    </w:p>
    <w:p w14:paraId="65A1AD04" w14:textId="77777777" w:rsidR="00A1206C" w:rsidRDefault="00A1206C" w:rsidP="00A1206C">
      <w:pPr>
        <w:pStyle w:val="BoxText"/>
      </w:pPr>
      <w:r>
        <w:t>The program is designed to assist growers in assessing their current and future pest, disease and weed risks, and guide businesses in the implementation of management strategies at critical control points. It seeks to identify internal and external (endemic and exotic) threats to the integrity of a business’s biosecurity processes and preparedness. Its risk management system encourages businesses to maintain strict internal quarantine procedures and to record actions taken at critical control points.</w:t>
      </w:r>
    </w:p>
    <w:p w14:paraId="06775BE2" w14:textId="0103F137" w:rsidR="00A1206C" w:rsidRDefault="00A1206C" w:rsidP="00A1206C">
      <w:pPr>
        <w:pStyle w:val="BoxSource"/>
      </w:pPr>
      <w:r w:rsidRPr="00A1206C">
        <w:t>Source: Nursery and Garden Industry Australia’s</w:t>
      </w:r>
      <w:r w:rsidR="00BB3C40">
        <w:t xml:space="preserve"> </w:t>
      </w:r>
      <w:hyperlink r:id="rId26" w:history="1">
        <w:r w:rsidR="00410C6A" w:rsidRPr="00410C6A">
          <w:rPr>
            <w:rStyle w:val="Hyperlink"/>
          </w:rPr>
          <w:t>BioSecure HACCP</w:t>
        </w:r>
      </w:hyperlink>
      <w:r w:rsidR="00BB3C40" w:rsidRPr="00BB3C40">
        <w:t xml:space="preserve"> </w:t>
      </w:r>
      <w:r w:rsidR="00BB3C40">
        <w:t>website.</w:t>
      </w:r>
    </w:p>
    <w:p w14:paraId="2C0C9005" w14:textId="2F3C5D60" w:rsidR="002445D7" w:rsidRDefault="0063715B" w:rsidP="002445D7">
      <w:r>
        <w:t>However, Australia</w:t>
      </w:r>
      <w:r w:rsidRPr="0063715B">
        <w:t>’s trading partners want government certification</w:t>
      </w:r>
      <w:r w:rsidR="008B15BA">
        <w:t>,</w:t>
      </w:r>
      <w:r w:rsidRPr="0063715B">
        <w:t xml:space="preserve"> and government needs to have suf</w:t>
      </w:r>
      <w:r>
        <w:t xml:space="preserve">ficient confidence in industry </w:t>
      </w:r>
      <w:r w:rsidRPr="0063715B">
        <w:t xml:space="preserve">programs to be able to defend </w:t>
      </w:r>
      <w:r>
        <w:t>them</w:t>
      </w:r>
      <w:r w:rsidR="008B3F9B">
        <w:t>, for example, the meat export program</w:t>
      </w:r>
      <w:r w:rsidR="0065235C">
        <w:t>.</w:t>
      </w:r>
      <w:r>
        <w:t xml:space="preserve"> </w:t>
      </w:r>
      <w:r w:rsidR="002445D7">
        <w:t xml:space="preserve">The proactive support </w:t>
      </w:r>
      <w:r>
        <w:t xml:space="preserve">and involvement </w:t>
      </w:r>
      <w:r w:rsidR="002445D7">
        <w:t>of governments is essential for the long-term success and overall effectiveness of such arrangements, including by addressing any impediments to their implementation.</w:t>
      </w:r>
    </w:p>
    <w:p w14:paraId="78FDDC04" w14:textId="0F5A7588" w:rsidR="002445D7" w:rsidRDefault="007E3789" w:rsidP="002445D7">
      <w:r>
        <w:t xml:space="preserve">Local </w:t>
      </w:r>
      <w:r w:rsidR="00CE08F3">
        <w:t>g</w:t>
      </w:r>
      <w:r>
        <w:t xml:space="preserve">overnment, with its close connections to local, regional and rural Australia, has much to offer the national biosecurity system. </w:t>
      </w:r>
      <w:r w:rsidR="002445D7">
        <w:t>The Review Panel was reminded, on numerous occasions, of the positive contribution that local government could play in biosecurity. In the Northern Territory, industry and government stakeholders recognised the contribution and expertise that could be provided in emergency responses, for example</w:t>
      </w:r>
      <w:r w:rsidR="00950F20">
        <w:t>,</w:t>
      </w:r>
      <w:r w:rsidR="002445D7">
        <w:t xml:space="preserve"> banana freckle. It was noted that local government could draw on its disaster management skills, and successfully apply these to</w:t>
      </w:r>
      <w:r w:rsidR="005B5615">
        <w:t xml:space="preserve"> biosecurity</w:t>
      </w:r>
      <w:r w:rsidR="002445D7">
        <w:t xml:space="preserve"> emergency response management.</w:t>
      </w:r>
    </w:p>
    <w:p w14:paraId="3DEE7B3E" w14:textId="58F69ACA" w:rsidR="002445D7" w:rsidRDefault="002445D7" w:rsidP="002445D7">
      <w:r>
        <w:t>The Panel believes these opportunities warrant greater consideration by all Australian governments.</w:t>
      </w:r>
    </w:p>
    <w:p w14:paraId="00FAC1AF" w14:textId="0DA8FF88" w:rsidR="002445D7" w:rsidRDefault="00D70915" w:rsidP="002445D7">
      <w:r>
        <w:lastRenderedPageBreak/>
        <w:t xml:space="preserve">General community </w:t>
      </w:r>
      <w:r w:rsidR="002445D7">
        <w:t xml:space="preserve">understanding of, and participation in, biosecurity is generally </w:t>
      </w:r>
      <w:r>
        <w:t xml:space="preserve">considered to be </w:t>
      </w:r>
      <w:r w:rsidR="002445D7">
        <w:t xml:space="preserve">low, </w:t>
      </w:r>
      <w:r>
        <w:t xml:space="preserve">with </w:t>
      </w:r>
      <w:r w:rsidR="002445D7">
        <w:t xml:space="preserve">responsibilities unclear, and opportunities for engagement </w:t>
      </w:r>
      <w:r>
        <w:t>largely informal and limited</w:t>
      </w:r>
      <w:r w:rsidR="002445D7">
        <w:t>. Participation is hindered by the dominant agricultural focus of biosecurity and a limited knowledge of co</w:t>
      </w:r>
      <w:r w:rsidR="00305D47">
        <w:t>mmunity-level biosecurity risks, with the exception of i</w:t>
      </w:r>
      <w:r w:rsidR="002445D7">
        <w:t>nternational and domestic travellers and those responsible for on-farm biosecurity.</w:t>
      </w:r>
    </w:p>
    <w:p w14:paraId="2EE506FB" w14:textId="4B2759DB" w:rsidR="00A1206C" w:rsidRDefault="002445D7" w:rsidP="002445D7">
      <w:r>
        <w:t xml:space="preserve">Australian governments </w:t>
      </w:r>
      <w:r w:rsidR="00F55FDC">
        <w:t>are increasingly recognising</w:t>
      </w:r>
      <w:r>
        <w:t xml:space="preserve"> the benefits of community participation in biosecurity, especially where citizen science and citizen awareness initiatives can improve surveillance. Opportunities for strengthening participation could be encouraged through already established networks such as the </w:t>
      </w:r>
      <w:r w:rsidRPr="001B7055">
        <w:t>regional NRM</w:t>
      </w:r>
      <w:r w:rsidR="00F55FDC">
        <w:t xml:space="preserve"> organisations.</w:t>
      </w:r>
    </w:p>
    <w:p w14:paraId="23498BB3" w14:textId="4D336385" w:rsidR="000C5221" w:rsidRPr="004D4604" w:rsidRDefault="0038726B" w:rsidP="0038726B">
      <w:pPr>
        <w:pStyle w:val="Heading3"/>
      </w:pPr>
      <w:bookmarkStart w:id="40" w:name="_Toc469654728"/>
      <w:r w:rsidRPr="004D4604">
        <w:t xml:space="preserve">A National </w:t>
      </w:r>
      <w:r w:rsidR="005722D8">
        <w:t>S</w:t>
      </w:r>
      <w:r w:rsidRPr="004D4604">
        <w:t xml:space="preserve">tatement of </w:t>
      </w:r>
      <w:r w:rsidR="005722D8">
        <w:t>I</w:t>
      </w:r>
      <w:r w:rsidRPr="004D4604">
        <w:t>ntent</w:t>
      </w:r>
      <w:bookmarkEnd w:id="40"/>
    </w:p>
    <w:p w14:paraId="57812010" w14:textId="77777777" w:rsidR="005961B1" w:rsidRDefault="005961B1" w:rsidP="005961B1">
      <w:r>
        <w:t>There is no single, overarching national policy statement or strategy shared by all system participants. At present, the national biosecurity system is made up of objectives, principles and policies embedded in various jurisdictional and industry policy documents, sectoral strategies, and emergency response deeds, which have, for the most part, been developed in parallel, but not always in conjunction with each other.</w:t>
      </w:r>
    </w:p>
    <w:p w14:paraId="0FB7F9B1" w14:textId="4E05F743" w:rsidR="005961B1" w:rsidRDefault="00B14231" w:rsidP="005961B1">
      <w:r>
        <w:t xml:space="preserve">Stakeholders hold a range of </w:t>
      </w:r>
      <w:r w:rsidR="005961B1">
        <w:t xml:space="preserve">views on the merits of an overarching national statement or strategy: some consider the lack of a strategy a major gap in the strategic biosecurity landscape; some consider that while current arrangements are adequate, they would benefit from improved coordination; </w:t>
      </w:r>
      <w:r w:rsidR="00066033">
        <w:t xml:space="preserve">and </w:t>
      </w:r>
      <w:r>
        <w:t>other</w:t>
      </w:r>
      <w:r w:rsidR="005961B1">
        <w:t xml:space="preserve">s noted the need for a national policy document, but recommended priority be given to more significant reforms (for example, strengthening environmental biosecurity). Nonetheless, the majority of stakeholders consulted as part of this </w:t>
      </w:r>
      <w:r w:rsidR="00066033">
        <w:t>R</w:t>
      </w:r>
      <w:r w:rsidR="005961B1">
        <w:t xml:space="preserve">eview were generally supportive of </w:t>
      </w:r>
      <w:r w:rsidR="006711A8">
        <w:t xml:space="preserve">a jointly developed </w:t>
      </w:r>
      <w:r w:rsidR="005961B1">
        <w:t>overarching national policy document:</w:t>
      </w:r>
    </w:p>
    <w:p w14:paraId="1FF2BE70" w14:textId="64AA3CBC" w:rsidR="005961B1" w:rsidRDefault="005961B1" w:rsidP="005961B1">
      <w:pPr>
        <w:pStyle w:val="Quote"/>
      </w:pPr>
      <w:r>
        <w:t>The development of a national strategy, for example, would also provide opportunities for all stakeholders to improve their awareness of what key partners in Australia’s national biosecurity systems are already doing to address biosecurity within their sectors (Australian Lot Feeders</w:t>
      </w:r>
      <w:r w:rsidR="00060D86">
        <w:t>’</w:t>
      </w:r>
      <w:r>
        <w:t xml:space="preserve"> Association submission, p. 3)</w:t>
      </w:r>
    </w:p>
    <w:p w14:paraId="3E809EF0" w14:textId="77777777" w:rsidR="005961B1" w:rsidRDefault="005961B1" w:rsidP="005961B1">
      <w:pPr>
        <w:pStyle w:val="Quote"/>
      </w:pPr>
      <w:r>
        <w:t>A national biosecurity statement of intent may provide a platform to establish a common understanding of the national biosecurity system among stakeholders and the broader community. It offers an opportunity to realise a shared vision of the challenges facing the system, including funding and capability (Queensland Government Department of Agriculture and Fisheries submission, p. 3)</w:t>
      </w:r>
    </w:p>
    <w:p w14:paraId="675E2544" w14:textId="2E983D3F" w:rsidR="005961B1" w:rsidRDefault="00B475B6" w:rsidP="005961B1">
      <w:pPr>
        <w:pStyle w:val="Quote"/>
      </w:pPr>
      <w:r>
        <w:t xml:space="preserve">The </w:t>
      </w:r>
      <w:r w:rsidR="005961B1">
        <w:t>ECA believes a national strategy for the biosecurity system is necessary to formu</w:t>
      </w:r>
      <w:r>
        <w:t>late a more integrated approach</w:t>
      </w:r>
      <w:r w:rsidR="005961B1">
        <w:t xml:space="preserve"> (Export Council of Australia submission, p. 3)</w:t>
      </w:r>
    </w:p>
    <w:p w14:paraId="21C897DE" w14:textId="77777777" w:rsidR="005961B1" w:rsidRDefault="005961B1" w:rsidP="005961B1">
      <w:pPr>
        <w:pStyle w:val="Quote"/>
      </w:pPr>
      <w:r>
        <w:t>A national strategy would give greater effect to IGAB’s partnership opportunities, by enabling industry, and other stakeholders and government to work more effectively in partnership, building greater consensus on the opportunities and challenges that exist, clarifying roles and responsibilities and maximising through shared understanding and coordinated collaborations the return on resources and investments for all (Animal Health Australia submission, p. 8)</w:t>
      </w:r>
    </w:p>
    <w:p w14:paraId="2776E449" w14:textId="5489728D" w:rsidR="005961B1" w:rsidRDefault="005961B1" w:rsidP="005961B1">
      <w:pPr>
        <w:pStyle w:val="Quote"/>
      </w:pPr>
      <w:r>
        <w:lastRenderedPageBreak/>
        <w:t>A national statement of intent, and explanation of the role that different industry sectors can play in the national biosecurity [system], could support a joint commitment and cooperation with industry. This would also provide a policy platform whereby stakeholders have an expressed shared commitment to issues concerning the environment, regional economies and security (Queensland Tourism Industry Council submission, p. 4)</w:t>
      </w:r>
    </w:p>
    <w:p w14:paraId="172086AF" w14:textId="29A490D0" w:rsidR="005961B1" w:rsidRDefault="005961B1" w:rsidP="005961B1">
      <w:r>
        <w:t xml:space="preserve">The Review Panel considers a </w:t>
      </w:r>
      <w:r w:rsidR="004A68E2">
        <w:t>N</w:t>
      </w:r>
      <w:r>
        <w:t xml:space="preserve">ational </w:t>
      </w:r>
      <w:r w:rsidR="004A68E2">
        <w:t>S</w:t>
      </w:r>
      <w:r>
        <w:t xml:space="preserve">tatement of </w:t>
      </w:r>
      <w:r w:rsidR="004A68E2">
        <w:t>I</w:t>
      </w:r>
      <w:r>
        <w:t>ntent is necessary and overdue. The system and all</w:t>
      </w:r>
      <w:r w:rsidR="00066033">
        <w:t xml:space="preserve"> its</w:t>
      </w:r>
      <w:r>
        <w:t xml:space="preserve"> participants would benefit from a unifying national statement that is jointly-developed and agreed by all major participants (including all tiers of government, industry and key community representatives) and which recognises a common understanding of biosecurity, shared responsibility, and Australia’s risk-based approach. This statement would articulate a national vision and goal for biosecurity, provide clarity to roles</w:t>
      </w:r>
      <w:r w:rsidR="007953FA">
        <w:t>,</w:t>
      </w:r>
      <w:r>
        <w:t xml:space="preserve"> responsibilities </w:t>
      </w:r>
      <w:r w:rsidR="007953FA">
        <w:t xml:space="preserve">and accountabilities </w:t>
      </w:r>
      <w:r>
        <w:t>of participants, outline national priorities and principles for managing biosecurity, thereby providing a solid foundation for the national biosecurity system into the future.</w:t>
      </w:r>
      <w:r w:rsidR="00B82FCF">
        <w:t xml:space="preserve"> </w:t>
      </w:r>
      <w:r w:rsidR="00B82FCF" w:rsidRPr="001D6B85">
        <w:t xml:space="preserve">COAG’s National Disaster </w:t>
      </w:r>
      <w:r w:rsidR="00B82FCF" w:rsidRPr="004851CB">
        <w:t>Resilience Statement (</w:t>
      </w:r>
      <w:hyperlink w:anchor="COAG_2009" w:history="1">
        <w:r w:rsidR="00B82FCF" w:rsidRPr="00372466">
          <w:rPr>
            <w:rStyle w:val="Hyperlink"/>
          </w:rPr>
          <w:t>COAG 2009</w:t>
        </w:r>
      </w:hyperlink>
      <w:r w:rsidR="00B82FCF" w:rsidRPr="004851CB">
        <w:t>), released</w:t>
      </w:r>
      <w:r w:rsidR="00B82FCF" w:rsidRPr="001D6B85">
        <w:t xml:space="preserve"> on 7 December 2009, is a useful example.</w:t>
      </w:r>
    </w:p>
    <w:p w14:paraId="0CA2C335" w14:textId="58A8B571" w:rsidR="0038726B" w:rsidRDefault="005961B1" w:rsidP="005961B1">
      <w:r>
        <w:t xml:space="preserve">The Review Panel does not consider the statement to be a lengthy document—the detail would be best captured in 2–4 pages (the roles and responsibilities discussed in this chapter would be a large component of the statement). Parties involved in its development should </w:t>
      </w:r>
      <w:r w:rsidR="007362DD">
        <w:t xml:space="preserve">seek to </w:t>
      </w:r>
      <w:r>
        <w:t>finalise the statement within one year.</w:t>
      </w:r>
      <w:r w:rsidR="00497FCF">
        <w:t xml:space="preserve"> The national statement should, over time, help individual governments better align their activities and jurisdictional strategies to the priorities of the national biosecurity system</w:t>
      </w:r>
      <w:r w:rsidR="007953FA">
        <w:t xml:space="preserve"> as part of their broader jurisdictional responsibilities</w:t>
      </w:r>
      <w:r w:rsidR="00497FCF">
        <w:t>.</w:t>
      </w:r>
    </w:p>
    <w:p w14:paraId="5B2789BD" w14:textId="4E902BA2" w:rsidR="00764EC3" w:rsidRPr="006D4444" w:rsidRDefault="00764EC3" w:rsidP="00E13198">
      <w:pPr>
        <w:pStyle w:val="BoxHeading"/>
        <w:shd w:val="clear" w:color="auto" w:fill="D9D9D9" w:themeFill="background1" w:themeFillShade="D9"/>
        <w:rPr>
          <w:sz w:val="22"/>
        </w:rPr>
      </w:pPr>
      <w:bookmarkStart w:id="41" w:name="_Toc467231852"/>
      <w:bookmarkStart w:id="42" w:name="Draft_recommendation_1"/>
      <w:r w:rsidRPr="006D4444">
        <w:rPr>
          <w:sz w:val="22"/>
        </w:rPr>
        <w:t xml:space="preserve">Draft recommendation </w:t>
      </w:r>
      <w:r w:rsidR="00D56373" w:rsidRPr="006D4444">
        <w:rPr>
          <w:sz w:val="22"/>
        </w:rPr>
        <w:fldChar w:fldCharType="begin"/>
      </w:r>
      <w:r w:rsidR="00D56373" w:rsidRPr="006D4444">
        <w:rPr>
          <w:sz w:val="22"/>
        </w:rPr>
        <w:instrText xml:space="preserve"> SEQ Draft_recommendation \* ARABIC </w:instrText>
      </w:r>
      <w:r w:rsidR="00D56373" w:rsidRPr="006D4444">
        <w:rPr>
          <w:sz w:val="22"/>
        </w:rPr>
        <w:fldChar w:fldCharType="separate"/>
      </w:r>
      <w:r w:rsidR="008303E2">
        <w:rPr>
          <w:noProof/>
          <w:sz w:val="22"/>
        </w:rPr>
        <w:t>1</w:t>
      </w:r>
      <w:r w:rsidR="00D56373" w:rsidRPr="006D4444">
        <w:rPr>
          <w:noProof/>
          <w:sz w:val="22"/>
        </w:rPr>
        <w:fldChar w:fldCharType="end"/>
      </w:r>
      <w:bookmarkEnd w:id="41"/>
      <w:bookmarkEnd w:id="42"/>
      <w:r w:rsidR="00CA1C88" w:rsidRPr="006D4444">
        <w:rPr>
          <w:noProof/>
          <w:sz w:val="22"/>
        </w:rPr>
        <w:t>:</w:t>
      </w:r>
    </w:p>
    <w:p w14:paraId="16DC0E6D" w14:textId="77777777" w:rsidR="0038726B" w:rsidRPr="006D4444" w:rsidRDefault="0038726B" w:rsidP="00CA1C88">
      <w:pPr>
        <w:pStyle w:val="BoxText"/>
        <w:shd w:val="clear" w:color="auto" w:fill="D9D9D9" w:themeFill="background1" w:themeFillShade="D9"/>
        <w:rPr>
          <w:sz w:val="22"/>
        </w:rPr>
      </w:pPr>
      <w:r w:rsidRPr="006D4444">
        <w:rPr>
          <w:sz w:val="22"/>
        </w:rPr>
        <w:t>The NBC and the proposed Industry and Community Advisory Committee</w:t>
      </w:r>
      <w:r w:rsidR="00080148" w:rsidRPr="006D4444">
        <w:rPr>
          <w:sz w:val="22"/>
        </w:rPr>
        <w:t>, through an open, transparent and collaborative process, should</w:t>
      </w:r>
      <w:r w:rsidRPr="006D4444">
        <w:rPr>
          <w:sz w:val="22"/>
        </w:rPr>
        <w:t xml:space="preserve"> lead the development of a draft National Statement of Intent for public consultation that outlines:</w:t>
      </w:r>
    </w:p>
    <w:p w14:paraId="13221B41" w14:textId="5A7B8532" w:rsidR="0038726B" w:rsidRPr="006D4444" w:rsidRDefault="003B30DE" w:rsidP="00CA1C88">
      <w:pPr>
        <w:pStyle w:val="BoxTextBullet"/>
        <w:shd w:val="clear" w:color="auto" w:fill="D9D9D9" w:themeFill="background1" w:themeFillShade="D9"/>
        <w:rPr>
          <w:sz w:val="22"/>
        </w:rPr>
      </w:pPr>
      <w:r w:rsidRPr="006D4444">
        <w:rPr>
          <w:sz w:val="22"/>
        </w:rPr>
        <w:t>a</w:t>
      </w:r>
      <w:r w:rsidR="0038726B" w:rsidRPr="006D4444">
        <w:rPr>
          <w:sz w:val="22"/>
        </w:rPr>
        <w:t xml:space="preserve"> vision, goal and objectives for the national biosecurity system</w:t>
      </w:r>
    </w:p>
    <w:p w14:paraId="1E7C542C" w14:textId="6D62A065" w:rsidR="0038726B" w:rsidRPr="006D4444" w:rsidRDefault="003B30DE" w:rsidP="00CA1C88">
      <w:pPr>
        <w:pStyle w:val="BoxTextBullet"/>
        <w:shd w:val="clear" w:color="auto" w:fill="D9D9D9" w:themeFill="background1" w:themeFillShade="D9"/>
        <w:rPr>
          <w:sz w:val="22"/>
        </w:rPr>
      </w:pPr>
      <w:r w:rsidRPr="006D4444">
        <w:rPr>
          <w:sz w:val="22"/>
        </w:rPr>
        <w:t>p</w:t>
      </w:r>
      <w:r w:rsidR="0038726B" w:rsidRPr="006D4444">
        <w:rPr>
          <w:sz w:val="22"/>
        </w:rPr>
        <w:t>rinciples for managing biosecurity</w:t>
      </w:r>
    </w:p>
    <w:p w14:paraId="22B5E15F" w14:textId="32C12B6C" w:rsidR="00080148" w:rsidRPr="006D4444" w:rsidRDefault="003B30DE" w:rsidP="00CA1C88">
      <w:pPr>
        <w:pStyle w:val="BoxTextBullet"/>
        <w:shd w:val="clear" w:color="auto" w:fill="D9D9D9" w:themeFill="background1" w:themeFillShade="D9"/>
        <w:rPr>
          <w:sz w:val="22"/>
        </w:rPr>
      </w:pPr>
      <w:r w:rsidRPr="006D4444">
        <w:rPr>
          <w:sz w:val="22"/>
        </w:rPr>
        <w:t>t</w:t>
      </w:r>
      <w:r w:rsidR="00080148" w:rsidRPr="006D4444">
        <w:rPr>
          <w:sz w:val="22"/>
        </w:rPr>
        <w:t>he meaning and application of ‘shared responsibility’</w:t>
      </w:r>
    </w:p>
    <w:p w14:paraId="3693B4A2" w14:textId="5086A520" w:rsidR="0038726B" w:rsidRPr="006D4444" w:rsidRDefault="003B30DE" w:rsidP="00CA1C88">
      <w:pPr>
        <w:pStyle w:val="BoxTextBullet"/>
        <w:shd w:val="clear" w:color="auto" w:fill="D9D9D9" w:themeFill="background1" w:themeFillShade="D9"/>
        <w:rPr>
          <w:sz w:val="22"/>
        </w:rPr>
      </w:pPr>
      <w:r w:rsidRPr="006D4444">
        <w:rPr>
          <w:sz w:val="22"/>
        </w:rPr>
        <w:t>t</w:t>
      </w:r>
      <w:r w:rsidR="0038726B" w:rsidRPr="006D4444">
        <w:rPr>
          <w:sz w:val="22"/>
        </w:rPr>
        <w:t>he roles, responsibilities and commitments of participants, including accountability measures</w:t>
      </w:r>
    </w:p>
    <w:p w14:paraId="5B856A64" w14:textId="294FA996" w:rsidR="0038726B" w:rsidRPr="006D4444" w:rsidRDefault="003B30DE" w:rsidP="00CA1C88">
      <w:pPr>
        <w:pStyle w:val="BoxTextBullet"/>
        <w:shd w:val="clear" w:color="auto" w:fill="D9D9D9" w:themeFill="background1" w:themeFillShade="D9"/>
        <w:rPr>
          <w:sz w:val="22"/>
        </w:rPr>
      </w:pPr>
      <w:r w:rsidRPr="006D4444">
        <w:rPr>
          <w:sz w:val="22"/>
        </w:rPr>
        <w:t>g</w:t>
      </w:r>
      <w:r w:rsidR="0038726B" w:rsidRPr="006D4444">
        <w:rPr>
          <w:sz w:val="22"/>
        </w:rPr>
        <w:t>overnance arrangements for the national biosecurity system</w:t>
      </w:r>
      <w:r w:rsidRPr="006D4444">
        <w:rPr>
          <w:sz w:val="22"/>
        </w:rPr>
        <w:t>.</w:t>
      </w:r>
    </w:p>
    <w:p w14:paraId="284F595E" w14:textId="24551E18" w:rsidR="00080148" w:rsidRPr="006D4444" w:rsidRDefault="00080148" w:rsidP="00CA1C88">
      <w:pPr>
        <w:pStyle w:val="BoxText"/>
        <w:shd w:val="clear" w:color="auto" w:fill="D9D9D9" w:themeFill="background1" w:themeFillShade="D9"/>
        <w:rPr>
          <w:sz w:val="22"/>
        </w:rPr>
      </w:pPr>
      <w:r w:rsidRPr="006D4444">
        <w:rPr>
          <w:sz w:val="22"/>
        </w:rPr>
        <w:t>The process should involve government (including local governmen</w:t>
      </w:r>
      <w:r w:rsidR="00E36344" w:rsidRPr="006D4444">
        <w:rPr>
          <w:sz w:val="22"/>
        </w:rPr>
        <w:t>t), industry and the community.</w:t>
      </w:r>
    </w:p>
    <w:p w14:paraId="65B9EBAE" w14:textId="4755C4C9" w:rsidR="008214CE" w:rsidRDefault="005961B1" w:rsidP="0038726B">
      <w:r w:rsidRPr="005961B1">
        <w:t>Th</w:t>
      </w:r>
      <w:r w:rsidR="00AD5BA2">
        <w:t>e Review Panel sees the</w:t>
      </w:r>
      <w:r w:rsidRPr="005961B1">
        <w:t xml:space="preserve"> </w:t>
      </w:r>
      <w:r w:rsidR="00AD5BA2">
        <w:t>N</w:t>
      </w:r>
      <w:r w:rsidRPr="005961B1">
        <w:t xml:space="preserve">ational </w:t>
      </w:r>
      <w:r w:rsidR="00AD5BA2">
        <w:t>S</w:t>
      </w:r>
      <w:r w:rsidRPr="005961B1">
        <w:t xml:space="preserve">tatement of </w:t>
      </w:r>
      <w:r w:rsidR="00AD5BA2">
        <w:t>I</w:t>
      </w:r>
      <w:r w:rsidRPr="005961B1">
        <w:t xml:space="preserve">ntent as </w:t>
      </w:r>
      <w:r w:rsidR="008214CE">
        <w:t xml:space="preserve">pivotal in the evolving government-industry-community partnership. </w:t>
      </w:r>
      <w:r w:rsidR="001C7B7D">
        <w:t>However, all parties would need to acknowledge they are accountable for delivering on their commitments. Australian governments will also need to be mindful of the variable capacity of other</w:t>
      </w:r>
      <w:r w:rsidR="0080789C">
        <w:t>s</w:t>
      </w:r>
      <w:r w:rsidR="001C7B7D">
        <w:t xml:space="preserve"> involved in biosecurity, and be supportive of developing this capacity in others.</w:t>
      </w:r>
    </w:p>
    <w:p w14:paraId="13B423E4" w14:textId="77777777" w:rsidR="0038726B" w:rsidRDefault="0038726B" w:rsidP="0038726B">
      <w:pPr>
        <w:pStyle w:val="Heading3"/>
      </w:pPr>
      <w:bookmarkStart w:id="43" w:name="_Toc469654729"/>
      <w:r>
        <w:lastRenderedPageBreak/>
        <w:t>Improving engagement and communication: a cultural shift</w:t>
      </w:r>
      <w:bookmarkEnd w:id="43"/>
    </w:p>
    <w:p w14:paraId="00D18FB0" w14:textId="77777777" w:rsidR="006D448B" w:rsidRDefault="0038726B" w:rsidP="006D448B">
      <w:r w:rsidRPr="0038726B">
        <w:t>During th</w:t>
      </w:r>
      <w:r w:rsidR="00066033">
        <w:t>is</w:t>
      </w:r>
      <w:r w:rsidRPr="0038726B">
        <w:t xml:space="preserve"> </w:t>
      </w:r>
      <w:r w:rsidR="00066033">
        <w:t>R</w:t>
      </w:r>
      <w:r w:rsidRPr="0038726B">
        <w:t>eview, stakeholders highlighted the highly variable nature of government communication and engagement.</w:t>
      </w:r>
      <w:r w:rsidR="00066033">
        <w:t xml:space="preserve"> </w:t>
      </w:r>
      <w:r w:rsidR="006D448B">
        <w:t>Some positive comments were made about communication during an emergency response and on managing established pests and diseases. In addition, the changes made to the biosecurity roundtables (joint government-industry fora) in recent years—from information provision to genuine discussion—was also seen as a step in the right direction. The Review Panel acknowledges progress in these areas but considers more work can be done.</w:t>
      </w:r>
    </w:p>
    <w:p w14:paraId="02820CB6" w14:textId="77777777" w:rsidR="006D448B" w:rsidRDefault="006D448B" w:rsidP="006D448B">
      <w:r>
        <w:t>Other stakeholders have been critical of the way in which governments communicated biosecurity matters and engaged participants. These activities were typically characterised as a one-way flow of information and lacking genuineness:</w:t>
      </w:r>
    </w:p>
    <w:p w14:paraId="522E5751" w14:textId="77777777" w:rsidR="006D448B" w:rsidRDefault="006D448B" w:rsidP="006D448B">
      <w:pPr>
        <w:pStyle w:val="Quote"/>
      </w:pPr>
      <w:r>
        <w:t>Industry is only engaged in an advisory fashion. There needs to be a national ‘true partnership’ forum between industry and government on the biosecurity system, providing industry with the opportunity to assist in shaping and designing biosecurity measures (National Farmers’ Federation submission, p. 3)</w:t>
      </w:r>
    </w:p>
    <w:p w14:paraId="56D8A26A" w14:textId="77777777" w:rsidR="006D448B" w:rsidRDefault="00410C6A" w:rsidP="006D448B">
      <w:pPr>
        <w:pStyle w:val="Quote"/>
      </w:pPr>
      <w:r>
        <w:t xml:space="preserve">… </w:t>
      </w:r>
      <w:r w:rsidR="006D448B">
        <w:t>the operating model [for communications and engagement] is still very much working on the traditional paradigm of government making policy decisions and then providing information to industry in the guise of consultation. It is Voice of Horticulture’s view that this is notification. Even when funding is on the table the Commonwealth has proved extremely reluctant and reticent to engage in serious discussion, let alone share responsibility for its management (Voice of Horticulture submission, p. 4)</w:t>
      </w:r>
    </w:p>
    <w:p w14:paraId="4FDBA1E3" w14:textId="77777777" w:rsidR="006D448B" w:rsidRDefault="006D448B" w:rsidP="006D448B">
      <w:pPr>
        <w:pStyle w:val="Quote"/>
      </w:pPr>
      <w:r>
        <w:t>The sheep industry is concerned that the current level of engagement with industry is a fundamental flaw in the implementation and decision making process under the current agreement [IGAB]. Sound biosecurity outcomes will only be realised when effective engagement and communication between all key biosecurity stakeholders is undertaken (Sheepmeat Council of Australia &amp; WoolProducers Australia joint submission, p. 1)</w:t>
      </w:r>
    </w:p>
    <w:p w14:paraId="670000EA" w14:textId="063E05B4" w:rsidR="006D448B" w:rsidRDefault="006D448B" w:rsidP="006D448B">
      <w:r>
        <w:t xml:space="preserve">Some stakeholders have suggested a communication framework, strategy or plan could provide the solution. The Panel notes the National Biosecurity Engagement and Communications Framework (IGAB Schedule 6), endorsed by the NBC in 2013, </w:t>
      </w:r>
      <w:r w:rsidR="008C5200">
        <w:t xml:space="preserve">which </w:t>
      </w:r>
      <w:r>
        <w:t>aim</w:t>
      </w:r>
      <w:r w:rsidR="00BB5395">
        <w:t>ed</w:t>
      </w:r>
      <w:r>
        <w:t xml:space="preserve"> to support and enhance government communications with a range of stakeholders</w:t>
      </w:r>
      <w:r w:rsidR="00BB5395">
        <w:t xml:space="preserve"> but</w:t>
      </w:r>
      <w:r>
        <w:t xml:space="preserve"> has not delivered the required change—stakeholders continue to raise their concerns.</w:t>
      </w:r>
    </w:p>
    <w:p w14:paraId="062FF291" w14:textId="77777777" w:rsidR="006D448B" w:rsidRDefault="006D448B" w:rsidP="006D448B">
      <w:r>
        <w:t>Industry is rightly seeking greater biosecurity communication and engagement from governments across Australia. However, at the same time, there is an expectation from governments and other system participants that industry will further commit to helping address short-comings of the national biosecurity system. This maturing of the relationship between industry and governments will result in a far superior national system.</w:t>
      </w:r>
    </w:p>
    <w:p w14:paraId="08785E78" w14:textId="77777777" w:rsidR="007A64F8" w:rsidRDefault="007A64F8" w:rsidP="006D448B">
      <w:r>
        <w:t>Communication and engagement is neither a project, nor the work of a committee. It is core, day-to-day business for all system participants.</w:t>
      </w:r>
    </w:p>
    <w:p w14:paraId="6511C0FD" w14:textId="7231C160" w:rsidR="006D448B" w:rsidRPr="0038726B" w:rsidRDefault="006D448B" w:rsidP="006D448B">
      <w:r>
        <w:lastRenderedPageBreak/>
        <w:t>A cultural change would see governments committing to better and more open communication and engagement (acknowledging that some issues must be handled sensitively). This would also mean bringing industry and community participants into decision-making processes, noting that a ‘seat at the table’ brings responsibilities and obligations for non-government participants. Where decisions are for governments only, this will mean timely and transparent communication with others.</w:t>
      </w:r>
    </w:p>
    <w:p w14:paraId="75259EB8" w14:textId="77777777" w:rsidR="00561771" w:rsidRDefault="00561771" w:rsidP="00561771">
      <w:pPr>
        <w:pStyle w:val="Heading2"/>
      </w:pPr>
      <w:bookmarkStart w:id="44" w:name="_Toc430782160"/>
      <w:bookmarkStart w:id="45" w:name="_Toc469654730"/>
      <w:r>
        <w:lastRenderedPageBreak/>
        <w:t>Market access is key</w:t>
      </w:r>
      <w:bookmarkEnd w:id="45"/>
    </w:p>
    <w:p w14:paraId="3F46FFDD" w14:textId="77777777" w:rsidR="00A1206C" w:rsidRPr="00735AEF" w:rsidRDefault="00A1206C" w:rsidP="00A1206C">
      <w:pPr>
        <w:pStyle w:val="BoxHeading"/>
        <w:rPr>
          <w:sz w:val="22"/>
          <w:lang w:eastAsia="ja-JP"/>
        </w:rPr>
      </w:pPr>
      <w:r w:rsidRPr="00735AEF">
        <w:rPr>
          <w:sz w:val="22"/>
          <w:lang w:eastAsia="ja-JP"/>
        </w:rPr>
        <w:t>Key points</w:t>
      </w:r>
    </w:p>
    <w:p w14:paraId="21D2A76A" w14:textId="77777777" w:rsidR="008823D1" w:rsidRPr="00735AEF" w:rsidRDefault="008823D1" w:rsidP="008823D1">
      <w:pPr>
        <w:pStyle w:val="BoxTextBullet"/>
        <w:rPr>
          <w:sz w:val="22"/>
          <w:lang w:eastAsia="ja-JP"/>
        </w:rPr>
      </w:pPr>
      <w:r w:rsidRPr="00735AEF">
        <w:rPr>
          <w:sz w:val="22"/>
          <w:lang w:eastAsia="ja-JP"/>
        </w:rPr>
        <w:t>There is scope to sharpen the focus on international market access within the national biosecurity system.</w:t>
      </w:r>
    </w:p>
    <w:p w14:paraId="296D5717" w14:textId="77777777" w:rsidR="008823D1" w:rsidRPr="00735AEF" w:rsidRDefault="008823D1" w:rsidP="008823D1">
      <w:pPr>
        <w:pStyle w:val="BoxTextBullet"/>
        <w:rPr>
          <w:sz w:val="22"/>
          <w:lang w:eastAsia="ja-JP"/>
        </w:rPr>
      </w:pPr>
      <w:r w:rsidRPr="00735AEF">
        <w:rPr>
          <w:sz w:val="22"/>
          <w:lang w:eastAsia="ja-JP"/>
        </w:rPr>
        <w:t>Negotiating access to new markets will be harder in the future as trading partners strengthen their own biosecurity systems and requirements. Pest and disease freedom will need to be demonstrated.</w:t>
      </w:r>
    </w:p>
    <w:p w14:paraId="62B2CF11" w14:textId="77777777" w:rsidR="008823D1" w:rsidRPr="00735AEF" w:rsidRDefault="008823D1" w:rsidP="008823D1">
      <w:pPr>
        <w:pStyle w:val="BoxTextBullet"/>
        <w:rPr>
          <w:sz w:val="22"/>
          <w:lang w:eastAsia="ja-JP"/>
        </w:rPr>
      </w:pPr>
      <w:r w:rsidRPr="00735AEF">
        <w:rPr>
          <w:sz w:val="22"/>
          <w:lang w:eastAsia="ja-JP"/>
        </w:rPr>
        <w:t>The effort and resources required to maintain and improve access to existing markets is significant and should not be underestimated.</w:t>
      </w:r>
    </w:p>
    <w:p w14:paraId="00BEA47C" w14:textId="20920725" w:rsidR="008823D1" w:rsidRPr="00735AEF" w:rsidRDefault="008823D1" w:rsidP="008823D1">
      <w:pPr>
        <w:pStyle w:val="BoxTextBullet"/>
        <w:rPr>
          <w:sz w:val="22"/>
          <w:lang w:eastAsia="ja-JP"/>
        </w:rPr>
      </w:pPr>
      <w:r w:rsidRPr="00735AEF">
        <w:rPr>
          <w:sz w:val="22"/>
          <w:lang w:eastAsia="ja-JP"/>
        </w:rPr>
        <w:t>Jurisdictions and agricultural industries need to act pro-actively and cooperatively to ensure Australia continues to remain competitive in international markets</w:t>
      </w:r>
      <w:r w:rsidR="009D3A4F" w:rsidRPr="00735AEF">
        <w:rPr>
          <w:sz w:val="22"/>
          <w:lang w:eastAsia="ja-JP"/>
        </w:rPr>
        <w:t>.</w:t>
      </w:r>
    </w:p>
    <w:p w14:paraId="2CB8CC57" w14:textId="77777777" w:rsidR="008823D1" w:rsidRPr="00735AEF" w:rsidRDefault="008823D1" w:rsidP="008823D1">
      <w:pPr>
        <w:pStyle w:val="BoxTextBullet"/>
        <w:rPr>
          <w:sz w:val="22"/>
          <w:lang w:eastAsia="ja-JP"/>
        </w:rPr>
      </w:pPr>
      <w:r w:rsidRPr="00735AEF">
        <w:rPr>
          <w:sz w:val="22"/>
          <w:lang w:eastAsia="ja-JP"/>
        </w:rPr>
        <w:t>Jurisdictions already have the mechanisms in place to streamline domestic market access requirements and resolve domestic trade disputes, if there is a will to do so.</w:t>
      </w:r>
    </w:p>
    <w:p w14:paraId="4883EE49" w14:textId="2BE6A11C" w:rsidR="008823D1" w:rsidRPr="00735AEF" w:rsidRDefault="008823D1" w:rsidP="008823D1">
      <w:pPr>
        <w:pStyle w:val="BoxTextBullet"/>
        <w:rPr>
          <w:sz w:val="22"/>
          <w:lang w:eastAsia="ja-JP"/>
        </w:rPr>
      </w:pPr>
      <w:r w:rsidRPr="00735AEF">
        <w:rPr>
          <w:sz w:val="22"/>
          <w:lang w:eastAsia="ja-JP"/>
        </w:rPr>
        <w:t xml:space="preserve">There is a lack of clarity, consensus and transparency around the roles of the </w:t>
      </w:r>
      <w:r w:rsidR="00D8475B" w:rsidRPr="00735AEF">
        <w:rPr>
          <w:sz w:val="22"/>
          <w:lang w:eastAsia="ja-JP"/>
        </w:rPr>
        <w:t>Australian,</w:t>
      </w:r>
      <w:r w:rsidRPr="00735AEF">
        <w:rPr>
          <w:sz w:val="22"/>
          <w:lang w:eastAsia="ja-JP"/>
        </w:rPr>
        <w:t xml:space="preserve"> </w:t>
      </w:r>
      <w:r w:rsidR="00D8475B" w:rsidRPr="00735AEF">
        <w:rPr>
          <w:sz w:val="22"/>
          <w:lang w:eastAsia="ja-JP"/>
        </w:rPr>
        <w:t>state and territory governments</w:t>
      </w:r>
      <w:r w:rsidRPr="00735AEF">
        <w:rPr>
          <w:sz w:val="22"/>
          <w:lang w:eastAsia="ja-JP"/>
        </w:rPr>
        <w:t xml:space="preserve"> in international and domestic trade.</w:t>
      </w:r>
    </w:p>
    <w:p w14:paraId="08595335" w14:textId="503C7E92" w:rsidR="00A1206C" w:rsidRDefault="00A1206C" w:rsidP="00A1206C">
      <w:pPr>
        <w:pStyle w:val="Heading3"/>
        <w:rPr>
          <w:lang w:eastAsia="ja-JP"/>
        </w:rPr>
      </w:pPr>
      <w:bookmarkStart w:id="46" w:name="_Toc469654731"/>
      <w:r>
        <w:rPr>
          <w:lang w:eastAsia="ja-JP"/>
        </w:rPr>
        <w:t xml:space="preserve">Biosecurity </w:t>
      </w:r>
      <w:r w:rsidR="007C3BC7">
        <w:rPr>
          <w:lang w:eastAsia="ja-JP"/>
        </w:rPr>
        <w:t>and t</w:t>
      </w:r>
      <w:r>
        <w:rPr>
          <w:lang w:eastAsia="ja-JP"/>
        </w:rPr>
        <w:t>rade</w:t>
      </w:r>
      <w:bookmarkEnd w:id="46"/>
    </w:p>
    <w:p w14:paraId="65D9CA9B" w14:textId="5B7DE0B8" w:rsidR="008823D1" w:rsidRDefault="008823D1" w:rsidP="008823D1">
      <w:pPr>
        <w:rPr>
          <w:lang w:eastAsia="ja-JP"/>
        </w:rPr>
      </w:pPr>
      <w:r>
        <w:rPr>
          <w:lang w:eastAsia="ja-JP"/>
        </w:rPr>
        <w:t>Access to a broad range of international markets under least cost import conditions is critical to the competitiveness of Australian agriculture. Australia’s clean, green image, a robust regulatory framework and favourable animal and plant health status gives our industries and primary producers a competitive advantage in relation to other exporting nations. Around two-thirds of Australia’s agricultural products are exported and agriculture exports are forecast to be worth $44 billion in 2016</w:t>
      </w:r>
      <w:r w:rsidR="00142B0F" w:rsidRPr="00E5728A">
        <w:rPr>
          <w:lang w:eastAsia="ja-JP"/>
        </w:rPr>
        <w:t>–</w:t>
      </w:r>
      <w:r w:rsidRPr="00E5728A">
        <w:rPr>
          <w:lang w:eastAsia="ja-JP"/>
        </w:rPr>
        <w:t>17 (</w:t>
      </w:r>
      <w:hyperlink w:anchor="ABARES_2016" w:history="1">
        <w:r w:rsidR="00DB6F1C" w:rsidRPr="00372466">
          <w:rPr>
            <w:rStyle w:val="Hyperlink"/>
            <w:lang w:eastAsia="ja-JP"/>
          </w:rPr>
          <w:t>ABARES 2016</w:t>
        </w:r>
      </w:hyperlink>
      <w:r w:rsidRPr="00E5728A">
        <w:rPr>
          <w:lang w:eastAsia="ja-JP"/>
        </w:rPr>
        <w:t>). Australian producers are heavily reliant on exports to underpin their livelihoods largely because the domestic</w:t>
      </w:r>
      <w:r>
        <w:rPr>
          <w:lang w:eastAsia="ja-JP"/>
        </w:rPr>
        <w:t xml:space="preserve"> market is small. Australian exports are estimated to feed approximately three times that of the Australian population.</w:t>
      </w:r>
    </w:p>
    <w:p w14:paraId="6F3E788B" w14:textId="54A40875" w:rsidR="008823D1" w:rsidRDefault="008823D1" w:rsidP="008823D1">
      <w:pPr>
        <w:rPr>
          <w:lang w:eastAsia="ja-JP"/>
        </w:rPr>
      </w:pPr>
      <w:r>
        <w:rPr>
          <w:lang w:eastAsia="ja-JP"/>
        </w:rPr>
        <w:t xml:space="preserve">Trade in agricultural commodities depends on the existence of agreements between importing and exporting countries on technical market access conditions which relate to biosecurity and food safety. Keeping technical market access and negotiating new or improved access conditions is increasingly complex and challenging. Other exporting countries are becoming more competitive in some key markets and many importing countries are developing more sophisticated requirements to be met by exporters and certified by the Australian Government. </w:t>
      </w:r>
      <w:r w:rsidR="00BF5E36">
        <w:rPr>
          <w:lang w:eastAsia="ja-JP"/>
        </w:rPr>
        <w:t xml:space="preserve">Some markets will request </w:t>
      </w:r>
      <w:r>
        <w:rPr>
          <w:lang w:eastAsia="ja-JP"/>
        </w:rPr>
        <w:t>Australia to provide scientific evidence of pest freedom, as we do of them.</w:t>
      </w:r>
    </w:p>
    <w:p w14:paraId="4AA35D56" w14:textId="45ED3375" w:rsidR="008823D1" w:rsidRDefault="008823D1" w:rsidP="008823D1">
      <w:pPr>
        <w:rPr>
          <w:lang w:eastAsia="ja-JP"/>
        </w:rPr>
      </w:pPr>
      <w:r>
        <w:rPr>
          <w:lang w:eastAsia="ja-JP"/>
        </w:rPr>
        <w:t xml:space="preserve">Reciprocity is becoming a common feature of market access negotiations, with trading partners seeking access to our market for certain commodities in return for access to their market. Decisions around access to the Australian market take account of Australia’s </w:t>
      </w:r>
      <w:r w:rsidRPr="00723F58">
        <w:rPr>
          <w:lang w:eastAsia="ja-JP"/>
        </w:rPr>
        <w:t>ALOP</w:t>
      </w:r>
      <w:r>
        <w:rPr>
          <w:lang w:eastAsia="ja-JP"/>
        </w:rPr>
        <w:t xml:space="preserve"> and may not always be acceptable to trading partners. However, Australia’s import policies are an essential element of maintaining our favourable animal and plant pest disease status.</w:t>
      </w:r>
    </w:p>
    <w:p w14:paraId="78409B5C" w14:textId="77777777" w:rsidR="008823D1" w:rsidRDefault="008823D1" w:rsidP="008823D1">
      <w:pPr>
        <w:rPr>
          <w:lang w:eastAsia="ja-JP"/>
        </w:rPr>
      </w:pPr>
      <w:r>
        <w:rPr>
          <w:lang w:eastAsia="ja-JP"/>
        </w:rPr>
        <w:lastRenderedPageBreak/>
        <w:t>Stakeholders expressed a range of views during th</w:t>
      </w:r>
      <w:r w:rsidR="00066033">
        <w:rPr>
          <w:lang w:eastAsia="ja-JP"/>
        </w:rPr>
        <w:t>is</w:t>
      </w:r>
      <w:r>
        <w:rPr>
          <w:lang w:eastAsia="ja-JP"/>
        </w:rPr>
        <w:t xml:space="preserve"> Review on the priority that market access considerations should be given in the national biosecurity system. Views expressed to the Panel during consultation can be summarised as:</w:t>
      </w:r>
    </w:p>
    <w:p w14:paraId="61950092" w14:textId="43057522" w:rsidR="008823D1" w:rsidRDefault="008823D1" w:rsidP="008823D1">
      <w:pPr>
        <w:pStyle w:val="ListBullet"/>
        <w:rPr>
          <w:lang w:eastAsia="ja-JP"/>
        </w:rPr>
      </w:pPr>
      <w:r>
        <w:rPr>
          <w:lang w:eastAsia="ja-JP"/>
        </w:rPr>
        <w:t>Market access is the reason for investing i</w:t>
      </w:r>
      <w:r w:rsidR="00CC6921">
        <w:rPr>
          <w:lang w:eastAsia="ja-JP"/>
        </w:rPr>
        <w:t>n a national biosecurity system:</w:t>
      </w:r>
      <w:r>
        <w:rPr>
          <w:lang w:eastAsia="ja-JP"/>
        </w:rPr>
        <w:t xml:space="preserve"> </w:t>
      </w:r>
      <w:r w:rsidR="00CC6921">
        <w:rPr>
          <w:lang w:eastAsia="ja-JP"/>
        </w:rPr>
        <w:t>‘</w:t>
      </w:r>
      <w:r>
        <w:rPr>
          <w:lang w:eastAsia="ja-JP"/>
        </w:rPr>
        <w:t>if you don’t have a good biosecurity system you can’t trade</w:t>
      </w:r>
      <w:r w:rsidR="00CC6921">
        <w:rPr>
          <w:lang w:eastAsia="ja-JP"/>
        </w:rPr>
        <w:t>’</w:t>
      </w:r>
      <w:r>
        <w:rPr>
          <w:lang w:eastAsia="ja-JP"/>
        </w:rPr>
        <w:t xml:space="preserve"> (key driver)</w:t>
      </w:r>
    </w:p>
    <w:p w14:paraId="2C43CD76" w14:textId="0D6D60AC" w:rsidR="008823D1" w:rsidRDefault="008823D1" w:rsidP="008823D1">
      <w:pPr>
        <w:pStyle w:val="ListBullet"/>
        <w:rPr>
          <w:lang w:eastAsia="ja-JP"/>
        </w:rPr>
      </w:pPr>
      <w:r>
        <w:rPr>
          <w:lang w:eastAsia="ja-JP"/>
        </w:rPr>
        <w:t>Australia’s biosecurity system underpins international market access for Australia’s agriculture exports (key beneficiary)</w:t>
      </w:r>
    </w:p>
    <w:p w14:paraId="402DFB56" w14:textId="707993E9" w:rsidR="008823D1" w:rsidRDefault="008823D1" w:rsidP="008823D1">
      <w:pPr>
        <w:pStyle w:val="ListBullet"/>
        <w:rPr>
          <w:lang w:eastAsia="ja-JP"/>
        </w:rPr>
      </w:pPr>
      <w:r>
        <w:rPr>
          <w:lang w:eastAsia="ja-JP"/>
        </w:rPr>
        <w:t>Market access is only one of the arguments for a strong national biosecurity system</w:t>
      </w:r>
      <w:r w:rsidR="00202C10">
        <w:rPr>
          <w:lang w:eastAsia="ja-JP"/>
        </w:rPr>
        <w:t>—</w:t>
      </w:r>
      <w:r>
        <w:rPr>
          <w:lang w:eastAsia="ja-JP"/>
        </w:rPr>
        <w:t xml:space="preserve"> environmental</w:t>
      </w:r>
      <w:r w:rsidR="00664384">
        <w:rPr>
          <w:lang w:eastAsia="ja-JP"/>
        </w:rPr>
        <w:t>, human health</w:t>
      </w:r>
      <w:r>
        <w:rPr>
          <w:lang w:eastAsia="ja-JP"/>
        </w:rPr>
        <w:t xml:space="preserve"> and social amenity outcomes are also key (joint drivers and beneficiaries).</w:t>
      </w:r>
    </w:p>
    <w:p w14:paraId="3F0FF96B" w14:textId="419109F7" w:rsidR="008823D1" w:rsidRDefault="008823D1" w:rsidP="008823D1">
      <w:pPr>
        <w:rPr>
          <w:lang w:eastAsia="ja-JP"/>
        </w:rPr>
      </w:pPr>
      <w:r>
        <w:rPr>
          <w:lang w:eastAsia="ja-JP"/>
        </w:rPr>
        <w:t xml:space="preserve">Our clean, green image clearly underpins our valuable tourism industry much of which is dependent upon utilising the natural beauty and biodiversity of the distinctly Australian environment. International visitors to Australia spent </w:t>
      </w:r>
      <w:r w:rsidR="00AD5BA2">
        <w:rPr>
          <w:lang w:eastAsia="ja-JP"/>
        </w:rPr>
        <w:t xml:space="preserve">more than </w:t>
      </w:r>
      <w:r>
        <w:rPr>
          <w:lang w:eastAsia="ja-JP"/>
        </w:rPr>
        <w:t xml:space="preserve">$38 billion in the year ending June </w:t>
      </w:r>
      <w:r w:rsidRPr="0035075A">
        <w:rPr>
          <w:lang w:eastAsia="ja-JP"/>
        </w:rPr>
        <w:t>2016 (</w:t>
      </w:r>
      <w:hyperlink w:anchor="TRA_2016" w:history="1">
        <w:r w:rsidR="001151FF" w:rsidRPr="00372466">
          <w:rPr>
            <w:rStyle w:val="Hyperlink"/>
            <w:lang w:eastAsia="ja-JP"/>
          </w:rPr>
          <w:t>TRA</w:t>
        </w:r>
        <w:r w:rsidRPr="00372466">
          <w:rPr>
            <w:rStyle w:val="Hyperlink"/>
            <w:lang w:eastAsia="ja-JP"/>
          </w:rPr>
          <w:t xml:space="preserve"> 2016</w:t>
        </w:r>
      </w:hyperlink>
      <w:r w:rsidRPr="0035075A">
        <w:rPr>
          <w:lang w:eastAsia="ja-JP"/>
        </w:rPr>
        <w:t>). Nature</w:t>
      </w:r>
      <w:r>
        <w:rPr>
          <w:lang w:eastAsia="ja-JP"/>
        </w:rPr>
        <w:t xml:space="preserve">-based tourism forms a significant component of Australia's visitor </w:t>
      </w:r>
      <w:r w:rsidRPr="000A7FA9">
        <w:rPr>
          <w:lang w:eastAsia="ja-JP"/>
        </w:rPr>
        <w:t>economy</w:t>
      </w:r>
      <w:r w:rsidR="001028F8" w:rsidRPr="000A7FA9">
        <w:rPr>
          <w:lang w:eastAsia="ja-JP"/>
        </w:rPr>
        <w:t>.</w:t>
      </w:r>
      <w:r w:rsidR="00066033" w:rsidRPr="000A7FA9">
        <w:rPr>
          <w:lang w:eastAsia="ja-JP"/>
        </w:rPr>
        <w:t xml:space="preserve"> </w:t>
      </w:r>
      <w:r w:rsidR="001028F8" w:rsidRPr="000A7FA9">
        <w:rPr>
          <w:lang w:eastAsia="ja-JP"/>
        </w:rPr>
        <w:t>F</w:t>
      </w:r>
      <w:r w:rsidR="00066033" w:rsidRPr="000A7FA9">
        <w:rPr>
          <w:lang w:eastAsia="ja-JP"/>
        </w:rPr>
        <w:t>or example</w:t>
      </w:r>
      <w:r w:rsidRPr="000A7FA9">
        <w:rPr>
          <w:lang w:eastAsia="ja-JP"/>
        </w:rPr>
        <w:t xml:space="preserve">, </w:t>
      </w:r>
      <w:hyperlink r:id="rId27" w:history="1">
        <w:r w:rsidR="00867692" w:rsidRPr="002A3424">
          <w:rPr>
            <w:rStyle w:val="Hyperlink"/>
            <w:lang w:eastAsia="ja-JP"/>
          </w:rPr>
          <w:t>Tourism Australia’s</w:t>
        </w:r>
      </w:hyperlink>
      <w:r w:rsidR="00867692" w:rsidRPr="000A7FA9">
        <w:rPr>
          <w:lang w:eastAsia="ja-JP"/>
        </w:rPr>
        <w:t xml:space="preserve"> </w:t>
      </w:r>
      <w:r w:rsidR="00867692" w:rsidRPr="002A3424">
        <w:rPr>
          <w:lang w:eastAsia="ja-JP"/>
        </w:rPr>
        <w:t>website</w:t>
      </w:r>
      <w:r w:rsidR="00867692" w:rsidRPr="000A7FA9">
        <w:rPr>
          <w:lang w:eastAsia="ja-JP"/>
        </w:rPr>
        <w:t xml:space="preserve"> notes that, </w:t>
      </w:r>
      <w:r w:rsidR="001028F8" w:rsidRPr="000A7FA9">
        <w:rPr>
          <w:lang w:eastAsia="ja-JP"/>
        </w:rPr>
        <w:t xml:space="preserve">in the year ending June 2016, </w:t>
      </w:r>
      <w:r w:rsidRPr="000A7FA9">
        <w:rPr>
          <w:lang w:eastAsia="ja-JP"/>
        </w:rPr>
        <w:t>68</w:t>
      </w:r>
      <w:r w:rsidR="000A7FA9" w:rsidRPr="000A7FA9">
        <w:rPr>
          <w:lang w:eastAsia="ja-JP"/>
        </w:rPr>
        <w:t> </w:t>
      </w:r>
      <w:r w:rsidRPr="000A7FA9">
        <w:rPr>
          <w:lang w:eastAsia="ja-JP"/>
        </w:rPr>
        <w:t xml:space="preserve">per cent (or </w:t>
      </w:r>
      <w:r w:rsidR="00142B0F" w:rsidRPr="000A7FA9">
        <w:rPr>
          <w:lang w:eastAsia="ja-JP"/>
        </w:rPr>
        <w:t>five</w:t>
      </w:r>
      <w:r w:rsidRPr="000A7FA9">
        <w:rPr>
          <w:lang w:eastAsia="ja-JP"/>
        </w:rPr>
        <w:t xml:space="preserve"> million) of international visitors engaged in som</w:t>
      </w:r>
      <w:r w:rsidR="0035075A" w:rsidRPr="000A7FA9">
        <w:rPr>
          <w:lang w:eastAsia="ja-JP"/>
        </w:rPr>
        <w:t>e form of nature-based activity</w:t>
      </w:r>
      <w:r w:rsidRPr="000A7FA9">
        <w:rPr>
          <w:lang w:eastAsia="ja-JP"/>
        </w:rPr>
        <w:t xml:space="preserve">. The Queensland Tourism Industry Council drew the Panel’s attention </w:t>
      </w:r>
      <w:r w:rsidR="006366E3" w:rsidRPr="000A7FA9">
        <w:rPr>
          <w:lang w:eastAsia="ja-JP"/>
        </w:rPr>
        <w:t xml:space="preserve">to </w:t>
      </w:r>
      <w:r w:rsidRPr="000A7FA9">
        <w:rPr>
          <w:lang w:eastAsia="ja-JP"/>
        </w:rPr>
        <w:t>the significant</w:t>
      </w:r>
      <w:r>
        <w:rPr>
          <w:lang w:eastAsia="ja-JP"/>
        </w:rPr>
        <w:t xml:space="preserve"> negative consequences that biosecurity incidents can have on </w:t>
      </w:r>
      <w:r w:rsidR="00066033">
        <w:rPr>
          <w:lang w:eastAsia="ja-JP"/>
        </w:rPr>
        <w:t>Australia’s</w:t>
      </w:r>
      <w:r>
        <w:rPr>
          <w:lang w:eastAsia="ja-JP"/>
        </w:rPr>
        <w:t xml:space="preserve"> tourism industry:</w:t>
      </w:r>
    </w:p>
    <w:p w14:paraId="62E05C47" w14:textId="77777777" w:rsidR="008823D1" w:rsidRDefault="008823D1" w:rsidP="008823D1">
      <w:pPr>
        <w:pStyle w:val="Quote"/>
        <w:rPr>
          <w:lang w:eastAsia="ja-JP"/>
        </w:rPr>
      </w:pPr>
      <w:r>
        <w:rPr>
          <w:lang w:eastAsia="ja-JP"/>
        </w:rPr>
        <w:t>The integrate</w:t>
      </w:r>
      <w:r w:rsidR="00CA30D5">
        <w:rPr>
          <w:lang w:eastAsia="ja-JP"/>
        </w:rPr>
        <w:t>d</w:t>
      </w:r>
      <w:r>
        <w:rPr>
          <w:lang w:eastAsia="ja-JP"/>
        </w:rPr>
        <w:t xml:space="preserve"> nature of the visitor economy, across many sectors and sensitive to various global and local economic forces, m</w:t>
      </w:r>
      <w:r w:rsidR="00A9051C">
        <w:rPr>
          <w:lang w:eastAsia="ja-JP"/>
        </w:rPr>
        <w:t>e</w:t>
      </w:r>
      <w:r>
        <w:rPr>
          <w:lang w:eastAsia="ja-JP"/>
        </w:rPr>
        <w:t>ans that any risk or impact on other sectors, including agriculture, can have flow</w:t>
      </w:r>
      <w:r w:rsidR="00A9051C">
        <w:rPr>
          <w:lang w:eastAsia="ja-JP"/>
        </w:rPr>
        <w:t>-</w:t>
      </w:r>
      <w:r>
        <w:rPr>
          <w:lang w:eastAsia="ja-JP"/>
        </w:rPr>
        <w:t>on impact</w:t>
      </w:r>
      <w:r w:rsidR="00F211D8">
        <w:rPr>
          <w:lang w:eastAsia="ja-JP"/>
        </w:rPr>
        <w:t>s</w:t>
      </w:r>
      <w:r w:rsidR="00A9051C">
        <w:rPr>
          <w:lang w:eastAsia="ja-JP"/>
        </w:rPr>
        <w:t xml:space="preserve"> to the success of</w:t>
      </w:r>
      <w:r w:rsidR="00F211D8">
        <w:rPr>
          <w:lang w:eastAsia="ja-JP"/>
        </w:rPr>
        <w:t xml:space="preserve"> </w:t>
      </w:r>
      <w:r>
        <w:rPr>
          <w:lang w:eastAsia="ja-JP"/>
        </w:rPr>
        <w:t>the tourism industry (Q</w:t>
      </w:r>
      <w:r w:rsidR="00066033">
        <w:rPr>
          <w:lang w:eastAsia="ja-JP"/>
        </w:rPr>
        <w:t xml:space="preserve">ueensland </w:t>
      </w:r>
      <w:r>
        <w:rPr>
          <w:lang w:eastAsia="ja-JP"/>
        </w:rPr>
        <w:t>T</w:t>
      </w:r>
      <w:r w:rsidR="00066033">
        <w:rPr>
          <w:lang w:eastAsia="ja-JP"/>
        </w:rPr>
        <w:t xml:space="preserve">ourism </w:t>
      </w:r>
      <w:r>
        <w:rPr>
          <w:lang w:eastAsia="ja-JP"/>
        </w:rPr>
        <w:t>I</w:t>
      </w:r>
      <w:r w:rsidR="00066033">
        <w:rPr>
          <w:lang w:eastAsia="ja-JP"/>
        </w:rPr>
        <w:t xml:space="preserve">ndustry </w:t>
      </w:r>
      <w:r>
        <w:rPr>
          <w:lang w:eastAsia="ja-JP"/>
        </w:rPr>
        <w:t>C</w:t>
      </w:r>
      <w:r w:rsidR="00066033">
        <w:rPr>
          <w:lang w:eastAsia="ja-JP"/>
        </w:rPr>
        <w:t>ouncil</w:t>
      </w:r>
      <w:r w:rsidR="0014029A">
        <w:rPr>
          <w:lang w:eastAsia="ja-JP"/>
        </w:rPr>
        <w:t xml:space="preserve"> </w:t>
      </w:r>
      <w:r w:rsidR="00410C6A">
        <w:rPr>
          <w:lang w:eastAsia="ja-JP"/>
        </w:rPr>
        <w:t>submission</w:t>
      </w:r>
      <w:r w:rsidR="00066033">
        <w:rPr>
          <w:lang w:eastAsia="ja-JP"/>
        </w:rPr>
        <w:t>,</w:t>
      </w:r>
      <w:r w:rsidR="00410C6A">
        <w:rPr>
          <w:lang w:eastAsia="ja-JP"/>
        </w:rPr>
        <w:t xml:space="preserve"> </w:t>
      </w:r>
      <w:r w:rsidR="00410C6A" w:rsidRPr="00D23E20">
        <w:rPr>
          <w:lang w:eastAsia="ja-JP"/>
        </w:rPr>
        <w:t>p</w:t>
      </w:r>
      <w:r w:rsidR="00F211D8">
        <w:rPr>
          <w:lang w:eastAsia="ja-JP"/>
        </w:rPr>
        <w:t xml:space="preserve">. </w:t>
      </w:r>
      <w:r w:rsidR="00410C6A" w:rsidRPr="00D23E20">
        <w:rPr>
          <w:lang w:eastAsia="ja-JP"/>
        </w:rPr>
        <w:t>3</w:t>
      </w:r>
      <w:r w:rsidRPr="00D23E20">
        <w:rPr>
          <w:lang w:eastAsia="ja-JP"/>
        </w:rPr>
        <w:t>)</w:t>
      </w:r>
    </w:p>
    <w:p w14:paraId="54410AE6" w14:textId="7BA857F5" w:rsidR="008823D1" w:rsidRDefault="008823D1" w:rsidP="008823D1">
      <w:pPr>
        <w:rPr>
          <w:lang w:eastAsia="ja-JP"/>
        </w:rPr>
      </w:pPr>
      <w:r>
        <w:rPr>
          <w:lang w:eastAsia="ja-JP"/>
        </w:rPr>
        <w:t xml:space="preserve">The </w:t>
      </w:r>
      <w:r w:rsidR="000A1A1B">
        <w:rPr>
          <w:lang w:eastAsia="ja-JP"/>
        </w:rPr>
        <w:t>2003</w:t>
      </w:r>
      <w:r w:rsidR="005065B1">
        <w:rPr>
          <w:lang w:eastAsia="ja-JP"/>
        </w:rPr>
        <w:t xml:space="preserve"> </w:t>
      </w:r>
      <w:r w:rsidR="000A1A1B">
        <w:rPr>
          <w:lang w:eastAsia="ja-JP"/>
        </w:rPr>
        <w:t xml:space="preserve">global outbreak of </w:t>
      </w:r>
      <w:r>
        <w:rPr>
          <w:lang w:eastAsia="ja-JP"/>
        </w:rPr>
        <w:t>S</w:t>
      </w:r>
      <w:r w:rsidR="008D08CD">
        <w:rPr>
          <w:lang w:eastAsia="ja-JP"/>
        </w:rPr>
        <w:t xml:space="preserve">evere </w:t>
      </w:r>
      <w:r>
        <w:rPr>
          <w:lang w:eastAsia="ja-JP"/>
        </w:rPr>
        <w:t>A</w:t>
      </w:r>
      <w:r w:rsidR="008D08CD">
        <w:rPr>
          <w:lang w:eastAsia="ja-JP"/>
        </w:rPr>
        <w:t xml:space="preserve">cute </w:t>
      </w:r>
      <w:r>
        <w:rPr>
          <w:lang w:eastAsia="ja-JP"/>
        </w:rPr>
        <w:t>R</w:t>
      </w:r>
      <w:r w:rsidR="008D08CD">
        <w:rPr>
          <w:lang w:eastAsia="ja-JP"/>
        </w:rPr>
        <w:t xml:space="preserve">espiratory </w:t>
      </w:r>
      <w:r>
        <w:rPr>
          <w:lang w:eastAsia="ja-JP"/>
        </w:rPr>
        <w:t>S</w:t>
      </w:r>
      <w:r w:rsidR="008D08CD">
        <w:rPr>
          <w:lang w:eastAsia="ja-JP"/>
        </w:rPr>
        <w:t>yndrome (SARS)</w:t>
      </w:r>
      <w:r>
        <w:rPr>
          <w:lang w:eastAsia="ja-JP"/>
        </w:rPr>
        <w:t xml:space="preserve"> resulted in the annual growth of Australia’s direct tourism GDP, which measures the value added of the tourism industry at purchasers’ (market) prices, falling from 3.9 in 2002–03 to 0.3 per</w:t>
      </w:r>
      <w:r w:rsidR="0014029A">
        <w:rPr>
          <w:lang w:eastAsia="ja-JP"/>
        </w:rPr>
        <w:t xml:space="preserve"> </w:t>
      </w:r>
      <w:r>
        <w:rPr>
          <w:lang w:eastAsia="ja-JP"/>
        </w:rPr>
        <w:t>cent in 2003–04 (</w:t>
      </w:r>
      <w:hyperlink w:anchor="TRA_2016a" w:history="1">
        <w:r w:rsidR="001151FF" w:rsidRPr="00372466">
          <w:rPr>
            <w:rStyle w:val="Hyperlink"/>
            <w:lang w:eastAsia="ja-JP"/>
          </w:rPr>
          <w:t>TRA 2016a</w:t>
        </w:r>
      </w:hyperlink>
      <w:r w:rsidRPr="0035075A">
        <w:rPr>
          <w:lang w:eastAsia="ja-JP"/>
        </w:rPr>
        <w:t>). Internationally, tourism suffered the largest financial impact from the 2001 foot</w:t>
      </w:r>
      <w:r w:rsidR="00142B0F" w:rsidRPr="0035075A">
        <w:rPr>
          <w:lang w:eastAsia="ja-JP"/>
        </w:rPr>
        <w:t>-</w:t>
      </w:r>
      <w:r w:rsidRPr="0035075A">
        <w:rPr>
          <w:lang w:eastAsia="ja-JP"/>
        </w:rPr>
        <w:t>and</w:t>
      </w:r>
      <w:r w:rsidR="00142B0F" w:rsidRPr="0035075A">
        <w:rPr>
          <w:lang w:eastAsia="ja-JP"/>
        </w:rPr>
        <w:t>-</w:t>
      </w:r>
      <w:r w:rsidRPr="0035075A">
        <w:rPr>
          <w:lang w:eastAsia="ja-JP"/>
        </w:rPr>
        <w:t>mouth disease (FMD) in the United Kingdom, estimated to have been between £4.5 and £5.4 billion</w:t>
      </w:r>
      <w:r w:rsidR="00F211D8" w:rsidRPr="0035075A">
        <w:rPr>
          <w:lang w:eastAsia="ja-JP"/>
        </w:rPr>
        <w:t xml:space="preserve"> to</w:t>
      </w:r>
      <w:r w:rsidRPr="0035075A">
        <w:rPr>
          <w:lang w:eastAsia="ja-JP"/>
        </w:rPr>
        <w:t xml:space="preserve"> the United Kingdom</w:t>
      </w:r>
      <w:r w:rsidR="00F211D8" w:rsidRPr="0035075A">
        <w:rPr>
          <w:lang w:eastAsia="ja-JP"/>
        </w:rPr>
        <w:t xml:space="preserve"> economy</w:t>
      </w:r>
      <w:r w:rsidRPr="0035075A">
        <w:rPr>
          <w:lang w:eastAsia="ja-JP"/>
        </w:rPr>
        <w:t xml:space="preserve"> (</w:t>
      </w:r>
      <w:hyperlink w:anchor="UK_NAO_2002" w:history="1">
        <w:r w:rsidRPr="00372466">
          <w:rPr>
            <w:rStyle w:val="Hyperlink"/>
            <w:lang w:eastAsia="ja-JP"/>
          </w:rPr>
          <w:t xml:space="preserve">UK </w:t>
        </w:r>
        <w:r w:rsidR="001151FF" w:rsidRPr="00372466">
          <w:rPr>
            <w:rStyle w:val="Hyperlink"/>
            <w:lang w:eastAsia="ja-JP"/>
          </w:rPr>
          <w:t>NAO</w:t>
        </w:r>
        <w:r w:rsidRPr="00372466">
          <w:rPr>
            <w:rStyle w:val="Hyperlink"/>
            <w:lang w:eastAsia="ja-JP"/>
          </w:rPr>
          <w:t xml:space="preserve"> 2002</w:t>
        </w:r>
      </w:hyperlink>
      <w:r w:rsidRPr="0035075A">
        <w:rPr>
          <w:lang w:eastAsia="ja-JP"/>
        </w:rPr>
        <w:t>).</w:t>
      </w:r>
    </w:p>
    <w:p w14:paraId="5E4C041A" w14:textId="77777777" w:rsidR="00D74EF1" w:rsidRPr="00D74EF1" w:rsidRDefault="008823D1" w:rsidP="008823D1">
      <w:pPr>
        <w:rPr>
          <w:lang w:eastAsia="ja-JP"/>
        </w:rPr>
      </w:pPr>
      <w:r>
        <w:rPr>
          <w:lang w:eastAsia="ja-JP"/>
        </w:rPr>
        <w:t>The Review Panel believes there is scope to better align the trade, market access, biodiversity and biosecurity agendas. The driver for this should be the cost and effectiveness of the national system.</w:t>
      </w:r>
    </w:p>
    <w:p w14:paraId="25463E87" w14:textId="589D1EFF" w:rsidR="00A1206C" w:rsidRDefault="00A1206C" w:rsidP="00A1206C">
      <w:pPr>
        <w:pStyle w:val="Heading3"/>
        <w:rPr>
          <w:lang w:eastAsia="ja-JP"/>
        </w:rPr>
      </w:pPr>
      <w:bookmarkStart w:id="47" w:name="_Toc469654732"/>
      <w:r>
        <w:rPr>
          <w:lang w:eastAsia="ja-JP"/>
        </w:rPr>
        <w:t>Int</w:t>
      </w:r>
      <w:r w:rsidR="00261B74">
        <w:rPr>
          <w:lang w:eastAsia="ja-JP"/>
        </w:rPr>
        <w:t>ernational e</w:t>
      </w:r>
      <w:r>
        <w:rPr>
          <w:lang w:eastAsia="ja-JP"/>
        </w:rPr>
        <w:t>xports</w:t>
      </w:r>
      <w:bookmarkEnd w:id="47"/>
    </w:p>
    <w:p w14:paraId="12D975CC" w14:textId="65F541BF" w:rsidR="00C46E50" w:rsidRDefault="00C46E50" w:rsidP="00C46E50">
      <w:pPr>
        <w:rPr>
          <w:lang w:eastAsia="ja-JP"/>
        </w:rPr>
      </w:pPr>
      <w:r>
        <w:rPr>
          <w:lang w:eastAsia="ja-JP"/>
        </w:rPr>
        <w:t>Agriculture has been one of the most significant beneficiaries of trade agreements and is well placed to capitalise on the</w:t>
      </w:r>
      <w:r w:rsidR="00770364">
        <w:rPr>
          <w:lang w:eastAsia="ja-JP"/>
        </w:rPr>
        <w:t xml:space="preserve"> recent</w:t>
      </w:r>
      <w:r>
        <w:rPr>
          <w:lang w:eastAsia="ja-JP"/>
        </w:rPr>
        <w:t xml:space="preserve"> free trade agreements with China (ChAFTA), Japan (JAEPA), and Republic of Korea (KAFTA), and advance other market access opportunities for Australian products. However, our ambitions for market access will not be realised without a finely tuned national biosecurity system. The New Zealand</w:t>
      </w:r>
      <w:r w:rsidR="00066033">
        <w:rPr>
          <w:lang w:eastAsia="ja-JP"/>
        </w:rPr>
        <w:t xml:space="preserve"> Government</w:t>
      </w:r>
      <w:r>
        <w:rPr>
          <w:lang w:eastAsia="ja-JP"/>
        </w:rPr>
        <w:t xml:space="preserve"> Ministry for Primary </w:t>
      </w:r>
      <w:r w:rsidRPr="00F64505">
        <w:rPr>
          <w:lang w:eastAsia="ja-JP"/>
        </w:rPr>
        <w:t>Industries (</w:t>
      </w:r>
      <w:hyperlink w:anchor="NZ_MPI_2016" w:history="1">
        <w:r w:rsidR="00066033" w:rsidRPr="00372466">
          <w:rPr>
            <w:rStyle w:val="Hyperlink"/>
            <w:lang w:eastAsia="ja-JP"/>
          </w:rPr>
          <w:t>NZ MPI</w:t>
        </w:r>
        <w:r w:rsidR="00432E1B" w:rsidRPr="00372466">
          <w:rPr>
            <w:rStyle w:val="Hyperlink"/>
            <w:lang w:eastAsia="ja-JP"/>
          </w:rPr>
          <w:t xml:space="preserve"> 2016</w:t>
        </w:r>
      </w:hyperlink>
      <w:r w:rsidRPr="00F64505">
        <w:rPr>
          <w:lang w:eastAsia="ja-JP"/>
        </w:rPr>
        <w:t>) c</w:t>
      </w:r>
      <w:r>
        <w:rPr>
          <w:lang w:eastAsia="ja-JP"/>
        </w:rPr>
        <w:t>aptured the relationships this way</w:t>
      </w:r>
      <w:r w:rsidR="00066033">
        <w:rPr>
          <w:lang w:eastAsia="ja-JP"/>
        </w:rPr>
        <w:t>:</w:t>
      </w:r>
    </w:p>
    <w:p w14:paraId="3B88C1CA" w14:textId="77777777" w:rsidR="00A1206C" w:rsidRPr="00C46E50" w:rsidRDefault="00C46E50" w:rsidP="00C46E50">
      <w:pPr>
        <w:jc w:val="center"/>
        <w:rPr>
          <w:rStyle w:val="Strong"/>
        </w:rPr>
      </w:pPr>
      <w:r w:rsidRPr="00C46E50">
        <w:rPr>
          <w:rStyle w:val="Strong"/>
          <w:lang w:eastAsia="ja-JP"/>
        </w:rPr>
        <w:t>Biosecurity + Market Access = Lasting two-way trade relationships</w:t>
      </w:r>
    </w:p>
    <w:p w14:paraId="1524BDA6" w14:textId="77777777" w:rsidR="00C46E50" w:rsidRDefault="00C46E50" w:rsidP="0035075A">
      <w:pPr>
        <w:pStyle w:val="Heading4"/>
        <w:keepNext/>
        <w:rPr>
          <w:lang w:eastAsia="ja-JP"/>
        </w:rPr>
      </w:pPr>
      <w:r>
        <w:rPr>
          <w:lang w:eastAsia="ja-JP"/>
        </w:rPr>
        <w:lastRenderedPageBreak/>
        <w:t>Assessing the opportunities</w:t>
      </w:r>
    </w:p>
    <w:p w14:paraId="3D8C3F8E" w14:textId="77777777" w:rsidR="00C46E50" w:rsidRDefault="00C46E50" w:rsidP="00C46E50">
      <w:pPr>
        <w:rPr>
          <w:lang w:eastAsia="ja-JP"/>
        </w:rPr>
      </w:pPr>
      <w:r>
        <w:rPr>
          <w:lang w:eastAsia="ja-JP"/>
        </w:rPr>
        <w:t>The Australian Government has responsibility for market access negotiations. However, the export interests of multiple governments and multiple industries</w:t>
      </w:r>
      <w:r w:rsidR="0014029A">
        <w:rPr>
          <w:lang w:eastAsia="ja-JP"/>
        </w:rPr>
        <w:t>—</w:t>
      </w:r>
      <w:r>
        <w:rPr>
          <w:lang w:eastAsia="ja-JP"/>
        </w:rPr>
        <w:t>with multiple export aspirations</w:t>
      </w:r>
      <w:r w:rsidR="0014029A">
        <w:rPr>
          <w:lang w:eastAsia="ja-JP"/>
        </w:rPr>
        <w:t>—</w:t>
      </w:r>
      <w:r>
        <w:rPr>
          <w:lang w:eastAsia="ja-JP"/>
        </w:rPr>
        <w:t>means implementing such an approach is highly complex.</w:t>
      </w:r>
    </w:p>
    <w:p w14:paraId="486EF18B" w14:textId="2373249B" w:rsidR="00C46E50" w:rsidRDefault="00C46E50" w:rsidP="00C46E50">
      <w:pPr>
        <w:rPr>
          <w:lang w:eastAsia="ja-JP"/>
        </w:rPr>
      </w:pPr>
      <w:r>
        <w:rPr>
          <w:lang w:eastAsia="ja-JP"/>
        </w:rPr>
        <w:t xml:space="preserve">The arrangements for facilitating government and industry agreement on market access priorities </w:t>
      </w:r>
      <w:r w:rsidR="00BF5E36">
        <w:rPr>
          <w:lang w:eastAsia="ja-JP"/>
        </w:rPr>
        <w:t>can b</w:t>
      </w:r>
      <w:r>
        <w:rPr>
          <w:lang w:eastAsia="ja-JP"/>
        </w:rPr>
        <w:t xml:space="preserve">e opaque to those not directly party to the negotiations. While acknowledging the sensitive nature of our market access strategy, </w:t>
      </w:r>
      <w:r w:rsidR="007953FA">
        <w:rPr>
          <w:lang w:eastAsia="ja-JP"/>
        </w:rPr>
        <w:t xml:space="preserve">governments should consider what </w:t>
      </w:r>
      <w:r>
        <w:rPr>
          <w:lang w:eastAsia="ja-JP"/>
        </w:rPr>
        <w:t xml:space="preserve">scope </w:t>
      </w:r>
      <w:r w:rsidR="007953FA">
        <w:rPr>
          <w:lang w:eastAsia="ja-JP"/>
        </w:rPr>
        <w:t xml:space="preserve">there is </w:t>
      </w:r>
      <w:r>
        <w:rPr>
          <w:lang w:eastAsia="ja-JP"/>
        </w:rPr>
        <w:t>to publicly clarify the processes and consultation mechanisms for developing and reviewing it</w:t>
      </w:r>
      <w:r w:rsidR="007953FA">
        <w:rPr>
          <w:lang w:eastAsia="ja-JP"/>
        </w:rPr>
        <w:t>, without compromising our trade. Judgement will clearly be required to assess the desirable degree of transparency against the risk it poses to Australia’s interests</w:t>
      </w:r>
      <w:r>
        <w:rPr>
          <w:lang w:eastAsia="ja-JP"/>
        </w:rPr>
        <w:t>.</w:t>
      </w:r>
    </w:p>
    <w:p w14:paraId="63353BDC" w14:textId="2D9E6EE2" w:rsidR="00C46E50" w:rsidRDefault="00C46E50" w:rsidP="00C46E50">
      <w:pPr>
        <w:rPr>
          <w:lang w:eastAsia="ja-JP"/>
        </w:rPr>
      </w:pPr>
      <w:r>
        <w:rPr>
          <w:lang w:eastAsia="ja-JP"/>
        </w:rPr>
        <w:t>The Primary Industries Technical Market Access and Trade Development Task Group (</w:t>
      </w:r>
      <w:r w:rsidRPr="00723F58">
        <w:rPr>
          <w:lang w:eastAsia="ja-JP"/>
        </w:rPr>
        <w:t>PITMATD</w:t>
      </w:r>
      <w:r>
        <w:rPr>
          <w:lang w:eastAsia="ja-JP"/>
        </w:rPr>
        <w:t>)</w:t>
      </w:r>
      <w:r w:rsidR="00142B0F">
        <w:rPr>
          <w:lang w:eastAsia="ja-JP"/>
        </w:rPr>
        <w:t>—</w:t>
      </w:r>
      <w:r>
        <w:rPr>
          <w:lang w:eastAsia="ja-JP"/>
        </w:rPr>
        <w:t>comprising senior representatives of agriculture and trade departments</w:t>
      </w:r>
      <w:r w:rsidR="00142B0F">
        <w:rPr>
          <w:lang w:eastAsia="ja-JP"/>
        </w:rPr>
        <w:t>—</w:t>
      </w:r>
      <w:r>
        <w:rPr>
          <w:lang w:eastAsia="ja-JP"/>
        </w:rPr>
        <w:t>plays a key role in shaping the trade policy framework and coordinating market access efforts by the jurisdictions. Feedback received by the Panel during th</w:t>
      </w:r>
      <w:r w:rsidR="00066033">
        <w:rPr>
          <w:lang w:eastAsia="ja-JP"/>
        </w:rPr>
        <w:t>is</w:t>
      </w:r>
      <w:r>
        <w:rPr>
          <w:lang w:eastAsia="ja-JP"/>
        </w:rPr>
        <w:t xml:space="preserve"> </w:t>
      </w:r>
      <w:r w:rsidR="0056569E">
        <w:rPr>
          <w:lang w:eastAsia="ja-JP"/>
        </w:rPr>
        <w:t>R</w:t>
      </w:r>
      <w:r>
        <w:rPr>
          <w:lang w:eastAsia="ja-JP"/>
        </w:rPr>
        <w:t xml:space="preserve">eview indicates this can be an effective forum, though there are no public outputs for non-government stakeholders to judge. It is also unclear how the work of </w:t>
      </w:r>
      <w:r w:rsidR="0014029A">
        <w:rPr>
          <w:lang w:eastAsia="ja-JP"/>
        </w:rPr>
        <w:t xml:space="preserve">the </w:t>
      </w:r>
      <w:r>
        <w:rPr>
          <w:lang w:eastAsia="ja-JP"/>
        </w:rPr>
        <w:t xml:space="preserve">NBC, including any role in addressing biosecurity related trade limitations, might be taken up by or through PITMATD. This seems largely dependent upon CEOs of agriculture departments who are both members of PITMATD and the higher authority to </w:t>
      </w:r>
      <w:r w:rsidR="00D23E20">
        <w:rPr>
          <w:lang w:eastAsia="ja-JP"/>
        </w:rPr>
        <w:t xml:space="preserve">the </w:t>
      </w:r>
      <w:r>
        <w:rPr>
          <w:lang w:eastAsia="ja-JP"/>
        </w:rPr>
        <w:t>NBC</w:t>
      </w:r>
      <w:r w:rsidR="00386EDF">
        <w:rPr>
          <w:lang w:eastAsia="ja-JP"/>
        </w:rPr>
        <w:t>.</w:t>
      </w:r>
    </w:p>
    <w:p w14:paraId="0C464303" w14:textId="452CB93B" w:rsidR="00770364" w:rsidRDefault="00C46E50" w:rsidP="00C46E50">
      <w:pPr>
        <w:rPr>
          <w:lang w:eastAsia="ja-JP"/>
        </w:rPr>
      </w:pPr>
      <w:r>
        <w:rPr>
          <w:lang w:eastAsia="ja-JP"/>
        </w:rPr>
        <w:t>Industry is seeking greater opportunity to input into market access decisions by the Australian Government. While industry takes the lead on developing commodity market access strategies (with the input of governments), the Australian Government develops the overarching priorities for international market access and country strategies on key markets (with the input of industry and states). Such arrangements have had variable outcomes for the parties depending on the balances struck during the negotiation process. Some industry stakeholders cited instances where market access wins did not align with industry priorities. On the other hand, government cited some instances where multiple market access requests by the horticulture sector wer</w:t>
      </w:r>
      <w:r w:rsidR="009D1E8D">
        <w:rPr>
          <w:lang w:eastAsia="ja-JP"/>
        </w:rPr>
        <w:t>e not prioritised or realistic.</w:t>
      </w:r>
    </w:p>
    <w:p w14:paraId="7E8586A1" w14:textId="77777777" w:rsidR="00C46E50" w:rsidRDefault="00C46E50" w:rsidP="00C46E50">
      <w:pPr>
        <w:rPr>
          <w:lang w:eastAsia="ja-JP"/>
        </w:rPr>
      </w:pPr>
      <w:r>
        <w:rPr>
          <w:lang w:eastAsia="ja-JP"/>
        </w:rPr>
        <w:t>The Panel notes the positive role being played by the Grains Industry Market Access Forum and Horticulture Innovation Australia</w:t>
      </w:r>
      <w:r w:rsidR="008F7702">
        <w:rPr>
          <w:lang w:eastAsia="ja-JP"/>
        </w:rPr>
        <w:t xml:space="preserve"> Limited</w:t>
      </w:r>
      <w:r>
        <w:rPr>
          <w:lang w:eastAsia="ja-JP"/>
        </w:rPr>
        <w:t xml:space="preserve"> to facilitate development of industry priorities for new and improved market access</w:t>
      </w:r>
      <w:r w:rsidRPr="00306022">
        <w:rPr>
          <w:lang w:eastAsia="ja-JP"/>
        </w:rPr>
        <w:t>. Agricultural industries should</w:t>
      </w:r>
      <w:r>
        <w:rPr>
          <w:lang w:eastAsia="ja-JP"/>
        </w:rPr>
        <w:t xml:space="preserve"> be encouraged to work closely with bodies such as these to robustly assess market readiness and quantify the return for effort required to gain access.</w:t>
      </w:r>
    </w:p>
    <w:p w14:paraId="638AC5B3" w14:textId="377D188D" w:rsidR="00C46E50" w:rsidRDefault="00C46E50" w:rsidP="00C46E50">
      <w:pPr>
        <w:rPr>
          <w:lang w:eastAsia="ja-JP"/>
        </w:rPr>
      </w:pPr>
      <w:r>
        <w:rPr>
          <w:lang w:eastAsia="ja-JP"/>
        </w:rPr>
        <w:t xml:space="preserve">While not necessarily within the scope of this </w:t>
      </w:r>
      <w:r w:rsidR="0056569E">
        <w:rPr>
          <w:lang w:eastAsia="ja-JP"/>
        </w:rPr>
        <w:t>R</w:t>
      </w:r>
      <w:r>
        <w:rPr>
          <w:lang w:eastAsia="ja-JP"/>
        </w:rPr>
        <w:t>eview, the Panel also note</w:t>
      </w:r>
      <w:r w:rsidR="008F7702">
        <w:rPr>
          <w:lang w:eastAsia="ja-JP"/>
        </w:rPr>
        <w:t>s</w:t>
      </w:r>
      <w:r>
        <w:rPr>
          <w:lang w:eastAsia="ja-JP"/>
        </w:rPr>
        <w:t xml:space="preserve"> that government and industry stakeholders continue to express concerns around the biosecurity import risk analysis (</w:t>
      </w:r>
      <w:r w:rsidRPr="00723F58">
        <w:rPr>
          <w:lang w:eastAsia="ja-JP"/>
        </w:rPr>
        <w:t>BIRA</w:t>
      </w:r>
      <w:r>
        <w:rPr>
          <w:lang w:eastAsia="ja-JP"/>
        </w:rPr>
        <w:t>) process and outcomes (</w:t>
      </w:r>
      <w:r w:rsidR="00142B0F">
        <w:rPr>
          <w:lang w:eastAsia="ja-JP"/>
        </w:rPr>
        <w:t>for examp</w:t>
      </w:r>
      <w:r w:rsidR="00A301C7">
        <w:rPr>
          <w:lang w:eastAsia="ja-JP"/>
        </w:rPr>
        <w:t>l</w:t>
      </w:r>
      <w:r w:rsidR="00142B0F">
        <w:rPr>
          <w:lang w:eastAsia="ja-JP"/>
        </w:rPr>
        <w:t>e</w:t>
      </w:r>
      <w:r w:rsidR="00A301C7">
        <w:rPr>
          <w:lang w:eastAsia="ja-JP"/>
        </w:rPr>
        <w:t>,</w:t>
      </w:r>
      <w:r>
        <w:rPr>
          <w:lang w:eastAsia="ja-JP"/>
        </w:rPr>
        <w:t xml:space="preserve"> table grapes). These concerns relate </w:t>
      </w:r>
      <w:r w:rsidR="00BF5E36">
        <w:rPr>
          <w:lang w:eastAsia="ja-JP"/>
        </w:rPr>
        <w:t xml:space="preserve">primarily </w:t>
      </w:r>
      <w:r>
        <w:rPr>
          <w:lang w:eastAsia="ja-JP"/>
        </w:rPr>
        <w:t xml:space="preserve">to competition, </w:t>
      </w:r>
      <w:r w:rsidR="00BF5E36">
        <w:rPr>
          <w:lang w:eastAsia="ja-JP"/>
        </w:rPr>
        <w:t xml:space="preserve">in other cases to contention around </w:t>
      </w:r>
      <w:r>
        <w:rPr>
          <w:lang w:eastAsia="ja-JP"/>
        </w:rPr>
        <w:t xml:space="preserve">science, pest and disease risk, and the lack of industry engagement on any underlying strategy for </w:t>
      </w:r>
      <w:r w:rsidR="00BF5E36">
        <w:rPr>
          <w:lang w:eastAsia="ja-JP"/>
        </w:rPr>
        <w:t xml:space="preserve">the </w:t>
      </w:r>
      <w:r>
        <w:rPr>
          <w:lang w:eastAsia="ja-JP"/>
        </w:rPr>
        <w:t>BIRA</w:t>
      </w:r>
      <w:r w:rsidR="00BF5E36">
        <w:rPr>
          <w:lang w:eastAsia="ja-JP"/>
        </w:rPr>
        <w:t xml:space="preserve"> work program</w:t>
      </w:r>
      <w:r>
        <w:rPr>
          <w:lang w:eastAsia="ja-JP"/>
        </w:rPr>
        <w:t>. In its submission, the NFF acknowledge that “industry could be engaged more on priorities to better align the departments import analysis and export market access work”</w:t>
      </w:r>
      <w:r w:rsidR="001028F8">
        <w:rPr>
          <w:lang w:eastAsia="ja-JP"/>
        </w:rPr>
        <w:t xml:space="preserve"> </w:t>
      </w:r>
      <w:r w:rsidR="008F7702">
        <w:rPr>
          <w:lang w:eastAsia="ja-JP"/>
        </w:rPr>
        <w:t>(National Farmers’ Federation submission, p.</w:t>
      </w:r>
      <w:r w:rsidR="00360D3E">
        <w:rPr>
          <w:lang w:eastAsia="ja-JP"/>
        </w:rPr>
        <w:t xml:space="preserve"> </w:t>
      </w:r>
      <w:r w:rsidR="008F7702">
        <w:rPr>
          <w:lang w:eastAsia="ja-JP"/>
        </w:rPr>
        <w:t>7).</w:t>
      </w:r>
      <w:r>
        <w:rPr>
          <w:lang w:eastAsia="ja-JP"/>
        </w:rPr>
        <w:t xml:space="preserve"> PITMATD would appear to be the appropriate vehicle for </w:t>
      </w:r>
      <w:r w:rsidR="002248F4">
        <w:rPr>
          <w:lang w:eastAsia="ja-JP"/>
        </w:rPr>
        <w:t xml:space="preserve">discussing </w:t>
      </w:r>
      <w:r>
        <w:rPr>
          <w:lang w:eastAsia="ja-JP"/>
        </w:rPr>
        <w:t>these issues.</w:t>
      </w:r>
    </w:p>
    <w:p w14:paraId="5DCF3D91" w14:textId="77777777" w:rsidR="00C46E50" w:rsidRDefault="00C46E50" w:rsidP="00C46E50">
      <w:pPr>
        <w:pStyle w:val="Heading4"/>
        <w:rPr>
          <w:lang w:eastAsia="ja-JP"/>
        </w:rPr>
      </w:pPr>
      <w:r>
        <w:rPr>
          <w:lang w:eastAsia="ja-JP"/>
        </w:rPr>
        <w:lastRenderedPageBreak/>
        <w:t>Balancing our efforts</w:t>
      </w:r>
    </w:p>
    <w:p w14:paraId="7279BFD6" w14:textId="4E60EC43" w:rsidR="00C46E50" w:rsidRDefault="00C46E50" w:rsidP="00C46E50">
      <w:pPr>
        <w:rPr>
          <w:lang w:eastAsia="ja-JP"/>
        </w:rPr>
      </w:pPr>
      <w:r>
        <w:rPr>
          <w:lang w:eastAsia="ja-JP"/>
        </w:rPr>
        <w:t xml:space="preserve">In </w:t>
      </w:r>
      <w:r w:rsidR="00EF0724">
        <w:rPr>
          <w:lang w:eastAsia="ja-JP"/>
        </w:rPr>
        <w:t>Australia’s</w:t>
      </w:r>
      <w:r>
        <w:rPr>
          <w:lang w:eastAsia="ja-JP"/>
        </w:rPr>
        <w:t xml:space="preserve"> qu</w:t>
      </w:r>
      <w:r w:rsidR="00EF0724">
        <w:rPr>
          <w:lang w:eastAsia="ja-JP"/>
        </w:rPr>
        <w:t>est to obtain new markets, hard-</w:t>
      </w:r>
      <w:r>
        <w:rPr>
          <w:lang w:eastAsia="ja-JP"/>
        </w:rPr>
        <w:t xml:space="preserve">won and improved access for our agricultural products in existing markets must be continuously nurtured and our international reputation maintained. </w:t>
      </w:r>
      <w:r w:rsidRPr="00496476">
        <w:rPr>
          <w:lang w:eastAsia="ja-JP"/>
        </w:rPr>
        <w:t>Key market access achievements since July 2013</w:t>
      </w:r>
      <w:r w:rsidR="004C78AA" w:rsidRPr="00496476">
        <w:rPr>
          <w:lang w:eastAsia="ja-JP"/>
        </w:rPr>
        <w:t>,</w:t>
      </w:r>
      <w:r w:rsidRPr="00496476">
        <w:rPr>
          <w:lang w:eastAsia="ja-JP"/>
        </w:rPr>
        <w:t xml:space="preserve"> published </w:t>
      </w:r>
      <w:r w:rsidR="004C78AA" w:rsidRPr="00496476">
        <w:rPr>
          <w:lang w:eastAsia="ja-JP"/>
        </w:rPr>
        <w:t>on</w:t>
      </w:r>
      <w:r w:rsidRPr="00496476">
        <w:rPr>
          <w:lang w:eastAsia="ja-JP"/>
        </w:rPr>
        <w:t xml:space="preserve"> the </w:t>
      </w:r>
      <w:r w:rsidR="008F7702" w:rsidRPr="00496476">
        <w:rPr>
          <w:lang w:eastAsia="ja-JP"/>
        </w:rPr>
        <w:t xml:space="preserve">Australian Government </w:t>
      </w:r>
      <w:hyperlink r:id="rId28" w:history="1">
        <w:r w:rsidRPr="002A3424">
          <w:rPr>
            <w:rStyle w:val="Hyperlink"/>
            <w:lang w:eastAsia="ja-JP"/>
          </w:rPr>
          <w:t>Department of Agriculture and Water Resources</w:t>
        </w:r>
      </w:hyperlink>
      <w:r w:rsidR="004C78AA" w:rsidRPr="00496476">
        <w:rPr>
          <w:lang w:eastAsia="ja-JP"/>
        </w:rPr>
        <w:t xml:space="preserve"> </w:t>
      </w:r>
      <w:r w:rsidR="004C78AA" w:rsidRPr="002A3424">
        <w:rPr>
          <w:lang w:eastAsia="ja-JP"/>
        </w:rPr>
        <w:t>website</w:t>
      </w:r>
      <w:r w:rsidR="008F7702" w:rsidRPr="00496476">
        <w:rPr>
          <w:lang w:eastAsia="ja-JP"/>
        </w:rPr>
        <w:t>,</w:t>
      </w:r>
      <w:r w:rsidRPr="00496476">
        <w:rPr>
          <w:lang w:eastAsia="ja-JP"/>
        </w:rPr>
        <w:t xml:space="preserve"> indicate</w:t>
      </w:r>
      <w:r w:rsidR="008E4D48">
        <w:rPr>
          <w:lang w:eastAsia="ja-JP"/>
        </w:rPr>
        <w:t>s</w:t>
      </w:r>
      <w:r w:rsidRPr="00496476">
        <w:rPr>
          <w:lang w:eastAsia="ja-JP"/>
        </w:rPr>
        <w:t xml:space="preserve"> </w:t>
      </w:r>
      <w:r w:rsidR="004C78AA" w:rsidRPr="00496476">
        <w:rPr>
          <w:lang w:eastAsia="ja-JP"/>
        </w:rPr>
        <w:t xml:space="preserve">that </w:t>
      </w:r>
      <w:r w:rsidRPr="00496476">
        <w:rPr>
          <w:lang w:eastAsia="ja-JP"/>
        </w:rPr>
        <w:t>approximately 50 per cent of wins concerned improved access, maintained access or restored access in our existing markets.</w:t>
      </w:r>
    </w:p>
    <w:p w14:paraId="43C15E9E" w14:textId="77E6352B" w:rsidR="00C46E50" w:rsidRPr="00C46E50" w:rsidRDefault="00C46E50" w:rsidP="00C46E50">
      <w:pPr>
        <w:rPr>
          <w:lang w:eastAsia="ja-JP"/>
        </w:rPr>
      </w:pPr>
      <w:r>
        <w:rPr>
          <w:lang w:eastAsia="ja-JP"/>
        </w:rPr>
        <w:t>While incidents of temporary suspension of Australia’s market access are rare compared to our exporting competitors (</w:t>
      </w:r>
      <w:r w:rsidR="00595669" w:rsidRPr="009D18E4">
        <w:rPr>
          <w:lang w:eastAsia="ja-JP"/>
        </w:rPr>
        <w:t>New South Wales Government Department of Primary Industries</w:t>
      </w:r>
      <w:r>
        <w:rPr>
          <w:lang w:eastAsia="ja-JP"/>
        </w:rPr>
        <w:t xml:space="preserve"> submission</w:t>
      </w:r>
      <w:r w:rsidR="008F7702">
        <w:rPr>
          <w:lang w:eastAsia="ja-JP"/>
        </w:rPr>
        <w:t>, p. 14</w:t>
      </w:r>
      <w:r>
        <w:rPr>
          <w:lang w:eastAsia="ja-JP"/>
        </w:rPr>
        <w:t>), the Panel notes there were at least 17 instances where trade was restored in the past three years. Recent examples of non-compliance with importing countries requirements include the 2016 suspension of live cattle exports to Japan (</w:t>
      </w:r>
      <w:r w:rsidR="00EE4AD4">
        <w:rPr>
          <w:lang w:eastAsia="ja-JP"/>
        </w:rPr>
        <w:fldChar w:fldCharType="begin"/>
      </w:r>
      <w:r w:rsidR="00EE4AD4">
        <w:rPr>
          <w:lang w:eastAsia="ja-JP"/>
        </w:rPr>
        <w:instrText xml:space="preserve"> REF _Ref466896160 \h </w:instrText>
      </w:r>
      <w:r w:rsidR="00EE4AD4">
        <w:rPr>
          <w:lang w:eastAsia="ja-JP"/>
        </w:rPr>
      </w:r>
      <w:r w:rsidR="00EE4AD4">
        <w:rPr>
          <w:lang w:eastAsia="ja-JP"/>
        </w:rPr>
        <w:fldChar w:fldCharType="separate"/>
      </w:r>
      <w:r w:rsidR="008303E2">
        <w:t xml:space="preserve">Box </w:t>
      </w:r>
      <w:r w:rsidR="008303E2">
        <w:rPr>
          <w:noProof/>
        </w:rPr>
        <w:t>3</w:t>
      </w:r>
      <w:r w:rsidR="00EE4AD4">
        <w:rPr>
          <w:lang w:eastAsia="ja-JP"/>
        </w:rPr>
        <w:fldChar w:fldCharType="end"/>
      </w:r>
      <w:r>
        <w:rPr>
          <w:lang w:eastAsia="ja-JP"/>
        </w:rPr>
        <w:t>) and repeated rejection of consignments of barley to China due to high snail numbers. Restoration of trade is usually achieved through agreement to new export certification requirements or bilateral negotiations with the importing countries. However, there is a significant economic, reputational and opportunity cost to these events occurring, even though trade may be restored within 12 months. A</w:t>
      </w:r>
      <w:r w:rsidR="008F7702">
        <w:rPr>
          <w:lang w:eastAsia="ja-JP"/>
        </w:rPr>
        <w:t xml:space="preserve"> national</w:t>
      </w:r>
      <w:r>
        <w:rPr>
          <w:lang w:eastAsia="ja-JP"/>
        </w:rPr>
        <w:t xml:space="preserve"> biosecurity system focussed on supporting market access should have a very low tolerance for such occurrences.</w:t>
      </w:r>
      <w:r w:rsidR="00BF5E36">
        <w:rPr>
          <w:lang w:eastAsia="ja-JP"/>
        </w:rPr>
        <w:t xml:space="preserve"> When such incidents occur, considerable analysis is needed to establish where the supply chain or inspection and certification processes have broken down and to institute remedial action to avoid repeat disruption to the market.</w:t>
      </w:r>
    </w:p>
    <w:p w14:paraId="6C57A033" w14:textId="77777777" w:rsidR="002B4A50" w:rsidRDefault="002B4A50" w:rsidP="00ED6625">
      <w:pPr>
        <w:pStyle w:val="BoxHeading"/>
        <w:rPr>
          <w:lang w:eastAsia="ja-JP"/>
        </w:rPr>
      </w:pPr>
      <w:bookmarkStart w:id="48" w:name="_Ref466896160"/>
      <w:bookmarkStart w:id="49" w:name="_Toc468176747"/>
      <w:bookmarkStart w:id="50" w:name="_Toc468444396"/>
      <w:r>
        <w:t xml:space="preserve">Box </w:t>
      </w:r>
      <w:r w:rsidR="008303E2">
        <w:fldChar w:fldCharType="begin"/>
      </w:r>
      <w:r w:rsidR="008303E2">
        <w:instrText xml:space="preserve"> SEQ Box \* ARABIC </w:instrText>
      </w:r>
      <w:r w:rsidR="008303E2">
        <w:fldChar w:fldCharType="separate"/>
      </w:r>
      <w:r w:rsidR="008303E2">
        <w:rPr>
          <w:noProof/>
        </w:rPr>
        <w:t>3</w:t>
      </w:r>
      <w:r w:rsidR="008303E2">
        <w:rPr>
          <w:noProof/>
        </w:rPr>
        <w:fldChar w:fldCharType="end"/>
      </w:r>
      <w:bookmarkEnd w:id="48"/>
      <w:r w:rsidR="00081BB4">
        <w:t>:</w:t>
      </w:r>
      <w:r>
        <w:t xml:space="preserve"> 2016 suspension of live cattle exports to Japan</w:t>
      </w:r>
      <w:bookmarkEnd w:id="49"/>
      <w:bookmarkEnd w:id="50"/>
    </w:p>
    <w:p w14:paraId="78A9A555" w14:textId="363BBC81" w:rsidR="00EE4AD4" w:rsidRDefault="00EE4AD4" w:rsidP="002B4A50">
      <w:pPr>
        <w:pStyle w:val="BoxText"/>
        <w:rPr>
          <w:lang w:eastAsia="ja-JP"/>
        </w:rPr>
      </w:pPr>
      <w:r w:rsidRPr="00EE4AD4">
        <w:rPr>
          <w:lang w:eastAsia="ja-JP"/>
        </w:rPr>
        <w:t>In June 2016</w:t>
      </w:r>
      <w:r>
        <w:rPr>
          <w:lang w:eastAsia="ja-JP"/>
        </w:rPr>
        <w:t>,</w:t>
      </w:r>
      <w:r w:rsidRPr="00EE4AD4">
        <w:rPr>
          <w:lang w:eastAsia="ja-JP"/>
        </w:rPr>
        <w:t xml:space="preserve"> Japan temporarily stopped accepting feeder and breeder cattle from Australia in response to some cattle testing positive for the wasting disease Bovine Johne’s disease (BJD) in post arrival quarantine. Japan is Australia’s only international live cattle export market that is ac</w:t>
      </w:r>
      <w:r w:rsidR="0028518A">
        <w:rPr>
          <w:lang w:eastAsia="ja-JP"/>
        </w:rPr>
        <w:t>tively eradicating BJD and has s</w:t>
      </w:r>
      <w:r w:rsidRPr="00EE4AD4">
        <w:rPr>
          <w:lang w:eastAsia="ja-JP"/>
        </w:rPr>
        <w:t>anitary justification in applying strict import controls for this disease. An investigation by the</w:t>
      </w:r>
      <w:r w:rsidR="00770364">
        <w:rPr>
          <w:lang w:eastAsia="ja-JP"/>
        </w:rPr>
        <w:t xml:space="preserve"> Australian Government</w:t>
      </w:r>
      <w:r w:rsidRPr="00EE4AD4">
        <w:rPr>
          <w:lang w:eastAsia="ja-JP"/>
        </w:rPr>
        <w:t xml:space="preserve"> Department of Agriculture and Water Resources into the matter confirmed that the consignment of 300 cattle from Victoria were not prepared according to the importing country requirements. In this case, certain preparation and isolation procedures within the supply chain were not adequately followed, resulting in the live cattle exporting business having its licence to send cattle overseas cancelled. Japanese authorities reopened the $14.6 million trade in feeder and breeder cattle from Australia in August 2016, following agreement on improved export certification processes for all consignments to ensure transparent information about the origin of all exported cattle.</w:t>
      </w:r>
    </w:p>
    <w:p w14:paraId="1F38A1CC" w14:textId="785E9779" w:rsidR="00D23E20" w:rsidRDefault="00D23E20" w:rsidP="00D23E20">
      <w:pPr>
        <w:pStyle w:val="BoxSource"/>
        <w:rPr>
          <w:lang w:eastAsia="ja-JP"/>
        </w:rPr>
      </w:pPr>
      <w:r>
        <w:rPr>
          <w:lang w:eastAsia="ja-JP"/>
        </w:rPr>
        <w:t xml:space="preserve">Source: </w:t>
      </w:r>
      <w:r w:rsidR="007B4D4F">
        <w:rPr>
          <w:lang w:eastAsia="ja-JP"/>
        </w:rPr>
        <w:t xml:space="preserve">Australian Government </w:t>
      </w:r>
      <w:r>
        <w:rPr>
          <w:lang w:eastAsia="ja-JP"/>
        </w:rPr>
        <w:t>Department of Agriculture and Water Resources</w:t>
      </w:r>
      <w:r w:rsidR="009E7788">
        <w:rPr>
          <w:lang w:eastAsia="ja-JP"/>
        </w:rPr>
        <w:t>.</w:t>
      </w:r>
    </w:p>
    <w:p w14:paraId="5AA3C295" w14:textId="77777777" w:rsidR="00A1206C" w:rsidRDefault="00EE4AD4" w:rsidP="00A1206C">
      <w:pPr>
        <w:rPr>
          <w:lang w:eastAsia="ja-JP"/>
        </w:rPr>
      </w:pPr>
      <w:r w:rsidRPr="00EE4AD4">
        <w:rPr>
          <w:lang w:eastAsia="ja-JP"/>
        </w:rPr>
        <w:t xml:space="preserve">While Australia’s strong regulatory framework, across all jurisdictions, has a critical role to play here, industry must ensure that systems are </w:t>
      </w:r>
      <w:r w:rsidR="008F7702">
        <w:rPr>
          <w:lang w:eastAsia="ja-JP"/>
        </w:rPr>
        <w:t xml:space="preserve">put </w:t>
      </w:r>
      <w:r w:rsidRPr="00EE4AD4">
        <w:rPr>
          <w:lang w:eastAsia="ja-JP"/>
        </w:rPr>
        <w:t>in place t</w:t>
      </w:r>
      <w:r w:rsidR="008F7702">
        <w:rPr>
          <w:lang w:eastAsia="ja-JP"/>
        </w:rPr>
        <w:t>o</w:t>
      </w:r>
      <w:r w:rsidRPr="00EE4AD4">
        <w:rPr>
          <w:lang w:eastAsia="ja-JP"/>
        </w:rPr>
        <w:t xml:space="preserve"> prevent a small number of operators</w:t>
      </w:r>
      <w:r w:rsidR="008F7702">
        <w:rPr>
          <w:lang w:eastAsia="ja-JP"/>
        </w:rPr>
        <w:t xml:space="preserve"> from</w:t>
      </w:r>
      <w:r w:rsidRPr="00EE4AD4">
        <w:rPr>
          <w:lang w:eastAsia="ja-JP"/>
        </w:rPr>
        <w:t xml:space="preserve"> adopting sub-standard practices</w:t>
      </w:r>
      <w:r w:rsidR="008F7702">
        <w:rPr>
          <w:lang w:eastAsia="ja-JP"/>
        </w:rPr>
        <w:t>, and</w:t>
      </w:r>
      <w:r w:rsidRPr="00EE4AD4">
        <w:rPr>
          <w:lang w:eastAsia="ja-JP"/>
        </w:rPr>
        <w:t xml:space="preserve"> potentially devastating a whole industry. Industries need to be pro-active in encouraging the use of best practise management systems across all sectors, to minimise the threat of loss of reputation and credibility, and potentially being shut out of an export market.</w:t>
      </w:r>
    </w:p>
    <w:p w14:paraId="576CC62A" w14:textId="77777777" w:rsidR="002B4A50" w:rsidRDefault="00EE4AD4" w:rsidP="002B4A50">
      <w:pPr>
        <w:pStyle w:val="Heading4"/>
        <w:rPr>
          <w:lang w:eastAsia="ja-JP"/>
        </w:rPr>
      </w:pPr>
      <w:r>
        <w:rPr>
          <w:lang w:eastAsia="ja-JP"/>
        </w:rPr>
        <w:t>Regional differences/area freedom</w:t>
      </w:r>
    </w:p>
    <w:p w14:paraId="02FB12A7" w14:textId="71FD012A" w:rsidR="00EE4AD4" w:rsidRDefault="00EE4AD4" w:rsidP="00EE4AD4">
      <w:pPr>
        <w:rPr>
          <w:lang w:eastAsia="ja-JP"/>
        </w:rPr>
      </w:pPr>
      <w:r>
        <w:rPr>
          <w:lang w:eastAsia="ja-JP"/>
        </w:rPr>
        <w:t>The capacity to establish zones of</w:t>
      </w:r>
      <w:r w:rsidR="008F7702">
        <w:rPr>
          <w:lang w:eastAsia="ja-JP"/>
        </w:rPr>
        <w:t xml:space="preserve"> area</w:t>
      </w:r>
      <w:r>
        <w:rPr>
          <w:lang w:eastAsia="ja-JP"/>
        </w:rPr>
        <w:t xml:space="preserve"> freedom from pests and diseases is highly valued by primary producers. Regional freedom can provide significant trade advantages especially</w:t>
      </w:r>
      <w:r w:rsidR="00A6109D">
        <w:rPr>
          <w:lang w:eastAsia="ja-JP"/>
        </w:rPr>
        <w:t xml:space="preserve"> during a biosecurity outbreak.</w:t>
      </w:r>
    </w:p>
    <w:p w14:paraId="75073887" w14:textId="5269F05F" w:rsidR="00EE4AD4" w:rsidRDefault="00EE4AD4" w:rsidP="00EE4AD4">
      <w:pPr>
        <w:rPr>
          <w:lang w:eastAsia="ja-JP"/>
        </w:rPr>
      </w:pPr>
      <w:r>
        <w:rPr>
          <w:lang w:eastAsia="ja-JP"/>
        </w:rPr>
        <w:lastRenderedPageBreak/>
        <w:t>Jurisdictions, however, hold a range of views on the strategic approach and value of demonstrating area freedom. The Western Australian government claims there should be greater recognition of the market access benefits that regional freedom status can bring to jurisdictions</w:t>
      </w:r>
      <w:r w:rsidR="00387484">
        <w:rPr>
          <w:lang w:eastAsia="ja-JP"/>
        </w:rPr>
        <w:t xml:space="preserve"> (Western Australian Government submission, p.8)</w:t>
      </w:r>
      <w:r>
        <w:rPr>
          <w:lang w:eastAsia="ja-JP"/>
        </w:rPr>
        <w:t>. Western Australia is free of many pests and diseases that are present in other states and territories, largely as a result of its isolation, and implements border protection arrangements to maintain its geographic and area freedom advantage. The same might be said for Tasmania</w:t>
      </w:r>
      <w:r w:rsidR="00A301C7">
        <w:rPr>
          <w:lang w:eastAsia="ja-JP"/>
        </w:rPr>
        <w:t>.</w:t>
      </w:r>
      <w:r>
        <w:rPr>
          <w:lang w:eastAsia="ja-JP"/>
        </w:rPr>
        <w:t xml:space="preserve"> </w:t>
      </w:r>
      <w:r w:rsidR="00A301C7">
        <w:rPr>
          <w:lang w:eastAsia="ja-JP"/>
        </w:rPr>
        <w:t>T</w:t>
      </w:r>
      <w:r>
        <w:rPr>
          <w:lang w:eastAsia="ja-JP"/>
        </w:rPr>
        <w:t>he</w:t>
      </w:r>
      <w:r w:rsidR="00A301C7">
        <w:rPr>
          <w:lang w:eastAsia="ja-JP"/>
        </w:rPr>
        <w:t xml:space="preserve"> Review</w:t>
      </w:r>
      <w:r>
        <w:rPr>
          <w:lang w:eastAsia="ja-JP"/>
        </w:rPr>
        <w:t xml:space="preserve"> Panel notes </w:t>
      </w:r>
      <w:r w:rsidR="00A301C7">
        <w:rPr>
          <w:lang w:eastAsia="ja-JP"/>
        </w:rPr>
        <w:t>some</w:t>
      </w:r>
      <w:r>
        <w:rPr>
          <w:lang w:eastAsia="ja-JP"/>
        </w:rPr>
        <w:t xml:space="preserve"> government</w:t>
      </w:r>
      <w:r w:rsidR="00A301C7">
        <w:rPr>
          <w:lang w:eastAsia="ja-JP"/>
        </w:rPr>
        <w:t>s</w:t>
      </w:r>
      <w:r>
        <w:rPr>
          <w:lang w:eastAsia="ja-JP"/>
        </w:rPr>
        <w:t xml:space="preserve"> </w:t>
      </w:r>
      <w:r w:rsidR="00A301C7">
        <w:rPr>
          <w:lang w:eastAsia="ja-JP"/>
        </w:rPr>
        <w:t>are</w:t>
      </w:r>
      <w:r>
        <w:rPr>
          <w:lang w:eastAsia="ja-JP"/>
        </w:rPr>
        <w:t xml:space="preserve"> concerned about the significant resources provided by governments to maintain proof of area freedo</w:t>
      </w:r>
      <w:r w:rsidR="00A6109D">
        <w:rPr>
          <w:lang w:eastAsia="ja-JP"/>
        </w:rPr>
        <w:t>m, despite the private benefit.</w:t>
      </w:r>
    </w:p>
    <w:p w14:paraId="3110852A" w14:textId="77777777" w:rsidR="00EE4AD4" w:rsidRDefault="00EE4AD4" w:rsidP="00EE4AD4">
      <w:pPr>
        <w:rPr>
          <w:lang w:eastAsia="ja-JP"/>
        </w:rPr>
      </w:pPr>
      <w:r>
        <w:rPr>
          <w:lang w:eastAsia="ja-JP"/>
        </w:rPr>
        <w:t xml:space="preserve">The </w:t>
      </w:r>
      <w:r w:rsidR="00386EDF">
        <w:rPr>
          <w:lang w:eastAsia="ja-JP"/>
        </w:rPr>
        <w:t>Australian Government</w:t>
      </w:r>
      <w:r>
        <w:rPr>
          <w:lang w:eastAsia="ja-JP"/>
        </w:rPr>
        <w:t>, on the other hand, generally seeks to minimise internal border measures but recognise</w:t>
      </w:r>
      <w:r w:rsidR="00770364">
        <w:rPr>
          <w:lang w:eastAsia="ja-JP"/>
        </w:rPr>
        <w:t>s</w:t>
      </w:r>
      <w:r>
        <w:rPr>
          <w:lang w:eastAsia="ja-JP"/>
        </w:rPr>
        <w:t xml:space="preserve">, under the </w:t>
      </w:r>
      <w:r w:rsidRPr="00EE4AD4">
        <w:rPr>
          <w:i/>
          <w:lang w:eastAsia="ja-JP"/>
        </w:rPr>
        <w:t>Biosecurity Act 2015</w:t>
      </w:r>
      <w:r w:rsidR="00770364">
        <w:rPr>
          <w:i/>
          <w:lang w:eastAsia="ja-JP"/>
        </w:rPr>
        <w:t xml:space="preserve"> </w:t>
      </w:r>
      <w:r w:rsidR="00770364" w:rsidRPr="00770364">
        <w:rPr>
          <w:lang w:eastAsia="ja-JP"/>
        </w:rPr>
        <w:t>(</w:t>
      </w:r>
      <w:r w:rsidR="00770364">
        <w:rPr>
          <w:lang w:eastAsia="ja-JP"/>
        </w:rPr>
        <w:t>Cw</w:t>
      </w:r>
      <w:r w:rsidR="00387484" w:rsidRPr="00770364">
        <w:rPr>
          <w:lang w:eastAsia="ja-JP"/>
        </w:rPr>
        <w:t>lth</w:t>
      </w:r>
      <w:r w:rsidR="00770364">
        <w:rPr>
          <w:lang w:eastAsia="ja-JP"/>
        </w:rPr>
        <w:t>),</w:t>
      </w:r>
      <w:r>
        <w:rPr>
          <w:lang w:eastAsia="ja-JP"/>
        </w:rPr>
        <w:t xml:space="preserve"> regional differences where there is a strong, scientific evidence for taking action. However, the Victorian </w:t>
      </w:r>
      <w:r w:rsidR="00D23E20">
        <w:rPr>
          <w:lang w:eastAsia="ja-JP"/>
        </w:rPr>
        <w:t>G</w:t>
      </w:r>
      <w:r>
        <w:rPr>
          <w:lang w:eastAsia="ja-JP"/>
        </w:rPr>
        <w:t>overnment provides the following caution:</w:t>
      </w:r>
    </w:p>
    <w:p w14:paraId="61D158E0" w14:textId="77777777" w:rsidR="00EE4AD4" w:rsidRDefault="00EE4AD4" w:rsidP="00EE4AD4">
      <w:pPr>
        <w:pStyle w:val="Quote"/>
        <w:rPr>
          <w:lang w:eastAsia="ja-JP"/>
        </w:rPr>
      </w:pPr>
      <w:r>
        <w:rPr>
          <w:lang w:eastAsia="ja-JP"/>
        </w:rPr>
        <w:t xml:space="preserve">Zoning rules for international trade need to be carefully considered as they are very costly and can be more expensive to administer than the value of trade. Australia needs to carefully consider the need to have States and Territories recognised as zones, as this effectively results in the creation of ‘additional countries’ (Victorian </w:t>
      </w:r>
      <w:r w:rsidR="00D23E20">
        <w:rPr>
          <w:lang w:eastAsia="ja-JP"/>
        </w:rPr>
        <w:t>G</w:t>
      </w:r>
      <w:r>
        <w:rPr>
          <w:lang w:eastAsia="ja-JP"/>
        </w:rPr>
        <w:t>overnment submission</w:t>
      </w:r>
      <w:r w:rsidR="00387484">
        <w:rPr>
          <w:lang w:eastAsia="ja-JP"/>
        </w:rPr>
        <w:t>,</w:t>
      </w:r>
      <w:r w:rsidR="00A75B8C">
        <w:rPr>
          <w:lang w:eastAsia="ja-JP"/>
        </w:rPr>
        <w:t xml:space="preserve"> p</w:t>
      </w:r>
      <w:r w:rsidR="00387484">
        <w:rPr>
          <w:lang w:eastAsia="ja-JP"/>
        </w:rPr>
        <w:t xml:space="preserve">. </w:t>
      </w:r>
      <w:r w:rsidR="00A75B8C">
        <w:rPr>
          <w:lang w:eastAsia="ja-JP"/>
        </w:rPr>
        <w:t>7</w:t>
      </w:r>
      <w:r>
        <w:rPr>
          <w:lang w:eastAsia="ja-JP"/>
        </w:rPr>
        <w:t>)</w:t>
      </w:r>
    </w:p>
    <w:p w14:paraId="5C71D9BD" w14:textId="77777777" w:rsidR="00C11374" w:rsidRDefault="00C11374" w:rsidP="00C11374">
      <w:pPr>
        <w:rPr>
          <w:lang w:eastAsia="ja-JP"/>
        </w:rPr>
      </w:pPr>
      <w:r>
        <w:rPr>
          <w:lang w:eastAsia="ja-JP"/>
        </w:rPr>
        <w:t>The Review Panel is interested in gaining a better understanding of the total effort (including what is involved) and costs (including cost sharing arrangements) associated with demonstrating area freedom by jurisdictions, and the value of that trade, to inform the Panel’s Final Report.</w:t>
      </w:r>
    </w:p>
    <w:p w14:paraId="1F3A1B1C" w14:textId="77777777" w:rsidR="007A18E5" w:rsidRPr="007B4D4F" w:rsidRDefault="007A18E5" w:rsidP="007A18E5">
      <w:pPr>
        <w:pStyle w:val="BoxHeading"/>
        <w:shd w:val="clear" w:color="auto" w:fill="D9D9D9" w:themeFill="background1" w:themeFillShade="D9"/>
        <w:rPr>
          <w:sz w:val="22"/>
        </w:rPr>
      </w:pPr>
      <w:bookmarkStart w:id="51" w:name="Request_for_feedback_2"/>
      <w:r w:rsidRPr="007B4D4F">
        <w:rPr>
          <w:sz w:val="22"/>
        </w:rPr>
        <w:t>Request for feedback 2</w:t>
      </w:r>
      <w:bookmarkEnd w:id="51"/>
      <w:r w:rsidRPr="007B4D4F">
        <w:rPr>
          <w:sz w:val="22"/>
        </w:rPr>
        <w:t>:</w:t>
      </w:r>
    </w:p>
    <w:p w14:paraId="03B80041" w14:textId="7AFE9939" w:rsidR="007A18E5" w:rsidRPr="007B4D4F" w:rsidRDefault="007A18E5" w:rsidP="007A18E5">
      <w:pPr>
        <w:pStyle w:val="BoxText"/>
        <w:shd w:val="clear" w:color="auto" w:fill="D9D9D9" w:themeFill="background1" w:themeFillShade="D9"/>
        <w:rPr>
          <w:sz w:val="22"/>
        </w:rPr>
      </w:pPr>
      <w:r w:rsidRPr="007B4D4F">
        <w:rPr>
          <w:sz w:val="22"/>
        </w:rPr>
        <w:t>The Review Panel seeks feedback on the total effort and costs associated with demonstrating area freedom by jurisdiction</w:t>
      </w:r>
      <w:r w:rsidR="00F45538" w:rsidRPr="007B4D4F">
        <w:rPr>
          <w:sz w:val="22"/>
        </w:rPr>
        <w:t>s</w:t>
      </w:r>
      <w:r w:rsidRPr="007B4D4F">
        <w:rPr>
          <w:sz w:val="22"/>
        </w:rPr>
        <w:t>, and the value of that trade.</w:t>
      </w:r>
    </w:p>
    <w:p w14:paraId="63FD5B7C" w14:textId="77777777" w:rsidR="008C6AA7" w:rsidRDefault="00EE4AD4" w:rsidP="00EE4AD4">
      <w:pPr>
        <w:rPr>
          <w:lang w:eastAsia="ja-JP"/>
        </w:rPr>
      </w:pPr>
      <w:r>
        <w:rPr>
          <w:lang w:eastAsia="ja-JP"/>
        </w:rPr>
        <w:t>The IGAB contains commitments (Clause 7.10) around regional differences affecting imports (</w:t>
      </w:r>
      <w:r w:rsidR="00A75B8C">
        <w:rPr>
          <w:lang w:eastAsia="ja-JP"/>
        </w:rPr>
        <w:t>that is,</w:t>
      </w:r>
      <w:r>
        <w:rPr>
          <w:lang w:eastAsia="ja-JP"/>
        </w:rPr>
        <w:t xml:space="preserve"> they are a BIRA consideration) but does not deal with area freedom for exports. Australia’s export markets are concerned about risks associated with pests and diseases already here, but trading partners are increasingly taking into account any local trade restrictions, when assessing the im</w:t>
      </w:r>
      <w:r w:rsidR="008C6AA7">
        <w:rPr>
          <w:lang w:eastAsia="ja-JP"/>
        </w:rPr>
        <w:t>port of product from Australia.</w:t>
      </w:r>
    </w:p>
    <w:p w14:paraId="54BAD086" w14:textId="29B61D4D" w:rsidR="006D443F" w:rsidRDefault="00EE4AD4" w:rsidP="00EE4AD4">
      <w:pPr>
        <w:rPr>
          <w:lang w:eastAsia="ja-JP"/>
        </w:rPr>
      </w:pPr>
      <w:r>
        <w:rPr>
          <w:lang w:eastAsia="ja-JP"/>
        </w:rPr>
        <w:t>As a nation we need to ensure that any local trade restriction</w:t>
      </w:r>
      <w:r w:rsidR="00F211D8">
        <w:rPr>
          <w:lang w:eastAsia="ja-JP"/>
        </w:rPr>
        <w:t>s</w:t>
      </w:r>
      <w:r>
        <w:rPr>
          <w:lang w:eastAsia="ja-JP"/>
        </w:rPr>
        <w:t xml:space="preserve"> are evidence based, </w:t>
      </w:r>
      <w:r w:rsidR="0047693F">
        <w:rPr>
          <w:lang w:eastAsia="ja-JP"/>
        </w:rPr>
        <w:t xml:space="preserve">are no more stringent than our import measures </w:t>
      </w:r>
      <w:r>
        <w:rPr>
          <w:lang w:eastAsia="ja-JP"/>
        </w:rPr>
        <w:t xml:space="preserve">and are </w:t>
      </w:r>
      <w:r w:rsidR="0047693F">
        <w:rPr>
          <w:lang w:eastAsia="ja-JP"/>
        </w:rPr>
        <w:t>consistent with our claims for exports</w:t>
      </w:r>
      <w:r>
        <w:rPr>
          <w:lang w:eastAsia="ja-JP"/>
        </w:rPr>
        <w:t>.</w:t>
      </w:r>
      <w:r w:rsidR="00C11374">
        <w:rPr>
          <w:lang w:eastAsia="ja-JP"/>
        </w:rPr>
        <w:t xml:space="preserve"> </w:t>
      </w:r>
      <w:r w:rsidR="00C11374" w:rsidRPr="006D443F">
        <w:rPr>
          <w:lang w:eastAsia="ja-JP"/>
        </w:rPr>
        <w:t>For example, all states recognise South Australia and Tasmania’s freedom from Mediterranean fruit fly (</w:t>
      </w:r>
      <w:r w:rsidR="00C11374" w:rsidRPr="006D443F">
        <w:rPr>
          <w:i/>
          <w:lang w:eastAsia="ja-JP"/>
        </w:rPr>
        <w:t xml:space="preserve">Ceratitis </w:t>
      </w:r>
      <w:r w:rsidR="00C11374">
        <w:rPr>
          <w:i/>
          <w:lang w:eastAsia="ja-JP"/>
        </w:rPr>
        <w:t>capitate</w:t>
      </w:r>
      <w:r w:rsidR="00C11374" w:rsidRPr="006D443F">
        <w:rPr>
          <w:lang w:eastAsia="ja-JP"/>
        </w:rPr>
        <w:t>; Med</w:t>
      </w:r>
      <w:r w:rsidR="00C11374">
        <w:rPr>
          <w:lang w:eastAsia="ja-JP"/>
        </w:rPr>
        <w:t>Fl</w:t>
      </w:r>
      <w:r w:rsidR="00C11374" w:rsidRPr="006D443F">
        <w:rPr>
          <w:lang w:eastAsia="ja-JP"/>
        </w:rPr>
        <w:t xml:space="preserve">y) and </w:t>
      </w:r>
      <w:r w:rsidR="00C11374">
        <w:t>Queensland fruit fly (</w:t>
      </w:r>
      <w:r w:rsidR="00C11374" w:rsidRPr="006D443F">
        <w:rPr>
          <w:i/>
        </w:rPr>
        <w:t>Bactrocera tryoni</w:t>
      </w:r>
      <w:r w:rsidR="00C11374">
        <w:t>; Qfly)—</w:t>
      </w:r>
      <w:r w:rsidR="00C11374" w:rsidRPr="006D443F">
        <w:rPr>
          <w:lang w:eastAsia="ja-JP"/>
        </w:rPr>
        <w:t>our export market access claims of area freedom for S</w:t>
      </w:r>
      <w:r w:rsidR="00C11374">
        <w:rPr>
          <w:lang w:eastAsia="ja-JP"/>
        </w:rPr>
        <w:t>outh Australia and Tasmania</w:t>
      </w:r>
      <w:r w:rsidR="00C11374" w:rsidRPr="006D443F">
        <w:rPr>
          <w:lang w:eastAsia="ja-JP"/>
        </w:rPr>
        <w:t xml:space="preserve"> are consistent with </w:t>
      </w:r>
      <w:r w:rsidR="00C11374">
        <w:rPr>
          <w:lang w:eastAsia="ja-JP"/>
        </w:rPr>
        <w:t>domestic</w:t>
      </w:r>
      <w:r w:rsidR="00C11374" w:rsidRPr="006D443F">
        <w:rPr>
          <w:lang w:eastAsia="ja-JP"/>
        </w:rPr>
        <w:t xml:space="preserve"> measures</w:t>
      </w:r>
      <w:r w:rsidR="00C11374">
        <w:rPr>
          <w:lang w:eastAsia="ja-JP"/>
        </w:rPr>
        <w:t>.</w:t>
      </w:r>
      <w:r w:rsidR="00C11374" w:rsidRPr="006D443F">
        <w:rPr>
          <w:lang w:eastAsia="ja-JP"/>
        </w:rPr>
        <w:t xml:space="preserve"> </w:t>
      </w:r>
      <w:r w:rsidR="00C11374">
        <w:rPr>
          <w:lang w:eastAsia="ja-JP"/>
        </w:rPr>
        <w:t>C</w:t>
      </w:r>
      <w:r w:rsidR="00C11374" w:rsidRPr="006D443F">
        <w:rPr>
          <w:lang w:eastAsia="ja-JP"/>
        </w:rPr>
        <w:t>onversely</w:t>
      </w:r>
      <w:r w:rsidR="00C11374">
        <w:rPr>
          <w:lang w:eastAsia="ja-JP"/>
        </w:rPr>
        <w:t xml:space="preserve">, </w:t>
      </w:r>
      <w:r w:rsidR="00C11374" w:rsidRPr="006D443F">
        <w:rPr>
          <w:lang w:eastAsia="ja-JP"/>
        </w:rPr>
        <w:t xml:space="preserve">all </w:t>
      </w:r>
      <w:r w:rsidR="00C11374">
        <w:rPr>
          <w:lang w:eastAsia="ja-JP"/>
        </w:rPr>
        <w:t>jurisdictions</w:t>
      </w:r>
      <w:r w:rsidR="00C11374" w:rsidRPr="006D443F">
        <w:rPr>
          <w:lang w:eastAsia="ja-JP"/>
        </w:rPr>
        <w:t xml:space="preserve"> recognise that MedFly </w:t>
      </w:r>
      <w:r w:rsidR="00C11374">
        <w:rPr>
          <w:lang w:eastAsia="ja-JP"/>
        </w:rPr>
        <w:t xml:space="preserve">is present in </w:t>
      </w:r>
      <w:r w:rsidR="00C11374" w:rsidRPr="006D443F">
        <w:rPr>
          <w:lang w:eastAsia="ja-JP"/>
        </w:rPr>
        <w:t>W</w:t>
      </w:r>
      <w:r w:rsidR="00C11374">
        <w:rPr>
          <w:lang w:eastAsia="ja-JP"/>
        </w:rPr>
        <w:t>estern Australia</w:t>
      </w:r>
      <w:r w:rsidR="00C11374" w:rsidRPr="006D443F">
        <w:rPr>
          <w:lang w:eastAsia="ja-JP"/>
        </w:rPr>
        <w:t xml:space="preserve"> and require treatment</w:t>
      </w:r>
      <w:r w:rsidR="00C11374">
        <w:rPr>
          <w:lang w:eastAsia="ja-JP"/>
        </w:rPr>
        <w:t xml:space="preserve"> of Western Australian fruit </w:t>
      </w:r>
      <w:r w:rsidR="00C11374" w:rsidRPr="006D443F">
        <w:rPr>
          <w:lang w:eastAsia="ja-JP"/>
        </w:rPr>
        <w:t xml:space="preserve">to allow </w:t>
      </w:r>
      <w:r w:rsidR="00C11374">
        <w:rPr>
          <w:lang w:eastAsia="ja-JP"/>
        </w:rPr>
        <w:t xml:space="preserve">interstate </w:t>
      </w:r>
      <w:r w:rsidR="00C11374" w:rsidRPr="006D443F">
        <w:rPr>
          <w:lang w:eastAsia="ja-JP"/>
        </w:rPr>
        <w:t xml:space="preserve">movement. The </w:t>
      </w:r>
      <w:r w:rsidR="00C11374">
        <w:rPr>
          <w:lang w:eastAsia="ja-JP"/>
        </w:rPr>
        <w:t xml:space="preserve">domestic </w:t>
      </w:r>
      <w:r w:rsidR="00C11374" w:rsidRPr="006D443F">
        <w:rPr>
          <w:lang w:eastAsia="ja-JP"/>
        </w:rPr>
        <w:t xml:space="preserve">measures in place to contain MedFly to </w:t>
      </w:r>
      <w:r w:rsidR="00C11374">
        <w:rPr>
          <w:lang w:eastAsia="ja-JP"/>
        </w:rPr>
        <w:t xml:space="preserve">Western Australia </w:t>
      </w:r>
      <w:r w:rsidR="00C11374" w:rsidRPr="006D443F">
        <w:rPr>
          <w:lang w:eastAsia="ja-JP"/>
        </w:rPr>
        <w:t xml:space="preserve">are </w:t>
      </w:r>
      <w:r w:rsidR="00C11374">
        <w:rPr>
          <w:lang w:eastAsia="ja-JP"/>
        </w:rPr>
        <w:t>consistent with</w:t>
      </w:r>
      <w:r w:rsidR="00C11374" w:rsidRPr="006D443F">
        <w:rPr>
          <w:lang w:eastAsia="ja-JP"/>
        </w:rPr>
        <w:t xml:space="preserve"> our import measures</w:t>
      </w:r>
      <w:r w:rsidR="00C11374">
        <w:rPr>
          <w:lang w:eastAsia="ja-JP"/>
        </w:rPr>
        <w:t xml:space="preserve"> (international)</w:t>
      </w:r>
      <w:r w:rsidR="00C11374" w:rsidRPr="006D443F">
        <w:rPr>
          <w:lang w:eastAsia="ja-JP"/>
        </w:rPr>
        <w:t xml:space="preserve"> </w:t>
      </w:r>
      <w:r w:rsidR="00C11374">
        <w:rPr>
          <w:lang w:eastAsia="ja-JP"/>
        </w:rPr>
        <w:t>and</w:t>
      </w:r>
      <w:r w:rsidR="00C11374" w:rsidRPr="006D443F">
        <w:rPr>
          <w:lang w:eastAsia="ja-JP"/>
        </w:rPr>
        <w:t xml:space="preserve"> protect the rest of Australia from </w:t>
      </w:r>
      <w:r w:rsidR="00C11374">
        <w:rPr>
          <w:lang w:eastAsia="ja-JP"/>
        </w:rPr>
        <w:t>this serious horticultural pest</w:t>
      </w:r>
      <w:r w:rsidR="00C11374" w:rsidRPr="006D443F">
        <w:rPr>
          <w:lang w:eastAsia="ja-JP"/>
        </w:rPr>
        <w:t>.</w:t>
      </w:r>
    </w:p>
    <w:p w14:paraId="5FE0E302" w14:textId="77777777" w:rsidR="00EB6CC4" w:rsidRDefault="00EB6CC4" w:rsidP="00EB6CC4">
      <w:pPr>
        <w:pStyle w:val="Heading3"/>
        <w:rPr>
          <w:lang w:eastAsia="ja-JP"/>
        </w:rPr>
      </w:pPr>
      <w:bookmarkStart w:id="52" w:name="_Toc469654733"/>
      <w:r>
        <w:rPr>
          <w:lang w:eastAsia="ja-JP"/>
        </w:rPr>
        <w:lastRenderedPageBreak/>
        <w:t>Domestic trade</w:t>
      </w:r>
      <w:bookmarkEnd w:id="52"/>
    </w:p>
    <w:p w14:paraId="5171AE33" w14:textId="05451704" w:rsidR="00EB6CC4" w:rsidRDefault="00EB6CC4" w:rsidP="00EB6CC4">
      <w:pPr>
        <w:rPr>
          <w:lang w:eastAsia="ja-JP"/>
        </w:rPr>
      </w:pPr>
      <w:r>
        <w:rPr>
          <w:lang w:eastAsia="ja-JP"/>
        </w:rPr>
        <w:t>Trading and transporting goods across state and regional boundaries was a common concern raised by industry (producers and retailers) and government stakeholders during th</w:t>
      </w:r>
      <w:r w:rsidR="0056569E">
        <w:rPr>
          <w:lang w:eastAsia="ja-JP"/>
        </w:rPr>
        <w:t>is</w:t>
      </w:r>
      <w:r>
        <w:rPr>
          <w:lang w:eastAsia="ja-JP"/>
        </w:rPr>
        <w:t xml:space="preserve"> </w:t>
      </w:r>
      <w:r w:rsidR="0056569E">
        <w:rPr>
          <w:lang w:eastAsia="ja-JP"/>
        </w:rPr>
        <w:t>R</w:t>
      </w:r>
      <w:r>
        <w:rPr>
          <w:lang w:eastAsia="ja-JP"/>
        </w:rPr>
        <w:t xml:space="preserve">eview. Under section 7.15 of the IGAB, the states and territories (except Tasmania) have agreed to limit the application of interstate biosecurity measures to: those necessary to mitigate risks to the economy, environment and community; the least trade restrictive and scientifically-based </w:t>
      </w:r>
      <w:r w:rsidRPr="00616777">
        <w:rPr>
          <w:lang w:eastAsia="ja-JP"/>
        </w:rPr>
        <w:t xml:space="preserve">measures; </w:t>
      </w:r>
      <w:r w:rsidRPr="00816635">
        <w:rPr>
          <w:lang w:eastAsia="ja-JP"/>
        </w:rPr>
        <w:t>and those necessary to achieve Australia’s ALOP. However, the Productivity Commission (</w:t>
      </w:r>
      <w:hyperlink w:anchor="PC_2016" w:history="1">
        <w:r w:rsidR="00616777" w:rsidRPr="00372466">
          <w:rPr>
            <w:rStyle w:val="Hyperlink"/>
            <w:lang w:eastAsia="ja-JP"/>
          </w:rPr>
          <w:t xml:space="preserve">PC </w:t>
        </w:r>
        <w:r w:rsidRPr="00372466">
          <w:rPr>
            <w:rStyle w:val="Hyperlink"/>
            <w:lang w:eastAsia="ja-JP"/>
          </w:rPr>
          <w:t>2016</w:t>
        </w:r>
      </w:hyperlink>
      <w:r w:rsidRPr="00816635">
        <w:rPr>
          <w:lang w:eastAsia="ja-JP"/>
        </w:rPr>
        <w:t>) identified</w:t>
      </w:r>
      <w:r w:rsidRPr="00616777">
        <w:rPr>
          <w:lang w:eastAsia="ja-JP"/>
        </w:rPr>
        <w:t xml:space="preserve"> there is little evidence</w:t>
      </w:r>
      <w:r>
        <w:rPr>
          <w:lang w:eastAsia="ja-JP"/>
        </w:rPr>
        <w:t xml:space="preserve"> that these provisions are limiting the use of trade restrictive regulations</w:t>
      </w:r>
      <w:r w:rsidR="00D23E20">
        <w:rPr>
          <w:lang w:eastAsia="ja-JP"/>
        </w:rPr>
        <w:t>—</w:t>
      </w:r>
      <w:r>
        <w:rPr>
          <w:lang w:eastAsia="ja-JP"/>
        </w:rPr>
        <w:t xml:space="preserve">and the </w:t>
      </w:r>
      <w:r w:rsidR="00F65D3A">
        <w:rPr>
          <w:lang w:eastAsia="ja-JP"/>
        </w:rPr>
        <w:t xml:space="preserve">Review </w:t>
      </w:r>
      <w:r>
        <w:rPr>
          <w:lang w:eastAsia="ja-JP"/>
        </w:rPr>
        <w:t>Panel notes this concern is evident in some instances.</w:t>
      </w:r>
    </w:p>
    <w:p w14:paraId="1134B8A4" w14:textId="4E2EE0AC" w:rsidR="00EB6CC4" w:rsidRDefault="00A301C7" w:rsidP="00EB6CC4">
      <w:pPr>
        <w:rPr>
          <w:lang w:eastAsia="ja-JP"/>
        </w:rPr>
      </w:pPr>
      <w:r>
        <w:rPr>
          <w:lang w:eastAsia="ja-JP"/>
        </w:rPr>
        <w:t>Some</w:t>
      </w:r>
      <w:r w:rsidR="00EB6CC4">
        <w:rPr>
          <w:lang w:eastAsia="ja-JP"/>
        </w:rPr>
        <w:t xml:space="preserve"> government</w:t>
      </w:r>
      <w:r>
        <w:rPr>
          <w:lang w:eastAsia="ja-JP"/>
        </w:rPr>
        <w:t>s</w:t>
      </w:r>
      <w:r w:rsidR="00EB6CC4">
        <w:rPr>
          <w:lang w:eastAsia="ja-JP"/>
        </w:rPr>
        <w:t xml:space="preserve"> proposed the Interstate Certification Assurance Scheme which offers the opportunity to streamline domestic trade arrangements (only plant at present), with increased rigour and transparency, and could minimise domestic trade disputes. The Queensland </w:t>
      </w:r>
      <w:r>
        <w:rPr>
          <w:lang w:eastAsia="ja-JP"/>
        </w:rPr>
        <w:t>G</w:t>
      </w:r>
      <w:r w:rsidR="00EB6CC4">
        <w:rPr>
          <w:lang w:eastAsia="ja-JP"/>
        </w:rPr>
        <w:t xml:space="preserve">overnment believes interstate certification agreements </w:t>
      </w:r>
      <w:r w:rsidR="00F34957">
        <w:rPr>
          <w:lang w:eastAsia="ja-JP"/>
        </w:rPr>
        <w:t>“</w:t>
      </w:r>
      <w:r w:rsidR="00EB6CC4">
        <w:rPr>
          <w:lang w:eastAsia="ja-JP"/>
        </w:rPr>
        <w:t>largely operate independently of each other and would be complemented by a more strategic approach to domestic market access</w:t>
      </w:r>
      <w:r w:rsidR="00F34957">
        <w:rPr>
          <w:lang w:eastAsia="ja-JP"/>
        </w:rPr>
        <w:t>” (</w:t>
      </w:r>
      <w:r w:rsidR="004D656A" w:rsidRPr="009D18E4">
        <w:rPr>
          <w:lang w:eastAsia="ja-JP"/>
        </w:rPr>
        <w:t>Queensland Government Department of Agriculture and Fisheries</w:t>
      </w:r>
      <w:r w:rsidR="00F34957">
        <w:rPr>
          <w:lang w:eastAsia="ja-JP"/>
        </w:rPr>
        <w:t xml:space="preserve"> submission, p.</w:t>
      </w:r>
      <w:r w:rsidR="00CA30D5">
        <w:rPr>
          <w:lang w:eastAsia="ja-JP"/>
        </w:rPr>
        <w:t xml:space="preserve"> </w:t>
      </w:r>
      <w:r w:rsidR="00F34957">
        <w:rPr>
          <w:lang w:eastAsia="ja-JP"/>
        </w:rPr>
        <w:t>8)</w:t>
      </w:r>
      <w:r w:rsidR="00EB6CC4">
        <w:rPr>
          <w:lang w:eastAsia="ja-JP"/>
        </w:rPr>
        <w:t>, for example, development of a harmonised policy framework.</w:t>
      </w:r>
    </w:p>
    <w:p w14:paraId="2E9C2473" w14:textId="0498951A" w:rsidR="00EB6CC4" w:rsidRDefault="00EB6CC4" w:rsidP="00EB6CC4">
      <w:pPr>
        <w:rPr>
          <w:lang w:eastAsia="ja-JP"/>
        </w:rPr>
      </w:pPr>
      <w:r>
        <w:rPr>
          <w:lang w:eastAsia="ja-JP"/>
        </w:rPr>
        <w:t>The Nursery and Garden Industry Australia strongly address</w:t>
      </w:r>
      <w:r w:rsidR="00E86E69">
        <w:rPr>
          <w:lang w:eastAsia="ja-JP"/>
        </w:rPr>
        <w:t>es</w:t>
      </w:r>
      <w:r>
        <w:rPr>
          <w:lang w:eastAsia="ja-JP"/>
        </w:rPr>
        <w:t xml:space="preserve"> the need to fix domestic trade arrangements:</w:t>
      </w:r>
    </w:p>
    <w:p w14:paraId="26960CFF" w14:textId="7646F893" w:rsidR="00EB6CC4" w:rsidRDefault="00EB6CC4" w:rsidP="00EB6CC4">
      <w:pPr>
        <w:pStyle w:val="Quote"/>
        <w:rPr>
          <w:lang w:eastAsia="ja-JP"/>
        </w:rPr>
      </w:pPr>
      <w:r>
        <w:rPr>
          <w:lang w:eastAsia="ja-JP"/>
        </w:rPr>
        <w:t>…that our national biosecurity system is exposed to fundamental risks due to an increasingly complex and costly domestic market access system</w:t>
      </w:r>
      <w:r w:rsidR="00D23E20">
        <w:rPr>
          <w:lang w:eastAsia="ja-JP"/>
        </w:rPr>
        <w:t xml:space="preserve"> … </w:t>
      </w:r>
      <w:r>
        <w:rPr>
          <w:lang w:eastAsia="ja-JP"/>
        </w:rPr>
        <w:t>The threat of non-compliance is increasing as government cost shifts and reduces business flexibility in servicing various supply chains. NGIA believes this is a direct result of governments across Australia failing to fund plant biosecurity at adequate and appropriate base levels particularly in recognition of the public good</w:t>
      </w:r>
      <w:r w:rsidR="004D656A">
        <w:rPr>
          <w:lang w:eastAsia="ja-JP"/>
        </w:rPr>
        <w:t xml:space="preserve"> </w:t>
      </w:r>
      <w:r w:rsidR="006F59BA">
        <w:rPr>
          <w:lang w:eastAsia="ja-JP"/>
        </w:rPr>
        <w:t>(N</w:t>
      </w:r>
      <w:r w:rsidR="00F34957">
        <w:rPr>
          <w:lang w:eastAsia="ja-JP"/>
        </w:rPr>
        <w:t>ursery and Garden Industry Australia</w:t>
      </w:r>
      <w:r w:rsidR="006F59BA">
        <w:rPr>
          <w:lang w:eastAsia="ja-JP"/>
        </w:rPr>
        <w:t xml:space="preserve"> submission</w:t>
      </w:r>
      <w:r w:rsidR="00F34957">
        <w:rPr>
          <w:lang w:eastAsia="ja-JP"/>
        </w:rPr>
        <w:t>,</w:t>
      </w:r>
      <w:r w:rsidR="006F59BA">
        <w:rPr>
          <w:lang w:eastAsia="ja-JP"/>
        </w:rPr>
        <w:t xml:space="preserve"> p</w:t>
      </w:r>
      <w:r w:rsidR="00F34957">
        <w:rPr>
          <w:lang w:eastAsia="ja-JP"/>
        </w:rPr>
        <w:t xml:space="preserve">. </w:t>
      </w:r>
      <w:r w:rsidR="006F59BA">
        <w:rPr>
          <w:lang w:eastAsia="ja-JP"/>
        </w:rPr>
        <w:t>13)</w:t>
      </w:r>
    </w:p>
    <w:p w14:paraId="657D5579" w14:textId="77777777" w:rsidR="00EB6CC4" w:rsidRDefault="00EB6CC4" w:rsidP="00EB6CC4">
      <w:pPr>
        <w:rPr>
          <w:lang w:eastAsia="ja-JP"/>
        </w:rPr>
      </w:pPr>
      <w:r>
        <w:rPr>
          <w:lang w:eastAsia="ja-JP"/>
        </w:rPr>
        <w:t xml:space="preserve">The South Australian </w:t>
      </w:r>
      <w:r w:rsidR="00D23E20">
        <w:rPr>
          <w:lang w:eastAsia="ja-JP"/>
        </w:rPr>
        <w:t>G</w:t>
      </w:r>
      <w:r>
        <w:rPr>
          <w:lang w:eastAsia="ja-JP"/>
        </w:rPr>
        <w:t xml:space="preserve">overnment believes the </w:t>
      </w:r>
      <w:r w:rsidR="00F34957">
        <w:rPr>
          <w:lang w:eastAsia="ja-JP"/>
        </w:rPr>
        <w:t>Australian Government</w:t>
      </w:r>
      <w:r>
        <w:rPr>
          <w:lang w:eastAsia="ja-JP"/>
        </w:rPr>
        <w:t xml:space="preserve"> should have a proactive role in resolving significant post-border quarantine issues between the states and territories</w:t>
      </w:r>
      <w:r w:rsidR="0010762B">
        <w:rPr>
          <w:lang w:eastAsia="ja-JP"/>
        </w:rPr>
        <w:t>,</w:t>
      </w:r>
      <w:r>
        <w:rPr>
          <w:lang w:eastAsia="ja-JP"/>
        </w:rPr>
        <w:t xml:space="preserve"> including domestic trade disputes. The IGAB (section 7.19) envisaged such a role for </w:t>
      </w:r>
      <w:r w:rsidR="002F1B82">
        <w:rPr>
          <w:lang w:eastAsia="ja-JP"/>
        </w:rPr>
        <w:t xml:space="preserve">the </w:t>
      </w:r>
      <w:r w:rsidR="0010762B">
        <w:rPr>
          <w:lang w:eastAsia="ja-JP"/>
        </w:rPr>
        <w:t>Commonwealth</w:t>
      </w:r>
      <w:r>
        <w:rPr>
          <w:lang w:eastAsia="ja-JP"/>
        </w:rPr>
        <w:t xml:space="preserve"> and was the reason the Tasmanian </w:t>
      </w:r>
      <w:r w:rsidR="00D23E20">
        <w:rPr>
          <w:lang w:eastAsia="ja-JP"/>
        </w:rPr>
        <w:t>G</w:t>
      </w:r>
      <w:r>
        <w:rPr>
          <w:lang w:eastAsia="ja-JP"/>
        </w:rPr>
        <w:t xml:space="preserve">overnment did not sign the IGAB. The dispute resolution mechanism in the IGAB could not be drawn upon, even if there was a will to do so, as the Commonwealth had no legal basis for intervening. The </w:t>
      </w:r>
      <w:r w:rsidRPr="002F1B82">
        <w:rPr>
          <w:i/>
          <w:lang w:eastAsia="ja-JP"/>
        </w:rPr>
        <w:t>Biosecurity Act 2015</w:t>
      </w:r>
      <w:r>
        <w:rPr>
          <w:lang w:eastAsia="ja-JP"/>
        </w:rPr>
        <w:t xml:space="preserve"> </w:t>
      </w:r>
      <w:r w:rsidR="0010762B">
        <w:rPr>
          <w:lang w:eastAsia="ja-JP"/>
        </w:rPr>
        <w:t xml:space="preserve">(Cwlth) </w:t>
      </w:r>
      <w:r>
        <w:rPr>
          <w:lang w:eastAsia="ja-JP"/>
        </w:rPr>
        <w:t>similarly contains no such provisions</w:t>
      </w:r>
      <w:r w:rsidR="0010762B">
        <w:rPr>
          <w:lang w:eastAsia="ja-JP"/>
        </w:rPr>
        <w:t>.</w:t>
      </w:r>
    </w:p>
    <w:p w14:paraId="30F9CE3B" w14:textId="7953C674" w:rsidR="00EB6CC4" w:rsidRPr="00EB6CC4" w:rsidRDefault="00EB6CC4" w:rsidP="00EB6CC4">
      <w:pPr>
        <w:rPr>
          <w:lang w:eastAsia="ja-JP"/>
        </w:rPr>
      </w:pPr>
      <w:r>
        <w:rPr>
          <w:lang w:eastAsia="ja-JP"/>
        </w:rPr>
        <w:t>Most domestic trade disputes are long standing and primarily concern plant products (</w:t>
      </w:r>
      <w:r w:rsidR="00D23E20">
        <w:rPr>
          <w:lang w:eastAsia="ja-JP"/>
        </w:rPr>
        <w:t>for example,</w:t>
      </w:r>
      <w:r>
        <w:rPr>
          <w:lang w:eastAsia="ja-JP"/>
        </w:rPr>
        <w:t xml:space="preserve"> trade in potatoes between South Australia and Western Australia). A comprehensive and implementable dispute resolution mechanism was approved in 2010 by agriculture ministers and is still current. The arrangement includes a dispute resolution framework </w:t>
      </w:r>
      <w:r w:rsidR="0059661E">
        <w:rPr>
          <w:lang w:eastAsia="ja-JP"/>
        </w:rPr>
        <w:br/>
      </w:r>
      <w:r>
        <w:rPr>
          <w:lang w:eastAsia="ja-JP"/>
        </w:rPr>
        <w:t>(</w:t>
      </w:r>
      <w:r w:rsidR="00A027F3">
        <w:rPr>
          <w:lang w:eastAsia="ja-JP"/>
        </w:rPr>
        <w:fldChar w:fldCharType="begin"/>
      </w:r>
      <w:r w:rsidR="00A027F3">
        <w:rPr>
          <w:lang w:eastAsia="ja-JP"/>
        </w:rPr>
        <w:instrText xml:space="preserve"> REF _Ref467828084 \h </w:instrText>
      </w:r>
      <w:r w:rsidR="00A027F3">
        <w:rPr>
          <w:lang w:eastAsia="ja-JP"/>
        </w:rPr>
      </w:r>
      <w:r w:rsidR="00A027F3">
        <w:rPr>
          <w:lang w:eastAsia="ja-JP"/>
        </w:rPr>
        <w:fldChar w:fldCharType="separate"/>
      </w:r>
      <w:r w:rsidR="008303E2" w:rsidRPr="00375F10">
        <w:t xml:space="preserve">Figure </w:t>
      </w:r>
      <w:r w:rsidR="008303E2">
        <w:rPr>
          <w:noProof/>
        </w:rPr>
        <w:t>3</w:t>
      </w:r>
      <w:r w:rsidR="00A027F3">
        <w:rPr>
          <w:lang w:eastAsia="ja-JP"/>
        </w:rPr>
        <w:fldChar w:fldCharType="end"/>
      </w:r>
      <w:r>
        <w:rPr>
          <w:lang w:eastAsia="ja-JP"/>
        </w:rPr>
        <w:t>) and principles, along with terms of reference for a committee of experts to assess the merits of a dispute. However</w:t>
      </w:r>
      <w:r w:rsidR="00F34957">
        <w:rPr>
          <w:lang w:eastAsia="ja-JP"/>
        </w:rPr>
        <w:t>,</w:t>
      </w:r>
      <w:r>
        <w:rPr>
          <w:lang w:eastAsia="ja-JP"/>
        </w:rPr>
        <w:t xml:space="preserve"> jurisdictions have shown little appetite for escalating issues to agriculture CEOs and ministers, and it is unclear whether this </w:t>
      </w:r>
      <w:r w:rsidR="003D6169">
        <w:rPr>
          <w:lang w:eastAsia="ja-JP"/>
        </w:rPr>
        <w:t>process has ever been utilised.</w:t>
      </w:r>
    </w:p>
    <w:p w14:paraId="7A697BBB" w14:textId="77777777" w:rsidR="005B4763" w:rsidRPr="005B4763" w:rsidRDefault="005B4763" w:rsidP="00197868">
      <w:pPr>
        <w:pStyle w:val="Picture"/>
        <w:ind w:left="-284"/>
      </w:pPr>
      <w:bookmarkStart w:id="53" w:name="_Ref466896589"/>
      <w:bookmarkStart w:id="54" w:name="_Ref466896570"/>
      <w:r>
        <w:lastRenderedPageBreak/>
        <w:drawing>
          <wp:inline distT="0" distB="0" distL="0" distR="0" wp14:anchorId="7B97A5D0" wp14:editId="25B7CF05">
            <wp:extent cx="6275927" cy="7905750"/>
            <wp:effectExtent l="0" t="0" r="0" b="0"/>
            <wp:docPr id="6" name="Picture 6" descr="Shows the dispute resolution framework, as approved in 2010 by agriculture ministers, that could be used to resolve domestic trade disputes between Australian states and territories. The framework consists of an escalating series of steps to facilitate the resolution of a dispute, starting at bilateral discussions between parties, through to Chief Executive Officers convening a committee of experts to assess the merits of the dispute against the principles. The final step in the process is a report to agriculture senior officials outlining: the outcomes of the dispute process, any policy issues raised that need to be resolved, whether there are any potential impacts on international obligations, and any lessons learned from the activity and work to be progressed as a result of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7504" cy="7907737"/>
                    </a:xfrm>
                    <a:prstGeom prst="rect">
                      <a:avLst/>
                    </a:prstGeom>
                    <a:noFill/>
                  </pic:spPr>
                </pic:pic>
              </a:graphicData>
            </a:graphic>
          </wp:inline>
        </w:drawing>
      </w:r>
    </w:p>
    <w:p w14:paraId="3BBCAE05" w14:textId="27B7A080" w:rsidR="00A7212D" w:rsidRPr="00375F10" w:rsidRDefault="002F1B82" w:rsidP="00375F10">
      <w:pPr>
        <w:pStyle w:val="Caption"/>
        <w:rPr>
          <w:sz w:val="22"/>
          <w:szCs w:val="22"/>
        </w:rPr>
      </w:pPr>
      <w:bookmarkStart w:id="55" w:name="_Ref467828084"/>
      <w:bookmarkStart w:id="56" w:name="_Toc468176738"/>
      <w:r w:rsidRPr="00375F10">
        <w:rPr>
          <w:sz w:val="22"/>
          <w:szCs w:val="22"/>
        </w:rPr>
        <w:t xml:space="preserve">Figure </w:t>
      </w:r>
      <w:r w:rsidR="00D56373" w:rsidRPr="00375F10">
        <w:rPr>
          <w:sz w:val="22"/>
          <w:szCs w:val="22"/>
        </w:rPr>
        <w:fldChar w:fldCharType="begin"/>
      </w:r>
      <w:r w:rsidR="00D56373" w:rsidRPr="00375F10">
        <w:rPr>
          <w:sz w:val="22"/>
          <w:szCs w:val="22"/>
        </w:rPr>
        <w:instrText xml:space="preserve"> SEQ Figure \* ARABIC </w:instrText>
      </w:r>
      <w:r w:rsidR="00D56373" w:rsidRPr="00375F10">
        <w:rPr>
          <w:sz w:val="22"/>
          <w:szCs w:val="22"/>
        </w:rPr>
        <w:fldChar w:fldCharType="separate"/>
      </w:r>
      <w:r w:rsidR="008303E2">
        <w:rPr>
          <w:noProof/>
          <w:sz w:val="22"/>
          <w:szCs w:val="22"/>
        </w:rPr>
        <w:t>3</w:t>
      </w:r>
      <w:r w:rsidR="00D56373" w:rsidRPr="00375F10">
        <w:rPr>
          <w:noProof/>
          <w:sz w:val="22"/>
          <w:szCs w:val="22"/>
        </w:rPr>
        <w:fldChar w:fldCharType="end"/>
      </w:r>
      <w:bookmarkEnd w:id="53"/>
      <w:bookmarkEnd w:id="55"/>
      <w:r w:rsidR="00081BB4" w:rsidRPr="00375F10">
        <w:rPr>
          <w:sz w:val="22"/>
          <w:szCs w:val="22"/>
        </w:rPr>
        <w:t>:</w:t>
      </w:r>
      <w:r w:rsidRPr="00375F10">
        <w:rPr>
          <w:sz w:val="22"/>
          <w:szCs w:val="22"/>
        </w:rPr>
        <w:t xml:space="preserve"> </w:t>
      </w:r>
      <w:r w:rsidR="00200ACE" w:rsidRPr="00375F10">
        <w:rPr>
          <w:sz w:val="22"/>
          <w:szCs w:val="22"/>
        </w:rPr>
        <w:t>P</w:t>
      </w:r>
      <w:r w:rsidR="003D6169" w:rsidRPr="00375F10">
        <w:rPr>
          <w:sz w:val="22"/>
          <w:szCs w:val="22"/>
        </w:rPr>
        <w:t xml:space="preserve">rimary Industries Ministerial Council </w:t>
      </w:r>
      <w:r w:rsidR="00200ACE" w:rsidRPr="00375F10">
        <w:rPr>
          <w:sz w:val="22"/>
          <w:szCs w:val="22"/>
        </w:rPr>
        <w:t>2010 d</w:t>
      </w:r>
      <w:r w:rsidRPr="00375F10">
        <w:rPr>
          <w:sz w:val="22"/>
          <w:szCs w:val="22"/>
        </w:rPr>
        <w:t>ispute resolution framework</w:t>
      </w:r>
      <w:bookmarkEnd w:id="54"/>
      <w:bookmarkEnd w:id="56"/>
    </w:p>
    <w:p w14:paraId="506CBDAC" w14:textId="2577A9E9" w:rsidR="002F1B82" w:rsidRDefault="005B4763" w:rsidP="00A7212D">
      <w:pPr>
        <w:pStyle w:val="FigureTableNoteSource"/>
      </w:pPr>
      <w:r>
        <w:t>Source: Primary Industries Ministerial Council 2010</w:t>
      </w:r>
      <w:r w:rsidR="00B80F3C">
        <w:t>.</w:t>
      </w:r>
    </w:p>
    <w:p w14:paraId="76B550BD" w14:textId="77777777" w:rsidR="00657476" w:rsidRDefault="00657476" w:rsidP="00172481">
      <w:pPr>
        <w:keepLines/>
        <w:rPr>
          <w:lang w:eastAsia="ja-JP"/>
        </w:rPr>
      </w:pPr>
      <w:r>
        <w:rPr>
          <w:lang w:eastAsia="ja-JP"/>
        </w:rPr>
        <w:lastRenderedPageBreak/>
        <w:t xml:space="preserve">Ultimately, the resolution of disputes will be dictated by the willingness of the parties to engage in a genuine process or to defer (and be bound by the decision of) a third party. The dispute mechanism of the then </w:t>
      </w:r>
      <w:r w:rsidRPr="00657476">
        <w:rPr>
          <w:i/>
          <w:lang w:eastAsia="ja-JP"/>
        </w:rPr>
        <w:t>Murray-Darling Basin Act 1993</w:t>
      </w:r>
      <w:r>
        <w:rPr>
          <w:i/>
          <w:lang w:eastAsia="ja-JP"/>
        </w:rPr>
        <w:t xml:space="preserve"> </w:t>
      </w:r>
      <w:r w:rsidRPr="00657476">
        <w:rPr>
          <w:lang w:eastAsia="ja-JP"/>
        </w:rPr>
        <w:t>(Cwlth)</w:t>
      </w:r>
      <w:r>
        <w:rPr>
          <w:lang w:eastAsia="ja-JP"/>
        </w:rPr>
        <w:t>, provides a robust alternative mechanism that jurisdictions might consider adapting for inclusion in IGAB2. The process (outlined in clause 133(1) of that Act) involved the following process of escalation:</w:t>
      </w:r>
    </w:p>
    <w:p w14:paraId="24E75A06" w14:textId="21588FCE" w:rsidR="00657476" w:rsidRDefault="00657476" w:rsidP="00657476">
      <w:pPr>
        <w:pStyle w:val="ListBullet"/>
        <w:rPr>
          <w:lang w:eastAsia="ja-JP"/>
        </w:rPr>
      </w:pPr>
      <w:r>
        <w:rPr>
          <w:lang w:eastAsia="ja-JP"/>
        </w:rPr>
        <w:t>If the Commission fails to agree on any motion submitted by a Commissioner within two months, that Commissioner may refer the ma</w:t>
      </w:r>
      <w:r w:rsidR="00256CD3">
        <w:rPr>
          <w:lang w:eastAsia="ja-JP"/>
        </w:rPr>
        <w:t>tter to the Ministerial Council</w:t>
      </w:r>
    </w:p>
    <w:p w14:paraId="5A75594B" w14:textId="3352389F" w:rsidR="00657476" w:rsidRDefault="00657476" w:rsidP="00657476">
      <w:pPr>
        <w:pStyle w:val="ListBullet"/>
        <w:rPr>
          <w:lang w:eastAsia="ja-JP"/>
        </w:rPr>
      </w:pPr>
      <w:r>
        <w:rPr>
          <w:lang w:eastAsia="ja-JP"/>
        </w:rPr>
        <w:t>If the Ministerial Council fails to resolve the matter within six months, any membe</w:t>
      </w:r>
      <w:r w:rsidR="00256CD3">
        <w:rPr>
          <w:lang w:eastAsia="ja-JP"/>
        </w:rPr>
        <w:t>r may refer it to an arbitrator</w:t>
      </w:r>
    </w:p>
    <w:p w14:paraId="62EF662A" w14:textId="30809151" w:rsidR="00657476" w:rsidRDefault="00657476" w:rsidP="00657476">
      <w:pPr>
        <w:pStyle w:val="ListBullet"/>
        <w:rPr>
          <w:lang w:eastAsia="ja-JP"/>
        </w:rPr>
      </w:pPr>
      <w:r>
        <w:rPr>
          <w:lang w:eastAsia="ja-JP"/>
        </w:rPr>
        <w:t xml:space="preserve">When a matter is referred to an arbitrator, any Contracting Government may give the other Contracting Governments written notice to agree to appoint an </w:t>
      </w:r>
      <w:r w:rsidR="00256CD3">
        <w:rPr>
          <w:lang w:eastAsia="ja-JP"/>
        </w:rPr>
        <w:t>arbitrator to decide the matter</w:t>
      </w:r>
    </w:p>
    <w:p w14:paraId="152F43E2" w14:textId="77777777" w:rsidR="00657476" w:rsidRDefault="00657476" w:rsidP="00657476">
      <w:pPr>
        <w:pStyle w:val="ListBullet"/>
        <w:rPr>
          <w:lang w:eastAsia="ja-JP"/>
        </w:rPr>
      </w:pPr>
      <w:r>
        <w:rPr>
          <w:lang w:eastAsia="ja-JP"/>
        </w:rPr>
        <w:t>If an arbitrator is not appointed within two months of notice being given, the Chief Justice of the Supreme Court of Tasmania may appoint an arbitrator at the request of the Contracting Government giving notice above.</w:t>
      </w:r>
    </w:p>
    <w:p w14:paraId="514BFAC9" w14:textId="77777777" w:rsidR="00657476" w:rsidRDefault="00657476" w:rsidP="00657476">
      <w:pPr>
        <w:rPr>
          <w:lang w:eastAsia="ja-JP"/>
        </w:rPr>
      </w:pPr>
      <w:r>
        <w:rPr>
          <w:lang w:eastAsia="ja-JP"/>
        </w:rPr>
        <w:t>The decision of any arbitrator appointed under the clause is deemed to be the decision of the Commission and binds the Commission, the Ministerial Council and the Contracting Governments.</w:t>
      </w:r>
    </w:p>
    <w:p w14:paraId="6AE0C802" w14:textId="77777777" w:rsidR="002B4A50" w:rsidRDefault="002B4A50" w:rsidP="002F1B82">
      <w:pPr>
        <w:pStyle w:val="Heading3"/>
      </w:pPr>
      <w:bookmarkStart w:id="57" w:name="_Toc469654734"/>
      <w:r>
        <w:t>Regulatory efficiency</w:t>
      </w:r>
      <w:bookmarkEnd w:id="57"/>
    </w:p>
    <w:p w14:paraId="4C65F082" w14:textId="2B1E3E6B" w:rsidR="002F1B82" w:rsidRDefault="00182884" w:rsidP="00182884">
      <w:r w:rsidRPr="0028518A">
        <w:t xml:space="preserve">For 2015–16, export earnings from agricultural commodities </w:t>
      </w:r>
      <w:r w:rsidR="0041638B" w:rsidRPr="0028518A">
        <w:t xml:space="preserve">were around </w:t>
      </w:r>
      <w:r w:rsidRPr="0028518A">
        <w:t>$44.5 billion (</w:t>
      </w:r>
      <w:hyperlink w:anchor="ABARES_2016" w:history="1">
        <w:r w:rsidRPr="002C7515">
          <w:rPr>
            <w:rStyle w:val="Hyperlink"/>
          </w:rPr>
          <w:t>ABARES 2016</w:t>
        </w:r>
      </w:hyperlink>
      <w:r w:rsidR="00564564" w:rsidRPr="0028518A">
        <w:t>)</w:t>
      </w:r>
      <w:r w:rsidR="002F1B82">
        <w:t>. The</w:t>
      </w:r>
      <w:r w:rsidR="00C64286">
        <w:t xml:space="preserve"> Australian Government</w:t>
      </w:r>
      <w:r w:rsidR="00564564">
        <w:t>, through the</w:t>
      </w:r>
      <w:r w:rsidR="002F1B82">
        <w:t xml:space="preserve"> Department of Agriculture and Water Resources</w:t>
      </w:r>
      <w:r w:rsidR="00564564">
        <w:t>,</w:t>
      </w:r>
      <w:r w:rsidR="002F1B82">
        <w:t xml:space="preserve"> controls exports of agricultural products under </w:t>
      </w:r>
      <w:r w:rsidR="002F1B82" w:rsidRPr="002F1B82">
        <w:rPr>
          <w:i/>
        </w:rPr>
        <w:t>the Export Control Act 1982</w:t>
      </w:r>
      <w:r w:rsidR="002F1B82">
        <w:t xml:space="preserve"> </w:t>
      </w:r>
      <w:r w:rsidR="00C64286">
        <w:t xml:space="preserve">(Cwlth) </w:t>
      </w:r>
      <w:r w:rsidR="002F1B82">
        <w:t>and associated regulation</w:t>
      </w:r>
      <w:r w:rsidR="000E2926">
        <w:t>s</w:t>
      </w:r>
      <w:r w:rsidR="002F1B82">
        <w:t xml:space="preserve">. </w:t>
      </w:r>
      <w:r w:rsidR="00564564">
        <w:t>While</w:t>
      </w:r>
      <w:r w:rsidR="002F1B82">
        <w:t xml:space="preserve"> </w:t>
      </w:r>
      <w:r w:rsidR="00564564">
        <w:t xml:space="preserve">the legislation requires exporters to take responsibility for ensuring that Australian agricultural products meet importing country requirements, it is </w:t>
      </w:r>
      <w:r w:rsidR="002F1B82">
        <w:t xml:space="preserve">the department that bears responsibility for </w:t>
      </w:r>
      <w:r w:rsidR="00564564">
        <w:t xml:space="preserve">export certification. </w:t>
      </w:r>
      <w:r w:rsidRPr="00182884">
        <w:t xml:space="preserve">In 2015–16, the department issued </w:t>
      </w:r>
      <w:r w:rsidR="00AD5BA2">
        <w:t xml:space="preserve">more than </w:t>
      </w:r>
      <w:r w:rsidRPr="00182884">
        <w:t>407,</w:t>
      </w:r>
      <w:r w:rsidR="00AD2A85">
        <w:t>000</w:t>
      </w:r>
      <w:r w:rsidRPr="00182884">
        <w:t xml:space="preserve"> export certificates and managed the export of </w:t>
      </w:r>
      <w:r w:rsidR="00AD5BA2">
        <w:t>more than</w:t>
      </w:r>
      <w:r w:rsidRPr="00182884">
        <w:t xml:space="preserve"> 3 million animals (</w:t>
      </w:r>
      <w:hyperlink w:anchor="DAWR_2016" w:history="1">
        <w:r w:rsidRPr="002C7515">
          <w:rPr>
            <w:rStyle w:val="Hyperlink"/>
          </w:rPr>
          <w:t>DAWR 2016</w:t>
        </w:r>
      </w:hyperlink>
      <w:r w:rsidRPr="00182884">
        <w:t>).</w:t>
      </w:r>
    </w:p>
    <w:p w14:paraId="7DC887C2" w14:textId="43DEBCA5" w:rsidR="002F1B82" w:rsidRDefault="00C64286" w:rsidP="002F1B82">
      <w:r>
        <w:t xml:space="preserve">The Australian Government </w:t>
      </w:r>
      <w:r w:rsidR="002F1B82">
        <w:t>ha</w:t>
      </w:r>
      <w:r>
        <w:t>s</w:t>
      </w:r>
      <w:r w:rsidR="002F1B82">
        <w:t xml:space="preserve"> </w:t>
      </w:r>
      <w:r>
        <w:t>made</w:t>
      </w:r>
      <w:r w:rsidR="002F1B82">
        <w:t xml:space="preserve"> a number of reforms to minimise regulatory burden and costs associated with </w:t>
      </w:r>
      <w:r>
        <w:t>its</w:t>
      </w:r>
      <w:r w:rsidR="002F1B82">
        <w:t xml:space="preserve"> export and biosecurity functions. These include modernisation of department’s ICT systems and service delivery arrangements, new cost recovery arrangements, introduction of the </w:t>
      </w:r>
      <w:r w:rsidR="002F1B82" w:rsidRPr="002F1B82">
        <w:rPr>
          <w:i/>
        </w:rPr>
        <w:t>Biosecurity Act 2015</w:t>
      </w:r>
      <w:r w:rsidR="002F1B82">
        <w:t xml:space="preserve"> </w:t>
      </w:r>
      <w:r w:rsidR="00711F03">
        <w:t>(Cwlth)</w:t>
      </w:r>
      <w:r w:rsidR="004D656A">
        <w:t xml:space="preserve"> </w:t>
      </w:r>
      <w:r w:rsidR="002F1B82">
        <w:t>and a review of agricultural ex</w:t>
      </w:r>
      <w:r w:rsidR="00711F03">
        <w:t xml:space="preserve">port regulation currently </w:t>
      </w:r>
      <w:r w:rsidR="00711F03" w:rsidRPr="00AE0285">
        <w:t>underway (</w:t>
      </w:r>
      <w:hyperlink w:anchor="DAWR_2016a" w:history="1">
        <w:r w:rsidR="00711F03" w:rsidRPr="00D362A5">
          <w:rPr>
            <w:rStyle w:val="Hyperlink"/>
          </w:rPr>
          <w:t>DAWR 2016a</w:t>
        </w:r>
      </w:hyperlink>
      <w:r w:rsidR="00711F03" w:rsidRPr="00AE0285">
        <w:t>)</w:t>
      </w:r>
      <w:r w:rsidR="002F1B82" w:rsidRPr="00AE0285">
        <w:t>. Similarly</w:t>
      </w:r>
      <w:r w:rsidR="002F1B82">
        <w:t>, the states and territories have been reviewing their biosecurity arrangements and are committed to an ongoing process of reform. Jurisdictions have also moved to accept some co-regulatory arrangements with industry, where appropriate (</w:t>
      </w:r>
      <w:r w:rsidR="00064B7D">
        <w:fldChar w:fldCharType="begin"/>
      </w:r>
      <w:r w:rsidR="00064B7D">
        <w:instrText xml:space="preserve"> REF _Ref466897307 \h </w:instrText>
      </w:r>
      <w:r w:rsidR="00064B7D">
        <w:fldChar w:fldCharType="separate"/>
      </w:r>
      <w:r w:rsidR="008303E2">
        <w:t xml:space="preserve">Box </w:t>
      </w:r>
      <w:r w:rsidR="008303E2">
        <w:rPr>
          <w:noProof/>
        </w:rPr>
        <w:t>4</w:t>
      </w:r>
      <w:r w:rsidR="00064B7D">
        <w:fldChar w:fldCharType="end"/>
      </w:r>
      <w:r w:rsidR="002F1B82">
        <w:t>).</w:t>
      </w:r>
    </w:p>
    <w:p w14:paraId="110D2A32" w14:textId="63986FD9" w:rsidR="002F1B82" w:rsidRDefault="002F1B82" w:rsidP="002F1B82">
      <w:r>
        <w:t>Notwithstanding these moves, stakeholders continue to raise concerns around the red tape, time delays and cost</w:t>
      </w:r>
      <w:r w:rsidR="004D656A">
        <w:t>s</w:t>
      </w:r>
      <w:r>
        <w:t xml:space="preserve"> associated with biosecurity inspection and certification services.</w:t>
      </w:r>
      <w:r w:rsidR="00F77FCC">
        <w:t xml:space="preserve"> While there is no doubt room for improvement, it is largely the case that the constraints applied are a combination of trading partner requirements on imports to meet their domestic legislation or to ensure a rogue even</w:t>
      </w:r>
      <w:r w:rsidR="00010C63">
        <w:t>t</w:t>
      </w:r>
      <w:r w:rsidR="00F77FCC">
        <w:t xml:space="preserve"> does not occur.</w:t>
      </w:r>
    </w:p>
    <w:p w14:paraId="4118786F" w14:textId="61EECEA7" w:rsidR="002B4A50" w:rsidRDefault="002F1B82" w:rsidP="002F1B82">
      <w:r>
        <w:lastRenderedPageBreak/>
        <w:t xml:space="preserve">The </w:t>
      </w:r>
      <w:r w:rsidR="001C5858">
        <w:t xml:space="preserve">Review </w:t>
      </w:r>
      <w:r>
        <w:t>Panel believes potential</w:t>
      </w:r>
      <w:r w:rsidR="00C64286">
        <w:t xml:space="preserve"> exists</w:t>
      </w:r>
      <w:r>
        <w:t xml:space="preserve"> for the current compliance and assurance model to evolve towards a regulatory model with appropriately weighted incentives and sanctions. As part of this, the Panel </w:t>
      </w:r>
      <w:r w:rsidR="00E373B0">
        <w:t>encourages</w:t>
      </w:r>
      <w:r>
        <w:t xml:space="preserve"> governments </w:t>
      </w:r>
      <w:r w:rsidR="00E373B0">
        <w:t>to explore</w:t>
      </w:r>
      <w:r>
        <w:t xml:space="preserve"> the potential for introduction of incentive-based programs which reward a superior and sustained compliance culture by industry participants. The Australian Trusted Trader program</w:t>
      </w:r>
      <w:r w:rsidR="003575C1">
        <w:t>me</w:t>
      </w:r>
      <w:r>
        <w:t xml:space="preserve"> (</w:t>
      </w:r>
      <w:r w:rsidR="00064B7D">
        <w:fldChar w:fldCharType="begin"/>
      </w:r>
      <w:r w:rsidR="00064B7D">
        <w:instrText xml:space="preserve"> REF _Ref466897307 \h </w:instrText>
      </w:r>
      <w:r w:rsidR="00064B7D">
        <w:fldChar w:fldCharType="separate"/>
      </w:r>
      <w:r w:rsidR="008303E2">
        <w:t xml:space="preserve">Box </w:t>
      </w:r>
      <w:r w:rsidR="008303E2">
        <w:rPr>
          <w:noProof/>
        </w:rPr>
        <w:t>4</w:t>
      </w:r>
      <w:r w:rsidR="00064B7D">
        <w:fldChar w:fldCharType="end"/>
      </w:r>
      <w:r>
        <w:t>) run by the</w:t>
      </w:r>
      <w:r w:rsidR="00563B86">
        <w:t xml:space="preserve"> </w:t>
      </w:r>
      <w:r>
        <w:t>Australian Border Force gives priority cargo clearances and other benefits to businesses meeting supply chain standards</w:t>
      </w:r>
      <w:r w:rsidR="00C64286">
        <w:t>— this</w:t>
      </w:r>
      <w:r>
        <w:t xml:space="preserve"> provides a good example which biosecurity regulators should seek to emulate.</w:t>
      </w:r>
    </w:p>
    <w:p w14:paraId="62D123F9" w14:textId="45AED9C6" w:rsidR="00D74EF1" w:rsidRDefault="00D74EF1" w:rsidP="00AD0EE6">
      <w:pPr>
        <w:pStyle w:val="BoxHeading"/>
      </w:pPr>
      <w:bookmarkStart w:id="58" w:name="_Ref466897307"/>
      <w:bookmarkStart w:id="59" w:name="_Ref467052815"/>
      <w:bookmarkStart w:id="60" w:name="_Toc468176748"/>
      <w:bookmarkStart w:id="61" w:name="_Toc468444397"/>
      <w:r>
        <w:t xml:space="preserve">Box </w:t>
      </w:r>
      <w:r w:rsidR="008303E2">
        <w:fldChar w:fldCharType="begin"/>
      </w:r>
      <w:r w:rsidR="008303E2">
        <w:instrText xml:space="preserve"> SEQ Box \* ARABIC </w:instrText>
      </w:r>
      <w:r w:rsidR="008303E2">
        <w:fldChar w:fldCharType="separate"/>
      </w:r>
      <w:r w:rsidR="008303E2">
        <w:rPr>
          <w:noProof/>
        </w:rPr>
        <w:t>4</w:t>
      </w:r>
      <w:r w:rsidR="008303E2">
        <w:rPr>
          <w:noProof/>
        </w:rPr>
        <w:fldChar w:fldCharType="end"/>
      </w:r>
      <w:bookmarkEnd w:id="58"/>
      <w:r w:rsidR="00081BB4">
        <w:t>:</w:t>
      </w:r>
      <w:r>
        <w:t xml:space="preserve"> </w:t>
      </w:r>
      <w:r w:rsidR="001418F5">
        <w:t>Government i</w:t>
      </w:r>
      <w:r>
        <w:t>ncentive</w:t>
      </w:r>
      <w:r w:rsidR="00064B7D">
        <w:t>-</w:t>
      </w:r>
      <w:r>
        <w:t>based programs</w:t>
      </w:r>
      <w:bookmarkEnd w:id="59"/>
      <w:bookmarkEnd w:id="60"/>
      <w:bookmarkEnd w:id="61"/>
    </w:p>
    <w:p w14:paraId="0C5DE5A5" w14:textId="77777777" w:rsidR="00D74EF1" w:rsidRDefault="00C64286" w:rsidP="00D74EF1">
      <w:pPr>
        <w:pStyle w:val="BoxHeading"/>
      </w:pPr>
      <w:r>
        <w:t>Australian Government</w:t>
      </w:r>
      <w:r w:rsidR="00D74EF1">
        <w:t xml:space="preserve"> Authorised Officer Program</w:t>
      </w:r>
    </w:p>
    <w:p w14:paraId="093FAAC9" w14:textId="123C09E6" w:rsidR="00064B7D" w:rsidRDefault="00064B7D" w:rsidP="00D74EF1">
      <w:pPr>
        <w:pStyle w:val="BoxText"/>
      </w:pPr>
      <w:r w:rsidRPr="00064B7D">
        <w:t xml:space="preserve">A key feature of the regulatory framework for agricultural exports is the Authorised Officer </w:t>
      </w:r>
      <w:r w:rsidR="003A3FCC">
        <w:t xml:space="preserve">(AO) </w:t>
      </w:r>
      <w:r w:rsidRPr="00064B7D">
        <w:t>program administered by the</w:t>
      </w:r>
      <w:r w:rsidR="00C64286">
        <w:t xml:space="preserve"> Australian Government</w:t>
      </w:r>
      <w:r w:rsidRPr="00064B7D">
        <w:t xml:space="preserve"> Department of Agriculture and Water Resources. Under the </w:t>
      </w:r>
      <w:r w:rsidRPr="00C64286">
        <w:rPr>
          <w:i/>
        </w:rPr>
        <w:t>Export Control Act 1982</w:t>
      </w:r>
      <w:r w:rsidR="000E2926">
        <w:rPr>
          <w:i/>
        </w:rPr>
        <w:t xml:space="preserve"> </w:t>
      </w:r>
      <w:r w:rsidR="00C64286" w:rsidRPr="00C64286">
        <w:t>(Cwlth)</w:t>
      </w:r>
      <w:r w:rsidRPr="00064B7D">
        <w:t xml:space="preserve">, non-government officers are trained and assessed to perform export inspection functions in accordance with the legislation. When undertaking these duties, the officers are regarded as Australian Government officials. There are currently </w:t>
      </w:r>
      <w:r w:rsidR="001F7E4B">
        <w:t>1044 external</w:t>
      </w:r>
      <w:r w:rsidRPr="00064B7D">
        <w:t xml:space="preserve"> </w:t>
      </w:r>
      <w:r w:rsidR="001F7E4B">
        <w:t xml:space="preserve">and 273 internal </w:t>
      </w:r>
      <w:r w:rsidRPr="00064B7D">
        <w:t>AOs for plant-based industries. Exporters value the flexibility the program provides, for example, enabling product to be shipped at maximum quality not when government officers are available. However, such disaggregated workforce can create oversight difficulties and a robust verification process is needed to ensure Australia’s international reputation for quality and reliable exports is maintained.</w:t>
      </w:r>
    </w:p>
    <w:p w14:paraId="6CF42DD8" w14:textId="77777777" w:rsidR="00D74EF1" w:rsidRDefault="00D74EF1" w:rsidP="00D74EF1">
      <w:pPr>
        <w:pStyle w:val="BoxHeading"/>
      </w:pPr>
      <w:r>
        <w:t xml:space="preserve">Interstate Certification Assurance </w:t>
      </w:r>
      <w:r w:rsidRPr="00723F58">
        <w:t>(ICA</w:t>
      </w:r>
      <w:r>
        <w:t>)</w:t>
      </w:r>
      <w:r w:rsidR="00C64286">
        <w:t xml:space="preserve"> Scheme</w:t>
      </w:r>
    </w:p>
    <w:p w14:paraId="6E8F9D25" w14:textId="6F8814E2" w:rsidR="00064B7D" w:rsidRDefault="00C64286" w:rsidP="00D74EF1">
      <w:pPr>
        <w:pStyle w:val="BoxText"/>
      </w:pPr>
      <w:r>
        <w:t xml:space="preserve">The </w:t>
      </w:r>
      <w:r w:rsidR="00064B7D" w:rsidRPr="00064B7D">
        <w:t>ICA</w:t>
      </w:r>
      <w:r>
        <w:t xml:space="preserve"> scheme</w:t>
      </w:r>
      <w:r w:rsidR="00064B7D" w:rsidRPr="00064B7D">
        <w:t xml:space="preserve"> provides an alternative to traditional plant health certification involving government inspectors. Th</w:t>
      </w:r>
      <w:r w:rsidR="00EC2BC0">
        <w:t xml:space="preserve">is national </w:t>
      </w:r>
      <w:r w:rsidR="00064B7D" w:rsidRPr="00064B7D">
        <w:t>scheme</w:t>
      </w:r>
      <w:r w:rsidR="00EC2BC0">
        <w:t>,</w:t>
      </w:r>
      <w:r w:rsidR="00064B7D" w:rsidRPr="00064B7D">
        <w:t xml:space="preserve"> administered</w:t>
      </w:r>
      <w:r w:rsidR="00010C63">
        <w:t xml:space="preserve"> by all states and territories</w:t>
      </w:r>
      <w:r w:rsidR="00EC2BC0">
        <w:t>,</w:t>
      </w:r>
      <w:r w:rsidR="00010C63">
        <w:t xml:space="preserve"> </w:t>
      </w:r>
      <w:r w:rsidR="00064B7D" w:rsidRPr="00064B7D">
        <w:t xml:space="preserve">enables a business to be accredited by a state or territory plant quarantine authority to issue plant health assurance certificates for its produce. To be accredited, a business must be able to demonstrate it has effective in-house procedures in place that ensure produce consigned to intra or interstate markets meets specified plant quarantine requirements. The plant quarantine authority audits compliance by the business. The </w:t>
      </w:r>
      <w:r>
        <w:t>s</w:t>
      </w:r>
      <w:r w:rsidR="00064B7D" w:rsidRPr="00064B7D">
        <w:t>cheme seeks to provide a harmonised approach to the audit and accreditation of businesses throughout Australia and the mutual recognition of plant health assurance certificates accompanying consignments of produce moving intrastate or interstate.</w:t>
      </w:r>
    </w:p>
    <w:p w14:paraId="273E3193" w14:textId="77777777" w:rsidR="00D74EF1" w:rsidRDefault="00D74EF1" w:rsidP="00D74EF1">
      <w:pPr>
        <w:pStyle w:val="BoxHeading"/>
      </w:pPr>
      <w:r>
        <w:t>Australian Trusted Trader programme</w:t>
      </w:r>
    </w:p>
    <w:p w14:paraId="180093F2" w14:textId="5A94B193" w:rsidR="00064B7D" w:rsidRDefault="00064B7D" w:rsidP="00064B7D">
      <w:pPr>
        <w:pStyle w:val="BoxText"/>
      </w:pPr>
      <w:r>
        <w:t>The Australian Border Force’s (ABF) voluntary trade facilitation initiative</w:t>
      </w:r>
      <w:r w:rsidR="008D1757">
        <w:t>,</w:t>
      </w:r>
      <w:r>
        <w:t xml:space="preserve"> </w:t>
      </w:r>
      <w:r w:rsidR="008D1757">
        <w:t xml:space="preserve">the </w:t>
      </w:r>
      <w:r>
        <w:t xml:space="preserve">Australian Trusted Trader </w:t>
      </w:r>
      <w:r w:rsidR="008D1757">
        <w:t xml:space="preserve">programme </w:t>
      </w:r>
      <w:r>
        <w:t>(</w:t>
      </w:r>
      <w:r w:rsidRPr="00723F58">
        <w:t>ATT</w:t>
      </w:r>
      <w:r>
        <w:t>)</w:t>
      </w:r>
      <w:r w:rsidR="008D1757">
        <w:t>,</w:t>
      </w:r>
      <w:r>
        <w:t xml:space="preserve"> recognises businesses with a secure supply chain and compliant trade practices, rewarding accredited businesses with a range of trade facilitation benefits, including: a dedicated Account Manager; priority services; differentiated examinations will apply as they are recognised as low risk; and use of the Australian Trusted Trader logo. </w:t>
      </w:r>
      <w:r w:rsidR="00C64286">
        <w:t xml:space="preserve">The </w:t>
      </w:r>
      <w:r>
        <w:t>ATT is open to Australian importers, exporters and service providers such as ports, brokers and freight companies that are active in the international supply chain. Agricultural enterprises (</w:t>
      </w:r>
      <w:r w:rsidR="006F59BA">
        <w:t>for example</w:t>
      </w:r>
      <w:r w:rsidR="00152A5A">
        <w:t>,</w:t>
      </w:r>
      <w:r>
        <w:t xml:space="preserve"> Teys Australia) are participants in this program.</w:t>
      </w:r>
    </w:p>
    <w:p w14:paraId="69385F96" w14:textId="12AE65D3" w:rsidR="00891E26" w:rsidRDefault="00064B7D" w:rsidP="00064B7D">
      <w:pPr>
        <w:pStyle w:val="BoxText"/>
      </w:pPr>
      <w:r>
        <w:t>Mutual Recognition Arrangements are being established with Australia’s key trading partners (</w:t>
      </w:r>
      <w:r w:rsidR="00D23E20">
        <w:t>for example,</w:t>
      </w:r>
      <w:r>
        <w:t xml:space="preserve"> New Zealand Customs Service) to enable Trusted Traders to access trade facilitation benefits of the reciprocal trading partner—reducing the customs regulatory burden for Australian exporters entering foreign markets. </w:t>
      </w:r>
      <w:r w:rsidR="00010C63">
        <w:t xml:space="preserve">The </w:t>
      </w:r>
      <w:r>
        <w:t>ABF has established an Industry Advisory Group to bring together representatives from industry and government to provide advice, feedback and input into the design and development of the ATT. Minutes of meetings are publicly available.</w:t>
      </w:r>
    </w:p>
    <w:p w14:paraId="32B7F1EF" w14:textId="0A9BD376" w:rsidR="00064B7D" w:rsidRPr="003575C1" w:rsidRDefault="008D72D1" w:rsidP="003575C1">
      <w:pPr>
        <w:pStyle w:val="BoxSource"/>
      </w:pPr>
      <w:r w:rsidRPr="00346F4A">
        <w:t xml:space="preserve">Source: Australian Government Department of Agriculture and Water Resources; the NBC’s sub-committee on Domestic Quarantine and Market Access </w:t>
      </w:r>
      <w:hyperlink r:id="rId30" w:history="1">
        <w:r w:rsidRPr="00346F4A">
          <w:rPr>
            <w:rStyle w:val="Hyperlink"/>
          </w:rPr>
          <w:t>ICA database</w:t>
        </w:r>
      </w:hyperlink>
      <w:r w:rsidRPr="00346F4A">
        <w:t xml:space="preserve"> website; </w:t>
      </w:r>
      <w:r>
        <w:t xml:space="preserve">Australian Government </w:t>
      </w:r>
      <w:r w:rsidRPr="00346F4A">
        <w:t>Department of Immigration and Border Protection</w:t>
      </w:r>
      <w:r>
        <w:t>s</w:t>
      </w:r>
      <w:r w:rsidRPr="00346F4A">
        <w:t xml:space="preserve"> </w:t>
      </w:r>
      <w:hyperlink r:id="rId31" w:history="1">
        <w:r w:rsidRPr="00346F4A">
          <w:rPr>
            <w:rStyle w:val="Hyperlink"/>
          </w:rPr>
          <w:t>ATT</w:t>
        </w:r>
      </w:hyperlink>
      <w:r w:rsidRPr="00346F4A">
        <w:t xml:space="preserve"> website</w:t>
      </w:r>
      <w:r>
        <w:t>.</w:t>
      </w:r>
    </w:p>
    <w:p w14:paraId="55C91BA4" w14:textId="77777777" w:rsidR="0055109D" w:rsidRDefault="0055109D" w:rsidP="0055109D">
      <w:pPr>
        <w:pStyle w:val="Heading3"/>
      </w:pPr>
      <w:bookmarkStart w:id="62" w:name="_Toc469654735"/>
      <w:r>
        <w:lastRenderedPageBreak/>
        <w:t>Conclusions and recommendations</w:t>
      </w:r>
      <w:bookmarkEnd w:id="62"/>
    </w:p>
    <w:p w14:paraId="1F3636CD" w14:textId="2E55C684" w:rsidR="00891E26" w:rsidRDefault="00891E26" w:rsidP="00891E26">
      <w:r>
        <w:t>Australia’s world class biosecurity system is a trade and economic asset. It underpins agricultural exports, international tourism, our substantial environmental assets and the social amenity of our cities a</w:t>
      </w:r>
      <w:r w:rsidR="008B7843">
        <w:t>nd rural communities.</w:t>
      </w:r>
    </w:p>
    <w:p w14:paraId="7DE1103D" w14:textId="637EA687" w:rsidR="00891E26" w:rsidRDefault="00891E26" w:rsidP="00891E26">
      <w:r>
        <w:t xml:space="preserve">There is, however, no room for complacency. As </w:t>
      </w:r>
      <w:hyperlink w:anchor="_Australia’s_biosecurity_system" w:history="1">
        <w:r w:rsidRPr="00B00BD2">
          <w:rPr>
            <w:rStyle w:val="Hyperlink"/>
          </w:rPr>
          <w:t>Chapter 1</w:t>
        </w:r>
      </w:hyperlink>
      <w:r>
        <w:t xml:space="preserve"> shows, there are a number of significant, </w:t>
      </w:r>
      <w:r w:rsidR="007363E8">
        <w:t>im</w:t>
      </w:r>
      <w:r>
        <w:t xml:space="preserve">pending risks that will test our ability to maintain Australia’s ALOP and our comparatively ‘ready access’ to our preferred international markets. As such, strengthened consideration of market access priorities and outcomes within </w:t>
      </w:r>
      <w:r w:rsidR="00C64286">
        <w:t>the national</w:t>
      </w:r>
      <w:r>
        <w:t xml:space="preserve"> biosecurity system and IGAB2 is warranted. Jurisdictions already have a sense of how this might be done.</w:t>
      </w:r>
    </w:p>
    <w:p w14:paraId="3E38F616" w14:textId="0B176C15" w:rsidR="00891E26" w:rsidRDefault="00891E26" w:rsidP="00891E26">
      <w:r>
        <w:t xml:space="preserve">The </w:t>
      </w:r>
      <w:r w:rsidR="007363E8">
        <w:t>N</w:t>
      </w:r>
      <w:r w:rsidR="00595669">
        <w:t xml:space="preserve">ew </w:t>
      </w:r>
      <w:r w:rsidR="007363E8">
        <w:t>S</w:t>
      </w:r>
      <w:r w:rsidR="00595669">
        <w:t xml:space="preserve">outh </w:t>
      </w:r>
      <w:r w:rsidR="007363E8">
        <w:t>W</w:t>
      </w:r>
      <w:r w:rsidR="00595669">
        <w:t>ales</w:t>
      </w:r>
      <w:r w:rsidR="007363E8" w:rsidRPr="007363E8">
        <w:t xml:space="preserve"> Government Department of Primary Industries </w:t>
      </w:r>
      <w:r w:rsidR="00505E57">
        <w:t>submission (p. 15)</w:t>
      </w:r>
      <w:r>
        <w:t xml:space="preserve"> proposed the following approach:</w:t>
      </w:r>
    </w:p>
    <w:p w14:paraId="2A4582A2" w14:textId="48631DCB" w:rsidR="00891E26" w:rsidRDefault="00891E26" w:rsidP="00891E26">
      <w:pPr>
        <w:pStyle w:val="ListBullet"/>
      </w:pPr>
      <w:r>
        <w:t>Identifying biosecurity related trade limitations and agreeing to priorities and proces</w:t>
      </w:r>
      <w:r w:rsidR="00A40AAE">
        <w:t>ses for overcoming these issues</w:t>
      </w:r>
    </w:p>
    <w:p w14:paraId="47B1561F" w14:textId="0A5CED4A" w:rsidR="00891E26" w:rsidRDefault="00891E26" w:rsidP="00891E26">
      <w:pPr>
        <w:pStyle w:val="ListBullet"/>
      </w:pPr>
      <w:r>
        <w:t>Understanding what we need to do to demonstrate freedom from biose</w:t>
      </w:r>
      <w:r w:rsidR="00A40AAE">
        <w:t>curity threats to those markets</w:t>
      </w:r>
    </w:p>
    <w:p w14:paraId="7941B1DC" w14:textId="0CF78318" w:rsidR="00891E26" w:rsidRDefault="00891E26" w:rsidP="00891E26">
      <w:pPr>
        <w:pStyle w:val="ListBullet"/>
      </w:pPr>
      <w:r>
        <w:t>Using available data (presence and absence) to bui</w:t>
      </w:r>
      <w:r w:rsidR="00C02920">
        <w:t>ld a cohesive picture of status-</w:t>
      </w:r>
      <w:r w:rsidR="00A40AAE">
        <w:t>based programs</w:t>
      </w:r>
    </w:p>
    <w:p w14:paraId="68513384" w14:textId="77777777" w:rsidR="00891E26" w:rsidRDefault="00891E26" w:rsidP="00891E26">
      <w:pPr>
        <w:pStyle w:val="ListBullet"/>
      </w:pPr>
      <w:r>
        <w:t>Strengthening surveillance networks utilising government and non-government organisations.</w:t>
      </w:r>
    </w:p>
    <w:p w14:paraId="0E322CB1" w14:textId="77777777" w:rsidR="00891E26" w:rsidRDefault="00891E26" w:rsidP="00891E26">
      <w:r>
        <w:t>The Victorian Government</w:t>
      </w:r>
      <w:r w:rsidR="00505E57">
        <w:t xml:space="preserve"> submission (p. 7) </w:t>
      </w:r>
      <w:r>
        <w:t>proposed that the IGAB formally recognise Plant Health Committee’s Trade Framework, which guides government efforts to harmonise and streamline interstate and export trade conditions. The framework comprises:</w:t>
      </w:r>
    </w:p>
    <w:p w14:paraId="35E93EB2" w14:textId="055CE3EC" w:rsidR="00891E26" w:rsidRDefault="00891E26" w:rsidP="00891E26">
      <w:pPr>
        <w:pStyle w:val="ListBullet"/>
      </w:pPr>
      <w:r>
        <w:t>Standards for entry requirements, which are informed by: risk analysis; pest status of the importing/exporting jurisd</w:t>
      </w:r>
      <w:r w:rsidR="00A40AAE">
        <w:t>iction; and market access needs</w:t>
      </w:r>
    </w:p>
    <w:p w14:paraId="5016F593" w14:textId="447F5253" w:rsidR="00891E26" w:rsidRDefault="00891E26" w:rsidP="00891E26">
      <w:pPr>
        <w:pStyle w:val="ListBullet"/>
      </w:pPr>
      <w:r>
        <w:t>Controls to ensure standards are met (</w:t>
      </w:r>
      <w:r w:rsidR="00D3539E">
        <w:t>for example,</w:t>
      </w:r>
      <w:r>
        <w:t xml:space="preserve"> certification, registered establishments, inspection, documentation</w:t>
      </w:r>
      <w:r w:rsidR="00505E57">
        <w:t xml:space="preserve"> </w:t>
      </w:r>
      <w:r w:rsidR="00A40AAE">
        <w:t>requirements)</w:t>
      </w:r>
    </w:p>
    <w:p w14:paraId="1BD7EA1D" w14:textId="2C655F56" w:rsidR="00891E26" w:rsidRDefault="00891E26" w:rsidP="00891E26">
      <w:pPr>
        <w:pStyle w:val="ListBullet"/>
      </w:pPr>
      <w:r>
        <w:t>Systems of compliance to provide assurance around implementation of the controls (</w:t>
      </w:r>
      <w:r w:rsidR="00D3539E">
        <w:t>for example</w:t>
      </w:r>
      <w:r w:rsidR="0028518A">
        <w:t>,</w:t>
      </w:r>
      <w:r>
        <w:t xml:space="preserve"> auditing, verification, non-compliance detection).</w:t>
      </w:r>
    </w:p>
    <w:p w14:paraId="453D089E" w14:textId="5752A1B5" w:rsidR="0055109D" w:rsidRDefault="00891E26" w:rsidP="00891E26">
      <w:r>
        <w:t>The</w:t>
      </w:r>
      <w:r w:rsidR="00505E57">
        <w:t xml:space="preserve"> Review</w:t>
      </w:r>
      <w:r>
        <w:t xml:space="preserve"> Panel would support such efforts by jurisdictions to sharpen the focus on market access within the national biosecurity system and its components via the IGAB. Enhancement and review of surveillance and diagnostic systems and </w:t>
      </w:r>
      <w:r w:rsidR="00FA300C">
        <w:t>research and innovation</w:t>
      </w:r>
      <w:r>
        <w:t xml:space="preserve"> to underpin existing and future market access arrangements would be two obvious and fertile areas. A sharper focus on market access does</w:t>
      </w:r>
      <w:r w:rsidR="00132493">
        <w:t xml:space="preserve"> not</w:t>
      </w:r>
      <w:r>
        <w:t xml:space="preserve"> mean a domina</w:t>
      </w:r>
      <w:r w:rsidR="002C033D">
        <w:t>n</w:t>
      </w:r>
      <w:r>
        <w:t xml:space="preserve">t focus, as the </w:t>
      </w:r>
      <w:r w:rsidR="00505E57">
        <w:t xml:space="preserve">national </w:t>
      </w:r>
      <w:r>
        <w:t xml:space="preserve">biosecurity system must also serve the public good. </w:t>
      </w:r>
      <w:r w:rsidR="0065235C">
        <w:t>As well, care will be need to be exercised in arriving at a level of transparency in information that does not risk our trade.</w:t>
      </w:r>
    </w:p>
    <w:p w14:paraId="51806413" w14:textId="0C4216F5" w:rsidR="00764EC3" w:rsidRPr="00B80F3C" w:rsidRDefault="00764EC3" w:rsidP="00540D48">
      <w:pPr>
        <w:pStyle w:val="BoxHeading"/>
        <w:keepNext/>
        <w:keepLines/>
        <w:shd w:val="clear" w:color="auto" w:fill="D9D9D9" w:themeFill="background1" w:themeFillShade="D9"/>
        <w:rPr>
          <w:sz w:val="22"/>
        </w:rPr>
      </w:pPr>
      <w:bookmarkStart w:id="63" w:name="_Toc467231853"/>
      <w:bookmarkStart w:id="64" w:name="Draft_recommendation_2"/>
      <w:r w:rsidRPr="00B80F3C">
        <w:rPr>
          <w:sz w:val="22"/>
        </w:rPr>
        <w:lastRenderedPageBreak/>
        <w:t xml:space="preserve">Draft recommendation </w:t>
      </w:r>
      <w:r w:rsidR="00D362A5">
        <w:rPr>
          <w:sz w:val="22"/>
        </w:rPr>
        <w:t>2</w:t>
      </w:r>
      <w:bookmarkEnd w:id="63"/>
      <w:bookmarkEnd w:id="64"/>
      <w:r w:rsidR="00FC3DB1" w:rsidRPr="00B80F3C">
        <w:rPr>
          <w:sz w:val="22"/>
        </w:rPr>
        <w:t>:</w:t>
      </w:r>
    </w:p>
    <w:p w14:paraId="458BFC1A" w14:textId="148AC499" w:rsidR="00891E26" w:rsidRPr="00B80F3C" w:rsidRDefault="00D3539E" w:rsidP="00540D48">
      <w:pPr>
        <w:pStyle w:val="BoxText"/>
        <w:keepNext/>
        <w:keepLines/>
        <w:shd w:val="clear" w:color="auto" w:fill="D9D9D9" w:themeFill="background1" w:themeFillShade="D9"/>
        <w:rPr>
          <w:sz w:val="22"/>
        </w:rPr>
      </w:pPr>
      <w:r w:rsidRPr="00B80F3C">
        <w:rPr>
          <w:sz w:val="22"/>
        </w:rPr>
        <w:t xml:space="preserve">The </w:t>
      </w:r>
      <w:r w:rsidR="00891E26" w:rsidRPr="00B80F3C">
        <w:rPr>
          <w:sz w:val="22"/>
        </w:rPr>
        <w:t>P</w:t>
      </w:r>
      <w:r w:rsidRPr="00B80F3C">
        <w:rPr>
          <w:sz w:val="22"/>
        </w:rPr>
        <w:t xml:space="preserve">rimary Industries </w:t>
      </w:r>
      <w:r w:rsidR="00891E26" w:rsidRPr="00B80F3C">
        <w:rPr>
          <w:sz w:val="22"/>
        </w:rPr>
        <w:t>T</w:t>
      </w:r>
      <w:r w:rsidRPr="00B80F3C">
        <w:rPr>
          <w:sz w:val="22"/>
        </w:rPr>
        <w:t xml:space="preserve">echnical </w:t>
      </w:r>
      <w:r w:rsidR="00891E26" w:rsidRPr="00B80F3C">
        <w:rPr>
          <w:sz w:val="22"/>
        </w:rPr>
        <w:t>M</w:t>
      </w:r>
      <w:r w:rsidRPr="00B80F3C">
        <w:rPr>
          <w:sz w:val="22"/>
        </w:rPr>
        <w:t xml:space="preserve">arket </w:t>
      </w:r>
      <w:r w:rsidR="00891E26" w:rsidRPr="00B80F3C">
        <w:rPr>
          <w:sz w:val="22"/>
        </w:rPr>
        <w:t>A</w:t>
      </w:r>
      <w:r w:rsidRPr="00B80F3C">
        <w:rPr>
          <w:sz w:val="22"/>
        </w:rPr>
        <w:t>ccess and Trade Development Task Group</w:t>
      </w:r>
      <w:r w:rsidR="00891E26" w:rsidRPr="00B80F3C">
        <w:rPr>
          <w:sz w:val="22"/>
        </w:rPr>
        <w:t>, should seek to enhance engagement with industry to ensure that Australia’s market access strategies are aligned appropriately through an agreed priority setting process, and that the</w:t>
      </w:r>
      <w:r w:rsidR="0065235C" w:rsidRPr="00B80F3C">
        <w:rPr>
          <w:sz w:val="22"/>
        </w:rPr>
        <w:t xml:space="preserve"> degree of</w:t>
      </w:r>
      <w:r w:rsidR="00891E26" w:rsidRPr="00B80F3C">
        <w:rPr>
          <w:sz w:val="22"/>
        </w:rPr>
        <w:t xml:space="preserve"> transparency and communication </w:t>
      </w:r>
      <w:r w:rsidR="0065235C" w:rsidRPr="00B80F3C">
        <w:rPr>
          <w:sz w:val="22"/>
        </w:rPr>
        <w:t xml:space="preserve">is </w:t>
      </w:r>
      <w:r w:rsidR="00D63727" w:rsidRPr="00B80F3C">
        <w:rPr>
          <w:sz w:val="22"/>
        </w:rPr>
        <w:t xml:space="preserve">carefully </w:t>
      </w:r>
      <w:r w:rsidR="0065235C" w:rsidRPr="00B80F3C">
        <w:rPr>
          <w:sz w:val="22"/>
        </w:rPr>
        <w:t>weighed against its level of risk to trade activities</w:t>
      </w:r>
      <w:r w:rsidR="00891E26" w:rsidRPr="00B80F3C">
        <w:rPr>
          <w:sz w:val="22"/>
        </w:rPr>
        <w:t>.</w:t>
      </w:r>
    </w:p>
    <w:p w14:paraId="26534B10" w14:textId="2F6D03D1" w:rsidR="00891E26" w:rsidRPr="00B80F3C" w:rsidRDefault="00764EC3" w:rsidP="00C325FA">
      <w:pPr>
        <w:pStyle w:val="BoxHeading"/>
        <w:shd w:val="clear" w:color="auto" w:fill="D9D9D9" w:themeFill="background1" w:themeFillShade="D9"/>
        <w:rPr>
          <w:sz w:val="22"/>
        </w:rPr>
      </w:pPr>
      <w:bookmarkStart w:id="65" w:name="_Toc467231854"/>
      <w:bookmarkStart w:id="66" w:name="Draft_recommendation_3"/>
      <w:r w:rsidRPr="00B80F3C">
        <w:rPr>
          <w:sz w:val="22"/>
        </w:rPr>
        <w:t>Draft recommendation</w:t>
      </w:r>
      <w:bookmarkEnd w:id="65"/>
      <w:r w:rsidR="00D362A5">
        <w:rPr>
          <w:sz w:val="22"/>
        </w:rPr>
        <w:t xml:space="preserve"> 3</w:t>
      </w:r>
      <w:bookmarkEnd w:id="66"/>
      <w:r w:rsidR="00FC3DB1" w:rsidRPr="00B80F3C">
        <w:rPr>
          <w:noProof/>
          <w:sz w:val="22"/>
        </w:rPr>
        <w:t>:</w:t>
      </w:r>
    </w:p>
    <w:p w14:paraId="64736194" w14:textId="4F78EBCD" w:rsidR="00764EC3" w:rsidRPr="00B80F3C" w:rsidRDefault="00764EC3" w:rsidP="00C325FA">
      <w:pPr>
        <w:pStyle w:val="BoxText"/>
        <w:shd w:val="clear" w:color="auto" w:fill="D9D9D9" w:themeFill="background1" w:themeFillShade="D9"/>
        <w:rPr>
          <w:sz w:val="22"/>
        </w:rPr>
      </w:pPr>
      <w:r w:rsidRPr="00B80F3C">
        <w:rPr>
          <w:sz w:val="22"/>
        </w:rPr>
        <w:t>IGAB2 should strengthen consideration of market access requirements within the next NBC work program.</w:t>
      </w:r>
    </w:p>
    <w:p w14:paraId="39735085" w14:textId="4BEC1C82" w:rsidR="00764EC3" w:rsidRPr="00B80F3C" w:rsidRDefault="00764EC3" w:rsidP="00C325FA">
      <w:pPr>
        <w:pStyle w:val="BoxHeading"/>
        <w:shd w:val="clear" w:color="auto" w:fill="D9D9D9" w:themeFill="background1" w:themeFillShade="D9"/>
        <w:rPr>
          <w:sz w:val="22"/>
        </w:rPr>
      </w:pPr>
      <w:bookmarkStart w:id="67" w:name="_Toc467231855"/>
      <w:bookmarkStart w:id="68" w:name="Draft_recommendation_4"/>
      <w:r w:rsidRPr="00B80F3C">
        <w:rPr>
          <w:sz w:val="22"/>
        </w:rPr>
        <w:t>Draft recommendation</w:t>
      </w:r>
      <w:bookmarkEnd w:id="67"/>
      <w:r w:rsidR="00D362A5">
        <w:rPr>
          <w:sz w:val="22"/>
        </w:rPr>
        <w:t xml:space="preserve"> 4</w:t>
      </w:r>
      <w:bookmarkEnd w:id="68"/>
      <w:r w:rsidR="00FC3DB1" w:rsidRPr="00B80F3C">
        <w:rPr>
          <w:noProof/>
          <w:sz w:val="22"/>
        </w:rPr>
        <w:t>:</w:t>
      </w:r>
    </w:p>
    <w:p w14:paraId="17E4CB6C" w14:textId="77777777" w:rsidR="00764EC3" w:rsidRPr="00B80F3C" w:rsidRDefault="00764EC3" w:rsidP="00C325FA">
      <w:pPr>
        <w:pStyle w:val="BoxText"/>
        <w:shd w:val="clear" w:color="auto" w:fill="D9D9D9" w:themeFill="background1" w:themeFillShade="D9"/>
        <w:rPr>
          <w:sz w:val="22"/>
        </w:rPr>
      </w:pPr>
      <w:r w:rsidRPr="00B80F3C">
        <w:rPr>
          <w:sz w:val="22"/>
        </w:rPr>
        <w:t>Jurisdictions</w:t>
      </w:r>
      <w:r w:rsidR="00080148" w:rsidRPr="00B80F3C">
        <w:rPr>
          <w:sz w:val="22"/>
        </w:rPr>
        <w:t>’</w:t>
      </w:r>
      <w:r w:rsidRPr="00B80F3C">
        <w:rPr>
          <w:sz w:val="22"/>
        </w:rPr>
        <w:t xml:space="preserve"> biosecurity surveillance activities </w:t>
      </w:r>
      <w:r w:rsidR="009F248E" w:rsidRPr="00B80F3C">
        <w:rPr>
          <w:sz w:val="22"/>
        </w:rPr>
        <w:t xml:space="preserve">should include </w:t>
      </w:r>
      <w:r w:rsidRPr="00B80F3C">
        <w:rPr>
          <w:sz w:val="22"/>
        </w:rPr>
        <w:t>pests and diseases that pose the greatest threat to our export markets.</w:t>
      </w:r>
    </w:p>
    <w:p w14:paraId="3F5C9E30" w14:textId="70727BD1" w:rsidR="00764EC3" w:rsidRPr="00B80F3C" w:rsidRDefault="00764EC3" w:rsidP="00C325FA">
      <w:pPr>
        <w:pStyle w:val="BoxHeading"/>
        <w:shd w:val="clear" w:color="auto" w:fill="D9D9D9" w:themeFill="background1" w:themeFillShade="D9"/>
        <w:rPr>
          <w:sz w:val="22"/>
        </w:rPr>
      </w:pPr>
      <w:bookmarkStart w:id="69" w:name="_Toc467231856"/>
      <w:bookmarkStart w:id="70" w:name="Draft_recommendation_5"/>
      <w:r w:rsidRPr="00B80F3C">
        <w:rPr>
          <w:sz w:val="22"/>
        </w:rPr>
        <w:t>Draft recommendation</w:t>
      </w:r>
      <w:bookmarkEnd w:id="69"/>
      <w:r w:rsidR="00D362A5">
        <w:rPr>
          <w:sz w:val="22"/>
        </w:rPr>
        <w:t xml:space="preserve"> 5</w:t>
      </w:r>
      <w:bookmarkEnd w:id="70"/>
      <w:r w:rsidR="00FC3DB1" w:rsidRPr="00B80F3C">
        <w:rPr>
          <w:noProof/>
          <w:sz w:val="22"/>
        </w:rPr>
        <w:t>:</w:t>
      </w:r>
    </w:p>
    <w:p w14:paraId="5F2D7ADE" w14:textId="006F4FF9" w:rsidR="00764EC3" w:rsidRPr="00B80F3C" w:rsidRDefault="00764EC3" w:rsidP="00C325FA">
      <w:pPr>
        <w:pStyle w:val="BoxText"/>
        <w:shd w:val="clear" w:color="auto" w:fill="D9D9D9" w:themeFill="background1" w:themeFillShade="D9"/>
        <w:rPr>
          <w:sz w:val="22"/>
        </w:rPr>
      </w:pPr>
      <w:r w:rsidRPr="00B80F3C">
        <w:rPr>
          <w:sz w:val="22"/>
        </w:rPr>
        <w:t xml:space="preserve">States and </w:t>
      </w:r>
      <w:r w:rsidR="00252629" w:rsidRPr="00B80F3C">
        <w:rPr>
          <w:sz w:val="22"/>
        </w:rPr>
        <w:t>t</w:t>
      </w:r>
      <w:r w:rsidRPr="00B80F3C">
        <w:rPr>
          <w:sz w:val="22"/>
        </w:rPr>
        <w:t>erritories should utilise (or adapt) the disput</w:t>
      </w:r>
      <w:r w:rsidR="00A42A3E">
        <w:rPr>
          <w:sz w:val="22"/>
        </w:rPr>
        <w:t>e resolution process agreed by m</w:t>
      </w:r>
      <w:r w:rsidRPr="00B80F3C">
        <w:rPr>
          <w:sz w:val="22"/>
        </w:rPr>
        <w:t>inisters in 2012 and include the key elements of that in IGAB2.</w:t>
      </w:r>
    </w:p>
    <w:p w14:paraId="6ECF71E9" w14:textId="1410E187" w:rsidR="00764EC3" w:rsidRPr="00B80F3C" w:rsidRDefault="00764EC3" w:rsidP="00C325FA">
      <w:pPr>
        <w:pStyle w:val="BoxHeading"/>
        <w:shd w:val="clear" w:color="auto" w:fill="D9D9D9" w:themeFill="background1" w:themeFillShade="D9"/>
        <w:rPr>
          <w:sz w:val="22"/>
        </w:rPr>
      </w:pPr>
      <w:bookmarkStart w:id="71" w:name="_Toc467231857"/>
      <w:bookmarkStart w:id="72" w:name="Draft_recommendation_6"/>
      <w:r w:rsidRPr="00B80F3C">
        <w:rPr>
          <w:sz w:val="22"/>
        </w:rPr>
        <w:t>Draft recommendation</w:t>
      </w:r>
      <w:bookmarkEnd w:id="71"/>
      <w:r w:rsidR="00D362A5">
        <w:rPr>
          <w:sz w:val="22"/>
        </w:rPr>
        <w:t xml:space="preserve"> 6</w:t>
      </w:r>
      <w:bookmarkEnd w:id="72"/>
      <w:r w:rsidR="00FC3DB1" w:rsidRPr="00B80F3C">
        <w:rPr>
          <w:noProof/>
          <w:sz w:val="22"/>
        </w:rPr>
        <w:t>:</w:t>
      </w:r>
    </w:p>
    <w:p w14:paraId="2751DAA0" w14:textId="69DF775E" w:rsidR="00764EC3" w:rsidRPr="00B80F3C" w:rsidRDefault="00764EC3" w:rsidP="00C325FA">
      <w:pPr>
        <w:pStyle w:val="BoxText"/>
        <w:shd w:val="clear" w:color="auto" w:fill="D9D9D9" w:themeFill="background1" w:themeFillShade="D9"/>
        <w:rPr>
          <w:sz w:val="22"/>
        </w:rPr>
      </w:pPr>
      <w:r w:rsidRPr="00B80F3C">
        <w:rPr>
          <w:sz w:val="22"/>
        </w:rPr>
        <w:t>IGAB2 should clarify the roles and responsibilities of the parties with regard to international and domestic market access, including proof of area freedom.</w:t>
      </w:r>
    </w:p>
    <w:p w14:paraId="0A3D0405" w14:textId="319B49F9" w:rsidR="00561771" w:rsidRDefault="008F2A54" w:rsidP="00561771">
      <w:pPr>
        <w:pStyle w:val="Heading2"/>
      </w:pPr>
      <w:bookmarkStart w:id="73" w:name="_Stronger_Environmental_biosecurity"/>
      <w:bookmarkStart w:id="74" w:name="_Toc469654736"/>
      <w:bookmarkEnd w:id="73"/>
      <w:r>
        <w:lastRenderedPageBreak/>
        <w:t>Stronger e</w:t>
      </w:r>
      <w:r w:rsidR="00561771">
        <w:t>nvironmental biosecurity</w:t>
      </w:r>
      <w:bookmarkEnd w:id="74"/>
    </w:p>
    <w:p w14:paraId="61CFE9C3" w14:textId="77777777" w:rsidR="00A7534A" w:rsidRPr="00A65627" w:rsidRDefault="00A7534A" w:rsidP="00A7534A">
      <w:pPr>
        <w:pStyle w:val="BoxHeading"/>
        <w:rPr>
          <w:sz w:val="22"/>
          <w:lang w:eastAsia="ja-JP"/>
        </w:rPr>
      </w:pPr>
      <w:r w:rsidRPr="00A65627">
        <w:rPr>
          <w:sz w:val="22"/>
          <w:lang w:eastAsia="ja-JP"/>
        </w:rPr>
        <w:t>Key points</w:t>
      </w:r>
    </w:p>
    <w:p w14:paraId="0047D5A8" w14:textId="77777777" w:rsidR="006F6771" w:rsidRPr="00A65627" w:rsidRDefault="006F6771" w:rsidP="006F6771">
      <w:pPr>
        <w:pStyle w:val="BoxTextBullet"/>
        <w:rPr>
          <w:sz w:val="22"/>
          <w:lang w:eastAsia="ja-JP"/>
        </w:rPr>
      </w:pPr>
      <w:r w:rsidRPr="00A65627">
        <w:rPr>
          <w:sz w:val="22"/>
          <w:lang w:eastAsia="ja-JP"/>
        </w:rPr>
        <w:t xml:space="preserve">Environmental biosecurity encompasses biodiversity and ecosystems and </w:t>
      </w:r>
      <w:r w:rsidR="00306022" w:rsidRPr="00A65627">
        <w:rPr>
          <w:sz w:val="22"/>
          <w:lang w:eastAsia="ja-JP"/>
        </w:rPr>
        <w:t xml:space="preserve">social </w:t>
      </w:r>
      <w:r w:rsidRPr="00A65627">
        <w:rPr>
          <w:sz w:val="22"/>
          <w:lang w:eastAsia="ja-JP"/>
        </w:rPr>
        <w:t>amenity.</w:t>
      </w:r>
    </w:p>
    <w:p w14:paraId="5EDC2C27" w14:textId="77777777" w:rsidR="00723F58" w:rsidRPr="00A65627" w:rsidRDefault="00723F58" w:rsidP="00723F58">
      <w:pPr>
        <w:pStyle w:val="BoxTextBullet"/>
        <w:rPr>
          <w:sz w:val="22"/>
          <w:lang w:eastAsia="ja-JP"/>
        </w:rPr>
      </w:pPr>
      <w:r w:rsidRPr="00A65627">
        <w:rPr>
          <w:sz w:val="22"/>
          <w:lang w:eastAsia="ja-JP"/>
        </w:rPr>
        <w:t>Incursions of exotic organisms harmful to Australia's environment are a regular occurrence.</w:t>
      </w:r>
    </w:p>
    <w:p w14:paraId="3F96AEC2" w14:textId="77777777" w:rsidR="00723F58" w:rsidRPr="00A65627" w:rsidRDefault="00723F58" w:rsidP="00723F58">
      <w:pPr>
        <w:pStyle w:val="BoxTextBullet"/>
        <w:rPr>
          <w:sz w:val="22"/>
          <w:lang w:eastAsia="ja-JP"/>
        </w:rPr>
      </w:pPr>
      <w:r w:rsidRPr="00A65627">
        <w:rPr>
          <w:sz w:val="22"/>
          <w:lang w:eastAsia="ja-JP"/>
        </w:rPr>
        <w:t>Environmental biosecurity efforts often have private as well as public benefits, but costs are largely borne by governments. Private contributions are unknown.</w:t>
      </w:r>
    </w:p>
    <w:p w14:paraId="12BB217F" w14:textId="7627DCD1" w:rsidR="00723F58" w:rsidRPr="00A65627" w:rsidRDefault="00723F58" w:rsidP="00723F58">
      <w:pPr>
        <w:pStyle w:val="BoxTextBullet"/>
        <w:rPr>
          <w:sz w:val="22"/>
          <w:lang w:eastAsia="ja-JP"/>
        </w:rPr>
      </w:pPr>
      <w:r w:rsidRPr="00A65627">
        <w:rPr>
          <w:sz w:val="22"/>
          <w:lang w:eastAsia="ja-JP"/>
        </w:rPr>
        <w:t xml:space="preserve">Environmental considerations should be comparable to human health and primary production with respect to biosecurity, and national arrangements need to be explicitly developed (pre-border, at the border and post-border) to address environmental </w:t>
      </w:r>
      <w:r w:rsidR="00831117">
        <w:rPr>
          <w:sz w:val="22"/>
          <w:lang w:eastAsia="ja-JP"/>
        </w:rPr>
        <w:t xml:space="preserve">biosecurity </w:t>
      </w:r>
      <w:r w:rsidRPr="00A65627">
        <w:rPr>
          <w:sz w:val="22"/>
          <w:lang w:eastAsia="ja-JP"/>
        </w:rPr>
        <w:t>risks.</w:t>
      </w:r>
    </w:p>
    <w:p w14:paraId="3000B086" w14:textId="4F84F9F2" w:rsidR="00723F58" w:rsidRPr="00A65627" w:rsidRDefault="00FF2BC2" w:rsidP="00723F58">
      <w:pPr>
        <w:pStyle w:val="BoxTextBullet"/>
        <w:rPr>
          <w:sz w:val="22"/>
          <w:lang w:eastAsia="ja-JP"/>
        </w:rPr>
      </w:pPr>
      <w:r w:rsidRPr="00A65627">
        <w:rPr>
          <w:sz w:val="22"/>
          <w:lang w:eastAsia="ja-JP"/>
        </w:rPr>
        <w:t xml:space="preserve">The </w:t>
      </w:r>
      <w:r w:rsidR="00723F58" w:rsidRPr="00A65627">
        <w:rPr>
          <w:sz w:val="22"/>
          <w:lang w:eastAsia="ja-JP"/>
        </w:rPr>
        <w:t>IGAB needs to more explicitly reflect environmental considerations.</w:t>
      </w:r>
    </w:p>
    <w:p w14:paraId="2580BEAD" w14:textId="4DDEA52C" w:rsidR="00723F58" w:rsidRPr="00A65627" w:rsidRDefault="00723F58" w:rsidP="00723F58">
      <w:pPr>
        <w:pStyle w:val="BoxTextBullet"/>
        <w:rPr>
          <w:sz w:val="22"/>
          <w:lang w:eastAsia="ja-JP"/>
        </w:rPr>
      </w:pPr>
      <w:r w:rsidRPr="00A65627">
        <w:rPr>
          <w:sz w:val="22"/>
          <w:lang w:eastAsia="ja-JP"/>
        </w:rPr>
        <w:t xml:space="preserve">Environment </w:t>
      </w:r>
      <w:r w:rsidR="00306022" w:rsidRPr="00A65627">
        <w:rPr>
          <w:sz w:val="22"/>
          <w:lang w:eastAsia="ja-JP"/>
        </w:rPr>
        <w:t>agencies</w:t>
      </w:r>
      <w:r w:rsidRPr="00A65627">
        <w:rPr>
          <w:sz w:val="22"/>
          <w:lang w:eastAsia="ja-JP"/>
        </w:rPr>
        <w:t xml:space="preserve"> need</w:t>
      </w:r>
      <w:r w:rsidR="00306022" w:rsidRPr="00A65627">
        <w:rPr>
          <w:sz w:val="22"/>
          <w:lang w:eastAsia="ja-JP"/>
        </w:rPr>
        <w:t xml:space="preserve"> </w:t>
      </w:r>
      <w:r w:rsidRPr="00A65627">
        <w:rPr>
          <w:sz w:val="22"/>
          <w:lang w:eastAsia="ja-JP"/>
        </w:rPr>
        <w:t>to</w:t>
      </w:r>
      <w:r w:rsidR="00306022" w:rsidRPr="00A65627">
        <w:rPr>
          <w:sz w:val="22"/>
          <w:lang w:eastAsia="ja-JP"/>
        </w:rPr>
        <w:t xml:space="preserve"> be more engaged and</w:t>
      </w:r>
      <w:r w:rsidRPr="00A65627">
        <w:rPr>
          <w:sz w:val="22"/>
          <w:lang w:eastAsia="ja-JP"/>
        </w:rPr>
        <w:t xml:space="preserve"> play a far stronger and</w:t>
      </w:r>
      <w:r w:rsidR="00306022" w:rsidRPr="00A65627">
        <w:rPr>
          <w:sz w:val="22"/>
          <w:lang w:eastAsia="ja-JP"/>
        </w:rPr>
        <w:t xml:space="preserve"> more</w:t>
      </w:r>
      <w:r w:rsidRPr="00A65627">
        <w:rPr>
          <w:sz w:val="22"/>
          <w:lang w:eastAsia="ja-JP"/>
        </w:rPr>
        <w:t xml:space="preserve"> direct role in</w:t>
      </w:r>
      <w:r w:rsidR="00306022" w:rsidRPr="00A65627">
        <w:rPr>
          <w:sz w:val="22"/>
          <w:lang w:eastAsia="ja-JP"/>
        </w:rPr>
        <w:t xml:space="preserve"> the</w:t>
      </w:r>
      <w:r w:rsidRPr="00A65627">
        <w:rPr>
          <w:sz w:val="22"/>
          <w:lang w:eastAsia="ja-JP"/>
        </w:rPr>
        <w:t xml:space="preserve"> development of national biosecurity policy</w:t>
      </w:r>
      <w:r w:rsidR="00836943" w:rsidRPr="00A65627">
        <w:rPr>
          <w:sz w:val="22"/>
          <w:lang w:eastAsia="ja-JP"/>
        </w:rPr>
        <w:t xml:space="preserve"> and in response arrangements, particularly in those situations where the primary impact of a newly introduced pest</w:t>
      </w:r>
      <w:r w:rsidR="00831117">
        <w:rPr>
          <w:sz w:val="22"/>
          <w:lang w:eastAsia="ja-JP"/>
        </w:rPr>
        <w:t xml:space="preserve"> or disease</w:t>
      </w:r>
      <w:r w:rsidR="00836943" w:rsidRPr="00A65627">
        <w:rPr>
          <w:sz w:val="22"/>
          <w:lang w:eastAsia="ja-JP"/>
        </w:rPr>
        <w:t xml:space="preserve"> is environmental</w:t>
      </w:r>
      <w:r w:rsidRPr="00A65627">
        <w:rPr>
          <w:sz w:val="22"/>
          <w:lang w:eastAsia="ja-JP"/>
        </w:rPr>
        <w:t>.</w:t>
      </w:r>
    </w:p>
    <w:p w14:paraId="571FBCF3" w14:textId="77777777" w:rsidR="00723F58" w:rsidRPr="00A65627" w:rsidRDefault="00723F58" w:rsidP="00723F58">
      <w:pPr>
        <w:pStyle w:val="BoxTextBullet"/>
        <w:rPr>
          <w:sz w:val="22"/>
          <w:lang w:eastAsia="ja-JP"/>
        </w:rPr>
      </w:pPr>
      <w:r w:rsidRPr="00A65627">
        <w:rPr>
          <w:sz w:val="22"/>
          <w:lang w:eastAsia="ja-JP"/>
        </w:rPr>
        <w:t>Stakeholders are divided on how to strengthen environmental biosecurity arrangements: create equivalent arrangements to agriculture; or integrate environment into existing arrangements.</w:t>
      </w:r>
    </w:p>
    <w:p w14:paraId="77A0A8C4" w14:textId="77777777" w:rsidR="00CA303D" w:rsidRPr="00A65627" w:rsidRDefault="00CA303D" w:rsidP="00CA303D">
      <w:pPr>
        <w:pStyle w:val="BoxTextBullet"/>
        <w:rPr>
          <w:sz w:val="22"/>
          <w:lang w:eastAsia="ja-JP"/>
        </w:rPr>
      </w:pPr>
      <w:r w:rsidRPr="00A65627">
        <w:rPr>
          <w:sz w:val="22"/>
          <w:lang w:eastAsia="ja-JP"/>
        </w:rPr>
        <w:t>Australia's success in both trade and tourism depends to an increasing degree on our underpinning clean, green, biodiverse environment.</w:t>
      </w:r>
    </w:p>
    <w:p w14:paraId="69775605" w14:textId="77777777" w:rsidR="00A7534A" w:rsidRDefault="00A7534A" w:rsidP="00A7534A">
      <w:pPr>
        <w:pStyle w:val="Heading3"/>
        <w:rPr>
          <w:lang w:eastAsia="ja-JP"/>
        </w:rPr>
      </w:pPr>
      <w:bookmarkStart w:id="75" w:name="_Toc469654737"/>
      <w:r>
        <w:rPr>
          <w:lang w:eastAsia="ja-JP"/>
        </w:rPr>
        <w:t>The problem for governments</w:t>
      </w:r>
      <w:bookmarkEnd w:id="75"/>
    </w:p>
    <w:p w14:paraId="222BF089" w14:textId="77777777" w:rsidR="00447D42" w:rsidRDefault="00447D42" w:rsidP="00447D42">
      <w:pPr>
        <w:rPr>
          <w:lang w:eastAsia="ja-JP"/>
        </w:rPr>
      </w:pPr>
      <w:r>
        <w:rPr>
          <w:lang w:eastAsia="ja-JP"/>
        </w:rPr>
        <w:t>Environmental biosecurity has long been viewed as subordinate, including in funding terms, to agricultural biosecurity in the national system. Biosecurity efforts for agriculture have clear economic drivers (</w:t>
      </w:r>
      <w:r w:rsidR="009F02F6">
        <w:rPr>
          <w:lang w:eastAsia="ja-JP"/>
        </w:rPr>
        <w:t xml:space="preserve">for example, </w:t>
      </w:r>
      <w:r>
        <w:rPr>
          <w:lang w:eastAsia="ja-JP"/>
        </w:rPr>
        <w:t>minimising production losses, maintaining and gaining market access) whereas environmental biosecurity efforts are viewed as ‘public good’ activities and so are left to governments to fund and implement. In reality, biosecurity incursions often have both production and environmental impacts, which blurs roles and responsibilities and decisions around who benefits and who pays.</w:t>
      </w:r>
    </w:p>
    <w:p w14:paraId="0AB76EC5" w14:textId="153B8109" w:rsidR="00447D42" w:rsidRDefault="00447D42" w:rsidP="00447D42">
      <w:pPr>
        <w:rPr>
          <w:lang w:eastAsia="ja-JP"/>
        </w:rPr>
      </w:pPr>
      <w:r>
        <w:rPr>
          <w:lang w:eastAsia="ja-JP"/>
        </w:rPr>
        <w:t xml:space="preserve">Agriculture </w:t>
      </w:r>
      <w:r w:rsidR="009F02F6">
        <w:rPr>
          <w:lang w:eastAsia="ja-JP"/>
        </w:rPr>
        <w:t xml:space="preserve">and primary industry </w:t>
      </w:r>
      <w:r>
        <w:rPr>
          <w:lang w:eastAsia="ja-JP"/>
        </w:rPr>
        <w:t>agencies have, explicitly or by default, taken responsibility for environmental biosecurity, primarily because they have existing arrangements, technical expertise and structures in place upon which to draw</w:t>
      </w:r>
      <w:r w:rsidR="00D3539E">
        <w:rPr>
          <w:lang w:eastAsia="ja-JP"/>
        </w:rPr>
        <w:t>—</w:t>
      </w:r>
      <w:r>
        <w:rPr>
          <w:lang w:eastAsia="ja-JP"/>
        </w:rPr>
        <w:t xml:space="preserve">though they have less expertise in environmental management and risk identification to support decision-making. </w:t>
      </w:r>
      <w:r w:rsidR="009F02F6">
        <w:rPr>
          <w:lang w:eastAsia="ja-JP"/>
        </w:rPr>
        <w:t>These</w:t>
      </w:r>
      <w:r>
        <w:rPr>
          <w:lang w:eastAsia="ja-JP"/>
        </w:rPr>
        <w:t xml:space="preserve"> agencies fund environmental biosecurity from within their existing budgets leading some government and industry stakeholders to question the financial sustainability of such arrangements and opportunity costs for primary production outcomes.</w:t>
      </w:r>
    </w:p>
    <w:p w14:paraId="3A213B7B" w14:textId="3EDA3BB5" w:rsidR="00447D42" w:rsidRDefault="00447D42" w:rsidP="00447D42">
      <w:pPr>
        <w:rPr>
          <w:lang w:eastAsia="ja-JP"/>
        </w:rPr>
      </w:pPr>
      <w:r>
        <w:rPr>
          <w:lang w:eastAsia="ja-JP"/>
        </w:rPr>
        <w:t xml:space="preserve">The numbers of invasive species in a region or country have been shown to be related to gross levels of </w:t>
      </w:r>
      <w:r w:rsidRPr="00C14384">
        <w:rPr>
          <w:lang w:eastAsia="ja-JP"/>
        </w:rPr>
        <w:t>trade (</w:t>
      </w:r>
      <w:hyperlink w:anchor="Paini_et_al_2016" w:history="1">
        <w:r w:rsidRPr="00D362A5">
          <w:rPr>
            <w:rStyle w:val="Hyperlink"/>
            <w:lang w:eastAsia="ja-JP"/>
          </w:rPr>
          <w:t>Paini et al</w:t>
        </w:r>
        <w:r w:rsidR="00ED55B9" w:rsidRPr="00D362A5">
          <w:rPr>
            <w:rStyle w:val="Hyperlink"/>
            <w:lang w:eastAsia="ja-JP"/>
          </w:rPr>
          <w:t>.</w:t>
        </w:r>
        <w:r w:rsidRPr="00D362A5">
          <w:rPr>
            <w:rStyle w:val="Hyperlink"/>
            <w:lang w:eastAsia="ja-JP"/>
          </w:rPr>
          <w:t xml:space="preserve"> 2016</w:t>
        </w:r>
      </w:hyperlink>
      <w:r w:rsidRPr="00C14384">
        <w:rPr>
          <w:lang w:eastAsia="ja-JP"/>
        </w:rPr>
        <w:t xml:space="preserve">). The 2015 Senate Standing Committee on Environment and Communications References Committee inquiry into environmental biosecurity </w:t>
      </w:r>
      <w:r w:rsidRPr="00C14384">
        <w:rPr>
          <w:lang w:eastAsia="ja-JP"/>
        </w:rPr>
        <w:lastRenderedPageBreak/>
        <w:t>(</w:t>
      </w:r>
      <w:hyperlink w:anchor="Commonwealth_of_Australia_2015" w:history="1">
        <w:r w:rsidR="009F02F6" w:rsidRPr="00D362A5">
          <w:rPr>
            <w:rStyle w:val="Hyperlink"/>
            <w:lang w:eastAsia="ja-JP"/>
          </w:rPr>
          <w:t>Commonwealth of Australia</w:t>
        </w:r>
        <w:r w:rsidR="00A636A8" w:rsidRPr="00D362A5">
          <w:rPr>
            <w:rStyle w:val="Hyperlink"/>
            <w:lang w:eastAsia="ja-JP"/>
          </w:rPr>
          <w:t xml:space="preserve"> 2015</w:t>
        </w:r>
      </w:hyperlink>
      <w:r w:rsidRPr="00C14384">
        <w:rPr>
          <w:lang w:eastAsia="ja-JP"/>
        </w:rPr>
        <w:t xml:space="preserve">) found that incursions of exotic organisms harmful to Australia’s environment are a regular occurrence. The Australian Government’s submission to that inquiry </w:t>
      </w:r>
      <w:r w:rsidR="00A636A8" w:rsidRPr="00C14384">
        <w:rPr>
          <w:lang w:eastAsia="ja-JP"/>
        </w:rPr>
        <w:t>(</w:t>
      </w:r>
      <w:hyperlink w:anchor="Australian_Government_2014" w:history="1">
        <w:r w:rsidR="00A636A8" w:rsidRPr="00D362A5">
          <w:rPr>
            <w:rStyle w:val="Hyperlink"/>
            <w:lang w:eastAsia="ja-JP"/>
          </w:rPr>
          <w:t>Australian Government 2014</w:t>
        </w:r>
      </w:hyperlink>
      <w:r w:rsidR="00A636A8" w:rsidRPr="00C14384">
        <w:rPr>
          <w:lang w:eastAsia="ja-JP"/>
        </w:rPr>
        <w:t xml:space="preserve">) </w:t>
      </w:r>
      <w:r w:rsidRPr="00C14384">
        <w:rPr>
          <w:lang w:eastAsia="ja-JP"/>
        </w:rPr>
        <w:t>detailed</w:t>
      </w:r>
      <w:r>
        <w:rPr>
          <w:lang w:eastAsia="ja-JP"/>
        </w:rPr>
        <w:t xml:space="preserve"> </w:t>
      </w:r>
      <w:r w:rsidR="00AD5BA2">
        <w:rPr>
          <w:lang w:eastAsia="ja-JP"/>
        </w:rPr>
        <w:t xml:space="preserve">more than </w:t>
      </w:r>
      <w:r>
        <w:rPr>
          <w:lang w:eastAsia="ja-JP"/>
        </w:rPr>
        <w:t>30 incursions of exotic pests and diseases detected within Australia since 1 January 2009 with the potential to impact the environment. A significant number of these were plant pests that were found not technically feasible to eradicate. However, the Senate Committee found that evaluating the significance of this pattern of incursions is not straightforward and there are no absolute markers of success or failure against Australia’s level of biosecurity protection of ‘very low but not zero’.</w:t>
      </w:r>
    </w:p>
    <w:p w14:paraId="27F3B534" w14:textId="16B49821" w:rsidR="00A7534A" w:rsidRDefault="00447D42" w:rsidP="00447D42">
      <w:pPr>
        <w:rPr>
          <w:lang w:eastAsia="ja-JP"/>
        </w:rPr>
      </w:pPr>
      <w:r>
        <w:rPr>
          <w:lang w:eastAsia="ja-JP"/>
        </w:rPr>
        <w:t xml:space="preserve">While the </w:t>
      </w:r>
      <w:r w:rsidR="00505E57">
        <w:rPr>
          <w:lang w:eastAsia="ja-JP"/>
        </w:rPr>
        <w:t xml:space="preserve">Review </w:t>
      </w:r>
      <w:r>
        <w:rPr>
          <w:lang w:eastAsia="ja-JP"/>
        </w:rPr>
        <w:t>Panel generally agrees with this finding,</w:t>
      </w:r>
      <w:r w:rsidR="00A301C7">
        <w:rPr>
          <w:lang w:eastAsia="ja-JP"/>
        </w:rPr>
        <w:t xml:space="preserve"> </w:t>
      </w:r>
      <w:r w:rsidR="00A301C7">
        <w:rPr>
          <w:lang w:eastAsia="ja-JP"/>
        </w:rPr>
        <w:fldChar w:fldCharType="begin"/>
      </w:r>
      <w:r w:rsidR="00A301C7">
        <w:rPr>
          <w:lang w:eastAsia="ja-JP"/>
        </w:rPr>
        <w:instrText xml:space="preserve"> REF _Ref467141479 \h </w:instrText>
      </w:r>
      <w:r w:rsidR="00A301C7">
        <w:rPr>
          <w:lang w:eastAsia="ja-JP"/>
        </w:rPr>
      </w:r>
      <w:r w:rsidR="00A301C7">
        <w:rPr>
          <w:lang w:eastAsia="ja-JP"/>
        </w:rPr>
        <w:fldChar w:fldCharType="separate"/>
      </w:r>
      <w:r w:rsidR="008303E2" w:rsidRPr="00375F10">
        <w:t xml:space="preserve">Table </w:t>
      </w:r>
      <w:r w:rsidR="008303E2">
        <w:rPr>
          <w:noProof/>
        </w:rPr>
        <w:t>2</w:t>
      </w:r>
      <w:r w:rsidR="00A301C7">
        <w:rPr>
          <w:lang w:eastAsia="ja-JP"/>
        </w:rPr>
        <w:fldChar w:fldCharType="end"/>
      </w:r>
      <w:r>
        <w:rPr>
          <w:lang w:eastAsia="ja-JP"/>
        </w:rPr>
        <w:t xml:space="preserve"> shows that environmental biosecurity has dominated the emergency response efforts and agency budgets in recent years, particularly in relation to incursions of various tramp ants. Ongoing stakeholder concerns about the effectiveness of existing national arrangements to address environmental biosecurity risks elevated this issue as a key area for th</w:t>
      </w:r>
      <w:r w:rsidR="00505E57">
        <w:rPr>
          <w:lang w:eastAsia="ja-JP"/>
        </w:rPr>
        <w:t>is</w:t>
      </w:r>
      <w:r>
        <w:rPr>
          <w:lang w:eastAsia="ja-JP"/>
        </w:rPr>
        <w:t xml:space="preserve"> Review.</w:t>
      </w:r>
      <w:r w:rsidR="00BE1079">
        <w:rPr>
          <w:lang w:eastAsia="ja-JP"/>
        </w:rPr>
        <w:t xml:space="preserve"> </w:t>
      </w:r>
      <w:r w:rsidR="00BE1079" w:rsidRPr="00BE1079">
        <w:rPr>
          <w:lang w:eastAsia="ja-JP"/>
        </w:rPr>
        <w:t>Of note is the number of off-deed responses, which mostly pre-dated NEBRA. The agricultural weed parasite, Red witchweed (</w:t>
      </w:r>
      <w:r w:rsidR="00BE1079" w:rsidRPr="00BE1079">
        <w:rPr>
          <w:i/>
          <w:lang w:eastAsia="ja-JP"/>
        </w:rPr>
        <w:t>Striga asiatica</w:t>
      </w:r>
      <w:r w:rsidR="00BE1079" w:rsidRPr="00BE1079">
        <w:rPr>
          <w:lang w:eastAsia="ja-JP"/>
        </w:rPr>
        <w:t xml:space="preserve">), was excluded from the </w:t>
      </w:r>
      <w:r w:rsidR="00496476">
        <w:rPr>
          <w:lang w:eastAsia="ja-JP"/>
        </w:rPr>
        <w:t>Emergency Plant Pest Response Deed</w:t>
      </w:r>
      <w:r w:rsidR="00496476" w:rsidRPr="00BE1079">
        <w:rPr>
          <w:lang w:eastAsia="ja-JP"/>
        </w:rPr>
        <w:t xml:space="preserve"> </w:t>
      </w:r>
      <w:r w:rsidR="00496476">
        <w:rPr>
          <w:lang w:eastAsia="ja-JP"/>
        </w:rPr>
        <w:t xml:space="preserve">(EPPRD) </w:t>
      </w:r>
      <w:r w:rsidR="00BE1079" w:rsidRPr="00BE1079">
        <w:rPr>
          <w:lang w:eastAsia="ja-JP"/>
        </w:rPr>
        <w:t>(as a weed) and from NEBRA because their impact is agricultural not environmental.</w:t>
      </w:r>
    </w:p>
    <w:p w14:paraId="4B7B455C" w14:textId="3230AC9B" w:rsidR="00FC0BB2" w:rsidRPr="00375F10" w:rsidRDefault="00FC0BB2" w:rsidP="00FC0BB2">
      <w:pPr>
        <w:pStyle w:val="Caption"/>
        <w:rPr>
          <w:sz w:val="22"/>
          <w:szCs w:val="22"/>
          <w:lang w:eastAsia="ja-JP"/>
        </w:rPr>
      </w:pPr>
      <w:bookmarkStart w:id="76" w:name="_Ref467141479"/>
      <w:bookmarkStart w:id="77" w:name="_Toc468176723"/>
      <w:r w:rsidRPr="00375F10">
        <w:rPr>
          <w:sz w:val="22"/>
          <w:szCs w:val="22"/>
        </w:rPr>
        <w:t xml:space="preserve">Table </w:t>
      </w:r>
      <w:r w:rsidR="00D56373" w:rsidRPr="00375F10">
        <w:rPr>
          <w:sz w:val="22"/>
          <w:szCs w:val="22"/>
        </w:rPr>
        <w:fldChar w:fldCharType="begin"/>
      </w:r>
      <w:r w:rsidR="00D56373" w:rsidRPr="00375F10">
        <w:rPr>
          <w:sz w:val="22"/>
          <w:szCs w:val="22"/>
        </w:rPr>
        <w:instrText xml:space="preserve"> SEQ Table \* ARABIC </w:instrText>
      </w:r>
      <w:r w:rsidR="00D56373" w:rsidRPr="00375F10">
        <w:rPr>
          <w:sz w:val="22"/>
          <w:szCs w:val="22"/>
        </w:rPr>
        <w:fldChar w:fldCharType="separate"/>
      </w:r>
      <w:r w:rsidR="008303E2">
        <w:rPr>
          <w:noProof/>
          <w:sz w:val="22"/>
          <w:szCs w:val="22"/>
        </w:rPr>
        <w:t>2</w:t>
      </w:r>
      <w:r w:rsidR="00D56373" w:rsidRPr="00375F10">
        <w:rPr>
          <w:noProof/>
          <w:sz w:val="22"/>
          <w:szCs w:val="22"/>
        </w:rPr>
        <w:fldChar w:fldCharType="end"/>
      </w:r>
      <w:bookmarkEnd w:id="76"/>
      <w:r w:rsidR="00081BB4" w:rsidRPr="00375F10">
        <w:rPr>
          <w:sz w:val="22"/>
          <w:szCs w:val="22"/>
        </w:rPr>
        <w:t>:</w:t>
      </w:r>
      <w:r w:rsidRPr="00375F10">
        <w:rPr>
          <w:sz w:val="22"/>
          <w:szCs w:val="22"/>
        </w:rPr>
        <w:t xml:space="preserve"> Nationally funded emergency </w:t>
      </w:r>
      <w:r w:rsidR="00754BEB" w:rsidRPr="00375F10">
        <w:rPr>
          <w:sz w:val="22"/>
          <w:szCs w:val="22"/>
        </w:rPr>
        <w:t>responses</w:t>
      </w:r>
      <w:r w:rsidRPr="00375F10">
        <w:rPr>
          <w:sz w:val="22"/>
          <w:szCs w:val="22"/>
        </w:rPr>
        <w:t xml:space="preserve"> (</w:t>
      </w:r>
      <w:r w:rsidR="00754BEB" w:rsidRPr="00375F10">
        <w:rPr>
          <w:sz w:val="22"/>
          <w:szCs w:val="22"/>
        </w:rPr>
        <w:t xml:space="preserve">as at </w:t>
      </w:r>
      <w:r w:rsidRPr="00375F10">
        <w:rPr>
          <w:sz w:val="22"/>
          <w:szCs w:val="22"/>
        </w:rPr>
        <w:t>21 September 2016)</w:t>
      </w:r>
      <w:bookmarkEnd w:id="7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Nationally funded emergency responses as provided by the Invasive Species Council's submission"/>
      </w:tblPr>
      <w:tblGrid>
        <w:gridCol w:w="1387"/>
        <w:gridCol w:w="1457"/>
        <w:gridCol w:w="1227"/>
        <w:gridCol w:w="1234"/>
        <w:gridCol w:w="1283"/>
        <w:gridCol w:w="1236"/>
        <w:gridCol w:w="1236"/>
      </w:tblGrid>
      <w:tr w:rsidR="00FC0BB2" w:rsidRPr="00B1672A" w14:paraId="6ABABE5E" w14:textId="77777777" w:rsidTr="00BE1079">
        <w:trPr>
          <w:tblHeader/>
        </w:trPr>
        <w:tc>
          <w:tcPr>
            <w:tcW w:w="1387" w:type="dxa"/>
          </w:tcPr>
          <w:p w14:paraId="5320C079" w14:textId="77777777" w:rsidR="00FC0BB2" w:rsidRPr="00B1672A" w:rsidRDefault="00FC0BB2" w:rsidP="008F5774">
            <w:pPr>
              <w:pStyle w:val="TableHeading"/>
              <w:rPr>
                <w:lang w:eastAsia="ja-JP"/>
              </w:rPr>
            </w:pPr>
            <w:r w:rsidRPr="00B1672A">
              <w:rPr>
                <w:lang w:eastAsia="ja-JP"/>
              </w:rPr>
              <w:t>Species</w:t>
            </w:r>
          </w:p>
        </w:tc>
        <w:tc>
          <w:tcPr>
            <w:tcW w:w="1457" w:type="dxa"/>
          </w:tcPr>
          <w:p w14:paraId="2A84CAEF" w14:textId="77777777" w:rsidR="00FC0BB2" w:rsidRPr="00B1672A" w:rsidRDefault="00FC0BB2" w:rsidP="008F5774">
            <w:pPr>
              <w:pStyle w:val="TableHeading"/>
              <w:rPr>
                <w:lang w:eastAsia="ja-JP"/>
              </w:rPr>
            </w:pPr>
            <w:r w:rsidRPr="00B1672A">
              <w:rPr>
                <w:lang w:eastAsia="ja-JP"/>
              </w:rPr>
              <w:t>Location</w:t>
            </w:r>
          </w:p>
        </w:tc>
        <w:tc>
          <w:tcPr>
            <w:tcW w:w="1227" w:type="dxa"/>
          </w:tcPr>
          <w:p w14:paraId="4369F8A8" w14:textId="77777777" w:rsidR="00FC0BB2" w:rsidRPr="00B1672A" w:rsidRDefault="00FC0BB2" w:rsidP="008F5774">
            <w:pPr>
              <w:pStyle w:val="TableHeading"/>
              <w:rPr>
                <w:lang w:eastAsia="ja-JP"/>
              </w:rPr>
            </w:pPr>
            <w:r w:rsidRPr="00B1672A">
              <w:rPr>
                <w:lang w:eastAsia="ja-JP"/>
              </w:rPr>
              <w:t>Response plan duration</w:t>
            </w:r>
          </w:p>
        </w:tc>
        <w:tc>
          <w:tcPr>
            <w:tcW w:w="1234" w:type="dxa"/>
          </w:tcPr>
          <w:p w14:paraId="537529F5" w14:textId="7FE9AA16" w:rsidR="00FC0BB2" w:rsidRPr="00B1672A" w:rsidRDefault="00FC0BB2" w:rsidP="006C3FA4">
            <w:pPr>
              <w:pStyle w:val="TableHeading"/>
              <w:jc w:val="right"/>
              <w:rPr>
                <w:lang w:eastAsia="ja-JP"/>
              </w:rPr>
            </w:pPr>
            <w:r w:rsidRPr="00B1672A">
              <w:rPr>
                <w:lang w:eastAsia="ja-JP"/>
              </w:rPr>
              <w:t>Response plan budget ($m)</w:t>
            </w:r>
          </w:p>
        </w:tc>
        <w:tc>
          <w:tcPr>
            <w:tcW w:w="1283" w:type="dxa"/>
          </w:tcPr>
          <w:p w14:paraId="50D78F8B" w14:textId="2237853F" w:rsidR="00FC0BB2" w:rsidRPr="00B1672A" w:rsidRDefault="00FC0BB2" w:rsidP="00AD2FCB">
            <w:pPr>
              <w:pStyle w:val="TableHeading"/>
              <w:jc w:val="right"/>
              <w:rPr>
                <w:lang w:eastAsia="ja-JP"/>
              </w:rPr>
            </w:pPr>
            <w:r w:rsidRPr="00B1672A">
              <w:rPr>
                <w:lang w:eastAsia="ja-JP"/>
              </w:rPr>
              <w:t>A</w:t>
            </w:r>
            <w:r w:rsidR="006C3FA4">
              <w:rPr>
                <w:lang w:eastAsia="ja-JP"/>
              </w:rPr>
              <w:t>ustralian Government ($m</w:t>
            </w:r>
            <w:r w:rsidRPr="00B1672A">
              <w:rPr>
                <w:lang w:eastAsia="ja-JP"/>
              </w:rPr>
              <w:t>)</w:t>
            </w:r>
            <w:r w:rsidR="00615B8C">
              <w:rPr>
                <w:lang w:eastAsia="ja-JP"/>
              </w:rPr>
              <w:t xml:space="preserve"> </w:t>
            </w:r>
          </w:p>
        </w:tc>
        <w:tc>
          <w:tcPr>
            <w:tcW w:w="1236" w:type="dxa"/>
          </w:tcPr>
          <w:p w14:paraId="78AAA4C7" w14:textId="6F1FA249" w:rsidR="00FC0BB2" w:rsidRPr="00B1672A" w:rsidRDefault="00D8475B" w:rsidP="00AD2FCB">
            <w:pPr>
              <w:pStyle w:val="TableHeading"/>
              <w:jc w:val="right"/>
              <w:rPr>
                <w:lang w:eastAsia="ja-JP"/>
              </w:rPr>
            </w:pPr>
            <w:r>
              <w:rPr>
                <w:lang w:eastAsia="ja-JP"/>
              </w:rPr>
              <w:t>State and t</w:t>
            </w:r>
            <w:r w:rsidR="006C3FA4">
              <w:rPr>
                <w:lang w:eastAsia="ja-JP"/>
              </w:rPr>
              <w:t>erritory ($m</w:t>
            </w:r>
            <w:r w:rsidR="00FC0BB2" w:rsidRPr="00B1672A">
              <w:rPr>
                <w:lang w:eastAsia="ja-JP"/>
              </w:rPr>
              <w:t>)</w:t>
            </w:r>
          </w:p>
        </w:tc>
        <w:tc>
          <w:tcPr>
            <w:tcW w:w="1236" w:type="dxa"/>
          </w:tcPr>
          <w:p w14:paraId="45806BF7" w14:textId="7C4507C3" w:rsidR="00FC0BB2" w:rsidRPr="00B1672A" w:rsidRDefault="006C3FA4" w:rsidP="00AD2FCB">
            <w:pPr>
              <w:pStyle w:val="TableHeading"/>
              <w:jc w:val="right"/>
              <w:rPr>
                <w:lang w:eastAsia="ja-JP"/>
              </w:rPr>
            </w:pPr>
            <w:r>
              <w:rPr>
                <w:lang w:eastAsia="ja-JP"/>
              </w:rPr>
              <w:t>Industry ($m</w:t>
            </w:r>
            <w:r w:rsidR="00FC0BB2" w:rsidRPr="00B1672A">
              <w:rPr>
                <w:lang w:eastAsia="ja-JP"/>
              </w:rPr>
              <w:t>)</w:t>
            </w:r>
          </w:p>
        </w:tc>
      </w:tr>
      <w:tr w:rsidR="00E50188" w:rsidRPr="00B1672A" w14:paraId="220E1765" w14:textId="77777777" w:rsidTr="00E50188">
        <w:tc>
          <w:tcPr>
            <w:tcW w:w="1387" w:type="dxa"/>
          </w:tcPr>
          <w:p w14:paraId="1925FB9C" w14:textId="77777777" w:rsidR="00E50188" w:rsidRPr="00B1672A" w:rsidRDefault="00E50188" w:rsidP="00E50188">
            <w:pPr>
              <w:pStyle w:val="TableHeading"/>
              <w:rPr>
                <w:lang w:eastAsia="ja-JP"/>
              </w:rPr>
            </w:pPr>
            <w:r>
              <w:rPr>
                <w:lang w:eastAsia="ja-JP"/>
              </w:rPr>
              <w:t>EPPRD</w:t>
            </w:r>
          </w:p>
        </w:tc>
        <w:tc>
          <w:tcPr>
            <w:tcW w:w="1457" w:type="dxa"/>
          </w:tcPr>
          <w:p w14:paraId="613252E1" w14:textId="426CC3B8" w:rsidR="00E50188" w:rsidRPr="00473B46" w:rsidRDefault="00473B46" w:rsidP="008F5774">
            <w:pPr>
              <w:pStyle w:val="TableText"/>
              <w:rPr>
                <w:color w:val="FFFFFF" w:themeColor="background1"/>
                <w:lang w:eastAsia="ja-JP"/>
              </w:rPr>
            </w:pPr>
            <w:r w:rsidRPr="00473B46">
              <w:rPr>
                <w:color w:val="FFFFFF" w:themeColor="background1"/>
                <w:lang w:eastAsia="ja-JP"/>
              </w:rPr>
              <w:t>.</w:t>
            </w:r>
          </w:p>
        </w:tc>
        <w:tc>
          <w:tcPr>
            <w:tcW w:w="1227" w:type="dxa"/>
          </w:tcPr>
          <w:p w14:paraId="62A27F51" w14:textId="619D39B7" w:rsidR="00E50188" w:rsidRPr="00473B46" w:rsidRDefault="00473B46" w:rsidP="008F5774">
            <w:pPr>
              <w:pStyle w:val="TableText"/>
              <w:rPr>
                <w:color w:val="FFFFFF" w:themeColor="background1"/>
                <w:lang w:eastAsia="ja-JP"/>
              </w:rPr>
            </w:pPr>
            <w:r w:rsidRPr="00473B46">
              <w:rPr>
                <w:color w:val="FFFFFF" w:themeColor="background1"/>
                <w:lang w:eastAsia="ja-JP"/>
              </w:rPr>
              <w:t>.</w:t>
            </w:r>
          </w:p>
        </w:tc>
        <w:tc>
          <w:tcPr>
            <w:tcW w:w="1234" w:type="dxa"/>
          </w:tcPr>
          <w:p w14:paraId="0EFB30C1" w14:textId="67BC1372" w:rsidR="00E50188" w:rsidRPr="00473B46" w:rsidRDefault="00473B46" w:rsidP="009057E1">
            <w:pPr>
              <w:pStyle w:val="TableText"/>
              <w:rPr>
                <w:color w:val="FFFFFF" w:themeColor="background1"/>
                <w:lang w:eastAsia="ja-JP"/>
              </w:rPr>
            </w:pPr>
            <w:r w:rsidRPr="00473B46">
              <w:rPr>
                <w:color w:val="FFFFFF" w:themeColor="background1"/>
                <w:lang w:eastAsia="ja-JP"/>
              </w:rPr>
              <w:t>.</w:t>
            </w:r>
          </w:p>
        </w:tc>
        <w:tc>
          <w:tcPr>
            <w:tcW w:w="1283" w:type="dxa"/>
          </w:tcPr>
          <w:p w14:paraId="558A05EC" w14:textId="3542E0D2" w:rsidR="00E50188" w:rsidRPr="00473B46" w:rsidRDefault="00473B46" w:rsidP="009057E1">
            <w:pPr>
              <w:pStyle w:val="TableText"/>
              <w:rPr>
                <w:color w:val="FFFFFF" w:themeColor="background1"/>
                <w:lang w:eastAsia="ja-JP"/>
              </w:rPr>
            </w:pPr>
            <w:r w:rsidRPr="00473B46">
              <w:rPr>
                <w:color w:val="FFFFFF" w:themeColor="background1"/>
                <w:lang w:eastAsia="ja-JP"/>
              </w:rPr>
              <w:t>.</w:t>
            </w:r>
          </w:p>
        </w:tc>
        <w:tc>
          <w:tcPr>
            <w:tcW w:w="1236" w:type="dxa"/>
          </w:tcPr>
          <w:p w14:paraId="2B121636" w14:textId="61B79B0C" w:rsidR="00E50188" w:rsidRPr="00473B46" w:rsidRDefault="00473B46" w:rsidP="009057E1">
            <w:pPr>
              <w:pStyle w:val="TableText"/>
              <w:rPr>
                <w:color w:val="FFFFFF" w:themeColor="background1"/>
                <w:lang w:eastAsia="ja-JP"/>
              </w:rPr>
            </w:pPr>
            <w:r w:rsidRPr="00473B46">
              <w:rPr>
                <w:color w:val="FFFFFF" w:themeColor="background1"/>
                <w:lang w:eastAsia="ja-JP"/>
              </w:rPr>
              <w:t>.</w:t>
            </w:r>
          </w:p>
        </w:tc>
        <w:tc>
          <w:tcPr>
            <w:tcW w:w="1236" w:type="dxa"/>
          </w:tcPr>
          <w:p w14:paraId="6FEAE989" w14:textId="5BC4157E" w:rsidR="00E50188" w:rsidRPr="00473B46" w:rsidRDefault="00473B46" w:rsidP="009057E1">
            <w:pPr>
              <w:pStyle w:val="TableText"/>
              <w:rPr>
                <w:color w:val="FFFFFF" w:themeColor="background1"/>
                <w:lang w:eastAsia="ja-JP"/>
              </w:rPr>
            </w:pPr>
            <w:r w:rsidRPr="00473B46">
              <w:rPr>
                <w:color w:val="FFFFFF" w:themeColor="background1"/>
                <w:lang w:eastAsia="ja-JP"/>
              </w:rPr>
              <w:t>.</w:t>
            </w:r>
          </w:p>
        </w:tc>
      </w:tr>
      <w:tr w:rsidR="00FC0BB2" w:rsidRPr="00B1672A" w14:paraId="7B054C2B" w14:textId="77777777" w:rsidTr="00E50188">
        <w:tc>
          <w:tcPr>
            <w:tcW w:w="1387" w:type="dxa"/>
          </w:tcPr>
          <w:p w14:paraId="11A44374" w14:textId="77777777" w:rsidR="00FC0BB2" w:rsidRPr="00B1672A" w:rsidRDefault="00FC0BB2" w:rsidP="008F5774">
            <w:pPr>
              <w:pStyle w:val="TableText"/>
              <w:rPr>
                <w:lang w:eastAsia="ja-JP"/>
              </w:rPr>
            </w:pPr>
            <w:r w:rsidRPr="00B1672A">
              <w:rPr>
                <w:lang w:eastAsia="ja-JP"/>
              </w:rPr>
              <w:t>Khapra beetle (</w:t>
            </w:r>
            <w:r w:rsidRPr="00FC0BB2">
              <w:rPr>
                <w:i/>
                <w:lang w:eastAsia="ja-JP"/>
              </w:rPr>
              <w:t>Trogoderma granarium</w:t>
            </w:r>
            <w:r w:rsidRPr="00B1672A">
              <w:rPr>
                <w:lang w:eastAsia="ja-JP"/>
              </w:rPr>
              <w:t>)</w:t>
            </w:r>
          </w:p>
        </w:tc>
        <w:tc>
          <w:tcPr>
            <w:tcW w:w="1457" w:type="dxa"/>
          </w:tcPr>
          <w:p w14:paraId="65BC70BC" w14:textId="77777777" w:rsidR="00FC0BB2" w:rsidRPr="00B1672A" w:rsidRDefault="00FC0BB2" w:rsidP="008F5774">
            <w:pPr>
              <w:pStyle w:val="TableText"/>
              <w:rPr>
                <w:lang w:eastAsia="ja-JP"/>
              </w:rPr>
            </w:pPr>
            <w:r w:rsidRPr="00B1672A">
              <w:rPr>
                <w:lang w:eastAsia="ja-JP"/>
              </w:rPr>
              <w:t>Adelaide and Kangaroo Island, SA</w:t>
            </w:r>
          </w:p>
        </w:tc>
        <w:tc>
          <w:tcPr>
            <w:tcW w:w="1227" w:type="dxa"/>
          </w:tcPr>
          <w:p w14:paraId="093DD3F6" w14:textId="6AB86C9A" w:rsidR="00FC0BB2" w:rsidRPr="00B1672A" w:rsidRDefault="00FC0BB2" w:rsidP="009057E1">
            <w:pPr>
              <w:pStyle w:val="TableText"/>
              <w:rPr>
                <w:lang w:eastAsia="ja-JP"/>
              </w:rPr>
            </w:pPr>
            <w:r w:rsidRPr="00B1672A">
              <w:rPr>
                <w:lang w:eastAsia="ja-JP"/>
              </w:rPr>
              <w:t>2015</w:t>
            </w:r>
            <w:r w:rsidR="009057E1">
              <w:rPr>
                <w:lang w:eastAsia="ja-JP"/>
              </w:rPr>
              <w:t>–</w:t>
            </w:r>
            <w:r w:rsidRPr="00B1672A">
              <w:rPr>
                <w:lang w:eastAsia="ja-JP"/>
              </w:rPr>
              <w:t>16</w:t>
            </w:r>
            <w:r w:rsidR="009057E1">
              <w:rPr>
                <w:lang w:eastAsia="ja-JP"/>
              </w:rPr>
              <w:t xml:space="preserve"> to </w:t>
            </w:r>
            <w:r w:rsidRPr="00B1672A">
              <w:rPr>
                <w:lang w:eastAsia="ja-JP"/>
              </w:rPr>
              <w:t>2016</w:t>
            </w:r>
            <w:r w:rsidR="009057E1">
              <w:rPr>
                <w:lang w:eastAsia="ja-JP"/>
              </w:rPr>
              <w:t>–</w:t>
            </w:r>
            <w:r w:rsidRPr="00B1672A">
              <w:rPr>
                <w:lang w:eastAsia="ja-JP"/>
              </w:rPr>
              <w:t>17</w:t>
            </w:r>
          </w:p>
        </w:tc>
        <w:tc>
          <w:tcPr>
            <w:tcW w:w="1234" w:type="dxa"/>
          </w:tcPr>
          <w:p w14:paraId="23F93AEB" w14:textId="77777777" w:rsidR="00FC0BB2" w:rsidRPr="00B1672A" w:rsidRDefault="00FC0BB2" w:rsidP="00447D42">
            <w:pPr>
              <w:pStyle w:val="TableText"/>
              <w:jc w:val="right"/>
              <w:rPr>
                <w:lang w:eastAsia="ja-JP"/>
              </w:rPr>
            </w:pPr>
            <w:r w:rsidRPr="00B1672A">
              <w:rPr>
                <w:lang w:eastAsia="ja-JP"/>
              </w:rPr>
              <w:t xml:space="preserve">2.56 </w:t>
            </w:r>
          </w:p>
        </w:tc>
        <w:tc>
          <w:tcPr>
            <w:tcW w:w="1283" w:type="dxa"/>
          </w:tcPr>
          <w:p w14:paraId="2B5605D7" w14:textId="77777777" w:rsidR="00FC0BB2" w:rsidRPr="00B1672A" w:rsidRDefault="00FC0BB2" w:rsidP="00447D42">
            <w:pPr>
              <w:pStyle w:val="TableText"/>
              <w:jc w:val="right"/>
              <w:rPr>
                <w:lang w:eastAsia="ja-JP"/>
              </w:rPr>
            </w:pPr>
            <w:r w:rsidRPr="00B1672A">
              <w:rPr>
                <w:lang w:eastAsia="ja-JP"/>
              </w:rPr>
              <w:t>1.03</w:t>
            </w:r>
          </w:p>
        </w:tc>
        <w:tc>
          <w:tcPr>
            <w:tcW w:w="1236" w:type="dxa"/>
          </w:tcPr>
          <w:p w14:paraId="1E2AD2FD" w14:textId="77777777" w:rsidR="00FC0BB2" w:rsidRPr="00B1672A" w:rsidRDefault="00FC0BB2" w:rsidP="00447D42">
            <w:pPr>
              <w:pStyle w:val="TableText"/>
              <w:jc w:val="right"/>
              <w:rPr>
                <w:lang w:eastAsia="ja-JP"/>
              </w:rPr>
            </w:pPr>
            <w:r w:rsidRPr="00B1672A">
              <w:rPr>
                <w:lang w:eastAsia="ja-JP"/>
              </w:rPr>
              <w:t>1.02</w:t>
            </w:r>
          </w:p>
        </w:tc>
        <w:tc>
          <w:tcPr>
            <w:tcW w:w="1236" w:type="dxa"/>
          </w:tcPr>
          <w:p w14:paraId="6BECEB21" w14:textId="77777777" w:rsidR="00FC0BB2" w:rsidRPr="00B1672A" w:rsidRDefault="00FC0BB2" w:rsidP="00447D42">
            <w:pPr>
              <w:pStyle w:val="TableText"/>
              <w:jc w:val="right"/>
              <w:rPr>
                <w:lang w:eastAsia="ja-JP"/>
              </w:rPr>
            </w:pPr>
            <w:r w:rsidRPr="00B1672A">
              <w:rPr>
                <w:lang w:eastAsia="ja-JP"/>
              </w:rPr>
              <w:t>0.51</w:t>
            </w:r>
          </w:p>
        </w:tc>
      </w:tr>
      <w:tr w:rsidR="00FC0BB2" w:rsidRPr="00B1672A" w14:paraId="0CB1C7F2" w14:textId="77777777" w:rsidTr="00E50188">
        <w:tc>
          <w:tcPr>
            <w:tcW w:w="1387" w:type="dxa"/>
          </w:tcPr>
          <w:p w14:paraId="1547FF24" w14:textId="77777777" w:rsidR="00FC0BB2" w:rsidRPr="00B1672A" w:rsidRDefault="00FC0BB2" w:rsidP="008F5774">
            <w:pPr>
              <w:pStyle w:val="TableText"/>
              <w:rPr>
                <w:lang w:eastAsia="ja-JP"/>
              </w:rPr>
            </w:pPr>
            <w:r w:rsidRPr="00B1672A">
              <w:rPr>
                <w:lang w:eastAsia="ja-JP"/>
              </w:rPr>
              <w:t xml:space="preserve">Exotic fruit fly in the Torres Strait </w:t>
            </w:r>
          </w:p>
        </w:tc>
        <w:tc>
          <w:tcPr>
            <w:tcW w:w="1457" w:type="dxa"/>
          </w:tcPr>
          <w:p w14:paraId="0613C2C0" w14:textId="77777777" w:rsidR="00FC0BB2" w:rsidRPr="00B1672A" w:rsidRDefault="00FC0BB2" w:rsidP="008F5774">
            <w:pPr>
              <w:pStyle w:val="TableText"/>
              <w:rPr>
                <w:lang w:eastAsia="ja-JP"/>
              </w:rPr>
            </w:pPr>
            <w:r w:rsidRPr="00B1672A">
              <w:rPr>
                <w:lang w:eastAsia="ja-JP"/>
              </w:rPr>
              <w:t>Torres Strait, QLD</w:t>
            </w:r>
          </w:p>
        </w:tc>
        <w:tc>
          <w:tcPr>
            <w:tcW w:w="1227" w:type="dxa"/>
          </w:tcPr>
          <w:p w14:paraId="3F22FBD8" w14:textId="23402C8F" w:rsidR="00FC0BB2" w:rsidRPr="00B1672A" w:rsidRDefault="00FC0BB2" w:rsidP="009057E1">
            <w:pPr>
              <w:pStyle w:val="TableText"/>
              <w:rPr>
                <w:lang w:eastAsia="ja-JP"/>
              </w:rPr>
            </w:pPr>
            <w:r w:rsidRPr="00B1672A">
              <w:rPr>
                <w:lang w:eastAsia="ja-JP"/>
              </w:rPr>
              <w:t>2015</w:t>
            </w:r>
            <w:r w:rsidR="009057E1">
              <w:rPr>
                <w:lang w:eastAsia="ja-JP"/>
              </w:rPr>
              <w:t>–</w:t>
            </w:r>
            <w:r w:rsidRPr="00B1672A">
              <w:rPr>
                <w:lang w:eastAsia="ja-JP"/>
              </w:rPr>
              <w:t xml:space="preserve">16 </w:t>
            </w:r>
            <w:r w:rsidR="009057E1">
              <w:rPr>
                <w:lang w:eastAsia="ja-JP"/>
              </w:rPr>
              <w:t>to 2017–</w:t>
            </w:r>
            <w:r w:rsidRPr="00B1672A">
              <w:rPr>
                <w:lang w:eastAsia="ja-JP"/>
              </w:rPr>
              <w:t>18</w:t>
            </w:r>
          </w:p>
        </w:tc>
        <w:tc>
          <w:tcPr>
            <w:tcW w:w="1234" w:type="dxa"/>
          </w:tcPr>
          <w:p w14:paraId="3C245ADF" w14:textId="77777777" w:rsidR="00FC0BB2" w:rsidRPr="00B1672A" w:rsidRDefault="00FC0BB2" w:rsidP="00447D42">
            <w:pPr>
              <w:pStyle w:val="TableText"/>
              <w:jc w:val="right"/>
              <w:rPr>
                <w:lang w:eastAsia="ja-JP"/>
              </w:rPr>
            </w:pPr>
            <w:r w:rsidRPr="00B1672A">
              <w:rPr>
                <w:lang w:eastAsia="ja-JP"/>
              </w:rPr>
              <w:t xml:space="preserve">1.23 </w:t>
            </w:r>
          </w:p>
        </w:tc>
        <w:tc>
          <w:tcPr>
            <w:tcW w:w="1283" w:type="dxa"/>
          </w:tcPr>
          <w:p w14:paraId="59BEE8D7" w14:textId="77777777" w:rsidR="00FC0BB2" w:rsidRPr="00B1672A" w:rsidRDefault="00FC0BB2" w:rsidP="00447D42">
            <w:pPr>
              <w:pStyle w:val="TableText"/>
              <w:jc w:val="right"/>
              <w:rPr>
                <w:lang w:eastAsia="ja-JP"/>
              </w:rPr>
            </w:pPr>
            <w:r w:rsidRPr="00B1672A">
              <w:rPr>
                <w:lang w:eastAsia="ja-JP"/>
              </w:rPr>
              <w:t>0.49</w:t>
            </w:r>
          </w:p>
        </w:tc>
        <w:tc>
          <w:tcPr>
            <w:tcW w:w="1236" w:type="dxa"/>
          </w:tcPr>
          <w:p w14:paraId="0BF7530E" w14:textId="77777777" w:rsidR="00FC0BB2" w:rsidRPr="00B1672A" w:rsidRDefault="00FC0BB2" w:rsidP="00447D42">
            <w:pPr>
              <w:pStyle w:val="TableText"/>
              <w:jc w:val="right"/>
              <w:rPr>
                <w:lang w:eastAsia="ja-JP"/>
              </w:rPr>
            </w:pPr>
            <w:r w:rsidRPr="00B1672A">
              <w:rPr>
                <w:lang w:eastAsia="ja-JP"/>
              </w:rPr>
              <w:t>0.50</w:t>
            </w:r>
          </w:p>
        </w:tc>
        <w:tc>
          <w:tcPr>
            <w:tcW w:w="1236" w:type="dxa"/>
          </w:tcPr>
          <w:p w14:paraId="2A39F67C" w14:textId="77777777" w:rsidR="00FC0BB2" w:rsidRPr="00B1672A" w:rsidRDefault="00FC0BB2" w:rsidP="00447D42">
            <w:pPr>
              <w:pStyle w:val="TableText"/>
              <w:jc w:val="right"/>
              <w:rPr>
                <w:lang w:eastAsia="ja-JP"/>
              </w:rPr>
            </w:pPr>
            <w:r w:rsidRPr="00B1672A">
              <w:rPr>
                <w:lang w:eastAsia="ja-JP"/>
              </w:rPr>
              <w:t>0.24</w:t>
            </w:r>
          </w:p>
        </w:tc>
      </w:tr>
      <w:tr w:rsidR="00FC0BB2" w:rsidRPr="00B1672A" w14:paraId="6BF87723" w14:textId="77777777" w:rsidTr="00E50188">
        <w:tc>
          <w:tcPr>
            <w:tcW w:w="1387" w:type="dxa"/>
          </w:tcPr>
          <w:p w14:paraId="1B503AAD" w14:textId="77777777" w:rsidR="00FC0BB2" w:rsidRPr="00B1672A" w:rsidRDefault="00FC0BB2" w:rsidP="008F5774">
            <w:pPr>
              <w:pStyle w:val="TableText"/>
              <w:rPr>
                <w:lang w:eastAsia="ja-JP"/>
              </w:rPr>
            </w:pPr>
            <w:r w:rsidRPr="00B1672A">
              <w:rPr>
                <w:lang w:eastAsia="ja-JP"/>
              </w:rPr>
              <w:t>Giant pine scale (</w:t>
            </w:r>
            <w:r w:rsidRPr="00FC0BB2">
              <w:rPr>
                <w:i/>
                <w:lang w:eastAsia="ja-JP"/>
              </w:rPr>
              <w:t>Marchalina hellenica</w:t>
            </w:r>
            <w:r w:rsidRPr="00B1672A">
              <w:rPr>
                <w:lang w:eastAsia="ja-JP"/>
              </w:rPr>
              <w:t>)</w:t>
            </w:r>
          </w:p>
        </w:tc>
        <w:tc>
          <w:tcPr>
            <w:tcW w:w="1457" w:type="dxa"/>
          </w:tcPr>
          <w:p w14:paraId="6FE7B551" w14:textId="77777777" w:rsidR="00FC0BB2" w:rsidRPr="00B1672A" w:rsidRDefault="00FC0BB2" w:rsidP="008F5774">
            <w:pPr>
              <w:pStyle w:val="TableText"/>
              <w:rPr>
                <w:lang w:eastAsia="ja-JP"/>
              </w:rPr>
            </w:pPr>
            <w:r w:rsidRPr="00B1672A">
              <w:rPr>
                <w:lang w:eastAsia="ja-JP"/>
              </w:rPr>
              <w:t>Harkaway and Mt Waverly, Vic. and Dernancourt, SA</w:t>
            </w:r>
          </w:p>
        </w:tc>
        <w:tc>
          <w:tcPr>
            <w:tcW w:w="1227" w:type="dxa"/>
          </w:tcPr>
          <w:p w14:paraId="2723E6A7" w14:textId="66F8A9F6" w:rsidR="00FC0BB2" w:rsidRPr="00B1672A" w:rsidRDefault="009057E1" w:rsidP="008F5774">
            <w:pPr>
              <w:pStyle w:val="TableText"/>
              <w:rPr>
                <w:lang w:eastAsia="ja-JP"/>
              </w:rPr>
            </w:pPr>
            <w:r>
              <w:rPr>
                <w:lang w:eastAsia="ja-JP"/>
              </w:rPr>
              <w:t>2014–15 to 2017–</w:t>
            </w:r>
            <w:r w:rsidR="00FC0BB2" w:rsidRPr="00B1672A">
              <w:rPr>
                <w:lang w:eastAsia="ja-JP"/>
              </w:rPr>
              <w:t>18</w:t>
            </w:r>
          </w:p>
        </w:tc>
        <w:tc>
          <w:tcPr>
            <w:tcW w:w="1234" w:type="dxa"/>
          </w:tcPr>
          <w:p w14:paraId="275462D2" w14:textId="77777777" w:rsidR="00FC0BB2" w:rsidRPr="00B1672A" w:rsidRDefault="00FC0BB2" w:rsidP="00447D42">
            <w:pPr>
              <w:pStyle w:val="TableText"/>
              <w:jc w:val="right"/>
              <w:rPr>
                <w:lang w:eastAsia="ja-JP"/>
              </w:rPr>
            </w:pPr>
            <w:r w:rsidRPr="00B1672A">
              <w:rPr>
                <w:lang w:eastAsia="ja-JP"/>
              </w:rPr>
              <w:t xml:space="preserve">5.87 </w:t>
            </w:r>
          </w:p>
        </w:tc>
        <w:tc>
          <w:tcPr>
            <w:tcW w:w="1283" w:type="dxa"/>
          </w:tcPr>
          <w:p w14:paraId="6B5FD712" w14:textId="77777777" w:rsidR="00FC0BB2" w:rsidRPr="00B1672A" w:rsidRDefault="00FC0BB2" w:rsidP="00447D42">
            <w:pPr>
              <w:pStyle w:val="TableText"/>
              <w:jc w:val="right"/>
              <w:rPr>
                <w:lang w:eastAsia="ja-JP"/>
              </w:rPr>
            </w:pPr>
            <w:r w:rsidRPr="00B1672A">
              <w:rPr>
                <w:lang w:eastAsia="ja-JP"/>
              </w:rPr>
              <w:t xml:space="preserve">1.47 </w:t>
            </w:r>
          </w:p>
        </w:tc>
        <w:tc>
          <w:tcPr>
            <w:tcW w:w="1236" w:type="dxa"/>
          </w:tcPr>
          <w:p w14:paraId="56CAC400" w14:textId="77777777" w:rsidR="00FC0BB2" w:rsidRPr="00B1672A" w:rsidRDefault="00FC0BB2" w:rsidP="00447D42">
            <w:pPr>
              <w:pStyle w:val="TableText"/>
              <w:jc w:val="right"/>
              <w:rPr>
                <w:lang w:eastAsia="ja-JP"/>
              </w:rPr>
            </w:pPr>
            <w:r w:rsidRPr="00B1672A">
              <w:rPr>
                <w:lang w:eastAsia="ja-JP"/>
              </w:rPr>
              <w:t>1.50</w:t>
            </w:r>
          </w:p>
        </w:tc>
        <w:tc>
          <w:tcPr>
            <w:tcW w:w="1236" w:type="dxa"/>
          </w:tcPr>
          <w:p w14:paraId="3BCE1495" w14:textId="77777777" w:rsidR="00FC0BB2" w:rsidRPr="00B1672A" w:rsidRDefault="00FC0BB2" w:rsidP="00447D42">
            <w:pPr>
              <w:pStyle w:val="TableText"/>
              <w:jc w:val="right"/>
              <w:rPr>
                <w:lang w:eastAsia="ja-JP"/>
              </w:rPr>
            </w:pPr>
            <w:r w:rsidRPr="00B1672A">
              <w:rPr>
                <w:lang w:eastAsia="ja-JP"/>
              </w:rPr>
              <w:t>2.90</w:t>
            </w:r>
          </w:p>
        </w:tc>
      </w:tr>
      <w:tr w:rsidR="00FC0BB2" w:rsidRPr="00B1672A" w14:paraId="1A5D1BB2" w14:textId="77777777" w:rsidTr="00E50188">
        <w:tc>
          <w:tcPr>
            <w:tcW w:w="1387" w:type="dxa"/>
          </w:tcPr>
          <w:p w14:paraId="35FF5FD8" w14:textId="77777777" w:rsidR="00FC0BB2" w:rsidRPr="00B1672A" w:rsidRDefault="00FC0BB2" w:rsidP="008F5774">
            <w:pPr>
              <w:pStyle w:val="TableText"/>
              <w:rPr>
                <w:lang w:eastAsia="ja-JP"/>
              </w:rPr>
            </w:pPr>
            <w:r w:rsidRPr="00B1672A">
              <w:rPr>
                <w:lang w:eastAsia="ja-JP"/>
              </w:rPr>
              <w:t xml:space="preserve">Banana freckle </w:t>
            </w:r>
          </w:p>
        </w:tc>
        <w:tc>
          <w:tcPr>
            <w:tcW w:w="1457" w:type="dxa"/>
          </w:tcPr>
          <w:p w14:paraId="210CAB20" w14:textId="77777777" w:rsidR="00FC0BB2" w:rsidRPr="00B1672A" w:rsidRDefault="00FC0BB2" w:rsidP="008F5774">
            <w:pPr>
              <w:pStyle w:val="TableText"/>
              <w:rPr>
                <w:lang w:eastAsia="ja-JP"/>
              </w:rPr>
            </w:pPr>
            <w:r w:rsidRPr="00B1672A">
              <w:rPr>
                <w:lang w:eastAsia="ja-JP"/>
              </w:rPr>
              <w:t>Howard Springs, Darwin, NT</w:t>
            </w:r>
          </w:p>
        </w:tc>
        <w:tc>
          <w:tcPr>
            <w:tcW w:w="1227" w:type="dxa"/>
          </w:tcPr>
          <w:p w14:paraId="7E0DB34D" w14:textId="5CA7503B" w:rsidR="00FC0BB2" w:rsidRPr="00B1672A" w:rsidRDefault="00FC0BB2" w:rsidP="008F5774">
            <w:pPr>
              <w:pStyle w:val="TableText"/>
              <w:rPr>
                <w:lang w:eastAsia="ja-JP"/>
              </w:rPr>
            </w:pPr>
            <w:r w:rsidRPr="00B1672A">
              <w:rPr>
                <w:lang w:eastAsia="ja-JP"/>
              </w:rPr>
              <w:t>2013</w:t>
            </w:r>
            <w:r w:rsidR="009057E1">
              <w:rPr>
                <w:lang w:eastAsia="ja-JP"/>
              </w:rPr>
              <w:t>–14 to 2017–</w:t>
            </w:r>
            <w:r w:rsidRPr="00B1672A">
              <w:rPr>
                <w:lang w:eastAsia="ja-JP"/>
              </w:rPr>
              <w:t>18</w:t>
            </w:r>
          </w:p>
        </w:tc>
        <w:tc>
          <w:tcPr>
            <w:tcW w:w="1234" w:type="dxa"/>
          </w:tcPr>
          <w:p w14:paraId="6EA49884" w14:textId="77777777" w:rsidR="00FC0BB2" w:rsidRPr="00B1672A" w:rsidRDefault="00FC0BB2" w:rsidP="00447D42">
            <w:pPr>
              <w:pStyle w:val="TableText"/>
              <w:jc w:val="right"/>
              <w:rPr>
                <w:lang w:eastAsia="ja-JP"/>
              </w:rPr>
            </w:pPr>
            <w:r w:rsidRPr="00B1672A">
              <w:rPr>
                <w:lang w:eastAsia="ja-JP"/>
              </w:rPr>
              <w:t>24.29</w:t>
            </w:r>
          </w:p>
        </w:tc>
        <w:tc>
          <w:tcPr>
            <w:tcW w:w="1283" w:type="dxa"/>
          </w:tcPr>
          <w:p w14:paraId="3B7BF06C" w14:textId="77777777" w:rsidR="00FC0BB2" w:rsidRPr="00B1672A" w:rsidRDefault="00FC0BB2" w:rsidP="00447D42">
            <w:pPr>
              <w:pStyle w:val="TableText"/>
              <w:jc w:val="right"/>
              <w:rPr>
                <w:lang w:eastAsia="ja-JP"/>
              </w:rPr>
            </w:pPr>
            <w:r w:rsidRPr="00B1672A">
              <w:rPr>
                <w:lang w:eastAsia="ja-JP"/>
              </w:rPr>
              <w:t xml:space="preserve">6.03 </w:t>
            </w:r>
          </w:p>
        </w:tc>
        <w:tc>
          <w:tcPr>
            <w:tcW w:w="1236" w:type="dxa"/>
          </w:tcPr>
          <w:p w14:paraId="1CC32B70" w14:textId="77777777" w:rsidR="00FC0BB2" w:rsidRPr="00B1672A" w:rsidRDefault="00FC0BB2" w:rsidP="00447D42">
            <w:pPr>
              <w:pStyle w:val="TableText"/>
              <w:jc w:val="right"/>
              <w:rPr>
                <w:lang w:eastAsia="ja-JP"/>
              </w:rPr>
            </w:pPr>
            <w:r w:rsidRPr="00B1672A">
              <w:rPr>
                <w:lang w:eastAsia="ja-JP"/>
              </w:rPr>
              <w:t>6.16</w:t>
            </w:r>
          </w:p>
        </w:tc>
        <w:tc>
          <w:tcPr>
            <w:tcW w:w="1236" w:type="dxa"/>
          </w:tcPr>
          <w:p w14:paraId="0666371E" w14:textId="77777777" w:rsidR="00FC0BB2" w:rsidRPr="00B1672A" w:rsidRDefault="00FC0BB2" w:rsidP="00447D42">
            <w:pPr>
              <w:pStyle w:val="TableText"/>
              <w:jc w:val="right"/>
              <w:rPr>
                <w:lang w:eastAsia="ja-JP"/>
              </w:rPr>
            </w:pPr>
            <w:r w:rsidRPr="00B1672A">
              <w:rPr>
                <w:lang w:eastAsia="ja-JP"/>
              </w:rPr>
              <w:t>12.10</w:t>
            </w:r>
          </w:p>
        </w:tc>
      </w:tr>
      <w:tr w:rsidR="00FC0BB2" w:rsidRPr="00B1672A" w14:paraId="6FDF7663" w14:textId="77777777" w:rsidTr="00E50188">
        <w:tc>
          <w:tcPr>
            <w:tcW w:w="1387" w:type="dxa"/>
          </w:tcPr>
          <w:p w14:paraId="00FC2C12" w14:textId="77777777" w:rsidR="00FC0BB2" w:rsidRPr="00B1672A" w:rsidRDefault="00FC0BB2" w:rsidP="008F5774">
            <w:pPr>
              <w:pStyle w:val="TableText"/>
              <w:rPr>
                <w:lang w:eastAsia="ja-JP"/>
              </w:rPr>
            </w:pPr>
            <w:r w:rsidRPr="00B1672A">
              <w:rPr>
                <w:lang w:eastAsia="ja-JP"/>
              </w:rPr>
              <w:t>Chestnut blight (</w:t>
            </w:r>
            <w:r w:rsidRPr="00FC0BB2">
              <w:rPr>
                <w:i/>
                <w:lang w:eastAsia="ja-JP"/>
              </w:rPr>
              <w:t>Cryphonectria parasitica</w:t>
            </w:r>
            <w:r w:rsidRPr="00B1672A">
              <w:rPr>
                <w:lang w:eastAsia="ja-JP"/>
              </w:rPr>
              <w:t>)</w:t>
            </w:r>
          </w:p>
        </w:tc>
        <w:tc>
          <w:tcPr>
            <w:tcW w:w="1457" w:type="dxa"/>
          </w:tcPr>
          <w:p w14:paraId="65336F0D" w14:textId="77777777" w:rsidR="00FC0BB2" w:rsidRPr="00B1672A" w:rsidRDefault="00FC0BB2" w:rsidP="008F5774">
            <w:pPr>
              <w:pStyle w:val="TableText"/>
              <w:rPr>
                <w:lang w:eastAsia="ja-JP"/>
              </w:rPr>
            </w:pPr>
            <w:r w:rsidRPr="00B1672A">
              <w:rPr>
                <w:lang w:eastAsia="ja-JP"/>
              </w:rPr>
              <w:t>Ovens Valley, VIC</w:t>
            </w:r>
          </w:p>
        </w:tc>
        <w:tc>
          <w:tcPr>
            <w:tcW w:w="1227" w:type="dxa"/>
          </w:tcPr>
          <w:p w14:paraId="01382EA1" w14:textId="2709E94E" w:rsidR="00FC0BB2" w:rsidRPr="00B1672A" w:rsidRDefault="009057E1" w:rsidP="008F5774">
            <w:pPr>
              <w:pStyle w:val="TableText"/>
              <w:rPr>
                <w:lang w:eastAsia="ja-JP"/>
              </w:rPr>
            </w:pPr>
            <w:r>
              <w:rPr>
                <w:lang w:eastAsia="ja-JP"/>
              </w:rPr>
              <w:t>2010–11 to 2016–</w:t>
            </w:r>
            <w:r w:rsidR="00FC0BB2" w:rsidRPr="00B1672A">
              <w:rPr>
                <w:lang w:eastAsia="ja-JP"/>
              </w:rPr>
              <w:t>17</w:t>
            </w:r>
          </w:p>
        </w:tc>
        <w:tc>
          <w:tcPr>
            <w:tcW w:w="1234" w:type="dxa"/>
          </w:tcPr>
          <w:p w14:paraId="63617A74" w14:textId="77777777" w:rsidR="00FC0BB2" w:rsidRPr="00B1672A" w:rsidRDefault="00FC0BB2" w:rsidP="00447D42">
            <w:pPr>
              <w:pStyle w:val="TableText"/>
              <w:jc w:val="right"/>
              <w:rPr>
                <w:lang w:eastAsia="ja-JP"/>
              </w:rPr>
            </w:pPr>
            <w:r w:rsidRPr="00B1672A">
              <w:rPr>
                <w:lang w:eastAsia="ja-JP"/>
              </w:rPr>
              <w:t>4.09</w:t>
            </w:r>
          </w:p>
        </w:tc>
        <w:tc>
          <w:tcPr>
            <w:tcW w:w="1283" w:type="dxa"/>
          </w:tcPr>
          <w:p w14:paraId="2DA3952D" w14:textId="77777777" w:rsidR="00FC0BB2" w:rsidRPr="00B1672A" w:rsidRDefault="00FC0BB2" w:rsidP="00447D42">
            <w:pPr>
              <w:pStyle w:val="TableText"/>
              <w:jc w:val="right"/>
              <w:rPr>
                <w:lang w:eastAsia="ja-JP"/>
              </w:rPr>
            </w:pPr>
            <w:r w:rsidRPr="00B1672A">
              <w:rPr>
                <w:lang w:eastAsia="ja-JP"/>
              </w:rPr>
              <w:t>2.00</w:t>
            </w:r>
          </w:p>
        </w:tc>
        <w:tc>
          <w:tcPr>
            <w:tcW w:w="1236" w:type="dxa"/>
          </w:tcPr>
          <w:p w14:paraId="779EA6E7" w14:textId="77777777" w:rsidR="00FC0BB2" w:rsidRPr="00B1672A" w:rsidRDefault="00FC0BB2" w:rsidP="00447D42">
            <w:pPr>
              <w:pStyle w:val="TableText"/>
              <w:jc w:val="right"/>
              <w:rPr>
                <w:lang w:eastAsia="ja-JP"/>
              </w:rPr>
            </w:pPr>
            <w:r w:rsidRPr="00B1672A">
              <w:rPr>
                <w:lang w:eastAsia="ja-JP"/>
              </w:rPr>
              <w:t>1.30</w:t>
            </w:r>
          </w:p>
        </w:tc>
        <w:tc>
          <w:tcPr>
            <w:tcW w:w="1236" w:type="dxa"/>
          </w:tcPr>
          <w:p w14:paraId="1C75D7AB" w14:textId="77777777" w:rsidR="00FC0BB2" w:rsidRPr="00B1672A" w:rsidRDefault="00FC0BB2" w:rsidP="00447D42">
            <w:pPr>
              <w:pStyle w:val="TableText"/>
              <w:jc w:val="right"/>
              <w:rPr>
                <w:lang w:eastAsia="ja-JP"/>
              </w:rPr>
            </w:pPr>
            <w:r w:rsidRPr="00B1672A">
              <w:rPr>
                <w:lang w:eastAsia="ja-JP"/>
              </w:rPr>
              <w:t>0.79</w:t>
            </w:r>
          </w:p>
        </w:tc>
      </w:tr>
      <w:tr w:rsidR="00FC0BB2" w:rsidRPr="00B1672A" w14:paraId="73FF6034" w14:textId="77777777" w:rsidTr="00E50188">
        <w:tc>
          <w:tcPr>
            <w:tcW w:w="1387" w:type="dxa"/>
          </w:tcPr>
          <w:p w14:paraId="6ACDA7CD" w14:textId="77777777" w:rsidR="00FC0BB2" w:rsidRPr="00B1672A" w:rsidRDefault="00D3539E" w:rsidP="008F5774">
            <w:pPr>
              <w:pStyle w:val="TableHeading"/>
              <w:rPr>
                <w:lang w:eastAsia="ja-JP"/>
              </w:rPr>
            </w:pPr>
            <w:r>
              <w:rPr>
                <w:lang w:eastAsia="ja-JP"/>
              </w:rPr>
              <w:t>NEBRA</w:t>
            </w:r>
          </w:p>
        </w:tc>
        <w:tc>
          <w:tcPr>
            <w:tcW w:w="1457" w:type="dxa"/>
          </w:tcPr>
          <w:p w14:paraId="6EAB5CC7" w14:textId="77777777" w:rsidR="00FC0BB2" w:rsidRPr="00473B46" w:rsidRDefault="00D3539E" w:rsidP="008F5774">
            <w:pPr>
              <w:pStyle w:val="TableHeading"/>
              <w:rPr>
                <w:color w:val="FFFFFF" w:themeColor="background1"/>
                <w:lang w:eastAsia="ja-JP"/>
              </w:rPr>
            </w:pPr>
            <w:r w:rsidRPr="00473B46">
              <w:rPr>
                <w:color w:val="FFFFFF" w:themeColor="background1"/>
                <w:lang w:eastAsia="ja-JP"/>
              </w:rPr>
              <w:t>.</w:t>
            </w:r>
          </w:p>
        </w:tc>
        <w:tc>
          <w:tcPr>
            <w:tcW w:w="1227" w:type="dxa"/>
          </w:tcPr>
          <w:p w14:paraId="3F13417E" w14:textId="77777777" w:rsidR="00FC0BB2" w:rsidRPr="00473B46" w:rsidRDefault="00E50188" w:rsidP="008F5774">
            <w:pPr>
              <w:pStyle w:val="TableHeading"/>
              <w:rPr>
                <w:color w:val="FFFFFF" w:themeColor="background1"/>
                <w:lang w:eastAsia="ja-JP"/>
              </w:rPr>
            </w:pPr>
            <w:r w:rsidRPr="00473B46">
              <w:rPr>
                <w:color w:val="FFFFFF" w:themeColor="background1"/>
                <w:lang w:eastAsia="ja-JP"/>
              </w:rPr>
              <w:t>.</w:t>
            </w:r>
          </w:p>
        </w:tc>
        <w:tc>
          <w:tcPr>
            <w:tcW w:w="1234" w:type="dxa"/>
          </w:tcPr>
          <w:p w14:paraId="60C45AB5" w14:textId="77777777" w:rsidR="00FC0BB2" w:rsidRPr="00473B46" w:rsidRDefault="00E50188" w:rsidP="00AD2FCB">
            <w:pPr>
              <w:pStyle w:val="TableHeading"/>
              <w:jc w:val="right"/>
              <w:rPr>
                <w:color w:val="FFFFFF" w:themeColor="background1"/>
                <w:lang w:eastAsia="ja-JP"/>
              </w:rPr>
            </w:pPr>
            <w:r w:rsidRPr="00473B46">
              <w:rPr>
                <w:color w:val="FFFFFF" w:themeColor="background1"/>
                <w:lang w:eastAsia="ja-JP"/>
              </w:rPr>
              <w:t>.</w:t>
            </w:r>
          </w:p>
        </w:tc>
        <w:tc>
          <w:tcPr>
            <w:tcW w:w="1283" w:type="dxa"/>
          </w:tcPr>
          <w:p w14:paraId="67D8CD15" w14:textId="77777777" w:rsidR="00FC0BB2" w:rsidRPr="00473B46" w:rsidRDefault="00E50188" w:rsidP="00AD2FCB">
            <w:pPr>
              <w:pStyle w:val="TableHeading"/>
              <w:jc w:val="right"/>
              <w:rPr>
                <w:color w:val="FFFFFF" w:themeColor="background1"/>
                <w:lang w:eastAsia="ja-JP"/>
              </w:rPr>
            </w:pPr>
            <w:r w:rsidRPr="00473B46">
              <w:rPr>
                <w:color w:val="FFFFFF" w:themeColor="background1"/>
                <w:lang w:eastAsia="ja-JP"/>
              </w:rPr>
              <w:t>.</w:t>
            </w:r>
          </w:p>
        </w:tc>
        <w:tc>
          <w:tcPr>
            <w:tcW w:w="1236" w:type="dxa"/>
          </w:tcPr>
          <w:p w14:paraId="03409E16" w14:textId="77777777" w:rsidR="00FC0BB2" w:rsidRPr="00473B46" w:rsidRDefault="00E50188" w:rsidP="00AD2FCB">
            <w:pPr>
              <w:pStyle w:val="TableHeading"/>
              <w:jc w:val="right"/>
              <w:rPr>
                <w:color w:val="FFFFFF" w:themeColor="background1"/>
                <w:lang w:eastAsia="ja-JP"/>
              </w:rPr>
            </w:pPr>
            <w:r w:rsidRPr="00473B46">
              <w:rPr>
                <w:color w:val="FFFFFF" w:themeColor="background1"/>
                <w:lang w:eastAsia="ja-JP"/>
              </w:rPr>
              <w:t>.</w:t>
            </w:r>
          </w:p>
        </w:tc>
        <w:tc>
          <w:tcPr>
            <w:tcW w:w="1236" w:type="dxa"/>
          </w:tcPr>
          <w:p w14:paraId="60FD6458" w14:textId="77777777" w:rsidR="00FC0BB2" w:rsidRPr="00473B46" w:rsidRDefault="00E50188" w:rsidP="00AD2FCB">
            <w:pPr>
              <w:pStyle w:val="TableHeading"/>
              <w:jc w:val="right"/>
              <w:rPr>
                <w:color w:val="FFFFFF" w:themeColor="background1"/>
                <w:lang w:eastAsia="ja-JP"/>
              </w:rPr>
            </w:pPr>
            <w:r w:rsidRPr="00473B46">
              <w:rPr>
                <w:color w:val="FFFFFF" w:themeColor="background1"/>
                <w:lang w:eastAsia="ja-JP"/>
              </w:rPr>
              <w:t>.</w:t>
            </w:r>
          </w:p>
        </w:tc>
      </w:tr>
      <w:tr w:rsidR="00FC0BB2" w:rsidRPr="00B1672A" w14:paraId="114044B0" w14:textId="77777777" w:rsidTr="00E50188">
        <w:tc>
          <w:tcPr>
            <w:tcW w:w="1387" w:type="dxa"/>
          </w:tcPr>
          <w:p w14:paraId="271AB2BD" w14:textId="77777777" w:rsidR="00FC0BB2" w:rsidRPr="00B1672A" w:rsidRDefault="00FC0BB2" w:rsidP="008F5774">
            <w:pPr>
              <w:pStyle w:val="TableText"/>
              <w:rPr>
                <w:lang w:eastAsia="ja-JP"/>
              </w:rPr>
            </w:pPr>
            <w:r w:rsidRPr="00B1672A">
              <w:rPr>
                <w:lang w:eastAsia="ja-JP"/>
              </w:rPr>
              <w:t>Red imported fire ant (</w:t>
            </w:r>
            <w:r w:rsidRPr="00FC0BB2">
              <w:rPr>
                <w:i/>
                <w:lang w:eastAsia="ja-JP"/>
              </w:rPr>
              <w:t>Solenopsis invicta</w:t>
            </w:r>
            <w:r w:rsidRPr="00B1672A">
              <w:rPr>
                <w:lang w:eastAsia="ja-JP"/>
              </w:rPr>
              <w:t xml:space="preserve">) </w:t>
            </w:r>
          </w:p>
        </w:tc>
        <w:tc>
          <w:tcPr>
            <w:tcW w:w="1457" w:type="dxa"/>
          </w:tcPr>
          <w:p w14:paraId="4647BC46" w14:textId="77777777" w:rsidR="00FC0BB2" w:rsidRPr="00B1672A" w:rsidRDefault="00FC0BB2" w:rsidP="008F5774">
            <w:pPr>
              <w:pStyle w:val="TableText"/>
              <w:rPr>
                <w:lang w:eastAsia="ja-JP"/>
              </w:rPr>
            </w:pPr>
            <w:r w:rsidRPr="00B1672A">
              <w:rPr>
                <w:lang w:eastAsia="ja-JP"/>
              </w:rPr>
              <w:t>Brisbane airport, QLD</w:t>
            </w:r>
          </w:p>
        </w:tc>
        <w:tc>
          <w:tcPr>
            <w:tcW w:w="1227" w:type="dxa"/>
          </w:tcPr>
          <w:p w14:paraId="490EAB70" w14:textId="5A657E9E" w:rsidR="00FC0BB2" w:rsidRPr="00B1672A" w:rsidRDefault="009057E1" w:rsidP="008F5774">
            <w:pPr>
              <w:pStyle w:val="TableText"/>
              <w:rPr>
                <w:lang w:eastAsia="ja-JP"/>
              </w:rPr>
            </w:pPr>
            <w:r>
              <w:rPr>
                <w:lang w:eastAsia="ja-JP"/>
              </w:rPr>
              <w:t>2015–16 to 2017–</w:t>
            </w:r>
            <w:r w:rsidR="00FC0BB2" w:rsidRPr="00B1672A">
              <w:rPr>
                <w:lang w:eastAsia="ja-JP"/>
              </w:rPr>
              <w:t>18</w:t>
            </w:r>
          </w:p>
        </w:tc>
        <w:tc>
          <w:tcPr>
            <w:tcW w:w="1234" w:type="dxa"/>
          </w:tcPr>
          <w:p w14:paraId="52D3B1A4" w14:textId="77777777" w:rsidR="00FC0BB2" w:rsidRPr="00B1672A" w:rsidRDefault="00FC0BB2" w:rsidP="00AD2FCB">
            <w:pPr>
              <w:pStyle w:val="TableText"/>
              <w:jc w:val="right"/>
              <w:rPr>
                <w:lang w:eastAsia="ja-JP"/>
              </w:rPr>
            </w:pPr>
            <w:r w:rsidRPr="00B1672A">
              <w:rPr>
                <w:lang w:eastAsia="ja-JP"/>
              </w:rPr>
              <w:t>0.91</w:t>
            </w:r>
          </w:p>
        </w:tc>
        <w:tc>
          <w:tcPr>
            <w:tcW w:w="1283" w:type="dxa"/>
          </w:tcPr>
          <w:p w14:paraId="1E52C522" w14:textId="77777777" w:rsidR="00FC0BB2" w:rsidRPr="00B1672A" w:rsidRDefault="00FC0BB2" w:rsidP="00AD2FCB">
            <w:pPr>
              <w:pStyle w:val="TableText"/>
              <w:jc w:val="right"/>
              <w:rPr>
                <w:lang w:eastAsia="ja-JP"/>
              </w:rPr>
            </w:pPr>
            <w:r w:rsidRPr="00B1672A">
              <w:rPr>
                <w:lang w:eastAsia="ja-JP"/>
              </w:rPr>
              <w:t>0.46</w:t>
            </w:r>
          </w:p>
        </w:tc>
        <w:tc>
          <w:tcPr>
            <w:tcW w:w="1236" w:type="dxa"/>
          </w:tcPr>
          <w:p w14:paraId="68617A0C" w14:textId="77777777" w:rsidR="00FC0BB2" w:rsidRPr="00B1672A" w:rsidRDefault="00FC0BB2" w:rsidP="00AD2FCB">
            <w:pPr>
              <w:pStyle w:val="TableText"/>
              <w:jc w:val="right"/>
              <w:rPr>
                <w:lang w:eastAsia="ja-JP"/>
              </w:rPr>
            </w:pPr>
            <w:r w:rsidRPr="00B1672A">
              <w:rPr>
                <w:lang w:eastAsia="ja-JP"/>
              </w:rPr>
              <w:t>0.45</w:t>
            </w:r>
          </w:p>
        </w:tc>
        <w:tc>
          <w:tcPr>
            <w:tcW w:w="1236" w:type="dxa"/>
          </w:tcPr>
          <w:p w14:paraId="7E94103F" w14:textId="77777777" w:rsidR="00FC0BB2" w:rsidRPr="00B1672A" w:rsidRDefault="00FC0BB2" w:rsidP="00AD2FCB">
            <w:pPr>
              <w:pStyle w:val="TableText"/>
              <w:jc w:val="right"/>
              <w:rPr>
                <w:lang w:eastAsia="ja-JP"/>
              </w:rPr>
            </w:pPr>
            <w:r w:rsidRPr="00B1672A">
              <w:rPr>
                <w:lang w:eastAsia="ja-JP"/>
              </w:rPr>
              <w:t>N/A</w:t>
            </w:r>
          </w:p>
        </w:tc>
      </w:tr>
      <w:tr w:rsidR="00FC0BB2" w:rsidRPr="00B1672A" w14:paraId="395D0D5C" w14:textId="77777777" w:rsidTr="00E50188">
        <w:tc>
          <w:tcPr>
            <w:tcW w:w="1387" w:type="dxa"/>
          </w:tcPr>
          <w:p w14:paraId="6997DAE4" w14:textId="3F456BEE" w:rsidR="00FC0BB2" w:rsidRPr="00B1672A" w:rsidRDefault="00FC0BB2" w:rsidP="008F5774">
            <w:pPr>
              <w:pStyle w:val="TableText"/>
              <w:rPr>
                <w:lang w:eastAsia="ja-JP"/>
              </w:rPr>
            </w:pPr>
            <w:r w:rsidRPr="00B1672A">
              <w:rPr>
                <w:lang w:eastAsia="ja-JP"/>
              </w:rPr>
              <w:t>Browsing ant (</w:t>
            </w:r>
            <w:r w:rsidR="008E151B">
              <w:rPr>
                <w:i/>
                <w:lang w:eastAsia="ja-JP"/>
              </w:rPr>
              <w:t>L</w:t>
            </w:r>
            <w:r w:rsidRPr="00FC0BB2">
              <w:rPr>
                <w:i/>
                <w:lang w:eastAsia="ja-JP"/>
              </w:rPr>
              <w:t>episiota frauenfeldi</w:t>
            </w:r>
            <w:r w:rsidRPr="00B1672A">
              <w:rPr>
                <w:lang w:eastAsia="ja-JP"/>
              </w:rPr>
              <w:t>)</w:t>
            </w:r>
          </w:p>
        </w:tc>
        <w:tc>
          <w:tcPr>
            <w:tcW w:w="1457" w:type="dxa"/>
          </w:tcPr>
          <w:p w14:paraId="01B55D8F" w14:textId="77777777" w:rsidR="00FC0BB2" w:rsidRPr="00B1672A" w:rsidRDefault="00FC0BB2" w:rsidP="008F5774">
            <w:pPr>
              <w:pStyle w:val="TableText"/>
              <w:rPr>
                <w:lang w:eastAsia="ja-JP"/>
              </w:rPr>
            </w:pPr>
            <w:r w:rsidRPr="00B1672A">
              <w:rPr>
                <w:lang w:eastAsia="ja-JP"/>
              </w:rPr>
              <w:t>Darwin Port, NT</w:t>
            </w:r>
          </w:p>
        </w:tc>
        <w:tc>
          <w:tcPr>
            <w:tcW w:w="1227" w:type="dxa"/>
          </w:tcPr>
          <w:p w14:paraId="25D2ECAD" w14:textId="222B8CBF" w:rsidR="00FC0BB2" w:rsidRPr="00B1672A" w:rsidRDefault="009057E1" w:rsidP="008F5774">
            <w:pPr>
              <w:pStyle w:val="TableText"/>
              <w:rPr>
                <w:lang w:eastAsia="ja-JP"/>
              </w:rPr>
            </w:pPr>
            <w:r>
              <w:rPr>
                <w:lang w:eastAsia="ja-JP"/>
              </w:rPr>
              <w:t>2015–16 to 2017–</w:t>
            </w:r>
            <w:r w:rsidR="00FC0BB2" w:rsidRPr="00B1672A">
              <w:rPr>
                <w:lang w:eastAsia="ja-JP"/>
              </w:rPr>
              <w:t xml:space="preserve">18 </w:t>
            </w:r>
          </w:p>
        </w:tc>
        <w:tc>
          <w:tcPr>
            <w:tcW w:w="1234" w:type="dxa"/>
          </w:tcPr>
          <w:p w14:paraId="27CE6565" w14:textId="77777777" w:rsidR="00FC0BB2" w:rsidRPr="00B1672A" w:rsidRDefault="00FC0BB2" w:rsidP="00AD2FCB">
            <w:pPr>
              <w:pStyle w:val="TableText"/>
              <w:jc w:val="right"/>
              <w:rPr>
                <w:lang w:eastAsia="ja-JP"/>
              </w:rPr>
            </w:pPr>
            <w:r w:rsidRPr="00B1672A">
              <w:rPr>
                <w:lang w:eastAsia="ja-JP"/>
              </w:rPr>
              <w:t xml:space="preserve">1.10 </w:t>
            </w:r>
          </w:p>
        </w:tc>
        <w:tc>
          <w:tcPr>
            <w:tcW w:w="1283" w:type="dxa"/>
          </w:tcPr>
          <w:p w14:paraId="3414952E" w14:textId="77777777" w:rsidR="00FC0BB2" w:rsidRPr="00B1672A" w:rsidRDefault="00FC0BB2" w:rsidP="00AD2FCB">
            <w:pPr>
              <w:pStyle w:val="TableText"/>
              <w:jc w:val="right"/>
              <w:rPr>
                <w:lang w:eastAsia="ja-JP"/>
              </w:rPr>
            </w:pPr>
            <w:r w:rsidRPr="00B1672A">
              <w:rPr>
                <w:lang w:eastAsia="ja-JP"/>
              </w:rPr>
              <w:t>0.56</w:t>
            </w:r>
          </w:p>
        </w:tc>
        <w:tc>
          <w:tcPr>
            <w:tcW w:w="1236" w:type="dxa"/>
          </w:tcPr>
          <w:p w14:paraId="14ABD61D" w14:textId="77777777" w:rsidR="00FC0BB2" w:rsidRPr="00B1672A" w:rsidRDefault="00FC0BB2" w:rsidP="00AD2FCB">
            <w:pPr>
              <w:pStyle w:val="TableText"/>
              <w:jc w:val="right"/>
              <w:rPr>
                <w:lang w:eastAsia="ja-JP"/>
              </w:rPr>
            </w:pPr>
            <w:r w:rsidRPr="00B1672A">
              <w:rPr>
                <w:lang w:eastAsia="ja-JP"/>
              </w:rPr>
              <w:t>0.54</w:t>
            </w:r>
          </w:p>
        </w:tc>
        <w:tc>
          <w:tcPr>
            <w:tcW w:w="1236" w:type="dxa"/>
          </w:tcPr>
          <w:p w14:paraId="1F41C631" w14:textId="77777777" w:rsidR="00FC0BB2" w:rsidRPr="00B1672A" w:rsidRDefault="00FC0BB2" w:rsidP="00AD2FCB">
            <w:pPr>
              <w:pStyle w:val="TableText"/>
              <w:jc w:val="right"/>
              <w:rPr>
                <w:lang w:eastAsia="ja-JP"/>
              </w:rPr>
            </w:pPr>
            <w:r w:rsidRPr="00B1672A">
              <w:rPr>
                <w:lang w:eastAsia="ja-JP"/>
              </w:rPr>
              <w:t>N/A</w:t>
            </w:r>
          </w:p>
        </w:tc>
      </w:tr>
      <w:tr w:rsidR="00FC0BB2" w:rsidRPr="00B1672A" w14:paraId="37C9E3C4" w14:textId="77777777" w:rsidTr="00E50188">
        <w:tc>
          <w:tcPr>
            <w:tcW w:w="1387" w:type="dxa"/>
          </w:tcPr>
          <w:p w14:paraId="41D647CE" w14:textId="77777777" w:rsidR="00FC0BB2" w:rsidRPr="00B1672A" w:rsidRDefault="00FC0BB2" w:rsidP="008F5774">
            <w:pPr>
              <w:pStyle w:val="TableText"/>
              <w:rPr>
                <w:lang w:eastAsia="ja-JP"/>
              </w:rPr>
            </w:pPr>
            <w:r w:rsidRPr="00B1672A">
              <w:rPr>
                <w:lang w:eastAsia="ja-JP"/>
              </w:rPr>
              <w:t>Red imported fire ant</w:t>
            </w:r>
          </w:p>
        </w:tc>
        <w:tc>
          <w:tcPr>
            <w:tcW w:w="1457" w:type="dxa"/>
          </w:tcPr>
          <w:p w14:paraId="548D8B51" w14:textId="77777777" w:rsidR="00FC0BB2" w:rsidRPr="00B1672A" w:rsidRDefault="00FC0BB2" w:rsidP="008F5774">
            <w:pPr>
              <w:pStyle w:val="TableText"/>
              <w:rPr>
                <w:lang w:eastAsia="ja-JP"/>
              </w:rPr>
            </w:pPr>
            <w:r w:rsidRPr="00B1672A">
              <w:rPr>
                <w:lang w:eastAsia="ja-JP"/>
              </w:rPr>
              <w:t>Port Botany, NSW</w:t>
            </w:r>
          </w:p>
        </w:tc>
        <w:tc>
          <w:tcPr>
            <w:tcW w:w="1227" w:type="dxa"/>
          </w:tcPr>
          <w:p w14:paraId="55268854" w14:textId="529CA20E" w:rsidR="00FC0BB2" w:rsidRPr="00B1672A" w:rsidRDefault="009057E1" w:rsidP="009057E1">
            <w:pPr>
              <w:pStyle w:val="TableText"/>
              <w:rPr>
                <w:lang w:eastAsia="ja-JP"/>
              </w:rPr>
            </w:pPr>
            <w:r>
              <w:rPr>
                <w:lang w:eastAsia="ja-JP"/>
              </w:rPr>
              <w:t>2014–15 to 2016–</w:t>
            </w:r>
            <w:r w:rsidR="00FC0BB2" w:rsidRPr="00B1672A">
              <w:rPr>
                <w:lang w:eastAsia="ja-JP"/>
              </w:rPr>
              <w:t>17</w:t>
            </w:r>
          </w:p>
        </w:tc>
        <w:tc>
          <w:tcPr>
            <w:tcW w:w="1234" w:type="dxa"/>
          </w:tcPr>
          <w:p w14:paraId="4248D98E" w14:textId="77777777" w:rsidR="00FC0BB2" w:rsidRPr="00B1672A" w:rsidRDefault="00FC0BB2" w:rsidP="00AD2FCB">
            <w:pPr>
              <w:pStyle w:val="TableText"/>
              <w:jc w:val="right"/>
              <w:rPr>
                <w:lang w:eastAsia="ja-JP"/>
              </w:rPr>
            </w:pPr>
            <w:r w:rsidRPr="00B1672A">
              <w:rPr>
                <w:lang w:eastAsia="ja-JP"/>
              </w:rPr>
              <w:t>1.20</w:t>
            </w:r>
          </w:p>
        </w:tc>
        <w:tc>
          <w:tcPr>
            <w:tcW w:w="1283" w:type="dxa"/>
          </w:tcPr>
          <w:p w14:paraId="7FCEEAA8" w14:textId="77777777" w:rsidR="00FC0BB2" w:rsidRPr="00B1672A" w:rsidRDefault="00FC0BB2" w:rsidP="00AD2FCB">
            <w:pPr>
              <w:pStyle w:val="TableText"/>
              <w:jc w:val="right"/>
              <w:rPr>
                <w:lang w:eastAsia="ja-JP"/>
              </w:rPr>
            </w:pPr>
            <w:r w:rsidRPr="00B1672A">
              <w:rPr>
                <w:lang w:eastAsia="ja-JP"/>
              </w:rPr>
              <w:t>0.61</w:t>
            </w:r>
          </w:p>
        </w:tc>
        <w:tc>
          <w:tcPr>
            <w:tcW w:w="1236" w:type="dxa"/>
          </w:tcPr>
          <w:p w14:paraId="400D3993" w14:textId="77777777" w:rsidR="00FC0BB2" w:rsidRPr="00B1672A" w:rsidRDefault="00FC0BB2" w:rsidP="00AD2FCB">
            <w:pPr>
              <w:pStyle w:val="TableText"/>
              <w:jc w:val="right"/>
              <w:rPr>
                <w:lang w:eastAsia="ja-JP"/>
              </w:rPr>
            </w:pPr>
            <w:r w:rsidRPr="00B1672A">
              <w:rPr>
                <w:lang w:eastAsia="ja-JP"/>
              </w:rPr>
              <w:t>0.59</w:t>
            </w:r>
          </w:p>
        </w:tc>
        <w:tc>
          <w:tcPr>
            <w:tcW w:w="1236" w:type="dxa"/>
          </w:tcPr>
          <w:p w14:paraId="566690B2" w14:textId="77777777" w:rsidR="00FC0BB2" w:rsidRPr="00B1672A" w:rsidRDefault="00FC0BB2" w:rsidP="00AD2FCB">
            <w:pPr>
              <w:pStyle w:val="TableText"/>
              <w:jc w:val="right"/>
              <w:rPr>
                <w:lang w:eastAsia="ja-JP"/>
              </w:rPr>
            </w:pPr>
            <w:r w:rsidRPr="00B1672A">
              <w:rPr>
                <w:lang w:eastAsia="ja-JP"/>
              </w:rPr>
              <w:t>N/A</w:t>
            </w:r>
          </w:p>
        </w:tc>
      </w:tr>
      <w:tr w:rsidR="00FC0BB2" w:rsidRPr="00B1672A" w14:paraId="61AC3D23" w14:textId="77777777" w:rsidTr="00E50188">
        <w:tc>
          <w:tcPr>
            <w:tcW w:w="1387" w:type="dxa"/>
          </w:tcPr>
          <w:p w14:paraId="5733ADA5" w14:textId="77777777" w:rsidR="00FC0BB2" w:rsidRPr="00B1672A" w:rsidRDefault="00FC0BB2" w:rsidP="008F5774">
            <w:pPr>
              <w:pStyle w:val="TableText"/>
              <w:rPr>
                <w:lang w:eastAsia="ja-JP"/>
              </w:rPr>
            </w:pPr>
            <w:r w:rsidRPr="00B1672A">
              <w:rPr>
                <w:lang w:eastAsia="ja-JP"/>
              </w:rPr>
              <w:lastRenderedPageBreak/>
              <w:t>Red imported fire ant</w:t>
            </w:r>
          </w:p>
        </w:tc>
        <w:tc>
          <w:tcPr>
            <w:tcW w:w="1457" w:type="dxa"/>
          </w:tcPr>
          <w:p w14:paraId="74996BCE" w14:textId="77777777" w:rsidR="00FC0BB2" w:rsidRPr="00B1672A" w:rsidRDefault="00FC0BB2" w:rsidP="008F5774">
            <w:pPr>
              <w:pStyle w:val="TableText"/>
              <w:rPr>
                <w:lang w:eastAsia="ja-JP"/>
              </w:rPr>
            </w:pPr>
            <w:r w:rsidRPr="00B1672A">
              <w:rPr>
                <w:lang w:eastAsia="ja-JP"/>
              </w:rPr>
              <w:t>Yarwun, QLD</w:t>
            </w:r>
          </w:p>
        </w:tc>
        <w:tc>
          <w:tcPr>
            <w:tcW w:w="1227" w:type="dxa"/>
          </w:tcPr>
          <w:p w14:paraId="3CC9A803" w14:textId="470B664C" w:rsidR="00FC0BB2" w:rsidRPr="00B1672A" w:rsidRDefault="009057E1" w:rsidP="008F5774">
            <w:pPr>
              <w:pStyle w:val="TableText"/>
              <w:rPr>
                <w:lang w:eastAsia="ja-JP"/>
              </w:rPr>
            </w:pPr>
            <w:r>
              <w:rPr>
                <w:lang w:eastAsia="ja-JP"/>
              </w:rPr>
              <w:t>2013–14 to 2016–</w:t>
            </w:r>
            <w:r w:rsidR="00FC0BB2" w:rsidRPr="00B1672A">
              <w:rPr>
                <w:lang w:eastAsia="ja-JP"/>
              </w:rPr>
              <w:t>17</w:t>
            </w:r>
          </w:p>
        </w:tc>
        <w:tc>
          <w:tcPr>
            <w:tcW w:w="1234" w:type="dxa"/>
          </w:tcPr>
          <w:p w14:paraId="1F3F3D67" w14:textId="77777777" w:rsidR="00FC0BB2" w:rsidRPr="00B1672A" w:rsidRDefault="00FC0BB2" w:rsidP="00AD2FCB">
            <w:pPr>
              <w:pStyle w:val="TableText"/>
              <w:jc w:val="right"/>
              <w:rPr>
                <w:lang w:eastAsia="ja-JP"/>
              </w:rPr>
            </w:pPr>
            <w:r w:rsidRPr="00B1672A">
              <w:rPr>
                <w:lang w:eastAsia="ja-JP"/>
              </w:rPr>
              <w:t>3.60</w:t>
            </w:r>
          </w:p>
        </w:tc>
        <w:tc>
          <w:tcPr>
            <w:tcW w:w="1283" w:type="dxa"/>
          </w:tcPr>
          <w:p w14:paraId="582368BD" w14:textId="77777777" w:rsidR="00FC0BB2" w:rsidRPr="00B1672A" w:rsidRDefault="00FC0BB2" w:rsidP="00AD2FCB">
            <w:pPr>
              <w:pStyle w:val="TableText"/>
              <w:jc w:val="right"/>
              <w:rPr>
                <w:lang w:eastAsia="ja-JP"/>
              </w:rPr>
            </w:pPr>
            <w:r w:rsidRPr="00B1672A">
              <w:rPr>
                <w:lang w:eastAsia="ja-JP"/>
              </w:rPr>
              <w:t xml:space="preserve">1.8 </w:t>
            </w:r>
          </w:p>
        </w:tc>
        <w:tc>
          <w:tcPr>
            <w:tcW w:w="1236" w:type="dxa"/>
          </w:tcPr>
          <w:p w14:paraId="61761012" w14:textId="77777777" w:rsidR="00FC0BB2" w:rsidRPr="00B1672A" w:rsidRDefault="00FC0BB2" w:rsidP="00AD2FCB">
            <w:pPr>
              <w:pStyle w:val="TableText"/>
              <w:jc w:val="right"/>
              <w:rPr>
                <w:lang w:eastAsia="ja-JP"/>
              </w:rPr>
            </w:pPr>
            <w:r w:rsidRPr="00B1672A">
              <w:rPr>
                <w:lang w:eastAsia="ja-JP"/>
              </w:rPr>
              <w:t>1.80</w:t>
            </w:r>
          </w:p>
        </w:tc>
        <w:tc>
          <w:tcPr>
            <w:tcW w:w="1236" w:type="dxa"/>
          </w:tcPr>
          <w:p w14:paraId="09537495" w14:textId="77777777" w:rsidR="00FC0BB2" w:rsidRPr="00B1672A" w:rsidRDefault="00FC0BB2" w:rsidP="00AD2FCB">
            <w:pPr>
              <w:pStyle w:val="TableText"/>
              <w:jc w:val="right"/>
              <w:rPr>
                <w:lang w:eastAsia="ja-JP"/>
              </w:rPr>
            </w:pPr>
            <w:r w:rsidRPr="00B1672A">
              <w:rPr>
                <w:lang w:eastAsia="ja-JP"/>
              </w:rPr>
              <w:t>N/A</w:t>
            </w:r>
          </w:p>
        </w:tc>
      </w:tr>
      <w:tr w:rsidR="00FC0BB2" w:rsidRPr="00B1672A" w14:paraId="51BE6E6D" w14:textId="77777777" w:rsidTr="00E50188">
        <w:tc>
          <w:tcPr>
            <w:tcW w:w="1387" w:type="dxa"/>
          </w:tcPr>
          <w:p w14:paraId="27B24CB8" w14:textId="77777777" w:rsidR="00FC0BB2" w:rsidRPr="00B1672A" w:rsidRDefault="00FC0BB2" w:rsidP="008F5774">
            <w:pPr>
              <w:pStyle w:val="TableText"/>
              <w:rPr>
                <w:lang w:eastAsia="ja-JP"/>
              </w:rPr>
            </w:pPr>
            <w:r w:rsidRPr="00B1672A">
              <w:rPr>
                <w:lang w:eastAsia="ja-JP"/>
              </w:rPr>
              <w:t>Macao paper wasp (</w:t>
            </w:r>
            <w:r w:rsidRPr="00FC0BB2">
              <w:rPr>
                <w:i/>
                <w:lang w:eastAsia="ja-JP"/>
              </w:rPr>
              <w:t>Polistes olivaceus</w:t>
            </w:r>
            <w:r w:rsidRPr="00B1672A">
              <w:rPr>
                <w:lang w:eastAsia="ja-JP"/>
              </w:rPr>
              <w:t>)</w:t>
            </w:r>
          </w:p>
        </w:tc>
        <w:tc>
          <w:tcPr>
            <w:tcW w:w="1457" w:type="dxa"/>
          </w:tcPr>
          <w:p w14:paraId="7E3602FC" w14:textId="77777777" w:rsidR="00FC0BB2" w:rsidRPr="00B1672A" w:rsidRDefault="00FC0BB2" w:rsidP="008F5774">
            <w:pPr>
              <w:pStyle w:val="TableText"/>
              <w:rPr>
                <w:lang w:eastAsia="ja-JP"/>
              </w:rPr>
            </w:pPr>
            <w:r w:rsidRPr="00B1672A">
              <w:rPr>
                <w:lang w:eastAsia="ja-JP"/>
              </w:rPr>
              <w:t>Cocos (Keeling) Islands</w:t>
            </w:r>
          </w:p>
        </w:tc>
        <w:tc>
          <w:tcPr>
            <w:tcW w:w="1227" w:type="dxa"/>
          </w:tcPr>
          <w:p w14:paraId="791D7D12" w14:textId="6C8BB7A1" w:rsidR="00FC0BB2" w:rsidRPr="00B1672A" w:rsidRDefault="009057E1" w:rsidP="009057E1">
            <w:pPr>
              <w:pStyle w:val="TableText"/>
              <w:rPr>
                <w:lang w:eastAsia="ja-JP"/>
              </w:rPr>
            </w:pPr>
            <w:r>
              <w:rPr>
                <w:lang w:eastAsia="ja-JP"/>
              </w:rPr>
              <w:t>2015–16 to 2017–</w:t>
            </w:r>
            <w:r w:rsidR="00FC0BB2" w:rsidRPr="00B1672A">
              <w:rPr>
                <w:lang w:eastAsia="ja-JP"/>
              </w:rPr>
              <w:t>18</w:t>
            </w:r>
          </w:p>
        </w:tc>
        <w:tc>
          <w:tcPr>
            <w:tcW w:w="1234" w:type="dxa"/>
          </w:tcPr>
          <w:p w14:paraId="7B5421BB" w14:textId="77777777" w:rsidR="00FC0BB2" w:rsidRPr="00B1672A" w:rsidRDefault="00FC0BB2" w:rsidP="00AD2FCB">
            <w:pPr>
              <w:pStyle w:val="TableText"/>
              <w:jc w:val="right"/>
              <w:rPr>
                <w:lang w:eastAsia="ja-JP"/>
              </w:rPr>
            </w:pPr>
            <w:r w:rsidRPr="00B1672A">
              <w:rPr>
                <w:lang w:eastAsia="ja-JP"/>
              </w:rPr>
              <w:t>0.19</w:t>
            </w:r>
          </w:p>
        </w:tc>
        <w:tc>
          <w:tcPr>
            <w:tcW w:w="1283" w:type="dxa"/>
          </w:tcPr>
          <w:p w14:paraId="659F0F6C" w14:textId="77777777" w:rsidR="00FC0BB2" w:rsidRPr="00B1672A" w:rsidRDefault="00FC0BB2" w:rsidP="00AD2FCB">
            <w:pPr>
              <w:pStyle w:val="TableText"/>
              <w:jc w:val="right"/>
              <w:rPr>
                <w:lang w:eastAsia="ja-JP"/>
              </w:rPr>
            </w:pPr>
            <w:r w:rsidRPr="00B1672A">
              <w:rPr>
                <w:lang w:eastAsia="ja-JP"/>
              </w:rPr>
              <w:t>0.19</w:t>
            </w:r>
          </w:p>
        </w:tc>
        <w:tc>
          <w:tcPr>
            <w:tcW w:w="1236" w:type="dxa"/>
          </w:tcPr>
          <w:p w14:paraId="221F9241" w14:textId="77777777" w:rsidR="00FC0BB2" w:rsidRPr="00B1672A" w:rsidRDefault="00FC0BB2" w:rsidP="00AD2FCB">
            <w:pPr>
              <w:pStyle w:val="TableText"/>
              <w:jc w:val="right"/>
              <w:rPr>
                <w:lang w:eastAsia="ja-JP"/>
              </w:rPr>
            </w:pPr>
            <w:r w:rsidRPr="00B1672A">
              <w:rPr>
                <w:lang w:eastAsia="ja-JP"/>
              </w:rPr>
              <w:t>0</w:t>
            </w:r>
          </w:p>
        </w:tc>
        <w:tc>
          <w:tcPr>
            <w:tcW w:w="1236" w:type="dxa"/>
          </w:tcPr>
          <w:p w14:paraId="303A904C" w14:textId="77777777" w:rsidR="00FC0BB2" w:rsidRPr="00B1672A" w:rsidRDefault="00FC0BB2" w:rsidP="00AD2FCB">
            <w:pPr>
              <w:pStyle w:val="TableText"/>
              <w:jc w:val="right"/>
              <w:rPr>
                <w:lang w:eastAsia="ja-JP"/>
              </w:rPr>
            </w:pPr>
            <w:r w:rsidRPr="00B1672A">
              <w:rPr>
                <w:lang w:eastAsia="ja-JP"/>
              </w:rPr>
              <w:t>N/A</w:t>
            </w:r>
          </w:p>
        </w:tc>
      </w:tr>
      <w:tr w:rsidR="00FC0BB2" w:rsidRPr="00B1672A" w14:paraId="438CDB8A" w14:textId="77777777" w:rsidTr="00E50188">
        <w:tc>
          <w:tcPr>
            <w:tcW w:w="1387" w:type="dxa"/>
          </w:tcPr>
          <w:p w14:paraId="119F3BFE" w14:textId="77777777" w:rsidR="00FC0BB2" w:rsidRPr="00B1672A" w:rsidRDefault="00E50188" w:rsidP="00E50188">
            <w:pPr>
              <w:pStyle w:val="TableHeading"/>
              <w:rPr>
                <w:lang w:eastAsia="ja-JP"/>
              </w:rPr>
            </w:pPr>
            <w:r>
              <w:rPr>
                <w:lang w:eastAsia="ja-JP"/>
              </w:rPr>
              <w:t>Off-deed responses</w:t>
            </w:r>
          </w:p>
        </w:tc>
        <w:tc>
          <w:tcPr>
            <w:tcW w:w="1457" w:type="dxa"/>
          </w:tcPr>
          <w:p w14:paraId="24CD446F" w14:textId="77777777" w:rsidR="00FC0BB2" w:rsidRPr="00473B46" w:rsidRDefault="00E50188" w:rsidP="008F5774">
            <w:pPr>
              <w:pStyle w:val="TableHeading"/>
              <w:rPr>
                <w:color w:val="FFFFFF" w:themeColor="background1"/>
                <w:lang w:eastAsia="ja-JP"/>
              </w:rPr>
            </w:pPr>
            <w:r w:rsidRPr="00473B46">
              <w:rPr>
                <w:color w:val="FFFFFF" w:themeColor="background1"/>
                <w:lang w:eastAsia="ja-JP"/>
              </w:rPr>
              <w:t>.</w:t>
            </w:r>
          </w:p>
        </w:tc>
        <w:tc>
          <w:tcPr>
            <w:tcW w:w="1227" w:type="dxa"/>
          </w:tcPr>
          <w:p w14:paraId="71C722E6" w14:textId="77777777" w:rsidR="00FC0BB2" w:rsidRPr="00473B46" w:rsidRDefault="00E50188" w:rsidP="008F5774">
            <w:pPr>
              <w:pStyle w:val="TableHeading"/>
              <w:rPr>
                <w:color w:val="FFFFFF" w:themeColor="background1"/>
                <w:lang w:eastAsia="ja-JP"/>
              </w:rPr>
            </w:pPr>
            <w:r w:rsidRPr="00473B46">
              <w:rPr>
                <w:color w:val="FFFFFF" w:themeColor="background1"/>
                <w:lang w:eastAsia="ja-JP"/>
              </w:rPr>
              <w:t>.</w:t>
            </w:r>
          </w:p>
        </w:tc>
        <w:tc>
          <w:tcPr>
            <w:tcW w:w="1234" w:type="dxa"/>
          </w:tcPr>
          <w:p w14:paraId="7F92C3D1" w14:textId="77777777" w:rsidR="00FC0BB2" w:rsidRPr="00473B46" w:rsidRDefault="00E50188" w:rsidP="00AD2FCB">
            <w:pPr>
              <w:pStyle w:val="TableHeading"/>
              <w:jc w:val="right"/>
              <w:rPr>
                <w:color w:val="FFFFFF" w:themeColor="background1"/>
                <w:lang w:eastAsia="ja-JP"/>
              </w:rPr>
            </w:pPr>
            <w:r w:rsidRPr="00473B46">
              <w:rPr>
                <w:color w:val="FFFFFF" w:themeColor="background1"/>
                <w:lang w:eastAsia="ja-JP"/>
              </w:rPr>
              <w:t>.</w:t>
            </w:r>
          </w:p>
        </w:tc>
        <w:tc>
          <w:tcPr>
            <w:tcW w:w="1283" w:type="dxa"/>
          </w:tcPr>
          <w:p w14:paraId="3C6F2947" w14:textId="77777777" w:rsidR="00FC0BB2" w:rsidRPr="00473B46" w:rsidRDefault="00E50188" w:rsidP="00AD2FCB">
            <w:pPr>
              <w:pStyle w:val="TableHeading"/>
              <w:jc w:val="right"/>
              <w:rPr>
                <w:color w:val="FFFFFF" w:themeColor="background1"/>
                <w:lang w:eastAsia="ja-JP"/>
              </w:rPr>
            </w:pPr>
            <w:r w:rsidRPr="00473B46">
              <w:rPr>
                <w:color w:val="FFFFFF" w:themeColor="background1"/>
                <w:lang w:eastAsia="ja-JP"/>
              </w:rPr>
              <w:t>.</w:t>
            </w:r>
          </w:p>
        </w:tc>
        <w:tc>
          <w:tcPr>
            <w:tcW w:w="1236" w:type="dxa"/>
          </w:tcPr>
          <w:p w14:paraId="0F8F687B" w14:textId="77777777" w:rsidR="00FC0BB2" w:rsidRPr="00473B46" w:rsidRDefault="00E50188" w:rsidP="00AD2FCB">
            <w:pPr>
              <w:pStyle w:val="TableHeading"/>
              <w:jc w:val="right"/>
              <w:rPr>
                <w:color w:val="FFFFFF" w:themeColor="background1"/>
                <w:lang w:eastAsia="ja-JP"/>
              </w:rPr>
            </w:pPr>
            <w:r w:rsidRPr="00473B46">
              <w:rPr>
                <w:color w:val="FFFFFF" w:themeColor="background1"/>
                <w:lang w:eastAsia="ja-JP"/>
              </w:rPr>
              <w:t>.</w:t>
            </w:r>
          </w:p>
        </w:tc>
        <w:tc>
          <w:tcPr>
            <w:tcW w:w="1236" w:type="dxa"/>
          </w:tcPr>
          <w:p w14:paraId="0BA7E871" w14:textId="77777777" w:rsidR="00FC0BB2" w:rsidRPr="00473B46" w:rsidRDefault="00E50188" w:rsidP="00AD2FCB">
            <w:pPr>
              <w:pStyle w:val="TableHeading"/>
              <w:jc w:val="right"/>
              <w:rPr>
                <w:color w:val="FFFFFF" w:themeColor="background1"/>
                <w:lang w:eastAsia="ja-JP"/>
              </w:rPr>
            </w:pPr>
            <w:r w:rsidRPr="00473B46">
              <w:rPr>
                <w:color w:val="FFFFFF" w:themeColor="background1"/>
                <w:lang w:eastAsia="ja-JP"/>
              </w:rPr>
              <w:t>.</w:t>
            </w:r>
          </w:p>
        </w:tc>
      </w:tr>
      <w:tr w:rsidR="00FC0BB2" w:rsidRPr="00B1672A" w14:paraId="28E7BAC2" w14:textId="77777777" w:rsidTr="00E50188">
        <w:tc>
          <w:tcPr>
            <w:tcW w:w="1387" w:type="dxa"/>
          </w:tcPr>
          <w:p w14:paraId="0DCF2895" w14:textId="77777777" w:rsidR="00FC0BB2" w:rsidRPr="00B1672A" w:rsidRDefault="00FC0BB2" w:rsidP="008F5774">
            <w:pPr>
              <w:pStyle w:val="TableText"/>
              <w:rPr>
                <w:lang w:eastAsia="ja-JP"/>
              </w:rPr>
            </w:pPr>
            <w:r w:rsidRPr="00B1672A">
              <w:rPr>
                <w:lang w:eastAsia="ja-JP"/>
              </w:rPr>
              <w:t>Red witchweed (</w:t>
            </w:r>
            <w:r w:rsidRPr="00FC0BB2">
              <w:rPr>
                <w:i/>
                <w:lang w:eastAsia="ja-JP"/>
              </w:rPr>
              <w:t>Striga asiatica</w:t>
            </w:r>
            <w:r w:rsidRPr="00B1672A">
              <w:rPr>
                <w:lang w:eastAsia="ja-JP"/>
              </w:rPr>
              <w:t>)</w:t>
            </w:r>
          </w:p>
        </w:tc>
        <w:tc>
          <w:tcPr>
            <w:tcW w:w="1457" w:type="dxa"/>
          </w:tcPr>
          <w:p w14:paraId="5F54A1BC" w14:textId="77777777" w:rsidR="00FC0BB2" w:rsidRPr="00B1672A" w:rsidRDefault="00FC0BB2" w:rsidP="008F5774">
            <w:pPr>
              <w:pStyle w:val="TableText"/>
              <w:rPr>
                <w:lang w:eastAsia="ja-JP"/>
              </w:rPr>
            </w:pPr>
            <w:r w:rsidRPr="00B1672A">
              <w:rPr>
                <w:lang w:eastAsia="ja-JP"/>
              </w:rPr>
              <w:t>Mackay, QLD</w:t>
            </w:r>
          </w:p>
        </w:tc>
        <w:tc>
          <w:tcPr>
            <w:tcW w:w="1227" w:type="dxa"/>
          </w:tcPr>
          <w:p w14:paraId="4CCD9FAF" w14:textId="199CB04E" w:rsidR="00FC0BB2" w:rsidRPr="00B1672A" w:rsidRDefault="009057E1" w:rsidP="008F5774">
            <w:pPr>
              <w:pStyle w:val="TableText"/>
              <w:rPr>
                <w:lang w:eastAsia="ja-JP"/>
              </w:rPr>
            </w:pPr>
            <w:r>
              <w:rPr>
                <w:lang w:eastAsia="ja-JP"/>
              </w:rPr>
              <w:t xml:space="preserve">2015 to </w:t>
            </w:r>
            <w:r w:rsidR="00FC0BB2" w:rsidRPr="00B1672A">
              <w:rPr>
                <w:lang w:eastAsia="ja-JP"/>
              </w:rPr>
              <w:t>2025</w:t>
            </w:r>
          </w:p>
        </w:tc>
        <w:tc>
          <w:tcPr>
            <w:tcW w:w="1234" w:type="dxa"/>
          </w:tcPr>
          <w:p w14:paraId="0773D61E" w14:textId="77777777" w:rsidR="00FC0BB2" w:rsidRPr="00B1672A" w:rsidRDefault="00FC0BB2" w:rsidP="00AD2FCB">
            <w:pPr>
              <w:pStyle w:val="TableText"/>
              <w:jc w:val="right"/>
              <w:rPr>
                <w:lang w:eastAsia="ja-JP"/>
              </w:rPr>
            </w:pPr>
            <w:r w:rsidRPr="00B1672A">
              <w:rPr>
                <w:lang w:eastAsia="ja-JP"/>
              </w:rPr>
              <w:t>5.86</w:t>
            </w:r>
          </w:p>
        </w:tc>
        <w:tc>
          <w:tcPr>
            <w:tcW w:w="1283" w:type="dxa"/>
          </w:tcPr>
          <w:p w14:paraId="01E9F2B3" w14:textId="77777777" w:rsidR="00FC0BB2" w:rsidRPr="00B1672A" w:rsidRDefault="00FC0BB2" w:rsidP="00AD2FCB">
            <w:pPr>
              <w:pStyle w:val="TableText"/>
              <w:jc w:val="right"/>
              <w:rPr>
                <w:lang w:eastAsia="ja-JP"/>
              </w:rPr>
            </w:pPr>
            <w:r w:rsidRPr="00B1672A">
              <w:rPr>
                <w:lang w:eastAsia="ja-JP"/>
              </w:rPr>
              <w:t>1.80</w:t>
            </w:r>
          </w:p>
        </w:tc>
        <w:tc>
          <w:tcPr>
            <w:tcW w:w="1236" w:type="dxa"/>
          </w:tcPr>
          <w:p w14:paraId="0710808B" w14:textId="77777777" w:rsidR="00FC0BB2" w:rsidRPr="00B1672A" w:rsidRDefault="00FC0BB2" w:rsidP="00AD2FCB">
            <w:pPr>
              <w:pStyle w:val="TableText"/>
              <w:jc w:val="right"/>
              <w:rPr>
                <w:lang w:eastAsia="ja-JP"/>
              </w:rPr>
            </w:pPr>
            <w:r w:rsidRPr="00B1672A">
              <w:rPr>
                <w:lang w:eastAsia="ja-JP"/>
              </w:rPr>
              <w:t>1.16</w:t>
            </w:r>
          </w:p>
        </w:tc>
        <w:tc>
          <w:tcPr>
            <w:tcW w:w="1236" w:type="dxa"/>
          </w:tcPr>
          <w:p w14:paraId="1F1FFADD" w14:textId="77777777" w:rsidR="00FC0BB2" w:rsidRPr="00B1672A" w:rsidRDefault="00FC0BB2" w:rsidP="00AD2FCB">
            <w:pPr>
              <w:pStyle w:val="TableText"/>
              <w:jc w:val="right"/>
              <w:rPr>
                <w:lang w:eastAsia="ja-JP"/>
              </w:rPr>
            </w:pPr>
            <w:r w:rsidRPr="00B1672A">
              <w:rPr>
                <w:lang w:eastAsia="ja-JP"/>
              </w:rPr>
              <w:t>2.90</w:t>
            </w:r>
          </w:p>
        </w:tc>
      </w:tr>
      <w:tr w:rsidR="00FC0BB2" w:rsidRPr="00B1672A" w14:paraId="57A43835" w14:textId="77777777" w:rsidTr="00E50188">
        <w:tc>
          <w:tcPr>
            <w:tcW w:w="1387" w:type="dxa"/>
          </w:tcPr>
          <w:p w14:paraId="5CF45DD5" w14:textId="77777777" w:rsidR="00FC0BB2" w:rsidRPr="00B1672A" w:rsidRDefault="00FC0BB2" w:rsidP="008F5774">
            <w:pPr>
              <w:pStyle w:val="TableText"/>
              <w:rPr>
                <w:lang w:eastAsia="ja-JP"/>
              </w:rPr>
            </w:pPr>
            <w:r w:rsidRPr="00B1672A">
              <w:rPr>
                <w:lang w:eastAsia="ja-JP"/>
              </w:rPr>
              <w:t>Browsing ant</w:t>
            </w:r>
          </w:p>
        </w:tc>
        <w:tc>
          <w:tcPr>
            <w:tcW w:w="1457" w:type="dxa"/>
          </w:tcPr>
          <w:p w14:paraId="25C0A32A" w14:textId="77777777" w:rsidR="00FC0BB2" w:rsidRPr="00B1672A" w:rsidRDefault="00FC0BB2" w:rsidP="008F5774">
            <w:pPr>
              <w:pStyle w:val="TableText"/>
              <w:rPr>
                <w:lang w:eastAsia="ja-JP"/>
              </w:rPr>
            </w:pPr>
            <w:r w:rsidRPr="00B1672A">
              <w:rPr>
                <w:lang w:eastAsia="ja-JP"/>
              </w:rPr>
              <w:t>Perth Airport, WA</w:t>
            </w:r>
          </w:p>
        </w:tc>
        <w:tc>
          <w:tcPr>
            <w:tcW w:w="1227" w:type="dxa"/>
          </w:tcPr>
          <w:p w14:paraId="6A4037E7" w14:textId="32EBFF2F" w:rsidR="00FC0BB2" w:rsidRPr="00B1672A" w:rsidRDefault="009057E1" w:rsidP="008F5774">
            <w:pPr>
              <w:pStyle w:val="TableText"/>
              <w:rPr>
                <w:lang w:eastAsia="ja-JP"/>
              </w:rPr>
            </w:pPr>
            <w:r>
              <w:rPr>
                <w:lang w:eastAsia="ja-JP"/>
              </w:rPr>
              <w:t>2013–14 to 2015–</w:t>
            </w:r>
            <w:r w:rsidR="00FC0BB2" w:rsidRPr="00B1672A">
              <w:rPr>
                <w:lang w:eastAsia="ja-JP"/>
              </w:rPr>
              <w:t>16</w:t>
            </w:r>
          </w:p>
        </w:tc>
        <w:tc>
          <w:tcPr>
            <w:tcW w:w="1234" w:type="dxa"/>
          </w:tcPr>
          <w:p w14:paraId="3CAD9B38" w14:textId="77777777" w:rsidR="00FC0BB2" w:rsidRPr="00B1672A" w:rsidRDefault="00FC0BB2" w:rsidP="00AD2FCB">
            <w:pPr>
              <w:pStyle w:val="TableText"/>
              <w:jc w:val="right"/>
              <w:rPr>
                <w:lang w:eastAsia="ja-JP"/>
              </w:rPr>
            </w:pPr>
            <w:r w:rsidRPr="00B1672A">
              <w:rPr>
                <w:lang w:eastAsia="ja-JP"/>
              </w:rPr>
              <w:t>0.14</w:t>
            </w:r>
          </w:p>
        </w:tc>
        <w:tc>
          <w:tcPr>
            <w:tcW w:w="1283" w:type="dxa"/>
          </w:tcPr>
          <w:p w14:paraId="6B28884F" w14:textId="77777777" w:rsidR="00FC0BB2" w:rsidRPr="00B1672A" w:rsidRDefault="00FC0BB2" w:rsidP="00AD2FCB">
            <w:pPr>
              <w:pStyle w:val="TableText"/>
              <w:jc w:val="right"/>
              <w:rPr>
                <w:lang w:eastAsia="ja-JP"/>
              </w:rPr>
            </w:pPr>
            <w:r w:rsidRPr="00B1672A">
              <w:rPr>
                <w:lang w:eastAsia="ja-JP"/>
              </w:rPr>
              <w:t>0.14</w:t>
            </w:r>
          </w:p>
        </w:tc>
        <w:tc>
          <w:tcPr>
            <w:tcW w:w="1236" w:type="dxa"/>
          </w:tcPr>
          <w:p w14:paraId="0D023E28" w14:textId="77777777" w:rsidR="00FC0BB2" w:rsidRPr="00B1672A" w:rsidRDefault="00FC0BB2" w:rsidP="00AD2FCB">
            <w:pPr>
              <w:pStyle w:val="TableText"/>
              <w:jc w:val="right"/>
              <w:rPr>
                <w:lang w:eastAsia="ja-JP"/>
              </w:rPr>
            </w:pPr>
            <w:r w:rsidRPr="00B1672A">
              <w:rPr>
                <w:lang w:eastAsia="ja-JP"/>
              </w:rPr>
              <w:t>0</w:t>
            </w:r>
          </w:p>
        </w:tc>
        <w:tc>
          <w:tcPr>
            <w:tcW w:w="1236" w:type="dxa"/>
          </w:tcPr>
          <w:p w14:paraId="2A1736F6" w14:textId="77777777" w:rsidR="00FC0BB2" w:rsidRPr="00B1672A" w:rsidRDefault="00FC0BB2" w:rsidP="00AD2FCB">
            <w:pPr>
              <w:pStyle w:val="TableText"/>
              <w:jc w:val="right"/>
              <w:rPr>
                <w:lang w:eastAsia="ja-JP"/>
              </w:rPr>
            </w:pPr>
            <w:r w:rsidRPr="00B1672A">
              <w:rPr>
                <w:lang w:eastAsia="ja-JP"/>
              </w:rPr>
              <w:t>N/A</w:t>
            </w:r>
          </w:p>
        </w:tc>
      </w:tr>
      <w:tr w:rsidR="00FC0BB2" w:rsidRPr="00B1672A" w14:paraId="588D18E3" w14:textId="77777777" w:rsidTr="00E50188">
        <w:tc>
          <w:tcPr>
            <w:tcW w:w="1387" w:type="dxa"/>
          </w:tcPr>
          <w:p w14:paraId="520D35F9" w14:textId="77777777" w:rsidR="00FC0BB2" w:rsidRPr="00B1672A" w:rsidRDefault="00FC0BB2" w:rsidP="008F5774">
            <w:pPr>
              <w:pStyle w:val="TableText"/>
              <w:rPr>
                <w:lang w:eastAsia="ja-JP"/>
              </w:rPr>
            </w:pPr>
            <w:r w:rsidRPr="00B1672A">
              <w:rPr>
                <w:lang w:eastAsia="ja-JP"/>
              </w:rPr>
              <w:t>Electric ant (</w:t>
            </w:r>
            <w:r w:rsidRPr="00FC0BB2">
              <w:rPr>
                <w:i/>
                <w:lang w:eastAsia="ja-JP"/>
              </w:rPr>
              <w:t>Wasmannia auropunctata</w:t>
            </w:r>
            <w:r w:rsidRPr="00B1672A">
              <w:rPr>
                <w:lang w:eastAsia="ja-JP"/>
              </w:rPr>
              <w:t>)</w:t>
            </w:r>
          </w:p>
        </w:tc>
        <w:tc>
          <w:tcPr>
            <w:tcW w:w="1457" w:type="dxa"/>
          </w:tcPr>
          <w:p w14:paraId="5FDC80CD" w14:textId="77777777" w:rsidR="00FC0BB2" w:rsidRPr="00B1672A" w:rsidRDefault="00FC0BB2" w:rsidP="008F5774">
            <w:pPr>
              <w:pStyle w:val="TableText"/>
              <w:rPr>
                <w:lang w:eastAsia="ja-JP"/>
              </w:rPr>
            </w:pPr>
            <w:r w:rsidRPr="00B1672A">
              <w:rPr>
                <w:lang w:eastAsia="ja-JP"/>
              </w:rPr>
              <w:t>Cairns, QLD</w:t>
            </w:r>
          </w:p>
        </w:tc>
        <w:tc>
          <w:tcPr>
            <w:tcW w:w="1227" w:type="dxa"/>
          </w:tcPr>
          <w:p w14:paraId="29460F2B" w14:textId="31DFD533" w:rsidR="00FC0BB2" w:rsidRPr="00B1672A" w:rsidRDefault="009057E1" w:rsidP="008F5774">
            <w:pPr>
              <w:pStyle w:val="TableText"/>
              <w:rPr>
                <w:lang w:eastAsia="ja-JP"/>
              </w:rPr>
            </w:pPr>
            <w:r>
              <w:rPr>
                <w:lang w:eastAsia="ja-JP"/>
              </w:rPr>
              <w:t>2006–07 to 2015–</w:t>
            </w:r>
            <w:r w:rsidR="00FC0BB2" w:rsidRPr="00B1672A">
              <w:rPr>
                <w:lang w:eastAsia="ja-JP"/>
              </w:rPr>
              <w:t>16</w:t>
            </w:r>
          </w:p>
        </w:tc>
        <w:tc>
          <w:tcPr>
            <w:tcW w:w="1234" w:type="dxa"/>
          </w:tcPr>
          <w:p w14:paraId="7FC09E2A" w14:textId="77777777" w:rsidR="00FC0BB2" w:rsidRPr="00B1672A" w:rsidRDefault="00FC0BB2" w:rsidP="00AD2FCB">
            <w:pPr>
              <w:pStyle w:val="TableText"/>
              <w:jc w:val="right"/>
              <w:rPr>
                <w:lang w:eastAsia="ja-JP"/>
              </w:rPr>
            </w:pPr>
            <w:r w:rsidRPr="00B1672A">
              <w:rPr>
                <w:lang w:eastAsia="ja-JP"/>
              </w:rPr>
              <w:t>12.88</w:t>
            </w:r>
          </w:p>
        </w:tc>
        <w:tc>
          <w:tcPr>
            <w:tcW w:w="1283" w:type="dxa"/>
          </w:tcPr>
          <w:p w14:paraId="1B809E48" w14:textId="77777777" w:rsidR="00FC0BB2" w:rsidRPr="00B1672A" w:rsidRDefault="00FC0BB2" w:rsidP="00AD2FCB">
            <w:pPr>
              <w:pStyle w:val="TableText"/>
              <w:jc w:val="right"/>
              <w:rPr>
                <w:lang w:eastAsia="ja-JP"/>
              </w:rPr>
            </w:pPr>
            <w:r w:rsidRPr="00B1672A">
              <w:rPr>
                <w:lang w:eastAsia="ja-JP"/>
              </w:rPr>
              <w:t>6.44</w:t>
            </w:r>
          </w:p>
        </w:tc>
        <w:tc>
          <w:tcPr>
            <w:tcW w:w="1236" w:type="dxa"/>
          </w:tcPr>
          <w:p w14:paraId="3044EEB9" w14:textId="77777777" w:rsidR="00FC0BB2" w:rsidRPr="00B1672A" w:rsidRDefault="00FC0BB2" w:rsidP="00AD2FCB">
            <w:pPr>
              <w:pStyle w:val="TableText"/>
              <w:jc w:val="right"/>
              <w:rPr>
                <w:lang w:eastAsia="ja-JP"/>
              </w:rPr>
            </w:pPr>
            <w:r w:rsidRPr="00B1672A">
              <w:rPr>
                <w:lang w:eastAsia="ja-JP"/>
              </w:rPr>
              <w:t>6.44</w:t>
            </w:r>
          </w:p>
        </w:tc>
        <w:tc>
          <w:tcPr>
            <w:tcW w:w="1236" w:type="dxa"/>
          </w:tcPr>
          <w:p w14:paraId="5F86FC62" w14:textId="77777777" w:rsidR="00FC0BB2" w:rsidRPr="00B1672A" w:rsidRDefault="00FC0BB2" w:rsidP="00AD2FCB">
            <w:pPr>
              <w:pStyle w:val="TableText"/>
              <w:jc w:val="right"/>
              <w:rPr>
                <w:lang w:eastAsia="ja-JP"/>
              </w:rPr>
            </w:pPr>
            <w:r w:rsidRPr="00B1672A">
              <w:rPr>
                <w:lang w:eastAsia="ja-JP"/>
              </w:rPr>
              <w:t>N/A</w:t>
            </w:r>
          </w:p>
        </w:tc>
      </w:tr>
      <w:tr w:rsidR="00FC0BB2" w:rsidRPr="00B1672A" w14:paraId="2CD6E331" w14:textId="77777777" w:rsidTr="00E50188">
        <w:tc>
          <w:tcPr>
            <w:tcW w:w="1387" w:type="dxa"/>
          </w:tcPr>
          <w:p w14:paraId="38009BC6" w14:textId="77777777" w:rsidR="00FC0BB2" w:rsidRPr="00B1672A" w:rsidRDefault="00FC0BB2" w:rsidP="008F5774">
            <w:pPr>
              <w:pStyle w:val="TableText"/>
              <w:rPr>
                <w:lang w:eastAsia="ja-JP"/>
              </w:rPr>
            </w:pPr>
            <w:r w:rsidRPr="00B1672A">
              <w:rPr>
                <w:lang w:eastAsia="ja-JP"/>
              </w:rPr>
              <w:t>Red imported fire ant</w:t>
            </w:r>
          </w:p>
        </w:tc>
        <w:tc>
          <w:tcPr>
            <w:tcW w:w="1457" w:type="dxa"/>
          </w:tcPr>
          <w:p w14:paraId="0A64D692" w14:textId="77777777" w:rsidR="00FC0BB2" w:rsidRPr="00B1672A" w:rsidRDefault="00FC0BB2" w:rsidP="008F5774">
            <w:pPr>
              <w:pStyle w:val="TableText"/>
              <w:rPr>
                <w:lang w:eastAsia="ja-JP"/>
              </w:rPr>
            </w:pPr>
            <w:r w:rsidRPr="00B1672A">
              <w:rPr>
                <w:lang w:eastAsia="ja-JP"/>
              </w:rPr>
              <w:t>South-east QLD</w:t>
            </w:r>
          </w:p>
        </w:tc>
        <w:tc>
          <w:tcPr>
            <w:tcW w:w="1227" w:type="dxa"/>
          </w:tcPr>
          <w:p w14:paraId="59885822" w14:textId="68EA9C3F" w:rsidR="00FC0BB2" w:rsidRPr="00B1672A" w:rsidRDefault="009057E1" w:rsidP="008F5774">
            <w:pPr>
              <w:pStyle w:val="TableText"/>
              <w:rPr>
                <w:lang w:eastAsia="ja-JP"/>
              </w:rPr>
            </w:pPr>
            <w:r>
              <w:rPr>
                <w:lang w:eastAsia="ja-JP"/>
              </w:rPr>
              <w:t>2010–11 to 2017–</w:t>
            </w:r>
            <w:r w:rsidR="00FC0BB2" w:rsidRPr="00B1672A">
              <w:rPr>
                <w:lang w:eastAsia="ja-JP"/>
              </w:rPr>
              <w:t>18</w:t>
            </w:r>
          </w:p>
        </w:tc>
        <w:tc>
          <w:tcPr>
            <w:tcW w:w="1234" w:type="dxa"/>
          </w:tcPr>
          <w:p w14:paraId="5EA9F9ED" w14:textId="77777777" w:rsidR="00FC0BB2" w:rsidRPr="00B1672A" w:rsidRDefault="00FC0BB2" w:rsidP="00AD2FCB">
            <w:pPr>
              <w:pStyle w:val="TableText"/>
              <w:jc w:val="right"/>
              <w:rPr>
                <w:lang w:eastAsia="ja-JP"/>
              </w:rPr>
            </w:pPr>
            <w:r w:rsidRPr="00B1672A">
              <w:rPr>
                <w:lang w:eastAsia="ja-JP"/>
              </w:rPr>
              <w:t xml:space="preserve">133.30 </w:t>
            </w:r>
          </w:p>
        </w:tc>
        <w:tc>
          <w:tcPr>
            <w:tcW w:w="1283" w:type="dxa"/>
          </w:tcPr>
          <w:p w14:paraId="39E5D051" w14:textId="77777777" w:rsidR="00FC0BB2" w:rsidRPr="00B1672A" w:rsidRDefault="00FC0BB2" w:rsidP="00AD2FCB">
            <w:pPr>
              <w:pStyle w:val="TableText"/>
              <w:jc w:val="right"/>
              <w:rPr>
                <w:lang w:eastAsia="ja-JP"/>
              </w:rPr>
            </w:pPr>
            <w:r w:rsidRPr="00B1672A">
              <w:rPr>
                <w:lang w:eastAsia="ja-JP"/>
              </w:rPr>
              <w:t>65.00</w:t>
            </w:r>
          </w:p>
        </w:tc>
        <w:tc>
          <w:tcPr>
            <w:tcW w:w="1236" w:type="dxa"/>
          </w:tcPr>
          <w:p w14:paraId="40757763" w14:textId="77777777" w:rsidR="00FC0BB2" w:rsidRPr="00B1672A" w:rsidRDefault="00FC0BB2" w:rsidP="00AD2FCB">
            <w:pPr>
              <w:pStyle w:val="TableText"/>
              <w:jc w:val="right"/>
              <w:rPr>
                <w:lang w:eastAsia="ja-JP"/>
              </w:rPr>
            </w:pPr>
            <w:r w:rsidRPr="00B1672A">
              <w:rPr>
                <w:lang w:eastAsia="ja-JP"/>
              </w:rPr>
              <w:t>68.30</w:t>
            </w:r>
          </w:p>
        </w:tc>
        <w:tc>
          <w:tcPr>
            <w:tcW w:w="1236" w:type="dxa"/>
          </w:tcPr>
          <w:p w14:paraId="7571E123" w14:textId="77777777" w:rsidR="00FC0BB2" w:rsidRPr="00B1672A" w:rsidRDefault="00FC0BB2" w:rsidP="00AD2FCB">
            <w:pPr>
              <w:pStyle w:val="TableText"/>
              <w:jc w:val="right"/>
              <w:rPr>
                <w:lang w:eastAsia="ja-JP"/>
              </w:rPr>
            </w:pPr>
            <w:r w:rsidRPr="00B1672A">
              <w:rPr>
                <w:lang w:eastAsia="ja-JP"/>
              </w:rPr>
              <w:t>N/A</w:t>
            </w:r>
          </w:p>
        </w:tc>
      </w:tr>
      <w:tr w:rsidR="00FC0BB2" w:rsidRPr="00B1672A" w14:paraId="79688F56" w14:textId="77777777" w:rsidTr="00E50188">
        <w:tc>
          <w:tcPr>
            <w:tcW w:w="1387" w:type="dxa"/>
          </w:tcPr>
          <w:p w14:paraId="4AD6A2CC" w14:textId="77777777" w:rsidR="00FC0BB2" w:rsidRPr="00B1672A" w:rsidRDefault="00FC0BB2" w:rsidP="008F5774">
            <w:pPr>
              <w:pStyle w:val="TableText"/>
              <w:rPr>
                <w:lang w:eastAsia="ja-JP"/>
              </w:rPr>
            </w:pPr>
            <w:r w:rsidRPr="00B1672A">
              <w:rPr>
                <w:lang w:eastAsia="ja-JP"/>
              </w:rPr>
              <w:t>Four tropical weeds</w:t>
            </w:r>
          </w:p>
        </w:tc>
        <w:tc>
          <w:tcPr>
            <w:tcW w:w="1457" w:type="dxa"/>
          </w:tcPr>
          <w:p w14:paraId="27303757" w14:textId="77777777" w:rsidR="00FC0BB2" w:rsidRPr="00B1672A" w:rsidRDefault="00FC0BB2" w:rsidP="008F5774">
            <w:pPr>
              <w:pStyle w:val="TableText"/>
              <w:rPr>
                <w:lang w:eastAsia="ja-JP"/>
              </w:rPr>
            </w:pPr>
            <w:r w:rsidRPr="00B1672A">
              <w:rPr>
                <w:lang w:eastAsia="ja-JP"/>
              </w:rPr>
              <w:t>QLD and NSW</w:t>
            </w:r>
          </w:p>
        </w:tc>
        <w:tc>
          <w:tcPr>
            <w:tcW w:w="1227" w:type="dxa"/>
          </w:tcPr>
          <w:p w14:paraId="7FC7C62A" w14:textId="0146A678" w:rsidR="00FC0BB2" w:rsidRPr="00B1672A" w:rsidRDefault="009057E1" w:rsidP="008F5774">
            <w:pPr>
              <w:pStyle w:val="TableText"/>
              <w:rPr>
                <w:lang w:eastAsia="ja-JP"/>
              </w:rPr>
            </w:pPr>
            <w:r>
              <w:rPr>
                <w:lang w:eastAsia="ja-JP"/>
              </w:rPr>
              <w:t>2010–11 to 2017–</w:t>
            </w:r>
            <w:r w:rsidR="00FC0BB2" w:rsidRPr="00B1672A">
              <w:rPr>
                <w:lang w:eastAsia="ja-JP"/>
              </w:rPr>
              <w:t>18</w:t>
            </w:r>
          </w:p>
        </w:tc>
        <w:tc>
          <w:tcPr>
            <w:tcW w:w="1234" w:type="dxa"/>
          </w:tcPr>
          <w:p w14:paraId="2E0A36FD" w14:textId="77777777" w:rsidR="00FC0BB2" w:rsidRPr="00B1672A" w:rsidRDefault="00FC0BB2" w:rsidP="00AD2FCB">
            <w:pPr>
              <w:pStyle w:val="TableText"/>
              <w:jc w:val="right"/>
              <w:rPr>
                <w:lang w:eastAsia="ja-JP"/>
              </w:rPr>
            </w:pPr>
            <w:r w:rsidRPr="00B1672A">
              <w:rPr>
                <w:lang w:eastAsia="ja-JP"/>
              </w:rPr>
              <w:t>14.60</w:t>
            </w:r>
          </w:p>
        </w:tc>
        <w:tc>
          <w:tcPr>
            <w:tcW w:w="1283" w:type="dxa"/>
          </w:tcPr>
          <w:p w14:paraId="58EC59F5" w14:textId="77777777" w:rsidR="00FC0BB2" w:rsidRPr="00B1672A" w:rsidRDefault="00FC0BB2" w:rsidP="00AD2FCB">
            <w:pPr>
              <w:pStyle w:val="TableText"/>
              <w:jc w:val="right"/>
              <w:rPr>
                <w:lang w:eastAsia="ja-JP"/>
              </w:rPr>
            </w:pPr>
            <w:r w:rsidRPr="00B1672A">
              <w:rPr>
                <w:lang w:eastAsia="ja-JP"/>
              </w:rPr>
              <w:t>7.38</w:t>
            </w:r>
          </w:p>
        </w:tc>
        <w:tc>
          <w:tcPr>
            <w:tcW w:w="1236" w:type="dxa"/>
          </w:tcPr>
          <w:p w14:paraId="7E43E1DE" w14:textId="77777777" w:rsidR="00FC0BB2" w:rsidRPr="00B1672A" w:rsidRDefault="00FC0BB2" w:rsidP="00AD2FCB">
            <w:pPr>
              <w:pStyle w:val="TableText"/>
              <w:jc w:val="right"/>
              <w:rPr>
                <w:lang w:eastAsia="ja-JP"/>
              </w:rPr>
            </w:pPr>
            <w:r w:rsidRPr="00B1672A">
              <w:rPr>
                <w:lang w:eastAsia="ja-JP"/>
              </w:rPr>
              <w:t>7.22</w:t>
            </w:r>
          </w:p>
        </w:tc>
        <w:tc>
          <w:tcPr>
            <w:tcW w:w="1236" w:type="dxa"/>
          </w:tcPr>
          <w:p w14:paraId="0D3D0800" w14:textId="77777777" w:rsidR="00FC0BB2" w:rsidRPr="00B1672A" w:rsidRDefault="00FC0BB2" w:rsidP="00AD2FCB">
            <w:pPr>
              <w:pStyle w:val="TableText"/>
              <w:jc w:val="right"/>
              <w:rPr>
                <w:lang w:eastAsia="ja-JP"/>
              </w:rPr>
            </w:pPr>
            <w:r w:rsidRPr="00B1672A">
              <w:rPr>
                <w:lang w:eastAsia="ja-JP"/>
              </w:rPr>
              <w:t>N/A</w:t>
            </w:r>
          </w:p>
        </w:tc>
      </w:tr>
      <w:tr w:rsidR="00FC0BB2" w:rsidRPr="00B1672A" w14:paraId="01E89F97" w14:textId="77777777" w:rsidTr="00E50188">
        <w:tc>
          <w:tcPr>
            <w:tcW w:w="1387" w:type="dxa"/>
          </w:tcPr>
          <w:p w14:paraId="3B4FBDF2" w14:textId="77777777" w:rsidR="00FC0BB2" w:rsidRPr="00B1672A" w:rsidRDefault="00FC0BB2" w:rsidP="008F5774">
            <w:pPr>
              <w:pStyle w:val="TableText"/>
              <w:rPr>
                <w:lang w:eastAsia="ja-JP"/>
              </w:rPr>
            </w:pPr>
          </w:p>
        </w:tc>
        <w:tc>
          <w:tcPr>
            <w:tcW w:w="1457" w:type="dxa"/>
          </w:tcPr>
          <w:p w14:paraId="7D36AF5F" w14:textId="77777777" w:rsidR="00FC0BB2" w:rsidRPr="00B1672A" w:rsidRDefault="00FC0BB2" w:rsidP="008F5774">
            <w:pPr>
              <w:pStyle w:val="TableText"/>
              <w:rPr>
                <w:lang w:eastAsia="ja-JP"/>
              </w:rPr>
            </w:pPr>
          </w:p>
        </w:tc>
        <w:tc>
          <w:tcPr>
            <w:tcW w:w="1227" w:type="dxa"/>
          </w:tcPr>
          <w:p w14:paraId="35F2D423" w14:textId="3B4A33D8" w:rsidR="00FC0BB2" w:rsidRPr="00B1672A" w:rsidRDefault="006C3FA4" w:rsidP="00E50188">
            <w:pPr>
              <w:pStyle w:val="TableHeading"/>
              <w:rPr>
                <w:lang w:eastAsia="ja-JP"/>
              </w:rPr>
            </w:pPr>
            <w:r>
              <w:rPr>
                <w:lang w:eastAsia="ja-JP"/>
              </w:rPr>
              <w:t>Total ($m</w:t>
            </w:r>
            <w:r w:rsidR="00FC0BB2" w:rsidRPr="00B1672A">
              <w:rPr>
                <w:lang w:eastAsia="ja-JP"/>
              </w:rPr>
              <w:t>)</w:t>
            </w:r>
          </w:p>
        </w:tc>
        <w:tc>
          <w:tcPr>
            <w:tcW w:w="1234" w:type="dxa"/>
          </w:tcPr>
          <w:p w14:paraId="3FC109AC" w14:textId="77777777" w:rsidR="00FC0BB2" w:rsidRPr="00B1672A" w:rsidRDefault="00FC0BB2" w:rsidP="00E50188">
            <w:pPr>
              <w:pStyle w:val="TableHeading"/>
              <w:jc w:val="right"/>
              <w:rPr>
                <w:lang w:eastAsia="ja-JP"/>
              </w:rPr>
            </w:pPr>
            <w:r w:rsidRPr="00B1672A">
              <w:rPr>
                <w:lang w:eastAsia="ja-JP"/>
              </w:rPr>
              <w:t>211.82</w:t>
            </w:r>
          </w:p>
        </w:tc>
        <w:tc>
          <w:tcPr>
            <w:tcW w:w="1283" w:type="dxa"/>
          </w:tcPr>
          <w:p w14:paraId="6B9CE5D8" w14:textId="77777777" w:rsidR="00FC0BB2" w:rsidRPr="00B1672A" w:rsidRDefault="00FC0BB2" w:rsidP="00E50188">
            <w:pPr>
              <w:pStyle w:val="TableHeading"/>
              <w:jc w:val="right"/>
              <w:rPr>
                <w:lang w:eastAsia="ja-JP"/>
              </w:rPr>
            </w:pPr>
            <w:r w:rsidRPr="00B1672A">
              <w:rPr>
                <w:lang w:eastAsia="ja-JP"/>
              </w:rPr>
              <w:t>95.40</w:t>
            </w:r>
          </w:p>
        </w:tc>
        <w:tc>
          <w:tcPr>
            <w:tcW w:w="1236" w:type="dxa"/>
          </w:tcPr>
          <w:p w14:paraId="7D2A91EA" w14:textId="77777777" w:rsidR="00FC0BB2" w:rsidRPr="00B1672A" w:rsidRDefault="00FC0BB2" w:rsidP="00E50188">
            <w:pPr>
              <w:pStyle w:val="TableHeading"/>
              <w:jc w:val="right"/>
              <w:rPr>
                <w:lang w:eastAsia="ja-JP"/>
              </w:rPr>
            </w:pPr>
            <w:r w:rsidRPr="00B1672A">
              <w:rPr>
                <w:lang w:eastAsia="ja-JP"/>
              </w:rPr>
              <w:t>96.98</w:t>
            </w:r>
          </w:p>
        </w:tc>
        <w:tc>
          <w:tcPr>
            <w:tcW w:w="1236" w:type="dxa"/>
          </w:tcPr>
          <w:p w14:paraId="652CC759" w14:textId="77777777" w:rsidR="00FC0BB2" w:rsidRPr="00B1672A" w:rsidRDefault="00FC0BB2" w:rsidP="00E50188">
            <w:pPr>
              <w:pStyle w:val="TableHeading"/>
              <w:jc w:val="right"/>
              <w:rPr>
                <w:lang w:eastAsia="ja-JP"/>
              </w:rPr>
            </w:pPr>
            <w:r w:rsidRPr="00B1672A">
              <w:rPr>
                <w:lang w:eastAsia="ja-JP"/>
              </w:rPr>
              <w:t>19.44</w:t>
            </w:r>
          </w:p>
        </w:tc>
      </w:tr>
    </w:tbl>
    <w:p w14:paraId="13CDC54A" w14:textId="5503195B" w:rsidR="00FC0BB2" w:rsidRDefault="00FC0BB2" w:rsidP="00AD2FCB">
      <w:pPr>
        <w:pStyle w:val="FigureTableNoteSource"/>
        <w:rPr>
          <w:lang w:eastAsia="ja-JP"/>
        </w:rPr>
      </w:pPr>
      <w:r w:rsidRPr="00A14048">
        <w:rPr>
          <w:lang w:eastAsia="ja-JP"/>
        </w:rPr>
        <w:t>Source:</w:t>
      </w:r>
      <w:r w:rsidR="00A14048" w:rsidRPr="00A14048">
        <w:rPr>
          <w:lang w:eastAsia="ja-JP"/>
        </w:rPr>
        <w:t xml:space="preserve"> </w:t>
      </w:r>
      <w:r w:rsidR="005E05C6">
        <w:rPr>
          <w:lang w:eastAsia="ja-JP"/>
        </w:rPr>
        <w:t xml:space="preserve">Australian Government </w:t>
      </w:r>
      <w:r w:rsidR="00A14048" w:rsidRPr="00A14048">
        <w:rPr>
          <w:lang w:eastAsia="ja-JP"/>
        </w:rPr>
        <w:t>Department of Agriculture and Water Resources</w:t>
      </w:r>
      <w:r w:rsidR="005E05C6">
        <w:rPr>
          <w:lang w:eastAsia="ja-JP"/>
        </w:rPr>
        <w:t>.</w:t>
      </w:r>
    </w:p>
    <w:p w14:paraId="58165D01" w14:textId="7E583DF8" w:rsidR="00A14048" w:rsidRDefault="006F7903" w:rsidP="00A7534A">
      <w:pPr>
        <w:rPr>
          <w:lang w:eastAsia="ja-JP"/>
        </w:rPr>
      </w:pPr>
      <w:r>
        <w:rPr>
          <w:lang w:eastAsia="ja-JP"/>
        </w:rPr>
        <w:t>Red imported fire ants</w:t>
      </w:r>
      <w:r w:rsidR="00A14048" w:rsidRPr="00A14048">
        <w:rPr>
          <w:lang w:eastAsia="ja-JP"/>
        </w:rPr>
        <w:t xml:space="preserve"> (</w:t>
      </w:r>
      <w:r w:rsidR="00A14048">
        <w:rPr>
          <w:lang w:eastAsia="ja-JP"/>
        </w:rPr>
        <w:fldChar w:fldCharType="begin"/>
      </w:r>
      <w:r w:rsidR="00A14048">
        <w:rPr>
          <w:lang w:eastAsia="ja-JP"/>
        </w:rPr>
        <w:instrText xml:space="preserve"> REF _Ref466964740 \h </w:instrText>
      </w:r>
      <w:r w:rsidR="00A14048">
        <w:rPr>
          <w:lang w:eastAsia="ja-JP"/>
        </w:rPr>
      </w:r>
      <w:r w:rsidR="00A14048">
        <w:rPr>
          <w:lang w:eastAsia="ja-JP"/>
        </w:rPr>
        <w:fldChar w:fldCharType="separate"/>
      </w:r>
      <w:r w:rsidR="008303E2">
        <w:t xml:space="preserve">Box </w:t>
      </w:r>
      <w:r w:rsidR="008303E2">
        <w:rPr>
          <w:noProof/>
        </w:rPr>
        <w:t>5</w:t>
      </w:r>
      <w:r w:rsidR="00A14048">
        <w:rPr>
          <w:lang w:eastAsia="ja-JP"/>
        </w:rPr>
        <w:fldChar w:fldCharType="end"/>
      </w:r>
      <w:r w:rsidR="00A14048" w:rsidRPr="00A14048">
        <w:rPr>
          <w:lang w:eastAsia="ja-JP"/>
        </w:rPr>
        <w:t xml:space="preserve">) and myrtle rust are examples from the last two decades of incursions with significant environmental and cost impacts, and where the national </w:t>
      </w:r>
      <w:r w:rsidR="00EA4B2C">
        <w:rPr>
          <w:lang w:eastAsia="ja-JP"/>
        </w:rPr>
        <w:t xml:space="preserve">response </w:t>
      </w:r>
      <w:r w:rsidR="00A14048" w:rsidRPr="00A14048">
        <w:rPr>
          <w:lang w:eastAsia="ja-JP"/>
        </w:rPr>
        <w:t xml:space="preserve">arrangements have been </w:t>
      </w:r>
      <w:r w:rsidR="00A14048" w:rsidRPr="000D6AA8">
        <w:rPr>
          <w:lang w:eastAsia="ja-JP"/>
        </w:rPr>
        <w:t>tested</w:t>
      </w:r>
      <w:r w:rsidR="00A14048" w:rsidRPr="00A14048">
        <w:rPr>
          <w:lang w:eastAsia="ja-JP"/>
        </w:rPr>
        <w:t>.</w:t>
      </w:r>
    </w:p>
    <w:p w14:paraId="6CFAE73F" w14:textId="4506F706" w:rsidR="00A14048" w:rsidRDefault="00A14048" w:rsidP="00CB1F69">
      <w:pPr>
        <w:pStyle w:val="BoxHeading"/>
        <w:rPr>
          <w:lang w:eastAsia="ja-JP"/>
        </w:rPr>
      </w:pPr>
      <w:bookmarkStart w:id="78" w:name="_Ref466964740"/>
      <w:bookmarkStart w:id="79" w:name="_Toc468176749"/>
      <w:bookmarkStart w:id="80" w:name="_Toc468444398"/>
      <w:r>
        <w:t xml:space="preserve">Box </w:t>
      </w:r>
      <w:r w:rsidR="008303E2">
        <w:fldChar w:fldCharType="begin"/>
      </w:r>
      <w:r w:rsidR="008303E2">
        <w:instrText xml:space="preserve"> SE</w:instrText>
      </w:r>
      <w:r w:rsidR="008303E2">
        <w:instrText xml:space="preserve">Q Box \* ARABIC </w:instrText>
      </w:r>
      <w:r w:rsidR="008303E2">
        <w:fldChar w:fldCharType="separate"/>
      </w:r>
      <w:r w:rsidR="008303E2">
        <w:rPr>
          <w:noProof/>
        </w:rPr>
        <w:t>5</w:t>
      </w:r>
      <w:r w:rsidR="008303E2">
        <w:rPr>
          <w:noProof/>
        </w:rPr>
        <w:fldChar w:fldCharType="end"/>
      </w:r>
      <w:bookmarkEnd w:id="78"/>
      <w:r w:rsidR="00081BB4">
        <w:t>:</w:t>
      </w:r>
      <w:r>
        <w:t xml:space="preserve"> Red Imported Fire Ant (</w:t>
      </w:r>
      <w:r w:rsidRPr="00081BB4">
        <w:rPr>
          <w:i/>
        </w:rPr>
        <w:t>Solenopsis invicta</w:t>
      </w:r>
      <w:r w:rsidR="0002325D">
        <w:rPr>
          <w:i/>
        </w:rPr>
        <w:t xml:space="preserve"> </w:t>
      </w:r>
      <w:r w:rsidR="0002325D">
        <w:t>Buren</w:t>
      </w:r>
      <w:r>
        <w:t>)</w:t>
      </w:r>
      <w:bookmarkEnd w:id="79"/>
      <w:bookmarkEnd w:id="80"/>
    </w:p>
    <w:p w14:paraId="70864DB3" w14:textId="77777777" w:rsidR="00A14048" w:rsidRDefault="00A14048" w:rsidP="00A14048">
      <w:pPr>
        <w:pStyle w:val="BoxText"/>
      </w:pPr>
      <w:r>
        <w:t>Red imported fire ants (RIFA) are one of the world’s most invasive species, causing serious impacts for the environment, agriculture, social amenity, the economy, infrastructure, and human and animal health.</w:t>
      </w:r>
    </w:p>
    <w:p w14:paraId="6B5FC8EE" w14:textId="303B359A" w:rsidR="00AD2FCB" w:rsidRDefault="00A14048" w:rsidP="00A14048">
      <w:pPr>
        <w:pStyle w:val="BoxText"/>
      </w:pPr>
      <w:r>
        <w:t xml:space="preserve">RIFA were first detected in Port Brisbane and Richlands, Brisbane in 2001. </w:t>
      </w:r>
      <w:r w:rsidR="006F6771">
        <w:t>Ants at</w:t>
      </w:r>
      <w:r w:rsidR="00505E57">
        <w:t xml:space="preserve"> </w:t>
      </w:r>
      <w:r>
        <w:t>Port Brisbane w</w:t>
      </w:r>
      <w:r w:rsidR="006F6771">
        <w:t>ere</w:t>
      </w:r>
      <w:r>
        <w:t xml:space="preserve"> eradicated in 2012 while SE Queensland has since been the subject of an eradication program. In 2006, RIFA were detected in Yarwun, Queensland and eradicated in 2010. This was the first time in the world that an established RIFA population had been </w:t>
      </w:r>
      <w:r w:rsidRPr="005A7F7E">
        <w:t>eradicated (</w:t>
      </w:r>
      <w:hyperlink w:anchor="Wylie_et_al_2016" w:history="1">
        <w:r w:rsidRPr="00D362A5">
          <w:rPr>
            <w:rStyle w:val="Hyperlink"/>
          </w:rPr>
          <w:t>Wylie et al</w:t>
        </w:r>
        <w:r w:rsidR="006F7903" w:rsidRPr="00D362A5">
          <w:rPr>
            <w:rStyle w:val="Hyperlink"/>
          </w:rPr>
          <w:t>.</w:t>
        </w:r>
        <w:r w:rsidRPr="00D362A5">
          <w:rPr>
            <w:rStyle w:val="Hyperlink"/>
          </w:rPr>
          <w:t xml:space="preserve"> 2016</w:t>
        </w:r>
      </w:hyperlink>
      <w:r w:rsidRPr="005A7F7E">
        <w:t>). In 2013</w:t>
      </w:r>
      <w:r w:rsidR="00505E57">
        <w:t>,</w:t>
      </w:r>
      <w:r>
        <w:t xml:space="preserve"> a new incursion was detected at the Port of Gladstone, Queensland, which was the first</w:t>
      </w:r>
      <w:r w:rsidR="00505E57">
        <w:t xml:space="preserve"> emergency</w:t>
      </w:r>
      <w:r>
        <w:t xml:space="preserve"> response to be considered under NEBRA.</w:t>
      </w:r>
    </w:p>
    <w:p w14:paraId="54AC4ADF" w14:textId="6FB0C7CF" w:rsidR="00A14048" w:rsidRDefault="00A14048" w:rsidP="00A14048">
      <w:pPr>
        <w:pStyle w:val="BoxText"/>
      </w:pPr>
      <w:r>
        <w:t xml:space="preserve">Other detections in Port Botany, Sydney (2014) and Brisbane airport (2015) are under eradication programs being cost-shared by all </w:t>
      </w:r>
      <w:r w:rsidR="00542799">
        <w:t>Australian governments</w:t>
      </w:r>
      <w:r>
        <w:t>. Under cost-sharing arrangements</w:t>
      </w:r>
      <w:r w:rsidR="00A166A1">
        <w:t>,</w:t>
      </w:r>
      <w:r>
        <w:t xml:space="preserve"> two of Australia’s six established incursions of RIFA have been eradicated and another two are very close to eradication.</w:t>
      </w:r>
    </w:p>
    <w:p w14:paraId="70C122F4" w14:textId="30CE8E52" w:rsidR="00A14048" w:rsidRDefault="00A14048" w:rsidP="00A14048">
      <w:pPr>
        <w:pStyle w:val="BoxText"/>
      </w:pPr>
      <w:r>
        <w:t>The SE Queensland in</w:t>
      </w:r>
      <w:r w:rsidR="00542799">
        <w:t>cursion</w:t>
      </w:r>
      <w:r>
        <w:t xml:space="preserve"> was almost </w:t>
      </w:r>
      <w:r w:rsidRPr="004B657E">
        <w:t xml:space="preserve">eradicated in 2003, but </w:t>
      </w:r>
      <w:r w:rsidR="00E471D8" w:rsidRPr="004B657E">
        <w:t xml:space="preserve">initial surveillance failed to gauge the extent of the outbreak. Subsequent surveillance showed the outbreak was about twice the size that it was originally thought to be. </w:t>
      </w:r>
      <w:r w:rsidRPr="004B657E">
        <w:t>It is estimated that RIFA were there</w:t>
      </w:r>
      <w:r>
        <w:t xml:space="preserve"> at least 20 years prior to this. In 2016, an independent review into RIFA found that it remains in the national interest to eradicate the ants and that it is technically feasible and cost beneficial to do so. Ministers agreed to continue to cost share the RIFA SE Queensland eradication program in 2016–17 in accordance with the nationally agreed 2013–18 Response Plan. Funding of a 10</w:t>
      </w:r>
      <w:r w:rsidR="00A166A1">
        <w:t>-</w:t>
      </w:r>
      <w:r>
        <w:t>year eradication plan is under consideration.</w:t>
      </w:r>
    </w:p>
    <w:p w14:paraId="3C66D198" w14:textId="706273D5" w:rsidR="00542799" w:rsidRPr="00A166A1" w:rsidRDefault="00A14048" w:rsidP="00A166A1">
      <w:pPr>
        <w:pStyle w:val="BoxText"/>
      </w:pPr>
      <w:r w:rsidRPr="00A166A1">
        <w:lastRenderedPageBreak/>
        <w:t xml:space="preserve">Modelling by the Queensland </w:t>
      </w:r>
      <w:r w:rsidR="00A166A1">
        <w:t>G</w:t>
      </w:r>
      <w:r w:rsidRPr="00A166A1">
        <w:t>overnment indicates that failure to eradicate RIFA in SE Queensland would impose costs of $43 billion over 30 years (</w:t>
      </w:r>
      <w:hyperlink w:anchor="Antony_et_al_2009" w:history="1">
        <w:r w:rsidR="005A7F7E" w:rsidRPr="00A166A1">
          <w:rPr>
            <w:rStyle w:val="Hyperlink"/>
            <w:color w:val="auto"/>
            <w:u w:val="none"/>
          </w:rPr>
          <w:t>Antony et al.</w:t>
        </w:r>
        <w:r w:rsidRPr="00A166A1">
          <w:rPr>
            <w:rStyle w:val="Hyperlink"/>
            <w:color w:val="auto"/>
            <w:u w:val="none"/>
          </w:rPr>
          <w:t xml:space="preserve"> 2009</w:t>
        </w:r>
      </w:hyperlink>
      <w:r w:rsidRPr="00A166A1">
        <w:t>). In the United States, RIFA currently inhabit 14 states and cost $7 billion a year in damage and control.</w:t>
      </w:r>
    </w:p>
    <w:p w14:paraId="4F837DDF" w14:textId="3ECE19F0" w:rsidR="00E50188" w:rsidRDefault="00DD2BA9" w:rsidP="00542799">
      <w:pPr>
        <w:pStyle w:val="BoxSource"/>
      </w:pPr>
      <w:r>
        <w:t xml:space="preserve">Source: </w:t>
      </w:r>
      <w:hyperlink w:anchor="Antony_et_al_2009" w:history="1">
        <w:r w:rsidR="00E50188" w:rsidRPr="00D362A5">
          <w:rPr>
            <w:rStyle w:val="Hyperlink"/>
          </w:rPr>
          <w:t>Antony et al</w:t>
        </w:r>
        <w:r w:rsidR="005A7F7E" w:rsidRPr="00D362A5">
          <w:rPr>
            <w:rStyle w:val="Hyperlink"/>
          </w:rPr>
          <w:t>.</w:t>
        </w:r>
        <w:r w:rsidR="00E50188" w:rsidRPr="00D362A5">
          <w:rPr>
            <w:rStyle w:val="Hyperlink"/>
          </w:rPr>
          <w:t xml:space="preserve"> 2009</w:t>
        </w:r>
      </w:hyperlink>
      <w:r w:rsidR="00E50188">
        <w:t xml:space="preserve">; </w:t>
      </w:r>
      <w:r w:rsidR="003F44E2">
        <w:t xml:space="preserve">QDAF RIFA </w:t>
      </w:r>
      <w:hyperlink r:id="rId32" w:history="1">
        <w:r w:rsidR="003F44E2" w:rsidRPr="003F44E2">
          <w:rPr>
            <w:rStyle w:val="Hyperlink"/>
          </w:rPr>
          <w:t>eradication program</w:t>
        </w:r>
      </w:hyperlink>
      <w:r w:rsidR="003F44E2">
        <w:t xml:space="preserve"> website; </w:t>
      </w:r>
      <w:hyperlink w:anchor="Wylie_Jansen_2016" w:history="1">
        <w:r w:rsidRPr="00D362A5">
          <w:rPr>
            <w:rStyle w:val="Hyperlink"/>
          </w:rPr>
          <w:t>Wylie and Janssen-May 2016</w:t>
        </w:r>
      </w:hyperlink>
      <w:r>
        <w:t xml:space="preserve">; </w:t>
      </w:r>
      <w:hyperlink w:anchor="Wylie_et_al_2016" w:history="1">
        <w:r w:rsidR="00E50188" w:rsidRPr="00D362A5">
          <w:rPr>
            <w:rStyle w:val="Hyperlink"/>
          </w:rPr>
          <w:t xml:space="preserve">Wylie </w:t>
        </w:r>
        <w:r w:rsidR="00C84A88" w:rsidRPr="00D362A5">
          <w:rPr>
            <w:rStyle w:val="Hyperlink"/>
          </w:rPr>
          <w:t xml:space="preserve">et al. </w:t>
        </w:r>
        <w:r w:rsidRPr="00D362A5">
          <w:rPr>
            <w:rStyle w:val="Hyperlink"/>
          </w:rPr>
          <w:t>2016</w:t>
        </w:r>
      </w:hyperlink>
      <w:r>
        <w:t>.</w:t>
      </w:r>
    </w:p>
    <w:p w14:paraId="0280C30F" w14:textId="012AF530" w:rsidR="00AD2FCB" w:rsidRDefault="00AD2FCB" w:rsidP="00AD2FCB">
      <w:r>
        <w:t>RIFA is, and will continue to be, a major test for the national biosecurity system. It demonstrates the importance of all jurisdictions (ministers and senior officials and stakeholders) acting together in a transparent, timely and decisive manner. Concerns around ‘bureaucratic delays’ in funding and cost-sharing decisions was an issue frequently raised during consultation for this Review, particularly for off-deed emergency responses.</w:t>
      </w:r>
      <w:r w:rsidR="00BE1079">
        <w:t xml:space="preserve"> </w:t>
      </w:r>
      <w:r w:rsidR="00BE1079" w:rsidRPr="00BE1079">
        <w:t xml:space="preserve">These off-deed decisions take time because they do not have pre-existing agreement from Commonwealth, state or territory treasury departments and, therefore, often require ministerial approval. </w:t>
      </w:r>
      <w:r>
        <w:t xml:space="preserve">The Review Panel is also aware that funding and delivery (lead agency) arrangements to contain yellow crazy ants </w:t>
      </w:r>
      <w:r w:rsidR="004554BF">
        <w:t>(</w:t>
      </w:r>
      <w:r w:rsidR="004554BF" w:rsidRPr="00BE1079">
        <w:rPr>
          <w:i/>
        </w:rPr>
        <w:t>Anoplolepis gracilipes</w:t>
      </w:r>
      <w:r w:rsidR="004554BF">
        <w:t xml:space="preserve">) </w:t>
      </w:r>
      <w:r>
        <w:t>in the Wet Tropics World Heritage</w:t>
      </w:r>
      <w:r w:rsidR="00754790">
        <w:t xml:space="preserve"> Area</w:t>
      </w:r>
      <w:r>
        <w:t xml:space="preserve"> are still subject to ongoing negotiation within and between relevant jurisdictions.</w:t>
      </w:r>
      <w:r w:rsidR="00BE1079">
        <w:t xml:space="preserve"> </w:t>
      </w:r>
      <w:r w:rsidR="00BE1079" w:rsidRPr="00BE1079">
        <w:t>Yellow crazy</w:t>
      </w:r>
      <w:r w:rsidR="001D60E7">
        <w:t xml:space="preserve"> ants</w:t>
      </w:r>
      <w:r w:rsidR="00BE1079">
        <w:t xml:space="preserve"> </w:t>
      </w:r>
      <w:r w:rsidR="00BE1079" w:rsidRPr="00BE1079">
        <w:t xml:space="preserve">are </w:t>
      </w:r>
      <w:r w:rsidR="004554BF">
        <w:t xml:space="preserve">considered an </w:t>
      </w:r>
      <w:r w:rsidR="00BE1079" w:rsidRPr="00BE1079">
        <w:t>established pest so do not come under the national arrangements for cost-shared eradication.</w:t>
      </w:r>
    </w:p>
    <w:p w14:paraId="20C7D145" w14:textId="77777777" w:rsidR="00FC0BB2" w:rsidRDefault="00AD2FCB" w:rsidP="00AD2FCB">
      <w:r>
        <w:t>Biosecurity efforts can lose significant traction from</w:t>
      </w:r>
      <w:r w:rsidR="00542799">
        <w:t xml:space="preserve"> delays in </w:t>
      </w:r>
      <w:r>
        <w:t>funding decision</w:t>
      </w:r>
      <w:r w:rsidR="00542799">
        <w:t>s</w:t>
      </w:r>
      <w:r>
        <w:t>, impacting eradication or containment, as the experience of RIFA in south-east Queensland and yellow crazy ants in far north Queensland illustrates.</w:t>
      </w:r>
    </w:p>
    <w:p w14:paraId="2CB40E19" w14:textId="77777777" w:rsidR="00A14048" w:rsidRDefault="00A14048" w:rsidP="00A14048">
      <w:pPr>
        <w:pStyle w:val="Heading3"/>
      </w:pPr>
      <w:bookmarkStart w:id="81" w:name="_Toc469654738"/>
      <w:r>
        <w:t>Views on environmental biosecurity</w:t>
      </w:r>
      <w:bookmarkEnd w:id="81"/>
    </w:p>
    <w:p w14:paraId="128DB13F" w14:textId="4A7F99D1" w:rsidR="00A14048" w:rsidRDefault="00A74151" w:rsidP="00A14048">
      <w:r w:rsidRPr="00A74151">
        <w:t>Governments and biosecurity stakeholders have long debated the best way to address env</w:t>
      </w:r>
      <w:r w:rsidR="003D6169">
        <w:t>ironmental biosecurity concerns</w:t>
      </w:r>
      <w:r w:rsidR="00F85813">
        <w:t>—</w:t>
      </w:r>
      <w:r w:rsidRPr="00A74151">
        <w:t>whether to create separate and equivalent arrangements to agriculture, or to embed environment within the animal and plant biosecurity streams.</w:t>
      </w:r>
    </w:p>
    <w:p w14:paraId="60D58165" w14:textId="77777777" w:rsidR="00A14048" w:rsidRDefault="00A14048" w:rsidP="00A14048">
      <w:pPr>
        <w:pStyle w:val="Heading4"/>
      </w:pPr>
      <w:r>
        <w:t>What the Beale and Hawke reviews said</w:t>
      </w:r>
    </w:p>
    <w:p w14:paraId="79D1F2C7" w14:textId="02D94332" w:rsidR="004F7576" w:rsidRPr="006C3A06" w:rsidRDefault="004F7576" w:rsidP="004F7576">
      <w:r>
        <w:t>The 2008 Beale Review</w:t>
      </w:r>
      <w:r w:rsidR="00542799">
        <w:t xml:space="preserve"> </w:t>
      </w:r>
      <w:r w:rsidR="00542799" w:rsidRPr="006C3A06">
        <w:t>(</w:t>
      </w:r>
      <w:hyperlink w:anchor="Beale_et_al_2008" w:history="1">
        <w:r w:rsidR="00542799" w:rsidRPr="00D362A5">
          <w:rPr>
            <w:rStyle w:val="Hyperlink"/>
          </w:rPr>
          <w:t xml:space="preserve">Beale </w:t>
        </w:r>
        <w:r w:rsidR="00373F12" w:rsidRPr="00D362A5">
          <w:rPr>
            <w:rStyle w:val="Hyperlink"/>
          </w:rPr>
          <w:t xml:space="preserve">et al. </w:t>
        </w:r>
        <w:r w:rsidR="00542799" w:rsidRPr="00D362A5">
          <w:rPr>
            <w:rStyle w:val="Hyperlink"/>
          </w:rPr>
          <w:t>2008</w:t>
        </w:r>
      </w:hyperlink>
      <w:r w:rsidR="006C3A06">
        <w:t xml:space="preserve">) </w:t>
      </w:r>
      <w:r w:rsidRPr="006C3A06">
        <w:t>concluded that more significant effort is needed on the terrestrial and aquatic environment reflecting the nature of the incursion risks involved.</w:t>
      </w:r>
    </w:p>
    <w:p w14:paraId="065BBC80" w14:textId="2DF51716" w:rsidR="004F7576" w:rsidRPr="006C3A06" w:rsidRDefault="004F7576" w:rsidP="004F7576">
      <w:pPr>
        <w:pStyle w:val="Quote"/>
      </w:pPr>
      <w:r w:rsidRPr="006C3A06">
        <w:t xml:space="preserve">The biosecurity of the environment is a concern not only for the sake of Australia’s environmental assets, but also because of the scope for wild animals and plants to act as a reservoir for pests and diseases that have broader effects </w:t>
      </w:r>
      <w:r w:rsidR="009B06B7">
        <w:t>(</w:t>
      </w:r>
      <w:r w:rsidR="006C3A7B" w:rsidRPr="00834420">
        <w:t>p.</w:t>
      </w:r>
      <w:r w:rsidR="009B06B7" w:rsidRPr="00834420">
        <w:t xml:space="preserve"> </w:t>
      </w:r>
      <w:r w:rsidR="006C3A7B" w:rsidRPr="00834420">
        <w:t>138</w:t>
      </w:r>
      <w:r w:rsidR="009B06B7">
        <w:t>)</w:t>
      </w:r>
      <w:r w:rsidR="007F063B">
        <w:t>.</w:t>
      </w:r>
    </w:p>
    <w:p w14:paraId="085B25E3" w14:textId="77777777" w:rsidR="004F7576" w:rsidRPr="006C3A06" w:rsidRDefault="00542799" w:rsidP="004F7576">
      <w:r w:rsidRPr="006C3A06">
        <w:t xml:space="preserve">The </w:t>
      </w:r>
      <w:r w:rsidR="004F7576" w:rsidRPr="006C3A06">
        <w:t>Beale</w:t>
      </w:r>
      <w:r w:rsidR="00373F12" w:rsidRPr="006C3A06">
        <w:t xml:space="preserve"> R</w:t>
      </w:r>
      <w:r w:rsidRPr="006C3A06">
        <w:t>eview</w:t>
      </w:r>
      <w:r w:rsidR="004F7576" w:rsidRPr="006C3A06">
        <w:t xml:space="preserve"> proposed, among other things, ensuring the then recommended National Biosecurity Authority was armed with the appropriate environmental (terrestrial and aquatic) technical expertise, and broadening the membership of Animal Health Australia and Plant Health Australia to encompass environmental pest and disease issues.</w:t>
      </w:r>
    </w:p>
    <w:p w14:paraId="2BC92F76" w14:textId="4A923714" w:rsidR="004F7576" w:rsidRDefault="004F7576" w:rsidP="004F7576">
      <w:r w:rsidRPr="006C3A06">
        <w:t xml:space="preserve">In responding to the recommendations of the Beale Review and environmental biosecurity arrangements under the </w:t>
      </w:r>
      <w:r w:rsidRPr="006C3A06">
        <w:rPr>
          <w:i/>
        </w:rPr>
        <w:t>Environment Protection and Biodiversity Conservation Act 1999</w:t>
      </w:r>
      <w:r w:rsidRPr="006C3A06">
        <w:t xml:space="preserve"> </w:t>
      </w:r>
      <w:r w:rsidR="006C3A7B">
        <w:t xml:space="preserve">(Cwlth) </w:t>
      </w:r>
      <w:r w:rsidRPr="006C3A06">
        <w:t>(</w:t>
      </w:r>
      <w:r w:rsidR="004554BF">
        <w:t xml:space="preserve">the </w:t>
      </w:r>
      <w:r w:rsidRPr="006C3A06">
        <w:t xml:space="preserve">EPBC Act), </w:t>
      </w:r>
      <w:hyperlink w:anchor="Hawke_2009" w:history="1">
        <w:r w:rsidRPr="00D362A5">
          <w:rPr>
            <w:rStyle w:val="Hyperlink"/>
          </w:rPr>
          <w:t xml:space="preserve">Hawke </w:t>
        </w:r>
        <w:r w:rsidR="00CE33A8" w:rsidRPr="00D362A5">
          <w:rPr>
            <w:rStyle w:val="Hyperlink"/>
          </w:rPr>
          <w:t>(</w:t>
        </w:r>
        <w:r w:rsidRPr="00D362A5">
          <w:rPr>
            <w:rStyle w:val="Hyperlink"/>
          </w:rPr>
          <w:t>2009)</w:t>
        </w:r>
      </w:hyperlink>
      <w:r w:rsidRPr="006C3A06">
        <w:t xml:space="preserve"> suggested</w:t>
      </w:r>
      <w:r>
        <w:t>:</w:t>
      </w:r>
    </w:p>
    <w:p w14:paraId="602E8BF8" w14:textId="77777777" w:rsidR="004F7576" w:rsidRDefault="004F7576" w:rsidP="004F7576">
      <w:pPr>
        <w:pStyle w:val="ListBullet"/>
      </w:pPr>
      <w:r>
        <w:t>most of Australia’s ecosystems and species are threated to some extent by invasion by diseases, pests, weeds and feral animals</w:t>
      </w:r>
    </w:p>
    <w:p w14:paraId="74BC9B95" w14:textId="0A2B93EF" w:rsidR="004F7576" w:rsidRDefault="004F7576" w:rsidP="00FA4FC9">
      <w:pPr>
        <w:pStyle w:val="ListBullet"/>
      </w:pPr>
      <w:r>
        <w:lastRenderedPageBreak/>
        <w:t>environmental considerations should be equal to human health and primary production in all stages of Australia’s approach to managing biosecurity</w:t>
      </w:r>
      <w:r w:rsidR="00F85813">
        <w:t>—</w:t>
      </w:r>
      <w:r>
        <w:t>pre-border, at the border, post-border</w:t>
      </w:r>
    </w:p>
    <w:p w14:paraId="02A991F4" w14:textId="64EC4C25" w:rsidR="00A14048" w:rsidRDefault="004F7576" w:rsidP="00FA4FC9">
      <w:pPr>
        <w:pStyle w:val="ListBullet"/>
      </w:pPr>
      <w:r>
        <w:t>an integrated governance model is preferred for implementing the Beale Review recommendations provided that environmental outcomes are not compromised by a ‘culture’ favourin</w:t>
      </w:r>
      <w:r w:rsidR="00317654">
        <w:t>g trade and primary production.</w:t>
      </w:r>
    </w:p>
    <w:p w14:paraId="3E50E3A1" w14:textId="77777777" w:rsidR="00A14048" w:rsidRDefault="00A14048" w:rsidP="00A14048">
      <w:pPr>
        <w:pStyle w:val="Heading4"/>
      </w:pPr>
      <w:r>
        <w:t>What governments and stakeholders told us</w:t>
      </w:r>
    </w:p>
    <w:p w14:paraId="403974DA" w14:textId="77777777" w:rsidR="004F7576" w:rsidRDefault="004F7576" w:rsidP="004F7576">
      <w:r>
        <w:t>The</w:t>
      </w:r>
      <w:r w:rsidR="00542799">
        <w:t xml:space="preserve"> Australian Government</w:t>
      </w:r>
      <w:r>
        <w:t xml:space="preserve"> Department of Agriculture and Water Resources asserts it is difficult and not desirable to manage biosecurity risk to the environment in isolation from managing biosecurity risk to animal, plant and human health.</w:t>
      </w:r>
    </w:p>
    <w:p w14:paraId="7744A61C" w14:textId="75A27B09" w:rsidR="004F7576" w:rsidRDefault="004F7576" w:rsidP="004F7576">
      <w:r w:rsidRPr="00010BDE">
        <w:t>The 2015 Senate inquiry examined the framework in place for environmental biosecurity</w:t>
      </w:r>
      <w:r>
        <w:t xml:space="preserve"> including the proposal by the Invasive Species Council and others to establish Environment </w:t>
      </w:r>
      <w:r w:rsidRPr="0007046B">
        <w:t xml:space="preserve">Health Australia. The proposal was resoundingly opposed by the Australian Government (agriculture and environment portfolios) and AHA and PHA. The inquiry’s final report </w:t>
      </w:r>
      <w:r w:rsidR="004D4D6C" w:rsidRPr="0007046B">
        <w:t>(</w:t>
      </w:r>
      <w:hyperlink w:anchor="Commonwealth_of_Australia_2015" w:history="1">
        <w:r w:rsidR="004D4D6C" w:rsidRPr="00D362A5">
          <w:rPr>
            <w:rStyle w:val="Hyperlink"/>
          </w:rPr>
          <w:t>Commonwealth of Australia 2015</w:t>
        </w:r>
      </w:hyperlink>
      <w:r w:rsidR="00542799" w:rsidRPr="0007046B">
        <w:t xml:space="preserve">) </w:t>
      </w:r>
      <w:r w:rsidRPr="0007046B">
        <w:t>proposed better coordination and information between existing organisations and agreements. The Review Panel notes that the Australian Government is yet to respond to the inquiry</w:t>
      </w:r>
      <w:r w:rsidR="008E6397">
        <w:t>’s</w:t>
      </w:r>
      <w:r w:rsidRPr="0007046B">
        <w:t xml:space="preserve"> recommendations.</w:t>
      </w:r>
    </w:p>
    <w:p w14:paraId="1FA574FD" w14:textId="237C51BE" w:rsidR="004F7576" w:rsidRDefault="004F7576" w:rsidP="004F7576">
      <w:r>
        <w:t>Within the current NBC model, environmental issues and risks appear to be distributed amongst the NBC</w:t>
      </w:r>
      <w:r w:rsidR="00542799">
        <w:t>’s</w:t>
      </w:r>
      <w:r>
        <w:t xml:space="preserve"> sub</w:t>
      </w:r>
      <w:r w:rsidR="000060EA">
        <w:t>-</w:t>
      </w:r>
      <w:r>
        <w:t>committees as follows:</w:t>
      </w:r>
    </w:p>
    <w:p w14:paraId="2985C848" w14:textId="77777777" w:rsidR="004F7576" w:rsidRDefault="004F7576" w:rsidP="004F7576">
      <w:pPr>
        <w:pStyle w:val="ListBullet"/>
      </w:pPr>
      <w:r>
        <w:t>Biosecurity risks and incursions with production and non-production (environmental) risks are handled by the Animal Health and Plant Health Committees</w:t>
      </w:r>
      <w:r w:rsidR="00F918BE">
        <w:t>.</w:t>
      </w:r>
    </w:p>
    <w:p w14:paraId="0C6138BE" w14:textId="77777777" w:rsidR="004F7576" w:rsidRDefault="00F918BE" w:rsidP="004F7576">
      <w:pPr>
        <w:pStyle w:val="ListBullet"/>
      </w:pPr>
      <w:r>
        <w:t>B</w:t>
      </w:r>
      <w:r w:rsidR="004F7576">
        <w:t>iodiversity and agricultural impacts of established pests and diseases (including weeds and freshwater pests) are handled by the Invasive Plants and Animals Committee</w:t>
      </w:r>
      <w:r>
        <w:t>.</w:t>
      </w:r>
    </w:p>
    <w:p w14:paraId="08CA888D" w14:textId="0F04E38C" w:rsidR="004F7576" w:rsidRDefault="00F918BE" w:rsidP="004F7576">
      <w:pPr>
        <w:pStyle w:val="ListBullet"/>
      </w:pPr>
      <w:r>
        <w:t>T</w:t>
      </w:r>
      <w:r w:rsidR="004F7576">
        <w:t xml:space="preserve">he Marine Pest Sectoral Committee </w:t>
      </w:r>
      <w:r w:rsidR="00736F4B">
        <w:t xml:space="preserve">(MPSC) </w:t>
      </w:r>
      <w:r w:rsidR="004F7576">
        <w:t>deals with non-production risks and incursions</w:t>
      </w:r>
      <w:r>
        <w:t>.</w:t>
      </w:r>
    </w:p>
    <w:p w14:paraId="5CE52D30" w14:textId="77777777" w:rsidR="004F7576" w:rsidRDefault="004F7576" w:rsidP="004F7576">
      <w:pPr>
        <w:pStyle w:val="ListBullet"/>
      </w:pPr>
      <w:r>
        <w:t>Animal Health Committee deals with diseases impacting native wildlife and aquatic (production) animals. AHC members include Wildlife Health Australia, an environmental non-government organisation.</w:t>
      </w:r>
    </w:p>
    <w:p w14:paraId="5F036B78" w14:textId="142B1904" w:rsidR="004F7576" w:rsidRDefault="002D04FD" w:rsidP="004F7576">
      <w:pPr>
        <w:pStyle w:val="ListBullet"/>
      </w:pPr>
      <w:r>
        <w:t xml:space="preserve">The </w:t>
      </w:r>
      <w:r w:rsidR="004F7576">
        <w:t>Plant Health Committee deals with tramp ants, and specifically RIFA, presumably because it has technical exper</w:t>
      </w:r>
      <w:r w:rsidR="00317654">
        <w:t>tise relevant to invertebrates.</w:t>
      </w:r>
    </w:p>
    <w:p w14:paraId="213EBD0D" w14:textId="77777777" w:rsidR="004F7576" w:rsidRDefault="004F7576" w:rsidP="004F7576">
      <w:pPr>
        <w:pStyle w:val="ListBullet"/>
      </w:pPr>
      <w:r>
        <w:t>Some environmental responses to a species are covered by NEBRA while other responses for the same species are not.</w:t>
      </w:r>
    </w:p>
    <w:p w14:paraId="7EE7691F" w14:textId="5F1A79FE" w:rsidR="004F7576" w:rsidRDefault="004F7576" w:rsidP="004F7576">
      <w:r>
        <w:t xml:space="preserve">Jurisdictions cited past attempts to treat environment issues as a separate stream under </w:t>
      </w:r>
      <w:r w:rsidR="00F85813">
        <w:t xml:space="preserve">the </w:t>
      </w:r>
      <w:r>
        <w:t>NBC but consider this approach inefficient and duplicative. Additionally, some have highlighted that the environment also benefits from the broader system efforts (pre-border, border measures and surveillance). The</w:t>
      </w:r>
      <w:r w:rsidR="002D04FD">
        <w:t xml:space="preserve"> Australian Government</w:t>
      </w:r>
      <w:r>
        <w:t xml:space="preserve"> Department of Agriculture and Water Resources </w:t>
      </w:r>
      <w:r w:rsidR="009909A0">
        <w:t xml:space="preserve">and representatives from other jurisdictions believe </w:t>
      </w:r>
      <w:r>
        <w:t xml:space="preserve">stakeholders are simply not aware of the full scope and breadth of activities undertaken by governments that support the management of biosecurity risks to the environment. That is, the issue is primarily one of transparency. Regardless, non-government stakeholders continue to view the arrangements for environmental biosecurity as immature, </w:t>
      </w:r>
      <w:r w:rsidRPr="00167F56">
        <w:rPr>
          <w:i/>
        </w:rPr>
        <w:t>ad hoc</w:t>
      </w:r>
      <w:r>
        <w:t xml:space="preserve"> and underfunde</w:t>
      </w:r>
      <w:r w:rsidR="00DD7DC3">
        <w:t>d at all points in the system.</w:t>
      </w:r>
    </w:p>
    <w:p w14:paraId="0EB8BC75" w14:textId="500A7B55" w:rsidR="004F7576" w:rsidRDefault="004F7576" w:rsidP="004F7576">
      <w:r>
        <w:lastRenderedPageBreak/>
        <w:t xml:space="preserve">A contributing factor to </w:t>
      </w:r>
      <w:r w:rsidR="00167F56">
        <w:t xml:space="preserve">the </w:t>
      </w:r>
      <w:r>
        <w:t>lack of transparency is there is no equivalent to Wildlife Health Australia (WHA) for ‘non-wildlife biodiversity’, and so no direct conduit to environment organisations or the community. WHA is funded by the Australian Government and public donations to coordinate and provide input on diseases in native wildlife which may affect the natural environment</w:t>
      </w:r>
      <w:r w:rsidR="006F6771">
        <w:t xml:space="preserve"> </w:t>
      </w:r>
      <w:r w:rsidR="006F6771" w:rsidRPr="006F6771">
        <w:t>and be passed on to production animals</w:t>
      </w:r>
      <w:r>
        <w:t>. The Australian Government could consider an expanded remit for WHA, covering biodiversity more broadly.</w:t>
      </w:r>
    </w:p>
    <w:p w14:paraId="60228116" w14:textId="749340A0" w:rsidR="004F7576" w:rsidRDefault="004F7576" w:rsidP="004F7576">
      <w:r>
        <w:t>The Invasive Species Council, Wildlife Queensland</w:t>
      </w:r>
      <w:r w:rsidR="002D04FD">
        <w:t>, environmental stakeholders</w:t>
      </w:r>
      <w:r>
        <w:t xml:space="preserve"> and others assert</w:t>
      </w:r>
      <w:r w:rsidR="002D04FD">
        <w:t>ed</w:t>
      </w:r>
      <w:r>
        <w:t xml:space="preserve"> that the issue lies in the fact that biosecurity is currently an agriculture commodity based system. In its submission, the </w:t>
      </w:r>
      <w:r w:rsidR="002D04FD">
        <w:t xml:space="preserve">Invasive Species </w:t>
      </w:r>
      <w:r>
        <w:t>Council drew the</w:t>
      </w:r>
      <w:r w:rsidR="002D04FD">
        <w:t xml:space="preserve"> Review</w:t>
      </w:r>
      <w:r>
        <w:t xml:space="preserve"> Panel’s attention to the</w:t>
      </w:r>
      <w:r w:rsidR="006F6771">
        <w:t xml:space="preserve">ir view of the </w:t>
      </w:r>
      <w:r>
        <w:t>level of preparedness in agricultural biosecurity compared with environmental biosecurity</w:t>
      </w:r>
      <w:r w:rsidR="0059661E">
        <w:t xml:space="preserve"> (</w:t>
      </w:r>
      <w:r w:rsidR="002D04FD">
        <w:rPr>
          <w:color w:val="FF0000"/>
        </w:rPr>
        <w:fldChar w:fldCharType="begin"/>
      </w:r>
      <w:r w:rsidR="002D04FD">
        <w:instrText xml:space="preserve"> REF _Ref466967477 \h </w:instrText>
      </w:r>
      <w:r w:rsidR="002D04FD">
        <w:rPr>
          <w:color w:val="FF0000"/>
        </w:rPr>
      </w:r>
      <w:r w:rsidR="002D04FD">
        <w:rPr>
          <w:color w:val="FF0000"/>
        </w:rPr>
        <w:fldChar w:fldCharType="separate"/>
      </w:r>
      <w:r w:rsidR="008303E2" w:rsidRPr="00375F10">
        <w:t xml:space="preserve">Table </w:t>
      </w:r>
      <w:r w:rsidR="008303E2">
        <w:rPr>
          <w:noProof/>
        </w:rPr>
        <w:t>3</w:t>
      </w:r>
      <w:r w:rsidR="002D04FD">
        <w:rPr>
          <w:color w:val="FF0000"/>
        </w:rPr>
        <w:fldChar w:fldCharType="end"/>
      </w:r>
      <w:r w:rsidR="002D04FD">
        <w:t>, compiled in 2015)</w:t>
      </w:r>
      <w:r>
        <w:t>, highlighting limited systematic surveillance for environmental biosecurity and few early detection and rapid response plans.</w:t>
      </w:r>
    </w:p>
    <w:p w14:paraId="26BF05C1" w14:textId="293CD573" w:rsidR="00A14048" w:rsidRDefault="004F7576" w:rsidP="004F7576">
      <w:r>
        <w:t>Biosecurity stakeholders, including government departments, have also expressed concerns about emergency response arrangements for environmental pests and diseases. N</w:t>
      </w:r>
      <w:r w:rsidR="00F918BE">
        <w:t>EBRA</w:t>
      </w:r>
      <w:r>
        <w:t xml:space="preserve"> sets out emergency response arrangements for responding to nationally significant biosecurity incidents</w:t>
      </w:r>
      <w:r w:rsidR="00BC654B">
        <w:t>,</w:t>
      </w:r>
      <w:r>
        <w:t xml:space="preserve"> primarily impacting the environment and/or social amenity, and where the r</w:t>
      </w:r>
      <w:r w:rsidR="009057E1">
        <w:t>esponse is for the public good.</w:t>
      </w:r>
    </w:p>
    <w:p w14:paraId="094C9203" w14:textId="0D430479" w:rsidR="008F5774" w:rsidRPr="00375F10" w:rsidRDefault="00A42725" w:rsidP="00A42725">
      <w:pPr>
        <w:pStyle w:val="Caption"/>
        <w:rPr>
          <w:sz w:val="22"/>
          <w:szCs w:val="22"/>
        </w:rPr>
      </w:pPr>
      <w:bookmarkStart w:id="82" w:name="_Ref466967477"/>
      <w:bookmarkStart w:id="83" w:name="_Ref467595089"/>
      <w:bookmarkStart w:id="84" w:name="_Toc468176724"/>
      <w:r w:rsidRPr="00375F10">
        <w:rPr>
          <w:sz w:val="22"/>
          <w:szCs w:val="22"/>
        </w:rPr>
        <w:t xml:space="preserve">Table </w:t>
      </w:r>
      <w:r w:rsidR="00D56373" w:rsidRPr="00375F10">
        <w:rPr>
          <w:sz w:val="22"/>
          <w:szCs w:val="22"/>
        </w:rPr>
        <w:fldChar w:fldCharType="begin"/>
      </w:r>
      <w:r w:rsidR="00D56373" w:rsidRPr="00375F10">
        <w:rPr>
          <w:sz w:val="22"/>
          <w:szCs w:val="22"/>
        </w:rPr>
        <w:instrText xml:space="preserve"> SEQ Table \* ARABIC </w:instrText>
      </w:r>
      <w:r w:rsidR="00D56373" w:rsidRPr="00375F10">
        <w:rPr>
          <w:sz w:val="22"/>
          <w:szCs w:val="22"/>
        </w:rPr>
        <w:fldChar w:fldCharType="separate"/>
      </w:r>
      <w:r w:rsidR="008303E2">
        <w:rPr>
          <w:noProof/>
          <w:sz w:val="22"/>
          <w:szCs w:val="22"/>
        </w:rPr>
        <w:t>3</w:t>
      </w:r>
      <w:r w:rsidR="00D56373" w:rsidRPr="00375F10">
        <w:rPr>
          <w:noProof/>
          <w:sz w:val="22"/>
          <w:szCs w:val="22"/>
        </w:rPr>
        <w:fldChar w:fldCharType="end"/>
      </w:r>
      <w:bookmarkEnd w:id="82"/>
      <w:r w:rsidR="003F76E1" w:rsidRPr="00375F10">
        <w:rPr>
          <w:sz w:val="22"/>
          <w:szCs w:val="22"/>
        </w:rPr>
        <w:t>:</w:t>
      </w:r>
      <w:r w:rsidRPr="00375F10">
        <w:rPr>
          <w:sz w:val="22"/>
          <w:szCs w:val="22"/>
        </w:rPr>
        <w:t xml:space="preserve"> </w:t>
      </w:r>
      <w:r w:rsidR="00341D79">
        <w:rPr>
          <w:sz w:val="22"/>
          <w:szCs w:val="22"/>
        </w:rPr>
        <w:t xml:space="preserve">Invasive Species Council submission: </w:t>
      </w:r>
      <w:r w:rsidR="00A950F4">
        <w:rPr>
          <w:sz w:val="22"/>
          <w:szCs w:val="22"/>
        </w:rPr>
        <w:t>C</w:t>
      </w:r>
      <w:r w:rsidR="00341D79">
        <w:rPr>
          <w:sz w:val="22"/>
          <w:szCs w:val="22"/>
        </w:rPr>
        <w:t xml:space="preserve">omparing </w:t>
      </w:r>
      <w:r w:rsidRPr="00375F10">
        <w:rPr>
          <w:sz w:val="22"/>
          <w:szCs w:val="22"/>
        </w:rPr>
        <w:t>industry and environmental preparedness</w:t>
      </w:r>
      <w:bookmarkEnd w:id="83"/>
      <w:bookmarkEnd w:id="84"/>
      <w:r w:rsidR="00341D79">
        <w:rPr>
          <w:sz w:val="22"/>
          <w:szCs w:val="22"/>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Comparison of indusrty and environemntal preparedness, provided by the Invasive Species Council "/>
      </w:tblPr>
      <w:tblGrid>
        <w:gridCol w:w="3020"/>
        <w:gridCol w:w="3020"/>
        <w:gridCol w:w="3020"/>
      </w:tblGrid>
      <w:tr w:rsidR="008F5774" w14:paraId="0BA0318D" w14:textId="77777777" w:rsidTr="00A42725">
        <w:trPr>
          <w:tblHeader/>
        </w:trPr>
        <w:tc>
          <w:tcPr>
            <w:tcW w:w="3020" w:type="dxa"/>
          </w:tcPr>
          <w:p w14:paraId="598A28D9" w14:textId="77777777" w:rsidR="008F5774" w:rsidRDefault="008F5774" w:rsidP="008F5774">
            <w:pPr>
              <w:pStyle w:val="TableHeading"/>
            </w:pPr>
            <w:r>
              <w:t>Measure</w:t>
            </w:r>
          </w:p>
        </w:tc>
        <w:tc>
          <w:tcPr>
            <w:tcW w:w="3020" w:type="dxa"/>
          </w:tcPr>
          <w:p w14:paraId="244DE9AC" w14:textId="77777777" w:rsidR="008F5774" w:rsidRDefault="008F5774" w:rsidP="008F5774">
            <w:pPr>
              <w:pStyle w:val="TableHeading"/>
            </w:pPr>
            <w:r>
              <w:t>Agricultural biosecurity</w:t>
            </w:r>
          </w:p>
        </w:tc>
        <w:tc>
          <w:tcPr>
            <w:tcW w:w="3020" w:type="dxa"/>
          </w:tcPr>
          <w:p w14:paraId="5C0A20FB" w14:textId="77777777" w:rsidR="008F5774" w:rsidRDefault="008F5774" w:rsidP="008F5774">
            <w:pPr>
              <w:pStyle w:val="TableHeading"/>
            </w:pPr>
            <w:r>
              <w:t>Environmental biosecurity</w:t>
            </w:r>
          </w:p>
        </w:tc>
      </w:tr>
      <w:tr w:rsidR="008F5774" w14:paraId="2574555F" w14:textId="77777777" w:rsidTr="00A42725">
        <w:tc>
          <w:tcPr>
            <w:tcW w:w="3020" w:type="dxa"/>
          </w:tcPr>
          <w:p w14:paraId="1B99A513" w14:textId="77777777" w:rsidR="008F5774" w:rsidRDefault="008F5774" w:rsidP="008F5774">
            <w:pPr>
              <w:pStyle w:val="TableHeading"/>
            </w:pPr>
            <w:r>
              <w:t>Contingency planning</w:t>
            </w:r>
          </w:p>
        </w:tc>
        <w:tc>
          <w:tcPr>
            <w:tcW w:w="3020" w:type="dxa"/>
          </w:tcPr>
          <w:p w14:paraId="705E7BE0" w14:textId="77777777" w:rsidR="008F5774" w:rsidRDefault="008F5774" w:rsidP="00A14048"/>
        </w:tc>
        <w:tc>
          <w:tcPr>
            <w:tcW w:w="3020" w:type="dxa"/>
          </w:tcPr>
          <w:p w14:paraId="73C3467E" w14:textId="77777777" w:rsidR="008F5774" w:rsidRDefault="008F5774" w:rsidP="00A14048"/>
        </w:tc>
      </w:tr>
      <w:tr w:rsidR="008F5774" w14:paraId="702B753C" w14:textId="77777777" w:rsidTr="00A42725">
        <w:tc>
          <w:tcPr>
            <w:tcW w:w="3020" w:type="dxa"/>
          </w:tcPr>
          <w:p w14:paraId="7AFBF241" w14:textId="77777777" w:rsidR="008F5774" w:rsidRDefault="008F5774" w:rsidP="00C661AC">
            <w:pPr>
              <w:pStyle w:val="TableText"/>
            </w:pPr>
            <w:r>
              <w:t>Institutions</w:t>
            </w:r>
          </w:p>
        </w:tc>
        <w:tc>
          <w:tcPr>
            <w:tcW w:w="3020" w:type="dxa"/>
          </w:tcPr>
          <w:p w14:paraId="2E89922A" w14:textId="77777777" w:rsidR="008F5774" w:rsidRDefault="008F5774" w:rsidP="00C661AC">
            <w:pPr>
              <w:pStyle w:val="TableText"/>
            </w:pPr>
            <w:r>
              <w:t>Plant Health Australia</w:t>
            </w:r>
          </w:p>
          <w:p w14:paraId="6EB9141F" w14:textId="77777777" w:rsidR="008F5774" w:rsidRDefault="008F5774" w:rsidP="00C661AC">
            <w:pPr>
              <w:pStyle w:val="TableText"/>
            </w:pPr>
            <w:r>
              <w:t>Animal Health Australia</w:t>
            </w:r>
          </w:p>
          <w:p w14:paraId="4D45D250" w14:textId="77777777" w:rsidR="008F5774" w:rsidRDefault="008F5774" w:rsidP="00C661AC">
            <w:pPr>
              <w:pStyle w:val="TableText"/>
            </w:pPr>
            <w:r>
              <w:t>Wildlife Health Australia</w:t>
            </w:r>
          </w:p>
        </w:tc>
        <w:tc>
          <w:tcPr>
            <w:tcW w:w="3020" w:type="dxa"/>
          </w:tcPr>
          <w:p w14:paraId="0AA21404" w14:textId="77777777" w:rsidR="008F5774" w:rsidRDefault="00C661AC" w:rsidP="00C661AC">
            <w:pPr>
              <w:pStyle w:val="TableText"/>
            </w:pPr>
            <w:r>
              <w:t>Government implements NEBRA</w:t>
            </w:r>
          </w:p>
          <w:p w14:paraId="06E6A5D6" w14:textId="77777777" w:rsidR="00C661AC" w:rsidRDefault="00C661AC" w:rsidP="00C661AC">
            <w:pPr>
              <w:pStyle w:val="TableText"/>
            </w:pPr>
            <w:r>
              <w:t>Obligations</w:t>
            </w:r>
          </w:p>
          <w:p w14:paraId="5974C80D" w14:textId="77777777" w:rsidR="00C661AC" w:rsidRDefault="00C661AC" w:rsidP="00C661AC">
            <w:pPr>
              <w:pStyle w:val="TableText"/>
            </w:pPr>
            <w:r>
              <w:t>Few tangible outputs</w:t>
            </w:r>
          </w:p>
        </w:tc>
      </w:tr>
      <w:tr w:rsidR="008F5774" w14:paraId="33A26479" w14:textId="77777777" w:rsidTr="00A42725">
        <w:tc>
          <w:tcPr>
            <w:tcW w:w="3020" w:type="dxa"/>
          </w:tcPr>
          <w:p w14:paraId="4E3D68D2" w14:textId="5A2AA824" w:rsidR="008F5774" w:rsidRDefault="008F5774" w:rsidP="00C661AC">
            <w:pPr>
              <w:pStyle w:val="TableText"/>
            </w:pPr>
            <w:r>
              <w:t>Funds</w:t>
            </w:r>
          </w:p>
        </w:tc>
        <w:tc>
          <w:tcPr>
            <w:tcW w:w="3020" w:type="dxa"/>
          </w:tcPr>
          <w:p w14:paraId="24EB1B07" w14:textId="77777777" w:rsidR="008F5774" w:rsidRDefault="00C661AC" w:rsidP="00C661AC">
            <w:pPr>
              <w:pStyle w:val="TableText"/>
            </w:pPr>
            <w:r>
              <w:t>$20M over 5 years to PHA, AHA</w:t>
            </w:r>
          </w:p>
        </w:tc>
        <w:tc>
          <w:tcPr>
            <w:tcW w:w="3020" w:type="dxa"/>
          </w:tcPr>
          <w:p w14:paraId="6A78B41B" w14:textId="77777777" w:rsidR="008F5774" w:rsidRDefault="00C661AC" w:rsidP="00C661AC">
            <w:pPr>
              <w:pStyle w:val="TableText"/>
            </w:pPr>
            <w:r>
              <w:t>Minimal</w:t>
            </w:r>
          </w:p>
        </w:tc>
      </w:tr>
      <w:tr w:rsidR="008F5774" w14:paraId="70244731" w14:textId="77777777" w:rsidTr="00A42725">
        <w:tc>
          <w:tcPr>
            <w:tcW w:w="3020" w:type="dxa"/>
          </w:tcPr>
          <w:p w14:paraId="77F548AD" w14:textId="77777777" w:rsidR="008F5774" w:rsidRDefault="008F5774" w:rsidP="00C661AC">
            <w:pPr>
              <w:pStyle w:val="TableText"/>
            </w:pPr>
            <w:r>
              <w:t>Contingency plans</w:t>
            </w:r>
          </w:p>
        </w:tc>
        <w:tc>
          <w:tcPr>
            <w:tcW w:w="3020" w:type="dxa"/>
          </w:tcPr>
          <w:p w14:paraId="17F20312" w14:textId="77777777" w:rsidR="008F5774" w:rsidRDefault="00C661AC" w:rsidP="00C661AC">
            <w:pPr>
              <w:pStyle w:val="TableText"/>
            </w:pPr>
            <w:r>
              <w:t>90 industry plans</w:t>
            </w:r>
          </w:p>
        </w:tc>
        <w:tc>
          <w:tcPr>
            <w:tcW w:w="3020" w:type="dxa"/>
          </w:tcPr>
          <w:p w14:paraId="3A6C8482" w14:textId="77777777" w:rsidR="008F5774" w:rsidRDefault="00C661AC" w:rsidP="00C661AC">
            <w:pPr>
              <w:pStyle w:val="TableText"/>
            </w:pPr>
            <w:r>
              <w:t>2 tramp ant plans, 1 myrtle rust plan</w:t>
            </w:r>
          </w:p>
        </w:tc>
      </w:tr>
      <w:tr w:rsidR="008F5774" w14:paraId="528B2E3E" w14:textId="77777777" w:rsidTr="00A42725">
        <w:tc>
          <w:tcPr>
            <w:tcW w:w="3020" w:type="dxa"/>
          </w:tcPr>
          <w:p w14:paraId="3ACC0615" w14:textId="77777777" w:rsidR="008F5774" w:rsidRDefault="008F5774" w:rsidP="008F5774">
            <w:pPr>
              <w:pStyle w:val="TableHeading"/>
            </w:pPr>
            <w:r>
              <w:t>Risks identified</w:t>
            </w:r>
          </w:p>
        </w:tc>
        <w:tc>
          <w:tcPr>
            <w:tcW w:w="3020" w:type="dxa"/>
          </w:tcPr>
          <w:p w14:paraId="40122108" w14:textId="77777777" w:rsidR="008F5774" w:rsidRDefault="008F5774" w:rsidP="00A14048"/>
        </w:tc>
        <w:tc>
          <w:tcPr>
            <w:tcW w:w="3020" w:type="dxa"/>
          </w:tcPr>
          <w:p w14:paraId="1289FBBD" w14:textId="77777777" w:rsidR="008F5774" w:rsidRDefault="008F5774" w:rsidP="00A14048"/>
        </w:tc>
      </w:tr>
      <w:tr w:rsidR="0025250E" w14:paraId="74D4CAA0" w14:textId="77777777" w:rsidTr="002679F1">
        <w:tc>
          <w:tcPr>
            <w:tcW w:w="3020" w:type="dxa"/>
          </w:tcPr>
          <w:p w14:paraId="4079DD49" w14:textId="77777777" w:rsidR="0025250E" w:rsidRDefault="0025250E" w:rsidP="00C661AC">
            <w:pPr>
              <w:pStyle w:val="TableText"/>
            </w:pPr>
            <w:r>
              <w:t>Vertebrate pests</w:t>
            </w:r>
          </w:p>
        </w:tc>
        <w:tc>
          <w:tcPr>
            <w:tcW w:w="3020" w:type="dxa"/>
          </w:tcPr>
          <w:p w14:paraId="6F5607E0" w14:textId="77777777" w:rsidR="0025250E" w:rsidRDefault="0025250E" w:rsidP="00C661AC">
            <w:pPr>
              <w:pStyle w:val="TableText"/>
            </w:pPr>
            <w:r>
              <w:t>159 mammal, bird, reptile and amphibian species rated extreme threat</w:t>
            </w:r>
          </w:p>
        </w:tc>
        <w:tc>
          <w:tcPr>
            <w:tcW w:w="3020" w:type="dxa"/>
          </w:tcPr>
          <w:p w14:paraId="1E2B0E6A" w14:textId="2FFF4710" w:rsidR="0025250E" w:rsidRDefault="0025250E" w:rsidP="00C661AC">
            <w:pPr>
              <w:pStyle w:val="TableText"/>
            </w:pPr>
          </w:p>
        </w:tc>
      </w:tr>
      <w:tr w:rsidR="008F5774" w14:paraId="35E59B65" w14:textId="77777777" w:rsidTr="00A42725">
        <w:tc>
          <w:tcPr>
            <w:tcW w:w="3020" w:type="dxa"/>
          </w:tcPr>
          <w:p w14:paraId="226E5F54" w14:textId="77777777" w:rsidR="008F5774" w:rsidRDefault="008F5774" w:rsidP="00C661AC">
            <w:pPr>
              <w:pStyle w:val="TableText"/>
            </w:pPr>
            <w:r>
              <w:t>Animal pests and diseases</w:t>
            </w:r>
          </w:p>
        </w:tc>
        <w:tc>
          <w:tcPr>
            <w:tcW w:w="3020" w:type="dxa"/>
          </w:tcPr>
          <w:p w14:paraId="7F4BCF16" w14:textId="77777777" w:rsidR="008F5774" w:rsidRDefault="00C661AC" w:rsidP="00C661AC">
            <w:pPr>
              <w:pStyle w:val="TableText"/>
            </w:pPr>
            <w:r>
              <w:t>65 animal diseases</w:t>
            </w:r>
          </w:p>
        </w:tc>
        <w:tc>
          <w:tcPr>
            <w:tcW w:w="3020" w:type="dxa"/>
          </w:tcPr>
          <w:p w14:paraId="1A547A54" w14:textId="77777777" w:rsidR="008F5774" w:rsidRDefault="00C661AC" w:rsidP="00C661AC">
            <w:pPr>
              <w:pStyle w:val="TableText"/>
            </w:pPr>
            <w:r>
              <w:t>None identified</w:t>
            </w:r>
          </w:p>
        </w:tc>
      </w:tr>
      <w:tr w:rsidR="008F5774" w14:paraId="1C45201E" w14:textId="77777777" w:rsidTr="00A42725">
        <w:tc>
          <w:tcPr>
            <w:tcW w:w="3020" w:type="dxa"/>
          </w:tcPr>
          <w:p w14:paraId="448731FB" w14:textId="77777777" w:rsidR="008F5774" w:rsidRDefault="008F5774" w:rsidP="00C661AC">
            <w:pPr>
              <w:pStyle w:val="TableText"/>
            </w:pPr>
            <w:r>
              <w:t>Plant pests and diseases</w:t>
            </w:r>
          </w:p>
        </w:tc>
        <w:tc>
          <w:tcPr>
            <w:tcW w:w="3020" w:type="dxa"/>
          </w:tcPr>
          <w:p w14:paraId="11953E2E" w14:textId="77777777" w:rsidR="008F5774" w:rsidRDefault="00C661AC" w:rsidP="00C661AC">
            <w:pPr>
              <w:pStyle w:val="TableText"/>
            </w:pPr>
            <w:r>
              <w:t>348 priority plant pests</w:t>
            </w:r>
          </w:p>
        </w:tc>
        <w:tc>
          <w:tcPr>
            <w:tcW w:w="3020" w:type="dxa"/>
          </w:tcPr>
          <w:p w14:paraId="257F35F1" w14:textId="77777777" w:rsidR="008F5774" w:rsidRDefault="00C661AC" w:rsidP="00C661AC">
            <w:pPr>
              <w:pStyle w:val="TableText"/>
            </w:pPr>
            <w:r>
              <w:t>None identified</w:t>
            </w:r>
          </w:p>
        </w:tc>
      </w:tr>
      <w:tr w:rsidR="00CD6D42" w14:paraId="756BF3DB" w14:textId="77777777" w:rsidTr="002679F1">
        <w:tc>
          <w:tcPr>
            <w:tcW w:w="3020" w:type="dxa"/>
          </w:tcPr>
          <w:p w14:paraId="22EDCFE7" w14:textId="77777777" w:rsidR="00CD6D42" w:rsidRDefault="00CD6D42" w:rsidP="00C661AC">
            <w:pPr>
              <w:pStyle w:val="TableText"/>
            </w:pPr>
            <w:r>
              <w:t>Marine pests</w:t>
            </w:r>
          </w:p>
        </w:tc>
        <w:tc>
          <w:tcPr>
            <w:tcW w:w="3020" w:type="dxa"/>
          </w:tcPr>
          <w:p w14:paraId="595B1E94" w14:textId="77777777" w:rsidR="00CD6D42" w:rsidRDefault="00CD6D42" w:rsidP="00C661AC">
            <w:pPr>
              <w:pStyle w:val="TableText"/>
            </w:pPr>
            <w:r>
              <w:t>23 priority species, 35 on trigger list</w:t>
            </w:r>
          </w:p>
        </w:tc>
        <w:tc>
          <w:tcPr>
            <w:tcW w:w="3020" w:type="dxa"/>
          </w:tcPr>
          <w:p w14:paraId="184DA2D1" w14:textId="418D008E" w:rsidR="00CD6D42" w:rsidRDefault="00CD6D42" w:rsidP="00C661AC">
            <w:pPr>
              <w:pStyle w:val="TableText"/>
            </w:pPr>
          </w:p>
        </w:tc>
      </w:tr>
      <w:tr w:rsidR="008F5774" w14:paraId="2C743891" w14:textId="77777777" w:rsidTr="00A42725">
        <w:tc>
          <w:tcPr>
            <w:tcW w:w="3020" w:type="dxa"/>
          </w:tcPr>
          <w:p w14:paraId="497700C9" w14:textId="77777777" w:rsidR="008F5774" w:rsidRDefault="008F5774" w:rsidP="00C661AC">
            <w:pPr>
              <w:pStyle w:val="TableText"/>
            </w:pPr>
            <w:r>
              <w:t>Invasive plants</w:t>
            </w:r>
          </w:p>
        </w:tc>
        <w:tc>
          <w:tcPr>
            <w:tcW w:w="3020" w:type="dxa"/>
          </w:tcPr>
          <w:p w14:paraId="7565EBF8" w14:textId="77777777" w:rsidR="008F5774" w:rsidRDefault="00C661AC" w:rsidP="00C661AC">
            <w:pPr>
              <w:pStyle w:val="TableText"/>
            </w:pPr>
            <w:r>
              <w:t>None</w:t>
            </w:r>
          </w:p>
        </w:tc>
        <w:tc>
          <w:tcPr>
            <w:tcW w:w="3020" w:type="dxa"/>
          </w:tcPr>
          <w:p w14:paraId="621A77D6" w14:textId="77777777" w:rsidR="008F5774" w:rsidRDefault="00C661AC" w:rsidP="00C661AC">
            <w:pPr>
              <w:pStyle w:val="TableText"/>
            </w:pPr>
            <w:r>
              <w:t>None (apart from inadequate 2000 weed alert list)</w:t>
            </w:r>
          </w:p>
        </w:tc>
      </w:tr>
      <w:tr w:rsidR="008F5774" w14:paraId="7297C0E7" w14:textId="77777777" w:rsidTr="00A42725">
        <w:tc>
          <w:tcPr>
            <w:tcW w:w="3020" w:type="dxa"/>
          </w:tcPr>
          <w:p w14:paraId="01AAD4C4" w14:textId="77777777" w:rsidR="008F5774" w:rsidRDefault="008F5774" w:rsidP="008F5774">
            <w:pPr>
              <w:pStyle w:val="TableHeading"/>
            </w:pPr>
            <w:r>
              <w:t>Strategies</w:t>
            </w:r>
          </w:p>
        </w:tc>
        <w:tc>
          <w:tcPr>
            <w:tcW w:w="3020" w:type="dxa"/>
          </w:tcPr>
          <w:p w14:paraId="11B11EA0" w14:textId="77777777" w:rsidR="008F5774" w:rsidRDefault="008F5774" w:rsidP="00A14048"/>
        </w:tc>
        <w:tc>
          <w:tcPr>
            <w:tcW w:w="3020" w:type="dxa"/>
          </w:tcPr>
          <w:p w14:paraId="52F0952D" w14:textId="77777777" w:rsidR="008F5774" w:rsidRDefault="008F5774" w:rsidP="00A14048"/>
        </w:tc>
      </w:tr>
      <w:tr w:rsidR="008F5774" w14:paraId="12E2E203" w14:textId="77777777" w:rsidTr="00A42725">
        <w:tc>
          <w:tcPr>
            <w:tcW w:w="3020" w:type="dxa"/>
          </w:tcPr>
          <w:p w14:paraId="42D04ACA" w14:textId="77777777" w:rsidR="008F5774" w:rsidRDefault="008F5774" w:rsidP="008920CA">
            <w:pPr>
              <w:pStyle w:val="TableText"/>
            </w:pPr>
            <w:r>
              <w:t>Biosecurity strategy</w:t>
            </w:r>
          </w:p>
        </w:tc>
        <w:tc>
          <w:tcPr>
            <w:tcW w:w="3020" w:type="dxa"/>
          </w:tcPr>
          <w:p w14:paraId="4BD1FE60" w14:textId="77777777" w:rsidR="00C661AC" w:rsidRDefault="00C661AC" w:rsidP="008920CA">
            <w:pPr>
              <w:pStyle w:val="TableText"/>
            </w:pPr>
            <w:r>
              <w:t>National plant biosecurity strategy</w:t>
            </w:r>
          </w:p>
          <w:p w14:paraId="52187E4B" w14:textId="77777777" w:rsidR="008F5774" w:rsidRDefault="00C661AC" w:rsidP="008920CA">
            <w:pPr>
              <w:pStyle w:val="TableText"/>
            </w:pPr>
            <w:r>
              <w:t xml:space="preserve">Animal Health Australia strategic plan </w:t>
            </w:r>
          </w:p>
        </w:tc>
        <w:tc>
          <w:tcPr>
            <w:tcW w:w="3020" w:type="dxa"/>
          </w:tcPr>
          <w:p w14:paraId="10B1DFC9" w14:textId="77777777" w:rsidR="008F5774" w:rsidRDefault="00C661AC" w:rsidP="008920CA">
            <w:pPr>
              <w:pStyle w:val="TableText"/>
            </w:pPr>
            <w:r>
              <w:t>No equivalent</w:t>
            </w:r>
          </w:p>
        </w:tc>
      </w:tr>
      <w:tr w:rsidR="008F5774" w14:paraId="042C851C" w14:textId="77777777" w:rsidTr="00A42725">
        <w:tc>
          <w:tcPr>
            <w:tcW w:w="3020" w:type="dxa"/>
          </w:tcPr>
          <w:p w14:paraId="25054537" w14:textId="77777777" w:rsidR="008F5774" w:rsidRDefault="008F5774" w:rsidP="008920CA">
            <w:pPr>
              <w:pStyle w:val="TableText"/>
            </w:pPr>
            <w:r>
              <w:t>Diagnostic strategy</w:t>
            </w:r>
          </w:p>
        </w:tc>
        <w:tc>
          <w:tcPr>
            <w:tcW w:w="3020" w:type="dxa"/>
          </w:tcPr>
          <w:p w14:paraId="563D0454" w14:textId="77777777" w:rsidR="00C661AC" w:rsidRDefault="00C661AC" w:rsidP="008920CA">
            <w:pPr>
              <w:pStyle w:val="TableText"/>
            </w:pPr>
            <w:r>
              <w:t>National plant biosecurity diagnostic strategy</w:t>
            </w:r>
          </w:p>
          <w:p w14:paraId="7DDBF0F0" w14:textId="77777777" w:rsidR="008F5774" w:rsidRDefault="00C661AC" w:rsidP="008920CA">
            <w:pPr>
              <w:pStyle w:val="TableText"/>
            </w:pPr>
            <w:r>
              <w:lastRenderedPageBreak/>
              <w:t>National animal health data standards</w:t>
            </w:r>
          </w:p>
        </w:tc>
        <w:tc>
          <w:tcPr>
            <w:tcW w:w="3020" w:type="dxa"/>
          </w:tcPr>
          <w:p w14:paraId="79B73300" w14:textId="77777777" w:rsidR="008F5774" w:rsidRDefault="00C661AC" w:rsidP="008920CA">
            <w:pPr>
              <w:pStyle w:val="TableText"/>
            </w:pPr>
            <w:r>
              <w:lastRenderedPageBreak/>
              <w:t>No equivalent</w:t>
            </w:r>
          </w:p>
        </w:tc>
      </w:tr>
      <w:tr w:rsidR="008920CA" w14:paraId="22AE26FB" w14:textId="77777777" w:rsidTr="00A42725">
        <w:tc>
          <w:tcPr>
            <w:tcW w:w="3020" w:type="dxa"/>
          </w:tcPr>
          <w:p w14:paraId="3AFB2B42" w14:textId="77777777" w:rsidR="008920CA" w:rsidRDefault="008920CA" w:rsidP="008920CA">
            <w:pPr>
              <w:pStyle w:val="TableText"/>
            </w:pPr>
            <w:r>
              <w:t>Surveillance strategy</w:t>
            </w:r>
          </w:p>
        </w:tc>
        <w:tc>
          <w:tcPr>
            <w:tcW w:w="3020" w:type="dxa"/>
          </w:tcPr>
          <w:p w14:paraId="50B763A2" w14:textId="77777777" w:rsidR="008920CA" w:rsidRDefault="008920CA" w:rsidP="008920CA">
            <w:pPr>
              <w:pStyle w:val="TableText"/>
            </w:pPr>
            <w:r>
              <w:t>National plant biosecurity surveillance strategy</w:t>
            </w:r>
          </w:p>
          <w:p w14:paraId="267623D5" w14:textId="77777777" w:rsidR="008920CA" w:rsidRDefault="008920CA" w:rsidP="008920CA">
            <w:pPr>
              <w:pStyle w:val="TableText"/>
            </w:pPr>
            <w:r>
              <w:t>National animal health information standards</w:t>
            </w:r>
          </w:p>
          <w:p w14:paraId="1D495E06" w14:textId="77777777" w:rsidR="008920CA" w:rsidRDefault="008920CA" w:rsidP="008920CA">
            <w:pPr>
              <w:pStyle w:val="TableText"/>
            </w:pPr>
            <w:r>
              <w:t>National sentinel hive program</w:t>
            </w:r>
          </w:p>
          <w:p w14:paraId="22A8D623" w14:textId="77777777" w:rsidR="008920CA" w:rsidRDefault="008920CA" w:rsidP="008920CA">
            <w:pPr>
              <w:pStyle w:val="TableText"/>
            </w:pPr>
            <w:r>
              <w:t>National significant disease investigation program</w:t>
            </w:r>
          </w:p>
        </w:tc>
        <w:tc>
          <w:tcPr>
            <w:tcW w:w="3020" w:type="dxa"/>
          </w:tcPr>
          <w:p w14:paraId="422BBAE8" w14:textId="77777777" w:rsidR="008920CA" w:rsidRDefault="008920CA" w:rsidP="008920CA">
            <w:pPr>
              <w:pStyle w:val="TableText"/>
            </w:pPr>
            <w:r>
              <w:t>No equivalent</w:t>
            </w:r>
          </w:p>
        </w:tc>
      </w:tr>
      <w:tr w:rsidR="008920CA" w14:paraId="774B631D" w14:textId="77777777" w:rsidTr="00A42725">
        <w:tc>
          <w:tcPr>
            <w:tcW w:w="3020" w:type="dxa"/>
          </w:tcPr>
          <w:p w14:paraId="0E1A36B7" w14:textId="77777777" w:rsidR="008920CA" w:rsidRDefault="008920CA" w:rsidP="008920CA">
            <w:pPr>
              <w:pStyle w:val="TableText"/>
            </w:pPr>
            <w:r>
              <w:t>RD&amp;E strategy</w:t>
            </w:r>
          </w:p>
        </w:tc>
        <w:tc>
          <w:tcPr>
            <w:tcW w:w="3020" w:type="dxa"/>
          </w:tcPr>
          <w:p w14:paraId="1EB1C18E" w14:textId="77777777" w:rsidR="008920CA" w:rsidRDefault="008920CA" w:rsidP="008920CA">
            <w:pPr>
              <w:pStyle w:val="TableText"/>
            </w:pPr>
            <w:r w:rsidRPr="008920CA">
              <w:t xml:space="preserve">National plant biosecurity </w:t>
            </w:r>
            <w:r>
              <w:t>RD&amp;E</w:t>
            </w:r>
          </w:p>
          <w:p w14:paraId="245B2B78" w14:textId="77777777" w:rsidR="008920CA" w:rsidRDefault="008920CA" w:rsidP="008920CA">
            <w:pPr>
              <w:pStyle w:val="TableText"/>
            </w:pPr>
            <w:r>
              <w:t>National Animal Biosecurity RD&amp;E strategy</w:t>
            </w:r>
          </w:p>
        </w:tc>
        <w:tc>
          <w:tcPr>
            <w:tcW w:w="3020" w:type="dxa"/>
          </w:tcPr>
          <w:p w14:paraId="589F6DFD" w14:textId="77777777" w:rsidR="008920CA" w:rsidRDefault="008920CA" w:rsidP="008920CA">
            <w:pPr>
              <w:pStyle w:val="TableText"/>
            </w:pPr>
            <w:r>
              <w:t>Draft national environment and community RD&amp;E strategy</w:t>
            </w:r>
          </w:p>
        </w:tc>
      </w:tr>
      <w:tr w:rsidR="008920CA" w14:paraId="70DA33B3" w14:textId="77777777" w:rsidTr="00A42725">
        <w:tc>
          <w:tcPr>
            <w:tcW w:w="3020" w:type="dxa"/>
          </w:tcPr>
          <w:p w14:paraId="2226586E" w14:textId="77777777" w:rsidR="008920CA" w:rsidRDefault="008920CA" w:rsidP="008920CA">
            <w:pPr>
              <w:pStyle w:val="TableHeading"/>
            </w:pPr>
            <w:r>
              <w:t>Plans and protocols</w:t>
            </w:r>
          </w:p>
        </w:tc>
        <w:tc>
          <w:tcPr>
            <w:tcW w:w="3020" w:type="dxa"/>
          </w:tcPr>
          <w:p w14:paraId="341B4868" w14:textId="77777777" w:rsidR="008920CA" w:rsidRDefault="008920CA" w:rsidP="008920CA"/>
        </w:tc>
        <w:tc>
          <w:tcPr>
            <w:tcW w:w="3020" w:type="dxa"/>
          </w:tcPr>
          <w:p w14:paraId="15B58C75" w14:textId="77777777" w:rsidR="008920CA" w:rsidRDefault="008920CA" w:rsidP="008920CA"/>
        </w:tc>
      </w:tr>
      <w:tr w:rsidR="008920CA" w14:paraId="1A8D99A7" w14:textId="77777777" w:rsidTr="00A42725">
        <w:tc>
          <w:tcPr>
            <w:tcW w:w="3020" w:type="dxa"/>
          </w:tcPr>
          <w:p w14:paraId="7DFE5A00" w14:textId="77777777" w:rsidR="008920CA" w:rsidRDefault="008920CA" w:rsidP="00A42725">
            <w:pPr>
              <w:pStyle w:val="TableText"/>
            </w:pPr>
            <w:r>
              <w:t>Biosecurity plans</w:t>
            </w:r>
          </w:p>
        </w:tc>
        <w:tc>
          <w:tcPr>
            <w:tcW w:w="3020" w:type="dxa"/>
          </w:tcPr>
          <w:p w14:paraId="21CFBB7F" w14:textId="77777777" w:rsidR="008920CA" w:rsidRDefault="008920CA" w:rsidP="00A42725">
            <w:pPr>
              <w:pStyle w:val="TableText"/>
            </w:pPr>
            <w:r>
              <w:t>17 plant industry biosecurity plans</w:t>
            </w:r>
          </w:p>
          <w:p w14:paraId="3958B69A" w14:textId="77777777" w:rsidR="008920CA" w:rsidRDefault="008920CA" w:rsidP="00A42725">
            <w:pPr>
              <w:pStyle w:val="TableText"/>
            </w:pPr>
            <w:r>
              <w:t>30 animal disease strategies</w:t>
            </w:r>
          </w:p>
        </w:tc>
        <w:tc>
          <w:tcPr>
            <w:tcW w:w="3020" w:type="dxa"/>
          </w:tcPr>
          <w:p w14:paraId="1B620604" w14:textId="77777777" w:rsidR="008920CA" w:rsidRDefault="008920CA" w:rsidP="00A42725">
            <w:pPr>
              <w:pStyle w:val="TableText"/>
            </w:pPr>
            <w:r>
              <w:t>No equivalent</w:t>
            </w:r>
          </w:p>
        </w:tc>
      </w:tr>
      <w:tr w:rsidR="008920CA" w14:paraId="7CA45A4A" w14:textId="77777777" w:rsidTr="00A42725">
        <w:tc>
          <w:tcPr>
            <w:tcW w:w="3020" w:type="dxa"/>
          </w:tcPr>
          <w:p w14:paraId="454C591C" w14:textId="77777777" w:rsidR="008920CA" w:rsidRDefault="008920CA" w:rsidP="00A42725">
            <w:pPr>
              <w:pStyle w:val="TableText"/>
            </w:pPr>
            <w:r>
              <w:t>Diagnostic protocols</w:t>
            </w:r>
          </w:p>
        </w:tc>
        <w:tc>
          <w:tcPr>
            <w:tcW w:w="3020" w:type="dxa"/>
          </w:tcPr>
          <w:p w14:paraId="1D035EEA" w14:textId="77777777" w:rsidR="008920CA" w:rsidRDefault="008920CA" w:rsidP="00A42725">
            <w:pPr>
              <w:pStyle w:val="TableText"/>
            </w:pPr>
            <w:r>
              <w:t>127 national diagnostic protocols</w:t>
            </w:r>
          </w:p>
        </w:tc>
        <w:tc>
          <w:tcPr>
            <w:tcW w:w="3020" w:type="dxa"/>
          </w:tcPr>
          <w:p w14:paraId="255D0562" w14:textId="77777777" w:rsidR="008920CA" w:rsidRDefault="008920CA" w:rsidP="00A42725">
            <w:pPr>
              <w:pStyle w:val="TableText"/>
            </w:pPr>
            <w:r w:rsidRPr="00683BE0">
              <w:t>No equivalent (1 for myrtle</w:t>
            </w:r>
            <w:r w:rsidR="00683BE0" w:rsidRPr="00683BE0">
              <w:t xml:space="preserve"> rust</w:t>
            </w:r>
            <w:r w:rsidR="00A42725" w:rsidRPr="00683BE0">
              <w:t xml:space="preserve"> relevant)</w:t>
            </w:r>
          </w:p>
        </w:tc>
      </w:tr>
      <w:tr w:rsidR="008920CA" w14:paraId="0CF025E2" w14:textId="77777777" w:rsidTr="00A42725">
        <w:tc>
          <w:tcPr>
            <w:tcW w:w="3020" w:type="dxa"/>
          </w:tcPr>
          <w:p w14:paraId="4828B2FB" w14:textId="77777777" w:rsidR="008920CA" w:rsidRDefault="008920CA" w:rsidP="00A42725">
            <w:pPr>
              <w:pStyle w:val="TableText"/>
            </w:pPr>
            <w:r>
              <w:t>Biosecurity manuals</w:t>
            </w:r>
          </w:p>
        </w:tc>
        <w:tc>
          <w:tcPr>
            <w:tcW w:w="3020" w:type="dxa"/>
          </w:tcPr>
          <w:p w14:paraId="5C6728D0" w14:textId="77777777" w:rsidR="008920CA" w:rsidRDefault="00A42725" w:rsidP="00A42725">
            <w:pPr>
              <w:pStyle w:val="TableText"/>
            </w:pPr>
            <w:r>
              <w:t>17 industry-specific biosecurity manuals</w:t>
            </w:r>
          </w:p>
          <w:p w14:paraId="7C95A766" w14:textId="77777777" w:rsidR="00A42725" w:rsidRDefault="00A42725" w:rsidP="00A42725">
            <w:pPr>
              <w:pStyle w:val="TableText"/>
            </w:pPr>
            <w:r>
              <w:t>15 livestock industry manuals</w:t>
            </w:r>
          </w:p>
        </w:tc>
        <w:tc>
          <w:tcPr>
            <w:tcW w:w="3020" w:type="dxa"/>
          </w:tcPr>
          <w:p w14:paraId="1443ED37" w14:textId="77777777" w:rsidR="008920CA" w:rsidRDefault="00A42725" w:rsidP="00A42725">
            <w:pPr>
              <w:pStyle w:val="TableText"/>
            </w:pPr>
            <w:r>
              <w:t>No equivalent</w:t>
            </w:r>
          </w:p>
        </w:tc>
      </w:tr>
      <w:tr w:rsidR="008920CA" w14:paraId="604680EA" w14:textId="77777777" w:rsidTr="00A42725">
        <w:tc>
          <w:tcPr>
            <w:tcW w:w="3020" w:type="dxa"/>
          </w:tcPr>
          <w:p w14:paraId="73EA0CD7" w14:textId="77777777" w:rsidR="008920CA" w:rsidRDefault="008920CA" w:rsidP="00A42725">
            <w:pPr>
              <w:pStyle w:val="TableText"/>
            </w:pPr>
            <w:r>
              <w:t>Emergency response agreement</w:t>
            </w:r>
          </w:p>
        </w:tc>
        <w:tc>
          <w:tcPr>
            <w:tcW w:w="3020" w:type="dxa"/>
          </w:tcPr>
          <w:p w14:paraId="74FB87B8" w14:textId="77777777" w:rsidR="008920CA" w:rsidRDefault="00A42725" w:rsidP="00A42725">
            <w:pPr>
              <w:pStyle w:val="TableText"/>
            </w:pPr>
            <w:r>
              <w:t>80 plant diseases</w:t>
            </w:r>
          </w:p>
          <w:p w14:paraId="7092822C" w14:textId="77777777" w:rsidR="00A42725" w:rsidRDefault="00A42725" w:rsidP="00A42725">
            <w:pPr>
              <w:pStyle w:val="TableText"/>
            </w:pPr>
            <w:r>
              <w:t>65 animal diseases</w:t>
            </w:r>
          </w:p>
        </w:tc>
        <w:tc>
          <w:tcPr>
            <w:tcW w:w="3020" w:type="dxa"/>
          </w:tcPr>
          <w:p w14:paraId="3F98B437" w14:textId="77777777" w:rsidR="008920CA" w:rsidRDefault="00A42725" w:rsidP="00A42725">
            <w:pPr>
              <w:pStyle w:val="TableText"/>
            </w:pPr>
            <w:r>
              <w:t>Response decided on national significance and other criteria</w:t>
            </w:r>
          </w:p>
        </w:tc>
      </w:tr>
      <w:tr w:rsidR="008920CA" w14:paraId="6BAA183C" w14:textId="77777777" w:rsidTr="00A42725">
        <w:tc>
          <w:tcPr>
            <w:tcW w:w="3020" w:type="dxa"/>
          </w:tcPr>
          <w:p w14:paraId="0BCC702C" w14:textId="77777777" w:rsidR="008920CA" w:rsidRDefault="008920CA" w:rsidP="008920CA">
            <w:pPr>
              <w:pStyle w:val="TableHeading"/>
            </w:pPr>
            <w:r>
              <w:t>Stakeholder involvement</w:t>
            </w:r>
          </w:p>
        </w:tc>
        <w:tc>
          <w:tcPr>
            <w:tcW w:w="3020" w:type="dxa"/>
          </w:tcPr>
          <w:p w14:paraId="3CF7EF52" w14:textId="77777777" w:rsidR="008920CA" w:rsidRDefault="008920CA" w:rsidP="008920CA"/>
        </w:tc>
        <w:tc>
          <w:tcPr>
            <w:tcW w:w="3020" w:type="dxa"/>
          </w:tcPr>
          <w:p w14:paraId="0EA5047E" w14:textId="77777777" w:rsidR="008920CA" w:rsidRDefault="008920CA" w:rsidP="008920CA"/>
        </w:tc>
      </w:tr>
      <w:tr w:rsidR="008920CA" w14:paraId="42169166" w14:textId="77777777" w:rsidTr="00A42725">
        <w:tc>
          <w:tcPr>
            <w:tcW w:w="3020" w:type="dxa"/>
          </w:tcPr>
          <w:p w14:paraId="7770940E" w14:textId="77777777" w:rsidR="008920CA" w:rsidRDefault="008920CA" w:rsidP="00A42725">
            <w:pPr>
              <w:pStyle w:val="TableText"/>
            </w:pPr>
            <w:r>
              <w:t>Consultative committees</w:t>
            </w:r>
          </w:p>
        </w:tc>
        <w:tc>
          <w:tcPr>
            <w:tcW w:w="3020" w:type="dxa"/>
          </w:tcPr>
          <w:p w14:paraId="34ECCA68" w14:textId="77777777" w:rsidR="008920CA" w:rsidRDefault="00A42725" w:rsidP="00A42725">
            <w:pPr>
              <w:pStyle w:val="TableText"/>
            </w:pPr>
            <w:r>
              <w:t xml:space="preserve">14 industry-specific committees </w:t>
            </w:r>
          </w:p>
        </w:tc>
        <w:tc>
          <w:tcPr>
            <w:tcW w:w="3020" w:type="dxa"/>
          </w:tcPr>
          <w:p w14:paraId="7B1DD237" w14:textId="77777777" w:rsidR="008920CA" w:rsidRDefault="00A42725" w:rsidP="00A42725">
            <w:pPr>
              <w:pStyle w:val="TableText"/>
            </w:pPr>
            <w:r>
              <w:t>No formal structure</w:t>
            </w:r>
          </w:p>
        </w:tc>
      </w:tr>
      <w:tr w:rsidR="008920CA" w14:paraId="60CA409A" w14:textId="77777777" w:rsidTr="00A42725">
        <w:tc>
          <w:tcPr>
            <w:tcW w:w="3020" w:type="dxa"/>
          </w:tcPr>
          <w:p w14:paraId="76D4D4FC" w14:textId="77777777" w:rsidR="008920CA" w:rsidRDefault="008920CA" w:rsidP="00A42725">
            <w:pPr>
              <w:pStyle w:val="TableText"/>
            </w:pPr>
            <w:r>
              <w:t>Incursion responses</w:t>
            </w:r>
          </w:p>
        </w:tc>
        <w:tc>
          <w:tcPr>
            <w:tcW w:w="3020" w:type="dxa"/>
          </w:tcPr>
          <w:p w14:paraId="5DFBCD11" w14:textId="77777777" w:rsidR="008920CA" w:rsidRDefault="00A42725" w:rsidP="00A42725">
            <w:pPr>
              <w:pStyle w:val="TableText"/>
            </w:pPr>
            <w:r>
              <w:t xml:space="preserve">Industry stakeholder participation </w:t>
            </w:r>
          </w:p>
        </w:tc>
        <w:tc>
          <w:tcPr>
            <w:tcW w:w="3020" w:type="dxa"/>
          </w:tcPr>
          <w:p w14:paraId="1FF6F964" w14:textId="77777777" w:rsidR="008920CA" w:rsidRDefault="00A42725" w:rsidP="00A42725">
            <w:pPr>
              <w:pStyle w:val="TableText"/>
            </w:pPr>
            <w:r>
              <w:t>No community involvement</w:t>
            </w:r>
          </w:p>
        </w:tc>
      </w:tr>
      <w:tr w:rsidR="008920CA" w14:paraId="66035AC6" w14:textId="77777777" w:rsidTr="00A42725">
        <w:tc>
          <w:tcPr>
            <w:tcW w:w="3020" w:type="dxa"/>
          </w:tcPr>
          <w:p w14:paraId="4A1D3487" w14:textId="77777777" w:rsidR="008920CA" w:rsidRDefault="008920CA" w:rsidP="00A42725">
            <w:pPr>
              <w:pStyle w:val="TableText"/>
            </w:pPr>
            <w:r>
              <w:t>Contingency planning</w:t>
            </w:r>
          </w:p>
        </w:tc>
        <w:tc>
          <w:tcPr>
            <w:tcW w:w="3020" w:type="dxa"/>
          </w:tcPr>
          <w:p w14:paraId="5D74FE0D" w14:textId="77777777" w:rsidR="008920CA" w:rsidRDefault="00A42725" w:rsidP="00A42725">
            <w:pPr>
              <w:pStyle w:val="TableText"/>
            </w:pPr>
            <w:r>
              <w:t>Industry membership of Plant Health Australia, Animal Health Australia</w:t>
            </w:r>
          </w:p>
        </w:tc>
        <w:tc>
          <w:tcPr>
            <w:tcW w:w="3020" w:type="dxa"/>
          </w:tcPr>
          <w:p w14:paraId="6C431ED9" w14:textId="77777777" w:rsidR="008920CA" w:rsidRDefault="00A42725" w:rsidP="00A42725">
            <w:pPr>
              <w:pStyle w:val="TableText"/>
            </w:pPr>
            <w:r>
              <w:t>No community involvement</w:t>
            </w:r>
          </w:p>
        </w:tc>
      </w:tr>
    </w:tbl>
    <w:p w14:paraId="16D5D19B" w14:textId="29C54C68" w:rsidR="001F0ACA" w:rsidRPr="00317654" w:rsidRDefault="001F0ACA" w:rsidP="00317654">
      <w:pPr>
        <w:pStyle w:val="FigureTableNoteSource"/>
      </w:pPr>
      <w:r w:rsidRPr="00317654">
        <w:t>*The Review Panel has not verified the</w:t>
      </w:r>
      <w:r w:rsidR="00247939">
        <w:t xml:space="preserve"> table elements</w:t>
      </w:r>
      <w:r w:rsidRPr="00317654">
        <w:t>.</w:t>
      </w:r>
    </w:p>
    <w:p w14:paraId="29BE4628" w14:textId="67974FC2" w:rsidR="008F5774" w:rsidRPr="00317654" w:rsidRDefault="00F85813" w:rsidP="00317654">
      <w:pPr>
        <w:pStyle w:val="FigureTableNoteSource"/>
      </w:pPr>
      <w:r w:rsidRPr="00317654">
        <w:t>Source: Invasive Species Council submission</w:t>
      </w:r>
      <w:r w:rsidR="00602B31" w:rsidRPr="00317654">
        <w:t>,</w:t>
      </w:r>
      <w:r w:rsidRPr="00317654">
        <w:t xml:space="preserve"> </w:t>
      </w:r>
      <w:r w:rsidR="00602B31" w:rsidRPr="00317654">
        <w:t>(</w:t>
      </w:r>
      <w:r w:rsidRPr="00317654">
        <w:t>p</w:t>
      </w:r>
      <w:r w:rsidR="00602B31" w:rsidRPr="00317654">
        <w:t>.</w:t>
      </w:r>
      <w:r w:rsidRPr="00317654">
        <w:t xml:space="preserve"> 27</w:t>
      </w:r>
      <w:r w:rsidR="00602B31" w:rsidRPr="00317654">
        <w:t>)</w:t>
      </w:r>
      <w:r w:rsidR="00647424">
        <w:t>.</w:t>
      </w:r>
    </w:p>
    <w:p w14:paraId="03963969" w14:textId="1D7A0802" w:rsidR="00870368" w:rsidRDefault="00870368" w:rsidP="00870368">
      <w:r>
        <w:t>NEBRA is highlighted as one of the key achievements under the IGAB. It is a government</w:t>
      </w:r>
      <w:r w:rsidR="004D10C7">
        <w:t>-</w:t>
      </w:r>
      <w:r>
        <w:t xml:space="preserve">only agreement that has been triggered on five </w:t>
      </w:r>
      <w:r w:rsidRPr="002A07C7">
        <w:t>occasions to date</w:t>
      </w:r>
      <w:r>
        <w:t>, primarily for tramp ants (</w:t>
      </w:r>
      <w:r w:rsidR="005D0558">
        <w:t>refer</w:t>
      </w:r>
      <w:r>
        <w:t xml:space="preserve"> </w:t>
      </w:r>
      <w:r w:rsidR="00602B31">
        <w:fldChar w:fldCharType="begin"/>
      </w:r>
      <w:r w:rsidR="00602B31">
        <w:instrText xml:space="preserve"> REF _Ref466967477 \h </w:instrText>
      </w:r>
      <w:r w:rsidR="00602B31">
        <w:fldChar w:fldCharType="separate"/>
      </w:r>
      <w:r w:rsidR="008303E2" w:rsidRPr="00375F10">
        <w:t xml:space="preserve">Table </w:t>
      </w:r>
      <w:r w:rsidR="008303E2">
        <w:rPr>
          <w:noProof/>
        </w:rPr>
        <w:t>3</w:t>
      </w:r>
      <w:r w:rsidR="00602B31">
        <w:fldChar w:fldCharType="end"/>
      </w:r>
      <w:r w:rsidR="00602B31">
        <w:t>)</w:t>
      </w:r>
      <w:r w:rsidR="00A512FB">
        <w:t>.</w:t>
      </w:r>
      <w:r>
        <w:t xml:space="preserve"> Environmental biosecurity stakeholders have questioned the workability of NEBRA stating th</w:t>
      </w:r>
      <w:r w:rsidR="00DD7DC3">
        <w:t xml:space="preserve">at it ‘sets the bar too high’. </w:t>
      </w:r>
      <w:r>
        <w:t>For example, the need for consensus from all governments to trigger a biosecurity incident response.</w:t>
      </w:r>
      <w:r w:rsidR="001D60E7">
        <w:t xml:space="preserve"> </w:t>
      </w:r>
      <w:r w:rsidR="001D60E7" w:rsidRPr="001D60E7">
        <w:t xml:space="preserve">Some stakeholders also highlighted that neither NEBRA </w:t>
      </w:r>
      <w:r w:rsidR="00A027F3">
        <w:t>n</w:t>
      </w:r>
      <w:r w:rsidR="001D60E7" w:rsidRPr="001D60E7">
        <w:t>or any other agreement will be able to address</w:t>
      </w:r>
      <w:r>
        <w:t xml:space="preserve"> airborne environmental pest incursions </w:t>
      </w:r>
      <w:r w:rsidR="001D60E7">
        <w:t>(</w:t>
      </w:r>
      <w:r>
        <w:t>such as rusts, and airborne insects</w:t>
      </w:r>
      <w:r w:rsidR="001D60E7">
        <w:t xml:space="preserve">) </w:t>
      </w:r>
      <w:r w:rsidR="001D60E7" w:rsidRPr="001D60E7">
        <w:t xml:space="preserve">or, incursions into marine and freshwater ecosystems, as these are rarely ever eradicable </w:t>
      </w:r>
      <w:r>
        <w:t>pest</w:t>
      </w:r>
      <w:r w:rsidR="001D60E7">
        <w:t>s</w:t>
      </w:r>
      <w:r>
        <w:t xml:space="preserve"> and disease</w:t>
      </w:r>
      <w:r w:rsidR="001D60E7">
        <w:t>s</w:t>
      </w:r>
      <w:r>
        <w:t>.</w:t>
      </w:r>
    </w:p>
    <w:p w14:paraId="3525328F" w14:textId="39D493E3" w:rsidR="00870368" w:rsidRDefault="00870368" w:rsidP="00870368">
      <w:r>
        <w:t xml:space="preserve">While these issues should be examined as part of the five-year review of NEBRA to be conducted in 2017, a fundamental driver of success is the level of commitment by </w:t>
      </w:r>
      <w:r w:rsidR="00457DE1">
        <w:t>Australian, s</w:t>
      </w:r>
      <w:r>
        <w:t xml:space="preserve">tate and </w:t>
      </w:r>
      <w:r w:rsidR="00457DE1">
        <w:t>t</w:t>
      </w:r>
      <w:r>
        <w:t xml:space="preserve">erritory </w:t>
      </w:r>
      <w:r w:rsidR="00457DE1">
        <w:t>g</w:t>
      </w:r>
      <w:r>
        <w:t>overnments to support financially, d</w:t>
      </w:r>
      <w:r w:rsidR="00317654">
        <w:t>ecisions agreed to under NEBRA.</w:t>
      </w:r>
    </w:p>
    <w:p w14:paraId="6F116160" w14:textId="3EB47EF6" w:rsidR="00A14048" w:rsidRDefault="00870368" w:rsidP="00870368">
      <w:r>
        <w:t xml:space="preserve">However, it </w:t>
      </w:r>
      <w:r w:rsidR="004D10C7">
        <w:t>is worth</w:t>
      </w:r>
      <w:r>
        <w:t xml:space="preserve"> not</w:t>
      </w:r>
      <w:r w:rsidR="004D10C7">
        <w:t>ing</w:t>
      </w:r>
      <w:r>
        <w:t xml:space="preserve"> that in the primary industry sectors</w:t>
      </w:r>
      <w:r w:rsidR="005C22EC">
        <w:t>,</w:t>
      </w:r>
      <w:r>
        <w:t xml:space="preserve"> the relevant industry commits funds, along with the Australian, state and territory governments</w:t>
      </w:r>
      <w:r w:rsidR="005C22EC">
        <w:t>,</w:t>
      </w:r>
      <w:r>
        <w:t xml:space="preserve"> to an agreed eradication program, in accord with the relevant deed. The relevant industry is financially exposed to the </w:t>
      </w:r>
      <w:r>
        <w:lastRenderedPageBreak/>
        <w:t xml:space="preserve">cost of a control program, and this in itself provides an additional </w:t>
      </w:r>
      <w:r w:rsidR="00BC654B">
        <w:t>external check</w:t>
      </w:r>
      <w:r>
        <w:t xml:space="preserve"> to ensur</w:t>
      </w:r>
      <w:r w:rsidR="00BC654B">
        <w:t>e a</w:t>
      </w:r>
      <w:r>
        <w:t xml:space="preserve"> prudent assessment and evaluation prior to committing</w:t>
      </w:r>
      <w:r w:rsidR="00BC654B">
        <w:t xml:space="preserve"> </w:t>
      </w:r>
      <w:r w:rsidR="00BC654B" w:rsidRPr="00457DE1">
        <w:t>substantial funds</w:t>
      </w:r>
      <w:r w:rsidRPr="00457DE1">
        <w:t xml:space="preserve"> to an eradication program. No </w:t>
      </w:r>
      <w:r w:rsidR="00BC654B" w:rsidRPr="00457DE1">
        <w:t>such external party</w:t>
      </w:r>
      <w:r w:rsidRPr="00457DE1">
        <w:t xml:space="preserve"> </w:t>
      </w:r>
      <w:r w:rsidR="00BC654B" w:rsidRPr="00457DE1">
        <w:t>with financial exposure e</w:t>
      </w:r>
      <w:r w:rsidRPr="00457DE1">
        <w:t>xists in</w:t>
      </w:r>
      <w:r>
        <w:t xml:space="preserve"> the context of environmental pests and diseases, and governments are rightly concerned </w:t>
      </w:r>
      <w:r w:rsidR="00457DE1">
        <w:t>about</w:t>
      </w:r>
      <w:r>
        <w:t xml:space="preserve"> the potential to inappropriately allocate taxpayer funds to eradication programs that have little or no chance of success.</w:t>
      </w:r>
    </w:p>
    <w:p w14:paraId="08D1A061" w14:textId="4DCD56FB" w:rsidR="00764EC3" w:rsidRPr="001413A1" w:rsidRDefault="00764EC3" w:rsidP="00317654">
      <w:pPr>
        <w:pStyle w:val="BoxHeading"/>
        <w:shd w:val="clear" w:color="auto" w:fill="D9D9D9" w:themeFill="background1" w:themeFillShade="D9"/>
        <w:rPr>
          <w:sz w:val="22"/>
        </w:rPr>
      </w:pPr>
      <w:bookmarkStart w:id="85" w:name="_Toc467231858"/>
      <w:bookmarkStart w:id="86" w:name="Draft_recommendation_7"/>
      <w:r w:rsidRPr="001413A1">
        <w:rPr>
          <w:sz w:val="22"/>
        </w:rPr>
        <w:t>Draft recommendation</w:t>
      </w:r>
      <w:bookmarkEnd w:id="85"/>
      <w:r w:rsidR="00927D82">
        <w:rPr>
          <w:sz w:val="22"/>
        </w:rPr>
        <w:t xml:space="preserve"> 7</w:t>
      </w:r>
      <w:bookmarkEnd w:id="86"/>
      <w:r w:rsidR="006E3660" w:rsidRPr="001413A1">
        <w:rPr>
          <w:noProof/>
          <w:sz w:val="22"/>
        </w:rPr>
        <w:t>:</w:t>
      </w:r>
    </w:p>
    <w:p w14:paraId="6D02707E" w14:textId="17EBA658" w:rsidR="00870368" w:rsidRPr="001413A1" w:rsidRDefault="00870368" w:rsidP="006E3660">
      <w:pPr>
        <w:pStyle w:val="BoxText"/>
        <w:shd w:val="clear" w:color="auto" w:fill="D9D9D9" w:themeFill="background1" w:themeFillShade="D9"/>
        <w:rPr>
          <w:sz w:val="22"/>
        </w:rPr>
      </w:pPr>
      <w:r w:rsidRPr="001413A1">
        <w:rPr>
          <w:sz w:val="22"/>
        </w:rPr>
        <w:t xml:space="preserve">IGAB2 should include an explicit commitment by jurisdictions to support financially, decisions agreed to under NEBRA, but look to put in place systems that ensure decisions are </w:t>
      </w:r>
      <w:r w:rsidR="00645C89">
        <w:rPr>
          <w:sz w:val="22"/>
        </w:rPr>
        <w:br/>
      </w:r>
      <w:r w:rsidRPr="001413A1">
        <w:rPr>
          <w:sz w:val="22"/>
        </w:rPr>
        <w:t>evidence</w:t>
      </w:r>
      <w:r w:rsidR="00034494">
        <w:rPr>
          <w:sz w:val="22"/>
        </w:rPr>
        <w:t>-</w:t>
      </w:r>
      <w:r w:rsidRPr="001413A1">
        <w:rPr>
          <w:sz w:val="22"/>
        </w:rPr>
        <w:t xml:space="preserve">based and transparent, in keeping with best risk management principles, and that give confidence to governments and the community that funds are being committed </w:t>
      </w:r>
      <w:r w:rsidR="00BC654B" w:rsidRPr="001413A1">
        <w:rPr>
          <w:sz w:val="22"/>
        </w:rPr>
        <w:t xml:space="preserve">wisely and </w:t>
      </w:r>
      <w:r w:rsidRPr="001413A1">
        <w:rPr>
          <w:sz w:val="22"/>
        </w:rPr>
        <w:t>appropriately.</w:t>
      </w:r>
    </w:p>
    <w:p w14:paraId="11A28803" w14:textId="77777777" w:rsidR="00934DB6" w:rsidRDefault="00934DB6" w:rsidP="00934DB6">
      <w:pPr>
        <w:pStyle w:val="Heading3"/>
      </w:pPr>
      <w:bookmarkStart w:id="87" w:name="_Toc469654739"/>
      <w:r>
        <w:t>Governing for environmental outcomes</w:t>
      </w:r>
      <w:bookmarkEnd w:id="87"/>
    </w:p>
    <w:p w14:paraId="2348A6D8" w14:textId="120A8342" w:rsidR="00F96DFA" w:rsidRDefault="00F96DFA" w:rsidP="00934DB6">
      <w:pPr>
        <w:rPr>
          <w:highlight w:val="yellow"/>
        </w:rPr>
      </w:pPr>
      <w:r w:rsidRPr="00F96DFA">
        <w:t xml:space="preserve">Responsibility for environmental biosecurity is shared across jurisdictions, government agencies and other systems participants. However, current governance structures and relationships built around ‘integrating’ the consideration </w:t>
      </w:r>
      <w:r w:rsidR="00E2413F">
        <w:t xml:space="preserve">of </w:t>
      </w:r>
      <w:r w:rsidRPr="00F96DFA">
        <w:t>environmental biosecurity risks are, despite best endeavours, not advancing the scope of work needed to identify and mitigate those risks</w:t>
      </w:r>
      <w:r w:rsidR="005D0558">
        <w:t>—</w:t>
      </w:r>
      <w:r w:rsidRPr="00F96DFA">
        <w:t>and current activities and outcomes are largely invisible to those external to the NBC.</w:t>
      </w:r>
    </w:p>
    <w:p w14:paraId="35357872" w14:textId="77777777" w:rsidR="00934DB6" w:rsidRDefault="00934DB6" w:rsidP="00934DB6">
      <w:pPr>
        <w:pStyle w:val="Heading4"/>
      </w:pPr>
      <w:r>
        <w:t>Clearly defined lead and support agencies</w:t>
      </w:r>
    </w:p>
    <w:p w14:paraId="5F5A8E4B" w14:textId="28812D6E" w:rsidR="00870368" w:rsidRDefault="00F96DFA" w:rsidP="00870368">
      <w:r w:rsidRPr="00F96DFA">
        <w:t xml:space="preserve">The national </w:t>
      </w:r>
      <w:r w:rsidR="00B2059B">
        <w:t xml:space="preserve">biosecurity system’s </w:t>
      </w:r>
      <w:r w:rsidRPr="00F96DFA">
        <w:t>goal</w:t>
      </w:r>
      <w:r w:rsidR="00B2059B">
        <w:t>s</w:t>
      </w:r>
      <w:r w:rsidRPr="00F96DFA">
        <w:t xml:space="preserve"> and objectives </w:t>
      </w:r>
      <w:r w:rsidR="00B2059B">
        <w:t>und</w:t>
      </w:r>
      <w:r w:rsidRPr="00F96DFA">
        <w:t>er the IGAB aim to minimise the harm that exotic pests and diseases can have on the Australian economy, environment and community.</w:t>
      </w:r>
      <w:r>
        <w:t xml:space="preserve"> </w:t>
      </w:r>
      <w:r w:rsidR="00870368">
        <w:t xml:space="preserve">While the IGAB is the fundamental agreement between governments for biosecurity, national cooperation is reinforced by other government agreements including the 1992 Intergovernmental Agreement on the Environment (IAE) and 1997 Heads of agreement on Commonwealth and </w:t>
      </w:r>
      <w:r w:rsidR="0031683C">
        <w:t>s</w:t>
      </w:r>
      <w:r w:rsidR="00870368">
        <w:t>tate</w:t>
      </w:r>
      <w:r w:rsidR="0031683C">
        <w:t xml:space="preserve"> and territory</w:t>
      </w:r>
      <w:r w:rsidR="00870368">
        <w:t xml:space="preserve"> roles and responsibilities for the </w:t>
      </w:r>
      <w:r w:rsidR="00870368" w:rsidRPr="00F52563">
        <w:t>Environment</w:t>
      </w:r>
      <w:r w:rsidR="00725568" w:rsidRPr="00F52563">
        <w:t xml:space="preserve"> (</w:t>
      </w:r>
      <w:hyperlink w:anchor="COAG_1997" w:history="1">
        <w:r w:rsidR="00725568" w:rsidRPr="00927D82">
          <w:rPr>
            <w:rStyle w:val="Hyperlink"/>
          </w:rPr>
          <w:t>COAG 1997</w:t>
        </w:r>
      </w:hyperlink>
      <w:r w:rsidR="00725568" w:rsidRPr="00F52563">
        <w:t>)</w:t>
      </w:r>
      <w:r w:rsidR="00870368" w:rsidRPr="00F52563">
        <w:t>, which respectively state:</w:t>
      </w:r>
    </w:p>
    <w:p w14:paraId="3011CE21" w14:textId="77777777" w:rsidR="00870368" w:rsidRPr="00010BDE" w:rsidRDefault="00870368" w:rsidP="00870368">
      <w:pPr>
        <w:pStyle w:val="Quote"/>
      </w:pPr>
      <w:r>
        <w:t xml:space="preserve">The parties recognise the threat posed to both the natural environment and agricultural and </w:t>
      </w:r>
      <w:r w:rsidR="00545C04">
        <w:t>agricultural</w:t>
      </w:r>
      <w:r>
        <w:t xml:space="preserve"> production by pest species of introduced plants and animals and acknowledge that a cooperative national approach to their control has the potential to produce savings from a reduction of duplication of existing effort. The parties agree that the Commonwealth’s role should be one of facilitating the coordinated </w:t>
      </w:r>
      <w:r w:rsidR="00BC654B">
        <w:t>S</w:t>
      </w:r>
      <w:r>
        <w:t xml:space="preserve">tate efforts within this national approach. Due to the nature of the threat, coordination of a national approach should be undertaken through the Australian and New Zealand Environment and Conservation Council, the </w:t>
      </w:r>
      <w:r w:rsidRPr="00010BDE">
        <w:t>Australian Agricultural Council and the Australian Fisheries Council (1992 IAE Schedule 9: Nature conservation)</w:t>
      </w:r>
    </w:p>
    <w:p w14:paraId="361D9DA2" w14:textId="77777777" w:rsidR="00870368" w:rsidRDefault="00870368" w:rsidP="00870368">
      <w:pPr>
        <w:pStyle w:val="Quote"/>
      </w:pPr>
      <w:r w:rsidRPr="00010BDE">
        <w:t>The Commonwealth interest involves co-operation with the States to avoid or minimise risks to the environment arising from the import and export of animal and plant material that could contain anything that could threaten Australia's native flora or fauna and their natural environment (1997 Heads of agreement: Attachment 1)</w:t>
      </w:r>
    </w:p>
    <w:p w14:paraId="29351AEE" w14:textId="2D777125" w:rsidR="00870368" w:rsidRDefault="00870368" w:rsidP="00870368">
      <w:r>
        <w:lastRenderedPageBreak/>
        <w:t>With the streamlining of COAG ministerial council arrangements in 2013</w:t>
      </w:r>
      <w:r w:rsidR="001D1204">
        <w:t>,</w:t>
      </w:r>
      <w:r>
        <w:t xml:space="preserve"> </w:t>
      </w:r>
      <w:r w:rsidR="005D0558">
        <w:t>g</w:t>
      </w:r>
      <w:r>
        <w:t xml:space="preserve">overnments jointly tasked the </w:t>
      </w:r>
      <w:r w:rsidRPr="000060EA">
        <w:t>Agriculture Ministers</w:t>
      </w:r>
      <w:r w:rsidR="0056569E" w:rsidRPr="000060EA">
        <w:t>’</w:t>
      </w:r>
      <w:r w:rsidRPr="000060EA">
        <w:t xml:space="preserve"> Forum</w:t>
      </w:r>
      <w:r>
        <w:t xml:space="preserve"> </w:t>
      </w:r>
      <w:r w:rsidR="000060EA">
        <w:t xml:space="preserve">(AGMIN) </w:t>
      </w:r>
      <w:r>
        <w:t xml:space="preserve">and its </w:t>
      </w:r>
      <w:r w:rsidR="000060EA">
        <w:t>sub-committee, the NBC</w:t>
      </w:r>
      <w:r w:rsidR="005C22EC">
        <w:t>,</w:t>
      </w:r>
      <w:r>
        <w:t xml:space="preserve"> with national coordination of biosecurity. This effectively assigned agriculture portfolios with lead responsibility for biosecurity in each of the jurisdictions and, to a significant extent, appears to have let environment agencies ‘off the hook’. At the </w:t>
      </w:r>
      <w:r w:rsidR="00B2059B">
        <w:t xml:space="preserve">Australian Government and </w:t>
      </w:r>
      <w:r>
        <w:t>state and territory levels, there have been varied levels of engagement by the environment agencies, and a willingness by them to let the agriculture</w:t>
      </w:r>
      <w:r w:rsidR="00B2059B">
        <w:t xml:space="preserve"> portfolio</w:t>
      </w:r>
      <w:r>
        <w:t xml:space="preserve"> have carriage </w:t>
      </w:r>
      <w:r w:rsidR="00317654">
        <w:t>of biosecurity.</w:t>
      </w:r>
    </w:p>
    <w:p w14:paraId="7556F672" w14:textId="5A3C60BF" w:rsidR="00870368" w:rsidRDefault="00870368" w:rsidP="00870368">
      <w:r>
        <w:t>While current arrangements can and do deal with environmental biosecurity matters</w:t>
      </w:r>
      <w:r w:rsidR="005C22EC">
        <w:t>,</w:t>
      </w:r>
      <w:r>
        <w:t xml:space="preserve"> this does not occur on a systematic</w:t>
      </w:r>
      <w:r w:rsidR="006F6771">
        <w:t xml:space="preserve"> or transparent</w:t>
      </w:r>
      <w:r>
        <w:t xml:space="preserve"> basis. The </w:t>
      </w:r>
      <w:r w:rsidR="00B2059B">
        <w:t xml:space="preserve">Review </w:t>
      </w:r>
      <w:r>
        <w:t>Panel believes environment agencies and stakeholders must be more engaged in the formulation of national policy positions on biosecurity, and to provide agriculture agencies with the technical ex</w:t>
      </w:r>
      <w:r w:rsidR="003A39B7">
        <w:t>pertise on environmental risks:</w:t>
      </w:r>
    </w:p>
    <w:p w14:paraId="24397963" w14:textId="6E7EECE4" w:rsidR="00870368" w:rsidRPr="00122213" w:rsidRDefault="00870368" w:rsidP="001D1204">
      <w:pPr>
        <w:pStyle w:val="Quote"/>
        <w:rPr>
          <w:color w:val="auto"/>
        </w:rPr>
      </w:pPr>
      <w:r w:rsidRPr="00122213">
        <w:rPr>
          <w:color w:val="auto"/>
        </w:rPr>
        <w:t>Environment need to identify the environmental biosecurity issues. Agriculture runs the machine but they need the knowledge, priorities and technical expertise to come in</w:t>
      </w:r>
      <w:r w:rsidR="00B2059B" w:rsidRPr="00122213">
        <w:rPr>
          <w:color w:val="auto"/>
        </w:rPr>
        <w:t xml:space="preserve"> (Australian Government)</w:t>
      </w:r>
    </w:p>
    <w:p w14:paraId="4BF29C1D" w14:textId="01E05A18" w:rsidR="00764EC3" w:rsidRDefault="00870368" w:rsidP="00870368">
      <w:r>
        <w:t>The Review</w:t>
      </w:r>
      <w:r w:rsidR="00B2059B">
        <w:t xml:space="preserve"> Panel</w:t>
      </w:r>
      <w:r>
        <w:t xml:space="preserve"> recommends that ‘lead’ biosecurity agencies (agriculture) should have formalised arrangements with their ‘support’ biosecurity agencies (environment, national parks, fisheries</w:t>
      </w:r>
      <w:r w:rsidR="006F6771">
        <w:t xml:space="preserve">, regional development, defence </w:t>
      </w:r>
      <w:r>
        <w:t>et</w:t>
      </w:r>
      <w:r w:rsidR="005D0558">
        <w:t xml:space="preserve"> </w:t>
      </w:r>
      <w:r>
        <w:t>c</w:t>
      </w:r>
      <w:r w:rsidR="005D0558">
        <w:t>etera</w:t>
      </w:r>
      <w:r>
        <w:t xml:space="preserve">). Some state agencies have formalised arrangements in place, but </w:t>
      </w:r>
      <w:r w:rsidR="00B2059B">
        <w:t xml:space="preserve">these </w:t>
      </w:r>
      <w:r>
        <w:t>are a minority. For example, the South Australian departments of Primary Industries and Regions South Australia (PIRSA) and Environment, Water and Natural Resources have a</w:t>
      </w:r>
      <w:r w:rsidR="00924B68">
        <w:t xml:space="preserve"> memorandum</w:t>
      </w:r>
      <w:r w:rsidR="001D1204">
        <w:t xml:space="preserve"> of understanding</w:t>
      </w:r>
      <w:r>
        <w:t xml:space="preserve"> </w:t>
      </w:r>
      <w:r w:rsidR="001D1204">
        <w:t>(</w:t>
      </w:r>
      <w:r w:rsidR="00924B68">
        <w:t>Mo</w:t>
      </w:r>
      <w:r>
        <w:t>U</w:t>
      </w:r>
      <w:r w:rsidR="001D1204">
        <w:t>)</w:t>
      </w:r>
      <w:r>
        <w:t xml:space="preserve"> to facilitate resource and information sharing, including staff. </w:t>
      </w:r>
      <w:r w:rsidR="001166B3">
        <w:t xml:space="preserve">For </w:t>
      </w:r>
      <w:r>
        <w:t xml:space="preserve">the </w:t>
      </w:r>
      <w:r w:rsidR="00B2059B">
        <w:t>Australian Government</w:t>
      </w:r>
      <w:r>
        <w:t>, MoU</w:t>
      </w:r>
      <w:r w:rsidR="001166B3">
        <w:t>s</w:t>
      </w:r>
      <w:r w:rsidR="001D1204">
        <w:t xml:space="preserve"> </w:t>
      </w:r>
      <w:r w:rsidR="001166B3">
        <w:t xml:space="preserve">have been signed between the then departments of Agriculture and Health, and Agriculture and </w:t>
      </w:r>
      <w:r w:rsidR="001166B3" w:rsidRPr="001166B3">
        <w:t>Customs and Border Protection</w:t>
      </w:r>
      <w:r>
        <w:t>. However, no such arrangement exists with environment.</w:t>
      </w:r>
    </w:p>
    <w:p w14:paraId="355BD383" w14:textId="633EF2F1" w:rsidR="00934DB6" w:rsidRPr="00916B4C" w:rsidRDefault="00764EC3" w:rsidP="00317654">
      <w:pPr>
        <w:pStyle w:val="BoxHeading"/>
        <w:shd w:val="clear" w:color="auto" w:fill="D9D9D9" w:themeFill="background1" w:themeFillShade="D9"/>
        <w:rPr>
          <w:sz w:val="22"/>
        </w:rPr>
      </w:pPr>
      <w:bookmarkStart w:id="88" w:name="_Toc467231859"/>
      <w:bookmarkStart w:id="89" w:name="Draft_recommendation_8"/>
      <w:r w:rsidRPr="00916B4C">
        <w:rPr>
          <w:sz w:val="22"/>
        </w:rPr>
        <w:t>Draft recommendation</w:t>
      </w:r>
      <w:bookmarkEnd w:id="88"/>
      <w:r w:rsidR="00927D82">
        <w:rPr>
          <w:sz w:val="22"/>
        </w:rPr>
        <w:t xml:space="preserve"> 8</w:t>
      </w:r>
      <w:bookmarkEnd w:id="89"/>
      <w:r w:rsidR="006E3660" w:rsidRPr="00916B4C">
        <w:rPr>
          <w:sz w:val="22"/>
        </w:rPr>
        <w:t>:</w:t>
      </w:r>
    </w:p>
    <w:p w14:paraId="1ECE0D4D" w14:textId="7F240E11" w:rsidR="0078618D" w:rsidRPr="00916B4C" w:rsidRDefault="0078618D" w:rsidP="006E3660">
      <w:pPr>
        <w:pStyle w:val="BoxText"/>
        <w:shd w:val="clear" w:color="auto" w:fill="D9D9D9" w:themeFill="background1" w:themeFillShade="D9"/>
        <w:rPr>
          <w:sz w:val="22"/>
          <w:highlight w:val="yellow"/>
        </w:rPr>
      </w:pPr>
      <w:r w:rsidRPr="00916B4C">
        <w:rPr>
          <w:sz w:val="22"/>
        </w:rPr>
        <w:t>Jurisdictions should institute formal arrangements between agriculture and environment agencies to define the objectives of cooperation, leading and support roles, information flow</w:t>
      </w:r>
      <w:r w:rsidR="00DD7DC3" w:rsidRPr="00916B4C">
        <w:rPr>
          <w:sz w:val="22"/>
        </w:rPr>
        <w:t xml:space="preserve">s, resources and deliverables. </w:t>
      </w:r>
      <w:r w:rsidRPr="00916B4C">
        <w:rPr>
          <w:sz w:val="22"/>
        </w:rPr>
        <w:t>The Australian Government agriculture and environment departments should enter into a Memorandum of Understanding, modelled on those with health and immigration agencies.</w:t>
      </w:r>
    </w:p>
    <w:p w14:paraId="61E10C1A" w14:textId="4EFDFD4D" w:rsidR="00934DB6" w:rsidRDefault="001D1204" w:rsidP="00934DB6">
      <w:r w:rsidRPr="001D1204">
        <w:t>The</w:t>
      </w:r>
      <w:r w:rsidR="00362ABC">
        <w:t xml:space="preserve"> Australian Government</w:t>
      </w:r>
      <w:r w:rsidRPr="001D1204">
        <w:t xml:space="preserve"> Department of Environment and Energy has responsibility for national threatened species under the </w:t>
      </w:r>
      <w:r w:rsidR="004D13BF">
        <w:t>EPBC Act</w:t>
      </w:r>
      <w:r w:rsidRPr="001D1204">
        <w:t xml:space="preserve">, and for meeting Australia’s international obligations, including controlling alien species, under the Convention on Biological Diversity. Any MoU between agriculture and environment should capture how biosecurity risks will be addressed through threat abatement planning processes under the EPBC Act and, </w:t>
      </w:r>
      <w:r w:rsidR="00687A37">
        <w:t xml:space="preserve">where these overlap with </w:t>
      </w:r>
      <w:r w:rsidRPr="00362ABC">
        <w:t>NEBRA or another response deed, how responsibilities are assigned.</w:t>
      </w:r>
    </w:p>
    <w:p w14:paraId="119A2614" w14:textId="77777777" w:rsidR="00934DB6" w:rsidRDefault="00934DB6" w:rsidP="001D1204">
      <w:pPr>
        <w:pStyle w:val="Heading3"/>
      </w:pPr>
      <w:bookmarkStart w:id="90" w:name="_Toc469654740"/>
      <w:r>
        <w:t>Institutionalising environmental biosecurity</w:t>
      </w:r>
      <w:bookmarkEnd w:id="90"/>
    </w:p>
    <w:p w14:paraId="61B37E91" w14:textId="59586417" w:rsidR="001D1204" w:rsidRDefault="001D1204" w:rsidP="001D1204">
      <w:r>
        <w:t xml:space="preserve">Agricultural agencies consider that national arrangements under the IGAB and </w:t>
      </w:r>
      <w:r w:rsidR="00362ABC">
        <w:t xml:space="preserve">the </w:t>
      </w:r>
      <w:r>
        <w:t>NBC can and do address biosecurity risks to the environment (</w:t>
      </w:r>
      <w:r w:rsidR="005D0558">
        <w:t>for example</w:t>
      </w:r>
      <w:r w:rsidR="00924B68">
        <w:t>,</w:t>
      </w:r>
      <w:r>
        <w:t xml:space="preserve"> RIFA)</w:t>
      </w:r>
      <w:r w:rsidR="00457DE1">
        <w:t>,</w:t>
      </w:r>
      <w:r>
        <w:t xml:space="preserve"> </w:t>
      </w:r>
      <w:r w:rsidR="00457DE1">
        <w:t>w</w:t>
      </w:r>
      <w:r>
        <w:t xml:space="preserve">hile environment lobby groups and </w:t>
      </w:r>
      <w:r w:rsidRPr="00457DE1">
        <w:t>organisations</w:t>
      </w:r>
      <w:r w:rsidR="00362ABC" w:rsidRPr="00457DE1">
        <w:t xml:space="preserve"> have</w:t>
      </w:r>
      <w:r w:rsidRPr="00457DE1">
        <w:t xml:space="preserve"> observe</w:t>
      </w:r>
      <w:r w:rsidR="00362ABC" w:rsidRPr="00457DE1">
        <w:t>d</w:t>
      </w:r>
      <w:r w:rsidRPr="00457DE1">
        <w:t xml:space="preserve"> the</w:t>
      </w:r>
      <w:r w:rsidR="00362ABC" w:rsidRPr="00457DE1">
        <w:t>se</w:t>
      </w:r>
      <w:r w:rsidRPr="00457DE1">
        <w:t xml:space="preserve"> arrangements</w:t>
      </w:r>
      <w:r>
        <w:t xml:space="preserve"> can skew the focus of the</w:t>
      </w:r>
      <w:r w:rsidR="00362ABC">
        <w:t xml:space="preserve"> biosecurity</w:t>
      </w:r>
      <w:r>
        <w:t xml:space="preserve"> system towards the production sector, where the cost/benefit is clearer. Both of </w:t>
      </w:r>
      <w:r>
        <w:lastRenderedPageBreak/>
        <w:t>these perspectives are valid, but evidence to date indicates that environmental biosecurity risks are yet to be fully defined</w:t>
      </w:r>
      <w:r w:rsidR="005C22EC">
        <w:t>,</w:t>
      </w:r>
      <w:r>
        <w:t xml:space="preserve"> and preparedness, surveillance and response a</w:t>
      </w:r>
      <w:r w:rsidR="00317654">
        <w:t>rrangements are not yet mature.</w:t>
      </w:r>
    </w:p>
    <w:p w14:paraId="6464BCD1" w14:textId="099BCD57" w:rsidR="006D76CD" w:rsidRDefault="001D1204" w:rsidP="001D1204">
      <w:r>
        <w:t xml:space="preserve">IGAB2 should address this through clearer commitments to environmental biosecurity throughout the agreement and focus on environmental biosecurity as part of a future NBC work program. The work to be done should centre on establishing an agreed national list of priority pests and diseases likely to impact the environment and progress systematically through the approach described </w:t>
      </w:r>
      <w:r w:rsidRPr="005D0558">
        <w:t xml:space="preserve">in </w:t>
      </w:r>
      <w:hyperlink w:anchor="_Building_the_national" w:history="1">
        <w:r w:rsidRPr="003575C1">
          <w:rPr>
            <w:rStyle w:val="Hyperlink"/>
          </w:rPr>
          <w:t>Chapter 5</w:t>
        </w:r>
      </w:hyperlink>
      <w:r w:rsidRPr="005D0558">
        <w:t>, to</w:t>
      </w:r>
      <w:r>
        <w:t xml:space="preserve"> ensure the capacity and capability to prepare and respond.</w:t>
      </w:r>
    </w:p>
    <w:p w14:paraId="5798E939" w14:textId="514C1168" w:rsidR="00764EC3" w:rsidRPr="00BA6A09" w:rsidRDefault="00764EC3" w:rsidP="00317654">
      <w:pPr>
        <w:pStyle w:val="BoxHeading"/>
        <w:shd w:val="clear" w:color="auto" w:fill="D9D9D9" w:themeFill="background1" w:themeFillShade="D9"/>
        <w:rPr>
          <w:sz w:val="22"/>
        </w:rPr>
      </w:pPr>
      <w:bookmarkStart w:id="91" w:name="_Toc467231860"/>
      <w:bookmarkStart w:id="92" w:name="Draft_recommendation_9"/>
      <w:r w:rsidRPr="00BA6A09">
        <w:rPr>
          <w:sz w:val="22"/>
        </w:rPr>
        <w:t>Draft recommendation</w:t>
      </w:r>
      <w:bookmarkEnd w:id="91"/>
      <w:r w:rsidR="00927D82">
        <w:rPr>
          <w:sz w:val="22"/>
        </w:rPr>
        <w:t xml:space="preserve"> 9</w:t>
      </w:r>
      <w:bookmarkEnd w:id="92"/>
      <w:r w:rsidR="006E3660" w:rsidRPr="00BA6A09">
        <w:rPr>
          <w:noProof/>
          <w:sz w:val="22"/>
        </w:rPr>
        <w:t>:</w:t>
      </w:r>
    </w:p>
    <w:p w14:paraId="2038196F" w14:textId="683AA388" w:rsidR="001D1204" w:rsidRPr="00BA6A09" w:rsidRDefault="001D1204" w:rsidP="006E3660">
      <w:pPr>
        <w:pStyle w:val="BoxText"/>
        <w:shd w:val="clear" w:color="auto" w:fill="D9D9D9" w:themeFill="background1" w:themeFillShade="D9"/>
        <w:rPr>
          <w:sz w:val="22"/>
        </w:rPr>
      </w:pPr>
      <w:r w:rsidRPr="00BA6A09">
        <w:rPr>
          <w:sz w:val="22"/>
        </w:rPr>
        <w:t>The IGAB</w:t>
      </w:r>
      <w:r w:rsidR="00362ABC" w:rsidRPr="00BA6A09">
        <w:rPr>
          <w:sz w:val="22"/>
        </w:rPr>
        <w:t xml:space="preserve"> </w:t>
      </w:r>
      <w:r w:rsidRPr="00BA6A09">
        <w:rPr>
          <w:sz w:val="22"/>
        </w:rPr>
        <w:t>should make clearer commitments to environmental biosecurity and include:</w:t>
      </w:r>
    </w:p>
    <w:p w14:paraId="2EA4189E" w14:textId="77777777" w:rsidR="001D1204" w:rsidRPr="00BA6A09" w:rsidRDefault="001D1204" w:rsidP="00147861">
      <w:pPr>
        <w:pStyle w:val="BoxTextBullet"/>
        <w:shd w:val="clear" w:color="auto" w:fill="D9D9D9" w:themeFill="background1" w:themeFillShade="D9"/>
        <w:rPr>
          <w:sz w:val="22"/>
        </w:rPr>
      </w:pPr>
      <w:r w:rsidRPr="00BA6A09">
        <w:rPr>
          <w:sz w:val="22"/>
        </w:rPr>
        <w:t>the principle of ecologically sustainable development</w:t>
      </w:r>
    </w:p>
    <w:p w14:paraId="68513652" w14:textId="77777777" w:rsidR="001D1204" w:rsidRPr="00BA6A09" w:rsidRDefault="008A28E9" w:rsidP="00147861">
      <w:pPr>
        <w:pStyle w:val="BoxTextBullet"/>
        <w:shd w:val="clear" w:color="auto" w:fill="D9D9D9" w:themeFill="background1" w:themeFillShade="D9"/>
        <w:rPr>
          <w:sz w:val="22"/>
        </w:rPr>
      </w:pPr>
      <w:r w:rsidRPr="00BA6A09">
        <w:rPr>
          <w:sz w:val="22"/>
        </w:rPr>
        <w:t xml:space="preserve">acknowledgement of </w:t>
      </w:r>
      <w:r w:rsidR="001D1204" w:rsidRPr="00BA6A09">
        <w:rPr>
          <w:sz w:val="22"/>
        </w:rPr>
        <w:t>Australia’s international responsibilities under the Convention on Biological Diversity</w:t>
      </w:r>
    </w:p>
    <w:p w14:paraId="0E9DC83A" w14:textId="77777777" w:rsidR="001D1204" w:rsidRPr="00BA6A09" w:rsidRDefault="001D1204" w:rsidP="00147861">
      <w:pPr>
        <w:pStyle w:val="BoxTextBullet"/>
        <w:shd w:val="clear" w:color="auto" w:fill="D9D9D9" w:themeFill="background1" w:themeFillShade="D9"/>
        <w:rPr>
          <w:sz w:val="22"/>
        </w:rPr>
      </w:pPr>
      <w:r w:rsidRPr="00BA6A09">
        <w:rPr>
          <w:sz w:val="22"/>
        </w:rPr>
        <w:t>a program of work to determine, plan and prepare for national priority pests and diseases impacting the environment and native species</w:t>
      </w:r>
    </w:p>
    <w:p w14:paraId="561703C7" w14:textId="77777777" w:rsidR="001D1204" w:rsidRPr="00BA6A09" w:rsidRDefault="001D1204" w:rsidP="00147861">
      <w:pPr>
        <w:pStyle w:val="BoxTextBullet"/>
        <w:shd w:val="clear" w:color="auto" w:fill="D9D9D9" w:themeFill="background1" w:themeFillShade="D9"/>
        <w:rPr>
          <w:sz w:val="22"/>
        </w:rPr>
      </w:pPr>
      <w:r w:rsidRPr="00BA6A09">
        <w:rPr>
          <w:sz w:val="22"/>
        </w:rPr>
        <w:t>a focus on environment and community as well as industry partnerships</w:t>
      </w:r>
    </w:p>
    <w:p w14:paraId="4BF8D7A9" w14:textId="3CC5ABC4" w:rsidR="001D1204" w:rsidRPr="00BA6A09" w:rsidRDefault="001D1204" w:rsidP="00147861">
      <w:pPr>
        <w:pStyle w:val="BoxTextBullet"/>
        <w:shd w:val="clear" w:color="auto" w:fill="D9D9D9" w:themeFill="background1" w:themeFillShade="D9"/>
        <w:rPr>
          <w:sz w:val="22"/>
        </w:rPr>
      </w:pPr>
      <w:r w:rsidRPr="00BA6A09">
        <w:rPr>
          <w:sz w:val="22"/>
        </w:rPr>
        <w:t xml:space="preserve">invertebrate transmitted diseases as well </w:t>
      </w:r>
      <w:r w:rsidR="00446B83">
        <w:rPr>
          <w:sz w:val="22"/>
        </w:rPr>
        <w:t xml:space="preserve">as </w:t>
      </w:r>
      <w:r w:rsidRPr="00BA6A09">
        <w:rPr>
          <w:sz w:val="22"/>
        </w:rPr>
        <w:t>animal diseases</w:t>
      </w:r>
      <w:r w:rsidR="006D6745" w:rsidRPr="00BA6A09">
        <w:rPr>
          <w:sz w:val="22"/>
        </w:rPr>
        <w:t>.</w:t>
      </w:r>
    </w:p>
    <w:p w14:paraId="24765D97" w14:textId="621A1B30" w:rsidR="001D60E7" w:rsidRDefault="001D60E7" w:rsidP="001D60E7">
      <w:r>
        <w:t xml:space="preserve">Such a program of work is unlikely to occur without dedicated senior leadership, resources and technical expertise. The Review Panel believes the Australian Government should establish the senior expert position of </w:t>
      </w:r>
      <w:r w:rsidRPr="00674F23">
        <w:t>Chief Environmental Biosecurity Officer</w:t>
      </w:r>
      <w:r>
        <w:t xml:space="preserve"> located within the environment department to perform a national leadership role similar to the Chief Veterinary Officer and Chief Plant Protection Officer in the national biosecurity system. As part of the duties of the position, the Chief Environmental Biosecurity Officer should report on the effectiveness of Australia’s environmental biosecurity arrangements and achievements. Reports should be made publicly available.</w:t>
      </w:r>
    </w:p>
    <w:p w14:paraId="6BF1329C" w14:textId="620ABB1D" w:rsidR="001D60E7" w:rsidRDefault="001D60E7" w:rsidP="001D60E7">
      <w:r>
        <w:t>A less</w:t>
      </w:r>
      <w:r w:rsidR="00A10B5E">
        <w:t>-</w:t>
      </w:r>
      <w:r>
        <w:t xml:space="preserve">preferred alternative is for the Chief Environmental Biosecurity Officer </w:t>
      </w:r>
      <w:r w:rsidR="00876088">
        <w:t xml:space="preserve">to be </w:t>
      </w:r>
      <w:r>
        <w:t>located within the agriculture department. Agriculture manages biosecurity risks arising through the movement of people, goods and conveyances, but needs the expertise of the environment department in environmental risk identification and management, including for the environmental outcomes of ‘natural pathway’ environmental pest introductions (for example, things that ‘blow in’). The Review Panel acknowledges the environment department will not be ‘expert’ in many areas but it has well</w:t>
      </w:r>
      <w:r w:rsidR="00A10B5E">
        <w:t>-</w:t>
      </w:r>
      <w:r>
        <w:t>developed networks of experts and would be more able than agriculture to identify and marshal these when needed.</w:t>
      </w:r>
    </w:p>
    <w:p w14:paraId="1F2F72D3" w14:textId="79690AD5" w:rsidR="00934DB6" w:rsidRDefault="001D60E7" w:rsidP="006D6745">
      <w:r w:rsidRPr="001D60E7">
        <w:t>The Chief Environmental Biosecurity Officer would lead work to prioritise national biosecurity risks impacting the environment (terrestrial, marine, aquatic) and social amenity (</w:t>
      </w:r>
      <w:hyperlink w:anchor="_Building_the_national" w:history="1">
        <w:r w:rsidRPr="00927D82">
          <w:rPr>
            <w:rStyle w:val="Hyperlink"/>
          </w:rPr>
          <w:t>Chapter 5</w:t>
        </w:r>
      </w:hyperlink>
      <w:r w:rsidRPr="001D60E7">
        <w:t xml:space="preserve">). </w:t>
      </w:r>
      <w:r w:rsidR="006D6745">
        <w:t>The</w:t>
      </w:r>
      <w:r>
        <w:t>y</w:t>
      </w:r>
      <w:r w:rsidR="006D6745">
        <w:t xml:space="preserve"> would be supported by and chair a new Environmental Biosecurity Committee, comprising government and external environment biosecurity experts. </w:t>
      </w:r>
      <w:r w:rsidR="00754790">
        <w:t>Membership of</w:t>
      </w:r>
      <w:r w:rsidR="006D6745">
        <w:t xml:space="preserve"> this </w:t>
      </w:r>
      <w:r w:rsidR="00754790">
        <w:t>committee</w:t>
      </w:r>
      <w:r w:rsidR="006D6745">
        <w:t xml:space="preserve"> would also </w:t>
      </w:r>
      <w:r w:rsidR="00754790">
        <w:t>include</w:t>
      </w:r>
      <w:r w:rsidR="006D6745">
        <w:t xml:space="preserve"> appropriate </w:t>
      </w:r>
      <w:r w:rsidR="00924B68" w:rsidRPr="00924B68">
        <w:t>representatives from both the animal and plant sectoral committees of the NBC</w:t>
      </w:r>
      <w:r w:rsidR="006D6745">
        <w:t xml:space="preserve">. </w:t>
      </w:r>
      <w:r w:rsidRPr="001D60E7">
        <w:t>Once its work on national priority pests and diseases is completed, the future role of the Committee could then be reviewed</w:t>
      </w:r>
      <w:r>
        <w:t>.</w:t>
      </w:r>
      <w:r w:rsidRPr="001D60E7">
        <w:t xml:space="preserve"> </w:t>
      </w:r>
      <w:r w:rsidR="006D6745">
        <w:t xml:space="preserve">Replicating the Chief Environmental </w:t>
      </w:r>
      <w:r w:rsidR="006D6745">
        <w:lastRenderedPageBreak/>
        <w:t>Biosecurity Officer at the state/territory level is not intended, nor deemed necessar</w:t>
      </w:r>
      <w:r w:rsidR="00317654">
        <w:t>y under these new arrangements.</w:t>
      </w:r>
    </w:p>
    <w:p w14:paraId="7A54CEB5" w14:textId="19C9E0EB" w:rsidR="00764EC3" w:rsidRPr="00BA6A09" w:rsidRDefault="00764EC3" w:rsidP="00317654">
      <w:pPr>
        <w:pStyle w:val="BoxHeading"/>
        <w:shd w:val="clear" w:color="auto" w:fill="D9D9D9" w:themeFill="background1" w:themeFillShade="D9"/>
        <w:rPr>
          <w:sz w:val="22"/>
        </w:rPr>
      </w:pPr>
      <w:bookmarkStart w:id="93" w:name="_Toc467231861"/>
      <w:bookmarkStart w:id="94" w:name="Draft_recommendation_10"/>
      <w:r w:rsidRPr="00BA6A09">
        <w:rPr>
          <w:sz w:val="22"/>
        </w:rPr>
        <w:t>Draft recommendation</w:t>
      </w:r>
      <w:bookmarkEnd w:id="93"/>
      <w:r w:rsidR="00927D82">
        <w:rPr>
          <w:sz w:val="22"/>
        </w:rPr>
        <w:t xml:space="preserve"> 10</w:t>
      </w:r>
      <w:bookmarkEnd w:id="94"/>
      <w:r w:rsidR="008148D2" w:rsidRPr="00BA6A09">
        <w:rPr>
          <w:noProof/>
          <w:sz w:val="22"/>
        </w:rPr>
        <w:t>:</w:t>
      </w:r>
    </w:p>
    <w:p w14:paraId="228AEF97" w14:textId="548CFB8B" w:rsidR="0078618D" w:rsidRPr="00BA6A09" w:rsidRDefault="0078618D" w:rsidP="00317654">
      <w:pPr>
        <w:pStyle w:val="BoxText"/>
        <w:shd w:val="clear" w:color="auto" w:fill="D9D9D9" w:themeFill="background1" w:themeFillShade="D9"/>
        <w:rPr>
          <w:sz w:val="22"/>
        </w:rPr>
      </w:pPr>
      <w:r w:rsidRPr="00BA6A09">
        <w:rPr>
          <w:sz w:val="22"/>
        </w:rPr>
        <w:t>The Australian Government should establish the senior, expert position of</w:t>
      </w:r>
      <w:r w:rsidRPr="00BA6A09">
        <w:rPr>
          <w:i/>
          <w:sz w:val="22"/>
        </w:rPr>
        <w:t xml:space="preserve"> </w:t>
      </w:r>
      <w:r w:rsidRPr="00BA6A09">
        <w:rPr>
          <w:sz w:val="22"/>
        </w:rPr>
        <w:t>Chief Environmental Biosecurity Officer within the environment department. A less preferred option is to house the position in the agriculture department. The position should report on the effectiveness of Australia’s environmental biosecurity arrangements and achievements. Reports should be made publicly available.</w:t>
      </w:r>
    </w:p>
    <w:p w14:paraId="471634D1" w14:textId="4613809F" w:rsidR="005F2E75" w:rsidRPr="00BA6A09" w:rsidRDefault="00764EC3" w:rsidP="00317654">
      <w:pPr>
        <w:pStyle w:val="BoxHeading"/>
        <w:shd w:val="clear" w:color="auto" w:fill="D9D9D9" w:themeFill="background1" w:themeFillShade="D9"/>
        <w:rPr>
          <w:sz w:val="22"/>
        </w:rPr>
      </w:pPr>
      <w:bookmarkStart w:id="95" w:name="_Toc467231862"/>
      <w:bookmarkStart w:id="96" w:name="Draft_recommendation_11"/>
      <w:r w:rsidRPr="00BA6A09">
        <w:rPr>
          <w:sz w:val="22"/>
        </w:rPr>
        <w:t>Draft recommendation</w:t>
      </w:r>
      <w:bookmarkEnd w:id="95"/>
      <w:r w:rsidR="00927D82">
        <w:rPr>
          <w:sz w:val="22"/>
        </w:rPr>
        <w:t xml:space="preserve"> 11</w:t>
      </w:r>
      <w:bookmarkEnd w:id="96"/>
      <w:r w:rsidR="008148D2" w:rsidRPr="00BA6A09">
        <w:rPr>
          <w:noProof/>
          <w:sz w:val="22"/>
        </w:rPr>
        <w:t>:</w:t>
      </w:r>
    </w:p>
    <w:p w14:paraId="39F52246" w14:textId="6F3330E9" w:rsidR="00764EC3" w:rsidRPr="00BA6A09" w:rsidRDefault="00D330F0" w:rsidP="008148D2">
      <w:pPr>
        <w:pStyle w:val="BoxText"/>
        <w:shd w:val="clear" w:color="auto" w:fill="D9D9D9" w:themeFill="background1" w:themeFillShade="D9"/>
        <w:rPr>
          <w:sz w:val="22"/>
        </w:rPr>
      </w:pPr>
      <w:r w:rsidRPr="00BA6A09">
        <w:rPr>
          <w:sz w:val="22"/>
        </w:rPr>
        <w:t xml:space="preserve">The </w:t>
      </w:r>
      <w:r w:rsidR="00764EC3" w:rsidRPr="00BA6A09">
        <w:rPr>
          <w:sz w:val="22"/>
        </w:rPr>
        <w:t>NBC should establish and resource a new Environmental Biosecurity Committee</w:t>
      </w:r>
      <w:r w:rsidR="003D762C" w:rsidRPr="00BA6A09">
        <w:rPr>
          <w:sz w:val="22"/>
        </w:rPr>
        <w:t xml:space="preserve"> (EBC)</w:t>
      </w:r>
      <w:r w:rsidR="00764EC3" w:rsidRPr="00BA6A09">
        <w:rPr>
          <w:sz w:val="22"/>
        </w:rPr>
        <w:t>, comprising government and external environment biosecurity experts and representatives from</w:t>
      </w:r>
      <w:r w:rsidR="00B03979" w:rsidRPr="00BA6A09">
        <w:rPr>
          <w:sz w:val="22"/>
        </w:rPr>
        <w:t xml:space="preserve"> both</w:t>
      </w:r>
      <w:r w:rsidR="00764EC3" w:rsidRPr="00BA6A09">
        <w:rPr>
          <w:sz w:val="22"/>
        </w:rPr>
        <w:t xml:space="preserve"> </w:t>
      </w:r>
      <w:r w:rsidR="00B03979" w:rsidRPr="00BA6A09">
        <w:rPr>
          <w:sz w:val="22"/>
        </w:rPr>
        <w:t>the animal and plant sectoral committees of the NBC</w:t>
      </w:r>
      <w:r w:rsidR="00764EC3" w:rsidRPr="00BA6A09">
        <w:rPr>
          <w:sz w:val="22"/>
        </w:rPr>
        <w:t>, to support the role of the Chief Environmental Biosecurity Officer.</w:t>
      </w:r>
      <w:r w:rsidR="003D762C" w:rsidRPr="00BA6A09">
        <w:rPr>
          <w:sz w:val="22"/>
        </w:rPr>
        <w:t xml:space="preserve"> The role of the EBC should be reviewed following its work to prioritise national biosecurity risks impacting the environment.</w:t>
      </w:r>
    </w:p>
    <w:p w14:paraId="0C30A3EF" w14:textId="6F29B297" w:rsidR="006D6745" w:rsidRDefault="006D6745" w:rsidP="006D6745">
      <w:r>
        <w:t>Consideration also needs to be given to how conservation and other community groups (</w:t>
      </w:r>
      <w:r w:rsidR="005D0558">
        <w:t>for example,</w:t>
      </w:r>
      <w:r>
        <w:t xml:space="preserve"> natural resource management and expert non-government representation) might best input to this work. In its submission, </w:t>
      </w:r>
      <w:r w:rsidR="0028518A">
        <w:t xml:space="preserve">the </w:t>
      </w:r>
      <w:r w:rsidR="00233CE3" w:rsidRPr="00233CE3">
        <w:t>Wildlife Preservation Society of Queensland</w:t>
      </w:r>
      <w:r>
        <w:t xml:space="preserve"> rightly points out that community organisations, while resource poor, are willing agents of environmental biosecurity if given such a role</w:t>
      </w:r>
      <w:r w:rsidR="00233CE3">
        <w:t xml:space="preserve"> (p. 3)</w:t>
      </w:r>
      <w:r>
        <w:t xml:space="preserve">. While conservation </w:t>
      </w:r>
      <w:r w:rsidR="00362ABC">
        <w:t xml:space="preserve">non-government </w:t>
      </w:r>
      <w:r w:rsidR="00362ABC" w:rsidRPr="00D87ED9">
        <w:t>organisations (N</w:t>
      </w:r>
      <w:r w:rsidRPr="00D87ED9">
        <w:t>GOs</w:t>
      </w:r>
      <w:r w:rsidR="00362ABC" w:rsidRPr="00D87ED9">
        <w:t>)</w:t>
      </w:r>
      <w:r w:rsidRPr="00D87ED9">
        <w:t xml:space="preserve"> are many and varied, there are a number</w:t>
      </w:r>
      <w:r w:rsidR="00BC654B" w:rsidRPr="00D87ED9">
        <w:t xml:space="preserve"> of</w:t>
      </w:r>
      <w:r w:rsidRPr="00D87ED9">
        <w:t xml:space="preserve"> umbrella organisations (</w:t>
      </w:r>
      <w:r w:rsidR="00667008" w:rsidRPr="00D87ED9">
        <w:t>for example,</w:t>
      </w:r>
      <w:r w:rsidRPr="00D87ED9">
        <w:t xml:space="preserve"> signatories to the Invasive Species</w:t>
      </w:r>
      <w:r>
        <w:t xml:space="preserve"> Council submission) that could lend knowledge and expertise. Wildlife</w:t>
      </w:r>
      <w:r w:rsidR="00362ABC">
        <w:t xml:space="preserve"> Health</w:t>
      </w:r>
      <w:r>
        <w:t xml:space="preserve"> Australia appears to be a good model where the government and community through donations contribute to its work. In </w:t>
      </w:r>
      <w:hyperlink w:anchor="_Strengthening_Governance" w:history="1">
        <w:r w:rsidRPr="00DE6C31">
          <w:rPr>
            <w:rStyle w:val="Hyperlink"/>
          </w:rPr>
          <w:t>Chapter 7</w:t>
        </w:r>
      </w:hyperlink>
      <w:r>
        <w:t xml:space="preserve">, the </w:t>
      </w:r>
      <w:r w:rsidR="00362ABC">
        <w:t>Review Panel</w:t>
      </w:r>
      <w:r>
        <w:t xml:space="preserve"> has </w:t>
      </w:r>
      <w:r w:rsidR="0081413B">
        <w:t>proposed a new NBC b</w:t>
      </w:r>
      <w:r w:rsidR="00674F23">
        <w:t>iosecurity s</w:t>
      </w:r>
      <w:r>
        <w:t xml:space="preserve">takeholder </w:t>
      </w:r>
      <w:r w:rsidR="00674F23">
        <w:t>a</w:t>
      </w:r>
      <w:r>
        <w:t xml:space="preserve">dvisory </w:t>
      </w:r>
      <w:r w:rsidR="00674F23">
        <w:t>c</w:t>
      </w:r>
      <w:r>
        <w:t>ommittee</w:t>
      </w:r>
      <w:r w:rsidR="00674F23">
        <w:t>, to include</w:t>
      </w:r>
      <w:r>
        <w:t xml:space="preserve"> environment </w:t>
      </w:r>
      <w:r w:rsidR="00A10B5E">
        <w:t xml:space="preserve">and </w:t>
      </w:r>
      <w:r>
        <w:t>community representatives.</w:t>
      </w:r>
    </w:p>
    <w:p w14:paraId="410DCCC2" w14:textId="092B0DB6" w:rsidR="00934DB6" w:rsidRDefault="006D6745" w:rsidP="006D6745">
      <w:r>
        <w:t xml:space="preserve">To complement these arrangements greater clarity around the roles of AHA and PHA in environmental biosecurity is needed. AHA and PHA are national coordinators of the government-industry partnerships for animal and plant biosecurity. They also carry some responsibility for environment issues where production-based pests and diseases also impact the environment and native species. However, the </w:t>
      </w:r>
      <w:r w:rsidR="00362ABC">
        <w:t>Panel</w:t>
      </w:r>
      <w:r>
        <w:t xml:space="preserve"> notes the constitutions and strategic plans of the companies are not enablers of environmental biosecurity, and there is scope to build board and company expertise in this area. Further, of AHA’s 32 members, only two associate member organisations (Wildlife Health Australia and Zoo and Aquarium Association), have environmental affiliations. Of PHA’s 58 members, there are none with envir</w:t>
      </w:r>
      <w:r w:rsidR="00CF2E72">
        <w:t>onmental biosecurity expertise.</w:t>
      </w:r>
    </w:p>
    <w:p w14:paraId="49750C83" w14:textId="631EDF6C" w:rsidR="00764EC3" w:rsidRPr="00BA6A09" w:rsidRDefault="00764EC3" w:rsidP="00CF2E72">
      <w:pPr>
        <w:pStyle w:val="BoxHeading"/>
        <w:shd w:val="clear" w:color="auto" w:fill="D9D9D9" w:themeFill="background1" w:themeFillShade="D9"/>
        <w:rPr>
          <w:sz w:val="22"/>
        </w:rPr>
      </w:pPr>
      <w:bookmarkStart w:id="97" w:name="_Toc467231863"/>
      <w:bookmarkStart w:id="98" w:name="Draft_recommendation_12"/>
      <w:r w:rsidRPr="00BA6A09">
        <w:rPr>
          <w:sz w:val="22"/>
        </w:rPr>
        <w:t>Draft recommendation</w:t>
      </w:r>
      <w:bookmarkEnd w:id="97"/>
      <w:r w:rsidR="00927D82">
        <w:rPr>
          <w:sz w:val="22"/>
        </w:rPr>
        <w:t xml:space="preserve"> 12</w:t>
      </w:r>
      <w:bookmarkEnd w:id="98"/>
      <w:r w:rsidR="008148D2" w:rsidRPr="00BA6A09">
        <w:rPr>
          <w:noProof/>
          <w:sz w:val="22"/>
        </w:rPr>
        <w:t>:</w:t>
      </w:r>
    </w:p>
    <w:p w14:paraId="2A6DD5DB" w14:textId="77777777" w:rsidR="00934DB6" w:rsidRDefault="00597662" w:rsidP="008148D2">
      <w:pPr>
        <w:pStyle w:val="BoxText"/>
        <w:shd w:val="clear" w:color="auto" w:fill="D9D9D9" w:themeFill="background1" w:themeFillShade="D9"/>
        <w:rPr>
          <w:sz w:val="22"/>
        </w:rPr>
      </w:pPr>
      <w:r w:rsidRPr="00BA6A09">
        <w:rPr>
          <w:sz w:val="22"/>
        </w:rPr>
        <w:t>G</w:t>
      </w:r>
      <w:r w:rsidR="00934DB6" w:rsidRPr="00BA6A09">
        <w:rPr>
          <w:sz w:val="22"/>
        </w:rPr>
        <w:t>reater and explicit roles</w:t>
      </w:r>
      <w:r w:rsidR="0078360E" w:rsidRPr="00BA6A09">
        <w:rPr>
          <w:sz w:val="22"/>
        </w:rPr>
        <w:t xml:space="preserve"> should be developed</w:t>
      </w:r>
      <w:r w:rsidR="00934DB6" w:rsidRPr="00BA6A09">
        <w:rPr>
          <w:sz w:val="22"/>
        </w:rPr>
        <w:t xml:space="preserve"> for AHA and PHA in environmental biosecurity, instituted through amended constitutions and expanded board expertise.</w:t>
      </w:r>
    </w:p>
    <w:p w14:paraId="0D683590" w14:textId="77777777" w:rsidR="00876088" w:rsidRDefault="00876088" w:rsidP="00876088">
      <w:r>
        <w:t>To provide clearer evidence of the IGAB’s commitment to environmental biosecurity, the inclusion of the precautionary principle in the IGAB was suggested in submissions. This issue—</w:t>
      </w:r>
      <w:r>
        <w:lastRenderedPageBreak/>
        <w:t>the application of the precautionary principle, as spelt out in the EPBC Act, when considering biosecurity risks—was also reviewed by the 2008 Beale Review. The Beale Review Panel concluded that, while it was sympathetic to the idea, the precautionary principle, as spelt out in the EPBC Act, was “unlikely to be consistent with the requirements of the SPS Agreement” and its application might lead to Australia being in breach of its obligations under the Agreement, leaving Australia open to challenge under the WTO dispute settlement procedures. This panel sees no compelling reason to differ.</w:t>
      </w:r>
    </w:p>
    <w:p w14:paraId="52B20B59" w14:textId="77777777" w:rsidR="00561771" w:rsidRPr="007668BC" w:rsidRDefault="00561771" w:rsidP="00561771">
      <w:pPr>
        <w:pStyle w:val="Heading2"/>
      </w:pPr>
      <w:bookmarkStart w:id="99" w:name="_Building_the_national"/>
      <w:bookmarkStart w:id="100" w:name="_Toc469654741"/>
      <w:bookmarkEnd w:id="99"/>
      <w:r w:rsidRPr="007668BC">
        <w:lastRenderedPageBreak/>
        <w:t>Building the national system: pest by pest, disease by disease</w:t>
      </w:r>
      <w:bookmarkEnd w:id="100"/>
    </w:p>
    <w:p w14:paraId="136A388A" w14:textId="77777777" w:rsidR="00934DB6" w:rsidRPr="00F73F00" w:rsidRDefault="00934DB6" w:rsidP="00934DB6">
      <w:pPr>
        <w:pStyle w:val="BoxHeading"/>
        <w:rPr>
          <w:sz w:val="22"/>
          <w:lang w:eastAsia="ja-JP"/>
        </w:rPr>
      </w:pPr>
      <w:r w:rsidRPr="00F73F00">
        <w:rPr>
          <w:sz w:val="22"/>
          <w:lang w:eastAsia="ja-JP"/>
        </w:rPr>
        <w:t>Key Points</w:t>
      </w:r>
    </w:p>
    <w:p w14:paraId="6D07CC7D" w14:textId="77777777" w:rsidR="00AE3D59" w:rsidRPr="00F73F00" w:rsidRDefault="00AE3D59" w:rsidP="00AE3D59">
      <w:pPr>
        <w:pStyle w:val="BoxTextBullet"/>
        <w:rPr>
          <w:sz w:val="22"/>
          <w:lang w:eastAsia="ja-JP"/>
        </w:rPr>
      </w:pPr>
      <w:r w:rsidRPr="00F73F00">
        <w:rPr>
          <w:sz w:val="22"/>
          <w:lang w:eastAsia="ja-JP"/>
        </w:rPr>
        <w:t>In an environment of constrained and finite resources there is a fundamental need to ensure investment in biosecurity targets priority risks with actions, to yield the greatest return possible.</w:t>
      </w:r>
    </w:p>
    <w:p w14:paraId="5F3CC6C1" w14:textId="77777777" w:rsidR="00AE3D59" w:rsidRPr="00F73F00" w:rsidRDefault="00AE3D59" w:rsidP="00AE3D59">
      <w:pPr>
        <w:pStyle w:val="BoxTextBullet"/>
        <w:rPr>
          <w:sz w:val="22"/>
          <w:lang w:eastAsia="ja-JP"/>
        </w:rPr>
      </w:pPr>
      <w:r w:rsidRPr="00F73F00">
        <w:rPr>
          <w:sz w:val="22"/>
          <w:lang w:eastAsia="ja-JP"/>
        </w:rPr>
        <w:t>Risk identification and assessment requires ongoing attention.</w:t>
      </w:r>
    </w:p>
    <w:p w14:paraId="39A1B0F5" w14:textId="77777777" w:rsidR="00AE3D59" w:rsidRPr="00F73F00" w:rsidRDefault="00AE3D59" w:rsidP="00AE3D59">
      <w:pPr>
        <w:pStyle w:val="BoxTextBullet"/>
        <w:rPr>
          <w:sz w:val="22"/>
          <w:lang w:eastAsia="ja-JP"/>
        </w:rPr>
      </w:pPr>
      <w:r w:rsidRPr="00F73F00">
        <w:rPr>
          <w:sz w:val="22"/>
          <w:lang w:eastAsia="ja-JP"/>
        </w:rPr>
        <w:t xml:space="preserve">Some biosecurity risks and pathways are well known but there are significant knowledge gaps, especially </w:t>
      </w:r>
      <w:r w:rsidR="004D13BF" w:rsidRPr="00F73F00">
        <w:rPr>
          <w:sz w:val="22"/>
          <w:lang w:eastAsia="ja-JP"/>
        </w:rPr>
        <w:t>for</w:t>
      </w:r>
      <w:r w:rsidRPr="00F73F00">
        <w:rPr>
          <w:sz w:val="22"/>
          <w:lang w:eastAsia="ja-JP"/>
        </w:rPr>
        <w:t xml:space="preserve"> non-traditional risks and pathways.</w:t>
      </w:r>
    </w:p>
    <w:p w14:paraId="0B0E6E7D" w14:textId="2731B088" w:rsidR="00AE3D59" w:rsidRPr="00F73F00" w:rsidRDefault="00AE3D59" w:rsidP="00AE3D59">
      <w:pPr>
        <w:pStyle w:val="BoxTextBullet"/>
        <w:rPr>
          <w:sz w:val="22"/>
          <w:lang w:eastAsia="ja-JP"/>
        </w:rPr>
      </w:pPr>
      <w:r w:rsidRPr="00F73F00">
        <w:rPr>
          <w:sz w:val="22"/>
          <w:lang w:eastAsia="ja-JP"/>
        </w:rPr>
        <w:t>Australia has a mixture of biosecurity strategies and policies that have been tailor-made for each jurisdiction, taxon and/or agency. There should be an agreed national approach for prioritising exotic pest</w:t>
      </w:r>
      <w:r w:rsidR="0065622F" w:rsidRPr="00F73F00">
        <w:rPr>
          <w:sz w:val="22"/>
          <w:lang w:eastAsia="ja-JP"/>
        </w:rPr>
        <w:t xml:space="preserve"> and disease risks—</w:t>
      </w:r>
      <w:r w:rsidRPr="00F73F00">
        <w:rPr>
          <w:sz w:val="22"/>
          <w:lang w:eastAsia="ja-JP"/>
        </w:rPr>
        <w:t>across the taxa</w:t>
      </w:r>
      <w:r w:rsidR="0065622F" w:rsidRPr="00F73F00">
        <w:rPr>
          <w:sz w:val="22"/>
          <w:lang w:eastAsia="ja-JP"/>
        </w:rPr>
        <w:t>—</w:t>
      </w:r>
      <w:r w:rsidRPr="00F73F00">
        <w:rPr>
          <w:sz w:val="22"/>
          <w:lang w:eastAsia="ja-JP"/>
        </w:rPr>
        <w:t>to guide governments' investments.</w:t>
      </w:r>
    </w:p>
    <w:p w14:paraId="43B16FD3" w14:textId="3EA542EC" w:rsidR="00AE3D59" w:rsidRDefault="00AE3D59" w:rsidP="00AE3D59">
      <w:pPr>
        <w:rPr>
          <w:lang w:eastAsia="ja-JP"/>
        </w:rPr>
      </w:pPr>
      <w:r>
        <w:rPr>
          <w:lang w:eastAsia="ja-JP"/>
        </w:rPr>
        <w:t xml:space="preserve">Australia’s biosecurity system is a complex machine. There are many different players, many activities in which they participate, and a range of biosecurity risks to be managed. There is an elaborate web of </w:t>
      </w:r>
      <w:r w:rsidRPr="00457DE1">
        <w:rPr>
          <w:lang w:eastAsia="ja-JP"/>
        </w:rPr>
        <w:t xml:space="preserve">interrelationships which </w:t>
      </w:r>
      <w:r w:rsidR="00457DE1" w:rsidRPr="00457DE1">
        <w:rPr>
          <w:lang w:eastAsia="ja-JP"/>
        </w:rPr>
        <w:t>is</w:t>
      </w:r>
      <w:r w:rsidRPr="00457DE1">
        <w:rPr>
          <w:lang w:eastAsia="ja-JP"/>
        </w:rPr>
        <w:t xml:space="preserve"> difficult to</w:t>
      </w:r>
      <w:r>
        <w:rPr>
          <w:lang w:eastAsia="ja-JP"/>
        </w:rPr>
        <w:t xml:space="preserve"> understand and navigate. The complexity of the</w:t>
      </w:r>
      <w:r w:rsidR="00EB1504">
        <w:rPr>
          <w:lang w:eastAsia="ja-JP"/>
        </w:rPr>
        <w:t xml:space="preserve"> n</w:t>
      </w:r>
      <w:r w:rsidR="004D13BF">
        <w:rPr>
          <w:lang w:eastAsia="ja-JP"/>
        </w:rPr>
        <w:t>ational biosecurity</w:t>
      </w:r>
      <w:r w:rsidR="00AD5BA2">
        <w:rPr>
          <w:lang w:eastAsia="ja-JP"/>
        </w:rPr>
        <w:t xml:space="preserve"> system is unlikely to lesse</w:t>
      </w:r>
      <w:r>
        <w:rPr>
          <w:lang w:eastAsia="ja-JP"/>
        </w:rPr>
        <w:t>n over time if parties continue to devise strategies and plans, which do not have a common foundation. With the exception of the three emergency response deeds there is little evidence of a systematic approach, involving all system participants, to planning and responding.</w:t>
      </w:r>
    </w:p>
    <w:p w14:paraId="091BD742" w14:textId="3B02E4F8" w:rsidR="00934DB6" w:rsidRDefault="00AE3D59" w:rsidP="00AE3D59">
      <w:pPr>
        <w:rPr>
          <w:lang w:eastAsia="ja-JP"/>
        </w:rPr>
      </w:pPr>
      <w:r>
        <w:rPr>
          <w:lang w:eastAsia="ja-JP"/>
        </w:rPr>
        <w:t xml:space="preserve">The national </w:t>
      </w:r>
      <w:r w:rsidR="004D13BF">
        <w:rPr>
          <w:lang w:eastAsia="ja-JP"/>
        </w:rPr>
        <w:t xml:space="preserve">biosecurity </w:t>
      </w:r>
      <w:r>
        <w:rPr>
          <w:lang w:eastAsia="ja-JP"/>
        </w:rPr>
        <w:t>system, which brings together the work and priorities of all jurisdictions and industries, would benefit significantly from a clear, agreed statement of national priorities. It needs an unambiguous and consistent process that prioritises the animal, plant and environmental pests and diseases that pose the most significant risks and systematically works through these to establish the effort and resources required to address these risks in a manner tha</w:t>
      </w:r>
      <w:r w:rsidR="005914B8">
        <w:rPr>
          <w:lang w:eastAsia="ja-JP"/>
        </w:rPr>
        <w:t>t provides the greatest return.</w:t>
      </w:r>
    </w:p>
    <w:p w14:paraId="0C1DBE25" w14:textId="52C94F31" w:rsidR="004B03F2" w:rsidRDefault="00C648D2" w:rsidP="004B03F2">
      <w:pPr>
        <w:pStyle w:val="Heading3"/>
        <w:rPr>
          <w:lang w:eastAsia="ja-JP"/>
        </w:rPr>
      </w:pPr>
      <w:bookmarkStart w:id="101" w:name="_Toc469654742"/>
      <w:r>
        <w:rPr>
          <w:lang w:eastAsia="ja-JP"/>
        </w:rPr>
        <w:t>Determining n</w:t>
      </w:r>
      <w:r w:rsidR="004B03F2">
        <w:rPr>
          <w:lang w:eastAsia="ja-JP"/>
        </w:rPr>
        <w:t xml:space="preserve">ational </w:t>
      </w:r>
      <w:r>
        <w:rPr>
          <w:lang w:eastAsia="ja-JP"/>
        </w:rPr>
        <w:t>p</w:t>
      </w:r>
      <w:r w:rsidR="004B03F2">
        <w:rPr>
          <w:lang w:eastAsia="ja-JP"/>
        </w:rPr>
        <w:t>riorities</w:t>
      </w:r>
      <w:bookmarkEnd w:id="101"/>
    </w:p>
    <w:p w14:paraId="6C1449A3" w14:textId="1B7299C9" w:rsidR="00693D00" w:rsidRDefault="00693D00" w:rsidP="00693D00">
      <w:pPr>
        <w:rPr>
          <w:lang w:eastAsia="ja-JP"/>
        </w:rPr>
      </w:pPr>
      <w:r w:rsidRPr="00A87AF3">
        <w:rPr>
          <w:lang w:eastAsia="ja-JP"/>
        </w:rPr>
        <w:t>Determining national priority pests and diseases is not a new idea. The Beale Review</w:t>
      </w:r>
      <w:r w:rsidR="004D13BF" w:rsidRPr="00A87AF3">
        <w:rPr>
          <w:lang w:eastAsia="ja-JP"/>
        </w:rPr>
        <w:t xml:space="preserve"> (</w:t>
      </w:r>
      <w:hyperlink w:anchor="Beale_et_al_2008" w:history="1">
        <w:r w:rsidR="004D13BF" w:rsidRPr="00927D82">
          <w:rPr>
            <w:rStyle w:val="Hyperlink"/>
            <w:lang w:eastAsia="ja-JP"/>
          </w:rPr>
          <w:t xml:space="preserve">Beale </w:t>
        </w:r>
        <w:r w:rsidR="00E658E0" w:rsidRPr="00927D82">
          <w:rPr>
            <w:rStyle w:val="Hyperlink"/>
            <w:lang w:eastAsia="ja-JP"/>
          </w:rPr>
          <w:t xml:space="preserve">et al. </w:t>
        </w:r>
        <w:r w:rsidR="004D13BF" w:rsidRPr="00927D82">
          <w:rPr>
            <w:rStyle w:val="Hyperlink"/>
            <w:lang w:eastAsia="ja-JP"/>
          </w:rPr>
          <w:t>2008</w:t>
        </w:r>
      </w:hyperlink>
      <w:r w:rsidR="004D13BF" w:rsidRPr="00A87AF3">
        <w:rPr>
          <w:lang w:eastAsia="ja-JP"/>
        </w:rPr>
        <w:t>)</w:t>
      </w:r>
      <w:r w:rsidRPr="00A87AF3">
        <w:rPr>
          <w:lang w:eastAsia="ja-JP"/>
        </w:rPr>
        <w:t>, in the context of advocating a stronger risk-based approach to biosecurity, identified the need for the development of a list of national priority exotic pests and diseases, with their respective pathways, on the basis of the likelihood of incursion and the pest and disease impacts (</w:t>
      </w:r>
      <w:r w:rsidR="00927D82">
        <w:rPr>
          <w:lang w:eastAsia="ja-JP"/>
        </w:rPr>
        <w:t xml:space="preserve">Beale </w:t>
      </w:r>
      <w:r w:rsidRPr="00A87AF3">
        <w:rPr>
          <w:lang w:eastAsia="ja-JP"/>
        </w:rPr>
        <w:t xml:space="preserve">Recommendation 45). </w:t>
      </w:r>
      <w:r w:rsidR="004F08A9" w:rsidRPr="00A87AF3">
        <w:rPr>
          <w:lang w:eastAsia="ja-JP"/>
        </w:rPr>
        <w:t xml:space="preserve">The United States </w:t>
      </w:r>
      <w:r w:rsidR="00202C10" w:rsidRPr="00A87AF3">
        <w:rPr>
          <w:lang w:eastAsia="ja-JP"/>
        </w:rPr>
        <w:t>G</w:t>
      </w:r>
      <w:r w:rsidR="004F08A9" w:rsidRPr="00A87AF3">
        <w:rPr>
          <w:lang w:eastAsia="ja-JP"/>
        </w:rPr>
        <w:t>overnment has a high</w:t>
      </w:r>
      <w:r w:rsidR="00A10B5E">
        <w:rPr>
          <w:lang w:eastAsia="ja-JP"/>
        </w:rPr>
        <w:t>-</w:t>
      </w:r>
      <w:r w:rsidR="004F08A9" w:rsidRPr="00A87AF3">
        <w:rPr>
          <w:lang w:eastAsia="ja-JP"/>
        </w:rPr>
        <w:t>priority plant pest and disease list of about 50 to 60 species (</w:t>
      </w:r>
      <w:hyperlink w:anchor="RSC_2015" w:history="1">
        <w:r w:rsidR="00CB62EB" w:rsidRPr="00927D82">
          <w:rPr>
            <w:rStyle w:val="Hyperlink"/>
            <w:lang w:eastAsia="ja-JP"/>
          </w:rPr>
          <w:t>RSC</w:t>
        </w:r>
        <w:r w:rsidR="004F08A9" w:rsidRPr="00927D82">
          <w:rPr>
            <w:rStyle w:val="Hyperlink"/>
            <w:lang w:eastAsia="ja-JP"/>
          </w:rPr>
          <w:t xml:space="preserve"> 2015</w:t>
        </w:r>
      </w:hyperlink>
      <w:r w:rsidR="004F08A9" w:rsidRPr="00A87AF3">
        <w:rPr>
          <w:lang w:eastAsia="ja-JP"/>
        </w:rPr>
        <w:t xml:space="preserve">). </w:t>
      </w:r>
      <w:r w:rsidRPr="00A87AF3">
        <w:rPr>
          <w:lang w:eastAsia="ja-JP"/>
        </w:rPr>
        <w:t>The</w:t>
      </w:r>
      <w:r>
        <w:rPr>
          <w:lang w:eastAsia="ja-JP"/>
        </w:rPr>
        <w:t xml:space="preserve"> Review Panel s</w:t>
      </w:r>
      <w:r w:rsidR="00E658E0">
        <w:rPr>
          <w:lang w:eastAsia="ja-JP"/>
        </w:rPr>
        <w:t>trongly supports this approach.</w:t>
      </w:r>
    </w:p>
    <w:p w14:paraId="6159D4E5" w14:textId="77777777" w:rsidR="00693D00" w:rsidRDefault="00693D00" w:rsidP="00693D00">
      <w:pPr>
        <w:rPr>
          <w:lang w:eastAsia="ja-JP"/>
        </w:rPr>
      </w:pPr>
      <w:r>
        <w:rPr>
          <w:lang w:eastAsia="ja-JP"/>
        </w:rPr>
        <w:t>Some progress to national prioritisation has occurred but it is varied:</w:t>
      </w:r>
    </w:p>
    <w:p w14:paraId="4E493792" w14:textId="77777777" w:rsidR="00693D00" w:rsidRDefault="00693D00" w:rsidP="00693D00">
      <w:pPr>
        <w:pStyle w:val="ListBullet"/>
        <w:rPr>
          <w:lang w:eastAsia="ja-JP"/>
        </w:rPr>
      </w:pPr>
      <w:r>
        <w:rPr>
          <w:lang w:eastAsia="ja-JP"/>
        </w:rPr>
        <w:t xml:space="preserve">For animal pests and diseases, the AHC has agreed to a national list of notifiable animal diseases, based on the list of diseases notifiable to the OIE (World Organisation for Animal </w:t>
      </w:r>
      <w:r>
        <w:rPr>
          <w:lang w:eastAsia="ja-JP"/>
        </w:rPr>
        <w:lastRenderedPageBreak/>
        <w:t>Health). A national list of reportable diseases of aquatic animals</w:t>
      </w:r>
      <w:r w:rsidR="004D10C7">
        <w:rPr>
          <w:lang w:eastAsia="ja-JP"/>
        </w:rPr>
        <w:t xml:space="preserve"> (50 as at April 2016)</w:t>
      </w:r>
      <w:r>
        <w:rPr>
          <w:lang w:eastAsia="ja-JP"/>
        </w:rPr>
        <w:t xml:space="preserve"> has also been agreed by the AHC.</w:t>
      </w:r>
    </w:p>
    <w:p w14:paraId="69E5C8D5" w14:textId="0247448D" w:rsidR="004F08A9" w:rsidRPr="004F08A9" w:rsidRDefault="00693D00" w:rsidP="00D1739D">
      <w:pPr>
        <w:pStyle w:val="ListBullet"/>
        <w:rPr>
          <w:lang w:eastAsia="ja-JP"/>
        </w:rPr>
      </w:pPr>
      <w:r>
        <w:rPr>
          <w:lang w:eastAsia="ja-JP"/>
        </w:rPr>
        <w:t>For environmental pests and diseases, work to determine priorities cannot be readily located; the Review Panel is aware that work to determine marine priority pests and diseases is underway</w:t>
      </w:r>
      <w:r w:rsidR="002A07C7">
        <w:rPr>
          <w:lang w:eastAsia="ja-JP"/>
        </w:rPr>
        <w:t xml:space="preserve">, </w:t>
      </w:r>
      <w:r>
        <w:rPr>
          <w:lang w:eastAsia="ja-JP"/>
        </w:rPr>
        <w:t xml:space="preserve">and that a number of biosecurity key threatening processes have been </w:t>
      </w:r>
      <w:r w:rsidRPr="00FB4E47">
        <w:rPr>
          <w:lang w:eastAsia="ja-JP"/>
        </w:rPr>
        <w:t xml:space="preserve">identified under the </w:t>
      </w:r>
      <w:r w:rsidR="004D13BF" w:rsidRPr="00FB4E47">
        <w:rPr>
          <w:lang w:eastAsia="ja-JP"/>
        </w:rPr>
        <w:t>EPBC Act</w:t>
      </w:r>
      <w:r w:rsidRPr="00FB4E47">
        <w:rPr>
          <w:lang w:eastAsia="ja-JP"/>
        </w:rPr>
        <w:t>. However,</w:t>
      </w:r>
      <w:r>
        <w:rPr>
          <w:lang w:eastAsia="ja-JP"/>
        </w:rPr>
        <w:t xml:space="preserve"> systematic prioritisation of risks to other ecosystems (freshwater, estuarine, and terrestrial environments) is likely yet to be completed.</w:t>
      </w:r>
      <w:r w:rsidR="00EA6E78">
        <w:rPr>
          <w:lang w:eastAsia="ja-JP"/>
        </w:rPr>
        <w:t xml:space="preserve"> </w:t>
      </w:r>
      <w:r w:rsidR="00EA6E78" w:rsidRPr="00EA6E78">
        <w:rPr>
          <w:lang w:eastAsia="ja-JP"/>
        </w:rPr>
        <w:t xml:space="preserve">The Panel notes </w:t>
      </w:r>
      <w:r w:rsidR="007C5C4F">
        <w:rPr>
          <w:lang w:eastAsia="ja-JP"/>
        </w:rPr>
        <w:t xml:space="preserve">that </w:t>
      </w:r>
      <w:r w:rsidR="007C5C4F" w:rsidRPr="007C5C4F">
        <w:rPr>
          <w:lang w:eastAsia="ja-JP"/>
        </w:rPr>
        <w:t>ABARES</w:t>
      </w:r>
      <w:r w:rsidR="00EA6E78" w:rsidRPr="00EA6E78">
        <w:rPr>
          <w:lang w:eastAsia="ja-JP"/>
        </w:rPr>
        <w:t xml:space="preserve"> has commenced </w:t>
      </w:r>
      <w:r w:rsidR="007B4CF0">
        <w:rPr>
          <w:lang w:eastAsia="ja-JP"/>
        </w:rPr>
        <w:t xml:space="preserve">a project to identify </w:t>
      </w:r>
      <w:r w:rsidR="00EA6E78" w:rsidRPr="00EA6E78">
        <w:rPr>
          <w:lang w:eastAsia="ja-JP"/>
        </w:rPr>
        <w:t>potential invasive species with predominantly environmental impacts</w:t>
      </w:r>
      <w:r w:rsidR="007B4CF0">
        <w:rPr>
          <w:lang w:eastAsia="ja-JP"/>
        </w:rPr>
        <w:t xml:space="preserve">, </w:t>
      </w:r>
      <w:r w:rsidR="007B4CF0" w:rsidRPr="007B4CF0">
        <w:rPr>
          <w:lang w:eastAsia="ja-JP"/>
        </w:rPr>
        <w:t>ex</w:t>
      </w:r>
      <w:r w:rsidR="007B4CF0">
        <w:rPr>
          <w:lang w:eastAsia="ja-JP"/>
        </w:rPr>
        <w:t>pected for publication in 2017</w:t>
      </w:r>
      <w:r w:rsidR="00EA6E78" w:rsidRPr="00EA6E78">
        <w:rPr>
          <w:lang w:eastAsia="ja-JP"/>
        </w:rPr>
        <w:t>.</w:t>
      </w:r>
    </w:p>
    <w:p w14:paraId="2F5689B1" w14:textId="77777777" w:rsidR="00D1739D" w:rsidRDefault="00693D00" w:rsidP="00D1739D">
      <w:pPr>
        <w:pStyle w:val="ListBullet"/>
        <w:rPr>
          <w:lang w:eastAsia="ja-JP"/>
        </w:rPr>
      </w:pPr>
      <w:r>
        <w:rPr>
          <w:lang w:eastAsia="ja-JP"/>
        </w:rPr>
        <w:t>The Plant Health Committee (PHC) has recently agreed its national ‘top 40’ priority pests and diseases, a list which was endorsed by PHC members through a national elicitation process that considered economic, so</w:t>
      </w:r>
      <w:r w:rsidR="00D1739D">
        <w:rPr>
          <w:lang w:eastAsia="ja-JP"/>
        </w:rPr>
        <w:t>cial and environmental impacts.</w:t>
      </w:r>
    </w:p>
    <w:p w14:paraId="25ED1DE0" w14:textId="031D86C1" w:rsidR="00D1739D" w:rsidRPr="004E7FA2" w:rsidRDefault="007B4CF0" w:rsidP="007B4CF0">
      <w:pPr>
        <w:pStyle w:val="ListBullet"/>
        <w:rPr>
          <w:lang w:eastAsia="ja-JP"/>
        </w:rPr>
      </w:pPr>
      <w:r w:rsidRPr="004E7FA2">
        <w:rPr>
          <w:lang w:eastAsia="ja-JP"/>
        </w:rPr>
        <w:t>For weeds,</w:t>
      </w:r>
      <w:r w:rsidR="00CA4139" w:rsidRPr="004E7FA2">
        <w:rPr>
          <w:lang w:eastAsia="ja-JP"/>
        </w:rPr>
        <w:t xml:space="preserve"> t</w:t>
      </w:r>
      <w:r w:rsidRPr="004E7FA2">
        <w:rPr>
          <w:lang w:eastAsia="ja-JP"/>
        </w:rPr>
        <w:t>he Panel notes that ABARES has commenced a weed threat assessment and categorisation process</w:t>
      </w:r>
      <w:r w:rsidR="00CA4139" w:rsidRPr="004E7FA2">
        <w:rPr>
          <w:lang w:eastAsia="ja-JP"/>
        </w:rPr>
        <w:t xml:space="preserve"> to identify priority threats and segment them between environment and production</w:t>
      </w:r>
      <w:r w:rsidRPr="004E7FA2">
        <w:rPr>
          <w:lang w:eastAsia="ja-JP"/>
        </w:rPr>
        <w:t>, expected for publication in 2017.</w:t>
      </w:r>
    </w:p>
    <w:p w14:paraId="149FD44C" w14:textId="1E162105" w:rsidR="004B03F2" w:rsidRDefault="00693D00" w:rsidP="00693D00">
      <w:pPr>
        <w:rPr>
          <w:lang w:eastAsia="ja-JP"/>
        </w:rPr>
      </w:pPr>
      <w:r>
        <w:rPr>
          <w:lang w:eastAsia="ja-JP"/>
        </w:rPr>
        <w:t xml:space="preserve">Building on the approach taken by the PHC, the Review Panel recommends the adoption of a </w:t>
      </w:r>
      <w:r w:rsidR="004F08A9">
        <w:rPr>
          <w:lang w:eastAsia="ja-JP"/>
        </w:rPr>
        <w:t xml:space="preserve">single agreed </w:t>
      </w:r>
      <w:r>
        <w:rPr>
          <w:lang w:eastAsia="ja-JP"/>
        </w:rPr>
        <w:t xml:space="preserve">systematic approach to determine and plan for national priority animal, plant and environmental pests and diseases, </w:t>
      </w:r>
      <w:r w:rsidR="004F08A9">
        <w:rPr>
          <w:lang w:eastAsia="ja-JP"/>
        </w:rPr>
        <w:t xml:space="preserve">based on the </w:t>
      </w:r>
      <w:r>
        <w:rPr>
          <w:lang w:eastAsia="ja-JP"/>
        </w:rPr>
        <w:t>outline below</w:t>
      </w:r>
      <w:r w:rsidR="0065622F">
        <w:rPr>
          <w:lang w:eastAsia="ja-JP"/>
        </w:rPr>
        <w:t>.</w:t>
      </w:r>
    </w:p>
    <w:p w14:paraId="0879551B" w14:textId="77777777" w:rsidR="00A10B5E" w:rsidRPr="00C05E1D" w:rsidRDefault="00A10B5E" w:rsidP="00A10B5E">
      <w:pPr>
        <w:pStyle w:val="BoxHeading"/>
        <w:shd w:val="clear" w:color="auto" w:fill="D9D9D9" w:themeFill="background1" w:themeFillShade="D9"/>
        <w:rPr>
          <w:sz w:val="22"/>
        </w:rPr>
      </w:pPr>
      <w:r w:rsidRPr="00C05E1D">
        <w:rPr>
          <w:sz w:val="22"/>
        </w:rPr>
        <w:t>Draft recommendation</w:t>
      </w:r>
      <w:r>
        <w:rPr>
          <w:sz w:val="22"/>
        </w:rPr>
        <w:t xml:space="preserve"> 13</w:t>
      </w:r>
      <w:r w:rsidRPr="00C05E1D">
        <w:rPr>
          <w:noProof/>
          <w:sz w:val="22"/>
        </w:rPr>
        <w:t>:</w:t>
      </w:r>
    </w:p>
    <w:p w14:paraId="31C2ACE0" w14:textId="77777777" w:rsidR="00A10B5E" w:rsidRPr="00C05E1D" w:rsidRDefault="00A10B5E" w:rsidP="00A10B5E">
      <w:pPr>
        <w:pStyle w:val="BoxText"/>
        <w:shd w:val="clear" w:color="auto" w:fill="D9D9D9" w:themeFill="background1" w:themeFillShade="D9"/>
        <w:rPr>
          <w:sz w:val="22"/>
        </w:rPr>
      </w:pPr>
      <w:r>
        <w:rPr>
          <w:sz w:val="22"/>
        </w:rPr>
        <w:t xml:space="preserve">Jurisdictions </w:t>
      </w:r>
      <w:r w:rsidRPr="00C05E1D">
        <w:rPr>
          <w:sz w:val="22"/>
        </w:rPr>
        <w:t>should adopt a systematic approach to determine and plan for national priority animal, plant and environmental pests and diseases.</w:t>
      </w:r>
    </w:p>
    <w:p w14:paraId="52A02ABF" w14:textId="77777777" w:rsidR="004B03F2" w:rsidRDefault="004B03F2" w:rsidP="004B03F2">
      <w:pPr>
        <w:pStyle w:val="Heading4"/>
        <w:rPr>
          <w:lang w:eastAsia="ja-JP"/>
        </w:rPr>
      </w:pPr>
      <w:r>
        <w:rPr>
          <w:lang w:eastAsia="ja-JP"/>
        </w:rPr>
        <w:t>Profiling priorities</w:t>
      </w:r>
    </w:p>
    <w:p w14:paraId="6594B1A2" w14:textId="77777777" w:rsidR="00693D00" w:rsidRDefault="00693D00" w:rsidP="00693D00">
      <w:pPr>
        <w:pStyle w:val="ListNumber"/>
        <w:rPr>
          <w:lang w:eastAsia="ja-JP"/>
        </w:rPr>
      </w:pPr>
      <w:r w:rsidRPr="00453187">
        <w:rPr>
          <w:rStyle w:val="Strong"/>
        </w:rPr>
        <w:t>Identify pests and diseases of concern</w:t>
      </w:r>
      <w:r>
        <w:rPr>
          <w:lang w:eastAsia="ja-JP"/>
        </w:rPr>
        <w:t>: The relevant NBC sectoral committee should identify all</w:t>
      </w:r>
      <w:r w:rsidR="009F7A04">
        <w:rPr>
          <w:lang w:eastAsia="ja-JP"/>
        </w:rPr>
        <w:t xml:space="preserve"> (exotic)</w:t>
      </w:r>
      <w:r>
        <w:rPr>
          <w:lang w:eastAsia="ja-JP"/>
        </w:rPr>
        <w:t xml:space="preserve"> pests and diseases of concern, incorporating advice from industry or community members (as relevant), experts, and other key</w:t>
      </w:r>
      <w:r w:rsidR="004D13BF">
        <w:rPr>
          <w:lang w:eastAsia="ja-JP"/>
        </w:rPr>
        <w:t xml:space="preserve"> system</w:t>
      </w:r>
      <w:r>
        <w:rPr>
          <w:lang w:eastAsia="ja-JP"/>
        </w:rPr>
        <w:t xml:space="preserve"> partners.</w:t>
      </w:r>
    </w:p>
    <w:p w14:paraId="146F824D" w14:textId="187646E4" w:rsidR="00693D00" w:rsidRDefault="00693D00" w:rsidP="009F7A04">
      <w:pPr>
        <w:pStyle w:val="ListNumber"/>
        <w:rPr>
          <w:lang w:eastAsia="ja-JP"/>
        </w:rPr>
      </w:pPr>
      <w:r w:rsidRPr="00453187">
        <w:rPr>
          <w:rStyle w:val="Strong"/>
        </w:rPr>
        <w:t>Conduct preliminary assessment</w:t>
      </w:r>
      <w:r>
        <w:rPr>
          <w:lang w:eastAsia="ja-JP"/>
        </w:rPr>
        <w:t>: To be considered a national priority, the compiled list must be assessed against thresholds or criteria. This would include that they are limited to exotic pests and diseases with national impact (economic (including trade), environmental or social); potential to spread or establish in Australia; and a clear benefit from national effort and/or response. This process</w:t>
      </w:r>
      <w:r w:rsidR="009F7A04">
        <w:rPr>
          <w:lang w:eastAsia="ja-JP"/>
        </w:rPr>
        <w:t>,</w:t>
      </w:r>
      <w:r>
        <w:rPr>
          <w:lang w:eastAsia="ja-JP"/>
        </w:rPr>
        <w:t xml:space="preserve"> </w:t>
      </w:r>
      <w:r w:rsidR="009F7A04" w:rsidRPr="009F7A04">
        <w:rPr>
          <w:lang w:eastAsia="ja-JP"/>
        </w:rPr>
        <w:t xml:space="preserve">which would serve as a preliminary risk assessment, </w:t>
      </w:r>
      <w:r>
        <w:rPr>
          <w:lang w:eastAsia="ja-JP"/>
        </w:rPr>
        <w:t>should involve subject matter experts and expertise beyond the relevant sectoral committee.</w:t>
      </w:r>
    </w:p>
    <w:p w14:paraId="14E66D69" w14:textId="77777777" w:rsidR="00693D00" w:rsidRDefault="00693D00" w:rsidP="00693D00">
      <w:pPr>
        <w:ind w:left="567"/>
        <w:rPr>
          <w:lang w:eastAsia="ja-JP"/>
        </w:rPr>
      </w:pPr>
      <w:r>
        <w:rPr>
          <w:lang w:eastAsia="ja-JP"/>
        </w:rPr>
        <w:t>Pests and diseases that do not meet the national thresholds or criteria could continue to be managed appropriately by jurisdictions and/or the relevant industry or industries.</w:t>
      </w:r>
    </w:p>
    <w:p w14:paraId="670019C7" w14:textId="77777777" w:rsidR="00693D00" w:rsidRDefault="00693D00" w:rsidP="00693D00">
      <w:pPr>
        <w:pStyle w:val="ListNumber"/>
        <w:rPr>
          <w:lang w:eastAsia="ja-JP"/>
        </w:rPr>
      </w:pPr>
      <w:r w:rsidRPr="00453187">
        <w:rPr>
          <w:rStyle w:val="Strong"/>
        </w:rPr>
        <w:t>Establish a priority list</w:t>
      </w:r>
      <w:r>
        <w:rPr>
          <w:lang w:eastAsia="ja-JP"/>
        </w:rPr>
        <w:t>: The relevant NBC sectoral committee agrees and publishes the national lists for priority animal, plant and environmental pests and diseases.</w:t>
      </w:r>
    </w:p>
    <w:p w14:paraId="321B1E44" w14:textId="061EDB09" w:rsidR="0041638B" w:rsidRDefault="00693D00" w:rsidP="00693D00">
      <w:pPr>
        <w:rPr>
          <w:lang w:eastAsia="ja-JP"/>
        </w:rPr>
      </w:pPr>
      <w:r>
        <w:rPr>
          <w:lang w:eastAsia="ja-JP"/>
        </w:rPr>
        <w:t>These lists of pests and diseases will not be static. It should be expected that new and unanticipated risks will arise from time to time</w:t>
      </w:r>
      <w:r w:rsidR="004D13BF">
        <w:rPr>
          <w:lang w:eastAsia="ja-JP"/>
        </w:rPr>
        <w:t>,</w:t>
      </w:r>
      <w:r>
        <w:rPr>
          <w:lang w:eastAsia="ja-JP"/>
        </w:rPr>
        <w:t xml:space="preserve"> and attention given to their inclusion. </w:t>
      </w:r>
      <w:r w:rsidR="0088682F">
        <w:rPr>
          <w:lang w:eastAsia="ja-JP"/>
        </w:rPr>
        <w:t>The United States Government reviews its prioritised plant pests and diseases every two years (</w:t>
      </w:r>
      <w:hyperlink w:anchor="RSC_2015" w:history="1">
        <w:r w:rsidR="0088682F" w:rsidRPr="00927D82">
          <w:rPr>
            <w:rStyle w:val="Hyperlink"/>
            <w:lang w:eastAsia="ja-JP"/>
          </w:rPr>
          <w:t xml:space="preserve">RSC </w:t>
        </w:r>
        <w:r w:rsidR="0088682F" w:rsidRPr="00927D82">
          <w:rPr>
            <w:rStyle w:val="Hyperlink"/>
            <w:lang w:eastAsia="ja-JP"/>
          </w:rPr>
          <w:lastRenderedPageBreak/>
          <w:t>2015</w:t>
        </w:r>
      </w:hyperlink>
      <w:r w:rsidR="0088682F">
        <w:rPr>
          <w:lang w:eastAsia="ja-JP"/>
        </w:rPr>
        <w:t>), however, given the resources that are likely required to complete the initial Australian lists and their biosecurity requirements, a</w:t>
      </w:r>
      <w:r w:rsidR="0041638B">
        <w:rPr>
          <w:lang w:eastAsia="ja-JP"/>
        </w:rPr>
        <w:t xml:space="preserve"> review </w:t>
      </w:r>
      <w:r w:rsidR="0088682F">
        <w:rPr>
          <w:lang w:eastAsia="ja-JP"/>
        </w:rPr>
        <w:t>every f</w:t>
      </w:r>
      <w:r w:rsidR="009D1E8D">
        <w:rPr>
          <w:lang w:eastAsia="ja-JP"/>
        </w:rPr>
        <w:t>ive years seems more pragmatic.</w:t>
      </w:r>
    </w:p>
    <w:p w14:paraId="69D66DAC" w14:textId="77777777" w:rsidR="004B03F2" w:rsidRDefault="004B03F2" w:rsidP="00DE19DC">
      <w:pPr>
        <w:pStyle w:val="Heading4"/>
        <w:keepNext/>
        <w:rPr>
          <w:lang w:eastAsia="ja-JP"/>
        </w:rPr>
      </w:pPr>
      <w:r>
        <w:rPr>
          <w:lang w:eastAsia="ja-JP"/>
        </w:rPr>
        <w:t>Filling out the picture—</w:t>
      </w:r>
      <w:r w:rsidR="004D13BF">
        <w:rPr>
          <w:lang w:eastAsia="ja-JP"/>
        </w:rPr>
        <w:t>p</w:t>
      </w:r>
      <w:r>
        <w:rPr>
          <w:lang w:eastAsia="ja-JP"/>
        </w:rPr>
        <w:t>est and disease activity planning</w:t>
      </w:r>
    </w:p>
    <w:p w14:paraId="623A5D23" w14:textId="77777777" w:rsidR="00693D00" w:rsidRDefault="00693D00" w:rsidP="00DE19DC">
      <w:pPr>
        <w:keepNext/>
        <w:rPr>
          <w:lang w:eastAsia="ja-JP"/>
        </w:rPr>
      </w:pPr>
      <w:r>
        <w:rPr>
          <w:lang w:eastAsia="ja-JP"/>
        </w:rPr>
        <w:t>Once a national priority list has been agreed, the relevant</w:t>
      </w:r>
      <w:r w:rsidR="004D13BF">
        <w:rPr>
          <w:lang w:eastAsia="ja-JP"/>
        </w:rPr>
        <w:t xml:space="preserve"> NBC</w:t>
      </w:r>
      <w:r>
        <w:rPr>
          <w:lang w:eastAsia="ja-JP"/>
        </w:rPr>
        <w:t xml:space="preserve"> sectoral committee, with involvement of relevant system participants, should determine, for each national priority pest and disease, the planning activities required</w:t>
      </w:r>
      <w:r w:rsidR="004D13BF">
        <w:rPr>
          <w:lang w:eastAsia="ja-JP"/>
        </w:rPr>
        <w:t>.</w:t>
      </w:r>
      <w:r>
        <w:rPr>
          <w:lang w:eastAsia="ja-JP"/>
        </w:rPr>
        <w:t xml:space="preserve"> </w:t>
      </w:r>
      <w:r w:rsidR="004D13BF">
        <w:rPr>
          <w:lang w:eastAsia="ja-JP"/>
        </w:rPr>
        <w:t>This</w:t>
      </w:r>
      <w:r>
        <w:rPr>
          <w:lang w:eastAsia="ja-JP"/>
        </w:rPr>
        <w:t xml:space="preserve"> should include:</w:t>
      </w:r>
    </w:p>
    <w:p w14:paraId="7413F901" w14:textId="77777777" w:rsidR="00693D00" w:rsidRPr="00BA0BB6" w:rsidRDefault="00693D00" w:rsidP="00BA0BB6">
      <w:pPr>
        <w:pStyle w:val="ListNumber"/>
        <w:numPr>
          <w:ilvl w:val="0"/>
          <w:numId w:val="30"/>
        </w:numPr>
      </w:pPr>
      <w:r w:rsidRPr="00453187">
        <w:rPr>
          <w:rStyle w:val="Strong"/>
        </w:rPr>
        <w:t xml:space="preserve">Risk </w:t>
      </w:r>
      <w:r w:rsidR="009F7A04" w:rsidRPr="00453187">
        <w:rPr>
          <w:rStyle w:val="Strong"/>
        </w:rPr>
        <w:t>assessment</w:t>
      </w:r>
      <w:r w:rsidRPr="00BA0BB6">
        <w:t>:</w:t>
      </w:r>
      <w:r w:rsidR="009F7A04" w:rsidRPr="00BA0BB6">
        <w:t xml:space="preserve"> a comprehensive risk assessment, building on the preliminary work (above), to determine the pathways and likelihood of entry (pre-border, at the border and post-border), intervention points and potential impacts on the various sectors and hosts.</w:t>
      </w:r>
      <w:r w:rsidRPr="00BA0BB6">
        <w:t xml:space="preserve"> </w:t>
      </w:r>
    </w:p>
    <w:p w14:paraId="3D448DC7" w14:textId="77777777" w:rsidR="009F7A04" w:rsidRPr="00BA0BB6" w:rsidRDefault="009F7A04" w:rsidP="00BA0BB6">
      <w:pPr>
        <w:pStyle w:val="ListNumber"/>
        <w:numPr>
          <w:ilvl w:val="0"/>
          <w:numId w:val="30"/>
        </w:numPr>
        <w:rPr>
          <w:rStyle w:val="Strong"/>
          <w:b w:val="0"/>
          <w:bCs w:val="0"/>
        </w:rPr>
      </w:pPr>
      <w:r w:rsidRPr="00453187">
        <w:rPr>
          <w:rStyle w:val="Strong"/>
        </w:rPr>
        <w:t>Risk management measures</w:t>
      </w:r>
      <w:r w:rsidRPr="00BA0BB6">
        <w:rPr>
          <w:rStyle w:val="Strong"/>
          <w:b w:val="0"/>
          <w:bCs w:val="0"/>
        </w:rPr>
        <w:t>: determine measures available to reduce the risk of entry, spread or establishment (that is, prevention).</w:t>
      </w:r>
    </w:p>
    <w:p w14:paraId="09FFF339" w14:textId="77777777" w:rsidR="00693D00" w:rsidRPr="00BA0BB6" w:rsidRDefault="00693D00" w:rsidP="00BA0BB6">
      <w:pPr>
        <w:pStyle w:val="ListNumber"/>
        <w:numPr>
          <w:ilvl w:val="0"/>
          <w:numId w:val="30"/>
        </w:numPr>
      </w:pPr>
      <w:r w:rsidRPr="00453187">
        <w:rPr>
          <w:rStyle w:val="Strong"/>
        </w:rPr>
        <w:t>Surveillance measures</w:t>
      </w:r>
      <w:r w:rsidRPr="00BA0BB6">
        <w:t>: determine measures (capability and/or programs) required to ensure adequate surveillance (pre-border, at the border, and post-border)</w:t>
      </w:r>
    </w:p>
    <w:p w14:paraId="3B2282B6" w14:textId="77777777" w:rsidR="00693D00" w:rsidRPr="00BA0BB6" w:rsidRDefault="00693D00" w:rsidP="00BA0BB6">
      <w:pPr>
        <w:pStyle w:val="ListNumber"/>
        <w:numPr>
          <w:ilvl w:val="0"/>
          <w:numId w:val="30"/>
        </w:numPr>
      </w:pPr>
      <w:r w:rsidRPr="00453187">
        <w:rPr>
          <w:rStyle w:val="Strong"/>
        </w:rPr>
        <w:t>Diagnostic capability</w:t>
      </w:r>
      <w:r w:rsidRPr="00BA0BB6">
        <w:t>: determine measures required to ensure adequate diagnostic capacity, including likely future diagnostic capability.</w:t>
      </w:r>
    </w:p>
    <w:p w14:paraId="35FD5204" w14:textId="77777777" w:rsidR="00693D00" w:rsidRPr="00BA0BB6" w:rsidRDefault="00693D00" w:rsidP="00BA0BB6">
      <w:pPr>
        <w:pStyle w:val="ListNumber"/>
        <w:numPr>
          <w:ilvl w:val="0"/>
          <w:numId w:val="30"/>
        </w:numPr>
      </w:pPr>
      <w:r w:rsidRPr="00453187">
        <w:rPr>
          <w:rStyle w:val="Strong"/>
        </w:rPr>
        <w:t>Response planning</w:t>
      </w:r>
      <w:r w:rsidRPr="00BA0BB6">
        <w:t>: determine measures for responding to or managing an incursion, including contingency measures and measures to support trade and exports.</w:t>
      </w:r>
    </w:p>
    <w:p w14:paraId="52402B62" w14:textId="77777777" w:rsidR="00693D00" w:rsidRPr="00BA0BB6" w:rsidRDefault="00693D00" w:rsidP="00BA0BB6">
      <w:pPr>
        <w:pStyle w:val="ListNumber"/>
        <w:numPr>
          <w:ilvl w:val="0"/>
          <w:numId w:val="30"/>
        </w:numPr>
      </w:pPr>
      <w:r w:rsidRPr="00453187">
        <w:rPr>
          <w:rStyle w:val="Strong"/>
        </w:rPr>
        <w:t>Participation</w:t>
      </w:r>
      <w:r w:rsidRPr="00BA0BB6">
        <w:t>: determine those (from across the system—government, industry and community) involved in management of the national priority pest and disease based on agreed roles and responsibilities.</w:t>
      </w:r>
    </w:p>
    <w:p w14:paraId="02CD36D5" w14:textId="77777777" w:rsidR="009F7A04" w:rsidRPr="00BA0BB6" w:rsidRDefault="009F7A04" w:rsidP="00BA0BB6">
      <w:pPr>
        <w:pStyle w:val="ListNumber"/>
        <w:numPr>
          <w:ilvl w:val="0"/>
          <w:numId w:val="30"/>
        </w:numPr>
      </w:pPr>
      <w:r w:rsidRPr="00453187">
        <w:rPr>
          <w:rStyle w:val="Strong"/>
        </w:rPr>
        <w:t>Communication</w:t>
      </w:r>
      <w:r w:rsidRPr="00BA0BB6">
        <w:t>: determine the communication needs for the national priority pests and disease, including avenues for awareness raising.</w:t>
      </w:r>
    </w:p>
    <w:p w14:paraId="15BD2FE5" w14:textId="3B00424B" w:rsidR="00693D00" w:rsidRPr="00BA0BB6" w:rsidRDefault="00693D00" w:rsidP="00BA0BB6">
      <w:pPr>
        <w:pStyle w:val="ListNumber"/>
        <w:numPr>
          <w:ilvl w:val="0"/>
          <w:numId w:val="30"/>
        </w:numPr>
      </w:pPr>
      <w:r w:rsidRPr="00453187">
        <w:rPr>
          <w:rStyle w:val="Strong"/>
        </w:rPr>
        <w:t>Funding</w:t>
      </w:r>
      <w:r w:rsidRPr="00BA0BB6">
        <w:t>: determin</w:t>
      </w:r>
      <w:r w:rsidR="0041638B">
        <w:t>e</w:t>
      </w:r>
      <w:r w:rsidRPr="00BA0BB6">
        <w:t xml:space="preserve"> the funding required for all management activities, including identifying funders and develop cost-sharing arrangements, as appropriate.</w:t>
      </w:r>
    </w:p>
    <w:p w14:paraId="15E3259C" w14:textId="77777777" w:rsidR="00693D00" w:rsidRPr="00BA0BB6" w:rsidRDefault="00693D00" w:rsidP="00BA0BB6">
      <w:pPr>
        <w:pStyle w:val="ListNumber"/>
        <w:numPr>
          <w:ilvl w:val="0"/>
          <w:numId w:val="30"/>
        </w:numPr>
      </w:pPr>
      <w:r w:rsidRPr="00453187">
        <w:rPr>
          <w:rStyle w:val="Strong"/>
        </w:rPr>
        <w:t>Develop activity plans</w:t>
      </w:r>
      <w:r w:rsidRPr="00BA0BB6">
        <w:t>: develop plans outlining arrangements and expectations for the national priority pest or disease</w:t>
      </w:r>
      <w:r w:rsidR="009F7A04" w:rsidRPr="00BA0BB6">
        <w:t>. A plan would include the range of measures from prevention to incursion response and would</w:t>
      </w:r>
      <w:r w:rsidRPr="00BA0BB6">
        <w:t xml:space="preserve"> includ</w:t>
      </w:r>
      <w:r w:rsidR="009F7A04" w:rsidRPr="00BA0BB6">
        <w:t>e</w:t>
      </w:r>
      <w:r w:rsidRPr="00BA0BB6">
        <w:t xml:space="preserve"> responsibilities and cost sharing for all relevant participants.</w:t>
      </w:r>
    </w:p>
    <w:p w14:paraId="46268BBE" w14:textId="77777777" w:rsidR="00693D00" w:rsidRPr="00BA0BB6" w:rsidRDefault="00693D00" w:rsidP="004E7671">
      <w:pPr>
        <w:pStyle w:val="ListNumber"/>
        <w:numPr>
          <w:ilvl w:val="0"/>
          <w:numId w:val="30"/>
        </w:numPr>
      </w:pPr>
      <w:r w:rsidRPr="00E735BB">
        <w:rPr>
          <w:rStyle w:val="Strong"/>
        </w:rPr>
        <w:t>Research</w:t>
      </w:r>
      <w:r w:rsidRPr="00E735BB">
        <w:rPr>
          <w:rStyle w:val="Strong"/>
          <w:b w:val="0"/>
          <w:bCs w:val="0"/>
        </w:rPr>
        <w:t>: determine</w:t>
      </w:r>
      <w:r w:rsidRPr="00E735BB">
        <w:t xml:space="preserve"> the research gaps in managing the risk, including where research</w:t>
      </w:r>
      <w:r w:rsidRPr="00BA0BB6">
        <w:t xml:space="preserve"> may fill a gap from any of the above areas.</w:t>
      </w:r>
    </w:p>
    <w:p w14:paraId="0A1DC5C3" w14:textId="24D195B5" w:rsidR="008D1872" w:rsidRDefault="008D1872" w:rsidP="00693D00">
      <w:pPr>
        <w:rPr>
          <w:lang w:eastAsia="ja-JP"/>
        </w:rPr>
      </w:pPr>
      <w:r>
        <w:rPr>
          <w:lang w:eastAsia="ja-JP"/>
        </w:rPr>
        <w:t xml:space="preserve">This process is illustrated in </w:t>
      </w:r>
      <w:r>
        <w:rPr>
          <w:lang w:eastAsia="ja-JP"/>
        </w:rPr>
        <w:fldChar w:fldCharType="begin"/>
      </w:r>
      <w:r>
        <w:rPr>
          <w:lang w:eastAsia="ja-JP"/>
        </w:rPr>
        <w:instrText xml:space="preserve"> REF _Ref467500561 \h </w:instrText>
      </w:r>
      <w:r>
        <w:rPr>
          <w:lang w:eastAsia="ja-JP"/>
        </w:rPr>
      </w:r>
      <w:r>
        <w:rPr>
          <w:lang w:eastAsia="ja-JP"/>
        </w:rPr>
        <w:fldChar w:fldCharType="separate"/>
      </w:r>
      <w:r w:rsidR="008303E2" w:rsidRPr="00375F10">
        <w:t xml:space="preserve">Figure </w:t>
      </w:r>
      <w:r w:rsidR="008303E2">
        <w:rPr>
          <w:noProof/>
        </w:rPr>
        <w:t>4</w:t>
      </w:r>
      <w:r>
        <w:rPr>
          <w:lang w:eastAsia="ja-JP"/>
        </w:rPr>
        <w:fldChar w:fldCharType="end"/>
      </w:r>
      <w:r>
        <w:rPr>
          <w:lang w:eastAsia="ja-JP"/>
        </w:rPr>
        <w:t>.</w:t>
      </w:r>
    </w:p>
    <w:p w14:paraId="4FCBC918" w14:textId="3611CE7B" w:rsidR="00667008" w:rsidRDefault="00693D00" w:rsidP="00693D00">
      <w:pPr>
        <w:rPr>
          <w:lang w:eastAsia="ja-JP"/>
        </w:rPr>
      </w:pPr>
      <w:r>
        <w:rPr>
          <w:lang w:eastAsia="ja-JP"/>
        </w:rPr>
        <w:t>It is highly likely there will be common elements to the activity plans developed for the agreed priority pests and diseases, which the Review Panel anticipates will reduce the overall effort required. In almost all cases, there will be existing activities underway to manage the identified risk; any gaps in activities must be a priority for action.</w:t>
      </w:r>
    </w:p>
    <w:p w14:paraId="7581172F" w14:textId="5F575E42" w:rsidR="004B03F2" w:rsidRDefault="00693D00" w:rsidP="004B03F2">
      <w:pPr>
        <w:rPr>
          <w:lang w:eastAsia="ja-JP"/>
        </w:rPr>
      </w:pPr>
      <w:r>
        <w:rPr>
          <w:lang w:eastAsia="ja-JP"/>
        </w:rPr>
        <w:t>There may also be opportunities for cross-committee collaboration and efficiencies once the initial sectoral work has been completed. The</w:t>
      </w:r>
      <w:r w:rsidR="00A646B2">
        <w:rPr>
          <w:lang w:eastAsia="ja-JP"/>
        </w:rPr>
        <w:t xml:space="preserve"> </w:t>
      </w:r>
      <w:r>
        <w:rPr>
          <w:lang w:eastAsia="ja-JP"/>
        </w:rPr>
        <w:t>Panel believes there will need to be technical input from across the NBC</w:t>
      </w:r>
      <w:r w:rsidR="00A646B2">
        <w:rPr>
          <w:lang w:eastAsia="ja-JP"/>
        </w:rPr>
        <w:t>’s</w:t>
      </w:r>
      <w:r>
        <w:rPr>
          <w:lang w:eastAsia="ja-JP"/>
        </w:rPr>
        <w:t xml:space="preserve"> sectoral committees to assist the finalisation of the plans for priority environmental pests and diseases.</w:t>
      </w:r>
    </w:p>
    <w:p w14:paraId="74635531" w14:textId="77777777" w:rsidR="004B03F2" w:rsidRDefault="003F22A8" w:rsidP="00D87ED9">
      <w:pPr>
        <w:pStyle w:val="Picture"/>
        <w:rPr>
          <w:lang w:eastAsia="ja-JP"/>
        </w:rPr>
      </w:pPr>
      <w:r>
        <w:lastRenderedPageBreak/>
        <w:drawing>
          <wp:inline distT="0" distB="0" distL="0" distR="0" wp14:anchorId="231775EA" wp14:editId="178DB91A">
            <wp:extent cx="5498521" cy="8181975"/>
            <wp:effectExtent l="0" t="0" r="6985" b="0"/>
            <wp:docPr id="10" name="Picture 10" descr="Shows the pest and disease prioritisation process as described in the text of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6036" cy="8193158"/>
                    </a:xfrm>
                    <a:prstGeom prst="rect">
                      <a:avLst/>
                    </a:prstGeom>
                    <a:noFill/>
                  </pic:spPr>
                </pic:pic>
              </a:graphicData>
            </a:graphic>
          </wp:inline>
        </w:drawing>
      </w:r>
    </w:p>
    <w:p w14:paraId="15A7D67F" w14:textId="1682877E" w:rsidR="003F22A8" w:rsidRPr="003F22A8" w:rsidRDefault="004B03F2" w:rsidP="00375F10">
      <w:pPr>
        <w:pStyle w:val="Caption"/>
        <w:keepNext w:val="0"/>
      </w:pPr>
      <w:bookmarkStart w:id="102" w:name="_Ref467500561"/>
      <w:bookmarkStart w:id="103" w:name="_Toc468176739"/>
      <w:r w:rsidRPr="00375F10">
        <w:rPr>
          <w:sz w:val="22"/>
          <w:szCs w:val="22"/>
        </w:rPr>
        <w:t xml:space="preserve">Figure </w:t>
      </w:r>
      <w:r w:rsidR="00D56373" w:rsidRPr="00375F10">
        <w:rPr>
          <w:sz w:val="22"/>
          <w:szCs w:val="22"/>
        </w:rPr>
        <w:fldChar w:fldCharType="begin"/>
      </w:r>
      <w:r w:rsidR="00D56373" w:rsidRPr="00375F10">
        <w:rPr>
          <w:sz w:val="22"/>
          <w:szCs w:val="22"/>
        </w:rPr>
        <w:instrText xml:space="preserve"> SEQ Figure \* ARABIC </w:instrText>
      </w:r>
      <w:r w:rsidR="00D56373" w:rsidRPr="00375F10">
        <w:rPr>
          <w:sz w:val="22"/>
          <w:szCs w:val="22"/>
        </w:rPr>
        <w:fldChar w:fldCharType="separate"/>
      </w:r>
      <w:r w:rsidR="008303E2">
        <w:rPr>
          <w:noProof/>
          <w:sz w:val="22"/>
          <w:szCs w:val="22"/>
        </w:rPr>
        <w:t>4</w:t>
      </w:r>
      <w:r w:rsidR="00D56373" w:rsidRPr="00375F10">
        <w:rPr>
          <w:noProof/>
          <w:sz w:val="22"/>
          <w:szCs w:val="22"/>
        </w:rPr>
        <w:fldChar w:fldCharType="end"/>
      </w:r>
      <w:bookmarkEnd w:id="102"/>
      <w:r w:rsidR="003F76E1" w:rsidRPr="00375F10">
        <w:rPr>
          <w:sz w:val="22"/>
          <w:szCs w:val="22"/>
        </w:rPr>
        <w:t>:</w:t>
      </w:r>
      <w:r w:rsidRPr="00375F10">
        <w:rPr>
          <w:sz w:val="22"/>
          <w:szCs w:val="22"/>
        </w:rPr>
        <w:t xml:space="preserve"> Determining national plant, animal and environmental pests and diseases</w:t>
      </w:r>
      <w:bookmarkEnd w:id="103"/>
    </w:p>
    <w:p w14:paraId="62DC8E84" w14:textId="77777777" w:rsidR="004B03F2" w:rsidRDefault="004B03F2" w:rsidP="00375F10">
      <w:pPr>
        <w:pStyle w:val="Heading4"/>
        <w:keepNext/>
      </w:pPr>
      <w:r>
        <w:lastRenderedPageBreak/>
        <w:t>Ongoing work</w:t>
      </w:r>
    </w:p>
    <w:p w14:paraId="425449A0" w14:textId="77777777" w:rsidR="0023646B" w:rsidRDefault="0023646B" w:rsidP="0023646B">
      <w:r>
        <w:t>Determining national priorities is not a one-off process. Ongoing risk identification and assessment is critical. Future and emerging global trends will significantly change, and increase, the complexity of the biosecurity risks facing Australia.</w:t>
      </w:r>
    </w:p>
    <w:p w14:paraId="369959A4" w14:textId="3C8A399D" w:rsidR="004B03F2" w:rsidRDefault="0023646B" w:rsidP="0023646B">
      <w:r>
        <w:t xml:space="preserve">To this end, national priority animal, plant and environmental pests and diseases should continue to be revised in light of intelligence on present or emerging risks. </w:t>
      </w:r>
      <w:r w:rsidR="004C78E6" w:rsidRPr="004C78E6">
        <w:t xml:space="preserve">The Review Panel recommends that the priority pest and disease lists be </w:t>
      </w:r>
      <w:r w:rsidR="0069449A">
        <w:t>reviewed</w:t>
      </w:r>
      <w:r w:rsidR="004C78E6" w:rsidRPr="004C78E6">
        <w:t xml:space="preserve"> no less than every five years, noting that there may be some reasons to </w:t>
      </w:r>
      <w:r w:rsidR="0069449A">
        <w:t>review</w:t>
      </w:r>
      <w:r w:rsidR="004C78E6" w:rsidRPr="004C78E6">
        <w:t xml:space="preserve"> these lists earlier (for example, identification of new pathways, hosts and treatments). The NBC sectoral committees should overse</w:t>
      </w:r>
      <w:r w:rsidR="004C78E6">
        <w:t>e</w:t>
      </w:r>
      <w:r w:rsidR="004C78E6" w:rsidRPr="004C78E6">
        <w:t xml:space="preserve"> this process, including through joint meetings</w:t>
      </w:r>
      <w:r w:rsidR="00624202">
        <w:t>, to</w:t>
      </w:r>
      <w:r w:rsidR="004C78E6" w:rsidRPr="004C78E6">
        <w:t xml:space="preserve"> allow discussion of pests and diseases or pathways with cross-system impacts and guidance to sub-committees on cross-system efficiencies. The sectoral committees should report their progress to the NBC; progress reporting to AGSOC and AGMIN should be included in the NBC’s annual report to agriculture ministers (</w:t>
      </w:r>
      <w:r w:rsidR="004C78E6" w:rsidRPr="00B5627A">
        <w:t>refer</w:t>
      </w:r>
      <w:r w:rsidR="00927D82" w:rsidRPr="00B5627A">
        <w:t xml:space="preserve"> </w:t>
      </w:r>
      <w:hyperlink w:anchor="Draft_recommendation_25" w:history="1">
        <w:r w:rsidR="00927D82" w:rsidRPr="00B5627A">
          <w:rPr>
            <w:rStyle w:val="Hyperlink"/>
          </w:rPr>
          <w:t>draft recommendation 25</w:t>
        </w:r>
      </w:hyperlink>
      <w:r w:rsidR="004C78E6" w:rsidRPr="004C78E6">
        <w:t>).</w:t>
      </w:r>
    </w:p>
    <w:p w14:paraId="39F0C240" w14:textId="026F0823" w:rsidR="00D97D98" w:rsidRPr="00C05E1D" w:rsidRDefault="00D97D98" w:rsidP="00C05E1D">
      <w:pPr>
        <w:pStyle w:val="BoxHeading"/>
        <w:shd w:val="clear" w:color="auto" w:fill="D9D9D9" w:themeFill="background1" w:themeFillShade="D9"/>
        <w:rPr>
          <w:sz w:val="22"/>
        </w:rPr>
      </w:pPr>
      <w:bookmarkStart w:id="104" w:name="_Toc467231865"/>
      <w:bookmarkStart w:id="105" w:name="Draft_recommendation_14"/>
      <w:r w:rsidRPr="00C05E1D">
        <w:rPr>
          <w:sz w:val="22"/>
        </w:rPr>
        <w:t>Draft recommendation</w:t>
      </w:r>
      <w:bookmarkEnd w:id="104"/>
      <w:r w:rsidR="00927D82">
        <w:rPr>
          <w:sz w:val="22"/>
        </w:rPr>
        <w:t xml:space="preserve"> 14</w:t>
      </w:r>
      <w:bookmarkEnd w:id="105"/>
      <w:r w:rsidR="00B23A05" w:rsidRPr="00C05E1D">
        <w:rPr>
          <w:noProof/>
          <w:sz w:val="22"/>
        </w:rPr>
        <w:t>:</w:t>
      </w:r>
    </w:p>
    <w:p w14:paraId="6458E3BF" w14:textId="32F01396" w:rsidR="00D97D98" w:rsidRPr="00C05E1D" w:rsidRDefault="00C92062" w:rsidP="00C05E1D">
      <w:pPr>
        <w:pStyle w:val="BoxText"/>
        <w:shd w:val="clear" w:color="auto" w:fill="D9D9D9" w:themeFill="background1" w:themeFillShade="D9"/>
        <w:rPr>
          <w:sz w:val="22"/>
        </w:rPr>
      </w:pPr>
      <w:r>
        <w:rPr>
          <w:sz w:val="22"/>
        </w:rPr>
        <w:t>The NBC</w:t>
      </w:r>
      <w:r w:rsidR="004C78E6" w:rsidRPr="00C05E1D">
        <w:rPr>
          <w:sz w:val="22"/>
          <w:lang w:eastAsia="ja-JP"/>
        </w:rPr>
        <w:t xml:space="preserve"> should </w:t>
      </w:r>
      <w:r w:rsidR="00D97D98" w:rsidRPr="00C05E1D">
        <w:rPr>
          <w:sz w:val="22"/>
          <w:lang w:eastAsia="ja-JP"/>
        </w:rPr>
        <w:t>lead</w:t>
      </w:r>
      <w:r w:rsidR="00E47DD7" w:rsidRPr="00C05E1D">
        <w:rPr>
          <w:sz w:val="22"/>
          <w:lang w:eastAsia="ja-JP"/>
        </w:rPr>
        <w:t xml:space="preserve"> five-yearly</w:t>
      </w:r>
      <w:r w:rsidR="00D97D98" w:rsidRPr="00C05E1D">
        <w:rPr>
          <w:sz w:val="22"/>
          <w:lang w:eastAsia="ja-JP"/>
        </w:rPr>
        <w:t xml:space="preserve"> national-level risk prioritisation</w:t>
      </w:r>
      <w:r w:rsidR="004C78E6" w:rsidRPr="00C05E1D">
        <w:rPr>
          <w:sz w:val="22"/>
          <w:lang w:eastAsia="ja-JP"/>
        </w:rPr>
        <w:t xml:space="preserve"> </w:t>
      </w:r>
      <w:r w:rsidR="00D97D98" w:rsidRPr="00C05E1D">
        <w:rPr>
          <w:sz w:val="22"/>
          <w:lang w:eastAsia="ja-JP"/>
        </w:rPr>
        <w:t>for emerging animal, plant and environmental risks and pathways, in partnership with system participants</w:t>
      </w:r>
      <w:r w:rsidR="00E47DD7" w:rsidRPr="00C05E1D">
        <w:rPr>
          <w:sz w:val="22"/>
          <w:lang w:eastAsia="ja-JP"/>
        </w:rPr>
        <w:t>, reporting to AGSOC and AGMIN</w:t>
      </w:r>
      <w:r w:rsidR="00D97D98" w:rsidRPr="00C05E1D">
        <w:rPr>
          <w:sz w:val="22"/>
          <w:lang w:eastAsia="ja-JP"/>
        </w:rPr>
        <w:t>.</w:t>
      </w:r>
    </w:p>
    <w:p w14:paraId="4125EFB4" w14:textId="77777777" w:rsidR="004B03F2" w:rsidRDefault="004B03F2" w:rsidP="00F61351">
      <w:pPr>
        <w:pStyle w:val="Heading3"/>
        <w:rPr>
          <w:lang w:eastAsia="ja-JP"/>
        </w:rPr>
      </w:pPr>
      <w:bookmarkStart w:id="106" w:name="_Toc469654743"/>
      <w:r>
        <w:rPr>
          <w:lang w:eastAsia="ja-JP"/>
        </w:rPr>
        <w:t>Benefits</w:t>
      </w:r>
      <w:r w:rsidR="00F61351">
        <w:rPr>
          <w:lang w:eastAsia="ja-JP"/>
        </w:rPr>
        <w:t xml:space="preserve"> and opportunities</w:t>
      </w:r>
      <w:bookmarkEnd w:id="106"/>
    </w:p>
    <w:p w14:paraId="676993A5" w14:textId="77777777" w:rsidR="00F61351" w:rsidRDefault="00F61351" w:rsidP="00F61351">
      <w:pPr>
        <w:rPr>
          <w:lang w:eastAsia="ja-JP"/>
        </w:rPr>
      </w:pPr>
      <w:r>
        <w:rPr>
          <w:lang w:eastAsia="ja-JP"/>
        </w:rPr>
        <w:t>There are significant benefits to a systematic and programmatic approach to the national pests and diseases prioritisation process:</w:t>
      </w:r>
    </w:p>
    <w:p w14:paraId="5852172D" w14:textId="32548351" w:rsidR="00F61351" w:rsidRDefault="00EB1504" w:rsidP="00F61351">
      <w:pPr>
        <w:pStyle w:val="ListBullet"/>
        <w:rPr>
          <w:lang w:eastAsia="ja-JP"/>
        </w:rPr>
      </w:pPr>
      <w:r>
        <w:rPr>
          <w:lang w:eastAsia="ja-JP"/>
        </w:rPr>
        <w:t>n</w:t>
      </w:r>
      <w:r w:rsidR="00F61351">
        <w:rPr>
          <w:lang w:eastAsia="ja-JP"/>
        </w:rPr>
        <w:t>ational clarity</w:t>
      </w:r>
      <w:r w:rsidR="0065622F">
        <w:rPr>
          <w:lang w:eastAsia="ja-JP"/>
        </w:rPr>
        <w:t>.</w:t>
      </w:r>
      <w:r w:rsidR="00F61351">
        <w:rPr>
          <w:lang w:eastAsia="ja-JP"/>
        </w:rPr>
        <w:t xml:space="preserve"> All participants in the system</w:t>
      </w:r>
      <w:r w:rsidR="004F08A9">
        <w:rPr>
          <w:lang w:eastAsia="ja-JP"/>
        </w:rPr>
        <w:t xml:space="preserve"> including the public</w:t>
      </w:r>
      <w:r w:rsidR="00F61351">
        <w:rPr>
          <w:lang w:eastAsia="ja-JP"/>
        </w:rPr>
        <w:t xml:space="preserve"> will have a clear understanding of what is important in the national system and a clearer understanding of the full suite of activities needing to be funded under the national system.</w:t>
      </w:r>
      <w:r w:rsidR="00602D9C">
        <w:rPr>
          <w:lang w:eastAsia="ja-JP"/>
        </w:rPr>
        <w:t xml:space="preserve"> </w:t>
      </w:r>
      <w:r w:rsidR="0088682F">
        <w:rPr>
          <w:lang w:eastAsia="ja-JP"/>
        </w:rPr>
        <w:t>Perhaps less helpfully in some cases, Australia’s priorities will also be clear to our trading partners, which are likely to use the</w:t>
      </w:r>
      <w:r w:rsidR="00937CA5">
        <w:rPr>
          <w:lang w:eastAsia="ja-JP"/>
        </w:rPr>
        <w:t xml:space="preserve"> information to their advantage</w:t>
      </w:r>
    </w:p>
    <w:p w14:paraId="60500B50" w14:textId="6783E83C" w:rsidR="00F61351" w:rsidRDefault="00EB1504" w:rsidP="00F61351">
      <w:pPr>
        <w:pStyle w:val="ListBullet"/>
        <w:rPr>
          <w:lang w:eastAsia="ja-JP"/>
        </w:rPr>
      </w:pPr>
      <w:r>
        <w:rPr>
          <w:lang w:eastAsia="ja-JP"/>
        </w:rPr>
        <w:t>t</w:t>
      </w:r>
      <w:r w:rsidR="00F61351">
        <w:rPr>
          <w:lang w:eastAsia="ja-JP"/>
        </w:rPr>
        <w:t>he ‘sum’ of the national</w:t>
      </w:r>
      <w:r w:rsidR="00A646B2">
        <w:rPr>
          <w:lang w:eastAsia="ja-JP"/>
        </w:rPr>
        <w:t xml:space="preserve"> biosecurity</w:t>
      </w:r>
      <w:r w:rsidR="00F61351">
        <w:rPr>
          <w:lang w:eastAsia="ja-JP"/>
        </w:rPr>
        <w:t xml:space="preserve"> system</w:t>
      </w:r>
      <w:r w:rsidR="0065622F">
        <w:rPr>
          <w:lang w:eastAsia="ja-JP"/>
        </w:rPr>
        <w:t>.</w:t>
      </w:r>
      <w:r w:rsidR="00F61351">
        <w:rPr>
          <w:lang w:eastAsia="ja-JP"/>
        </w:rPr>
        <w:t xml:space="preserve"> Th</w:t>
      </w:r>
      <w:r w:rsidR="00A646B2">
        <w:rPr>
          <w:lang w:eastAsia="ja-JP"/>
        </w:rPr>
        <w:t>e</w:t>
      </w:r>
      <w:r w:rsidR="00F61351">
        <w:rPr>
          <w:lang w:eastAsia="ja-JP"/>
        </w:rPr>
        <w:t xml:space="preserve"> proposed approach will allow a ‘rolling-up’ of the system, made up of its various components, including a national perspective on system elements such surveillance, response, research and development needs, and the total cost of these. </w:t>
      </w:r>
      <w:r w:rsidR="0088682F">
        <w:rPr>
          <w:lang w:eastAsia="ja-JP"/>
        </w:rPr>
        <w:t xml:space="preserve">While the nature of the task means that the financial commitment involved cannot be specified in advance of the prioritisation process, </w:t>
      </w:r>
      <w:r w:rsidR="0088682F">
        <w:rPr>
          <w:i/>
          <w:lang w:eastAsia="ja-JP"/>
        </w:rPr>
        <w:t>ad</w:t>
      </w:r>
      <w:r w:rsidR="008D1872">
        <w:rPr>
          <w:i/>
          <w:lang w:eastAsia="ja-JP"/>
        </w:rPr>
        <w:t xml:space="preserve"> </w:t>
      </w:r>
      <w:r w:rsidR="0088682F">
        <w:rPr>
          <w:i/>
          <w:lang w:eastAsia="ja-JP"/>
        </w:rPr>
        <w:t>hoc</w:t>
      </w:r>
      <w:r w:rsidR="0088682F">
        <w:rPr>
          <w:lang w:eastAsia="ja-JP"/>
        </w:rPr>
        <w:t xml:space="preserve"> and unstructured funding needs will be minimised. </w:t>
      </w:r>
      <w:r w:rsidR="00F61351">
        <w:rPr>
          <w:lang w:eastAsia="ja-JP"/>
        </w:rPr>
        <w:t>Over time, this process will yield significant cross-system efficiencies, as well as provide the base-level knowledge and information necessary f</w:t>
      </w:r>
      <w:r w:rsidR="0065622F">
        <w:rPr>
          <w:lang w:eastAsia="ja-JP"/>
        </w:rPr>
        <w:t>or development of, for example:</w:t>
      </w:r>
    </w:p>
    <w:p w14:paraId="79CEE077" w14:textId="314FCE79" w:rsidR="00F61351" w:rsidRDefault="00F61351" w:rsidP="00F61351">
      <w:pPr>
        <w:pStyle w:val="ListBullet2"/>
        <w:rPr>
          <w:lang w:eastAsia="ja-JP"/>
        </w:rPr>
      </w:pPr>
      <w:r>
        <w:rPr>
          <w:lang w:eastAsia="ja-JP"/>
        </w:rPr>
        <w:t>national investment strategies (</w:t>
      </w:r>
      <w:r w:rsidR="00667008">
        <w:rPr>
          <w:lang w:eastAsia="ja-JP"/>
        </w:rPr>
        <w:t>for example,</w:t>
      </w:r>
      <w:r>
        <w:rPr>
          <w:lang w:eastAsia="ja-JP"/>
        </w:rPr>
        <w:t xml:space="preserve"> for </w:t>
      </w:r>
      <w:r w:rsidR="00807740">
        <w:rPr>
          <w:lang w:eastAsia="ja-JP"/>
        </w:rPr>
        <w:t xml:space="preserve">the </w:t>
      </w:r>
      <w:r>
        <w:rPr>
          <w:lang w:eastAsia="ja-JP"/>
        </w:rPr>
        <w:t>NBC, individual jurisdictions, agricultural industries)</w:t>
      </w:r>
    </w:p>
    <w:p w14:paraId="10861E5C" w14:textId="04C67CF0" w:rsidR="00F61351" w:rsidRDefault="00F61351" w:rsidP="00F61351">
      <w:pPr>
        <w:pStyle w:val="ListBullet2"/>
        <w:rPr>
          <w:lang w:eastAsia="ja-JP"/>
        </w:rPr>
      </w:pPr>
      <w:r>
        <w:rPr>
          <w:lang w:eastAsia="ja-JP"/>
        </w:rPr>
        <w:t>national surveillance plans (</w:t>
      </w:r>
      <w:r w:rsidR="00667008">
        <w:rPr>
          <w:lang w:eastAsia="ja-JP"/>
        </w:rPr>
        <w:t>for example,</w:t>
      </w:r>
      <w:r>
        <w:rPr>
          <w:lang w:eastAsia="ja-JP"/>
        </w:rPr>
        <w:t xml:space="preserve"> for animal, plant and en</w:t>
      </w:r>
      <w:r w:rsidR="00DD7DC3">
        <w:rPr>
          <w:lang w:eastAsia="ja-JP"/>
        </w:rPr>
        <w:t xml:space="preserve">vironment; geographic regions; </w:t>
      </w:r>
      <w:r>
        <w:rPr>
          <w:lang w:eastAsia="ja-JP"/>
        </w:rPr>
        <w:t>industry, community or government; or area freedom purposes)</w:t>
      </w:r>
    </w:p>
    <w:p w14:paraId="04475CE8" w14:textId="01816E37" w:rsidR="00F61351" w:rsidRPr="004D10C7" w:rsidRDefault="00F61351" w:rsidP="00F61351">
      <w:pPr>
        <w:pStyle w:val="ListBullet2"/>
        <w:rPr>
          <w:lang w:eastAsia="ja-JP"/>
        </w:rPr>
      </w:pPr>
      <w:r w:rsidRPr="004D10C7">
        <w:rPr>
          <w:lang w:eastAsia="ja-JP"/>
        </w:rPr>
        <w:t>a national biosecurity R&amp;I plan</w:t>
      </w:r>
    </w:p>
    <w:p w14:paraId="40C3ED93" w14:textId="4C2D0482" w:rsidR="004C78E6" w:rsidRPr="004C78E6" w:rsidRDefault="004C78E6" w:rsidP="00F61351">
      <w:pPr>
        <w:pStyle w:val="ListBullet2"/>
        <w:rPr>
          <w:lang w:eastAsia="ja-JP"/>
        </w:rPr>
      </w:pPr>
      <w:r w:rsidRPr="004C78E6">
        <w:rPr>
          <w:lang w:eastAsia="ja-JP"/>
        </w:rPr>
        <w:t>a national perspective on all pathways</w:t>
      </w:r>
      <w:r>
        <w:rPr>
          <w:lang w:eastAsia="ja-JP"/>
        </w:rPr>
        <w:t xml:space="preserve"> </w:t>
      </w:r>
      <w:r w:rsidR="00937CA5">
        <w:rPr>
          <w:lang w:eastAsia="ja-JP"/>
        </w:rPr>
        <w:t>for exotic pests and diseases</w:t>
      </w:r>
    </w:p>
    <w:p w14:paraId="377DEA35" w14:textId="49D5218E" w:rsidR="00F61351" w:rsidRDefault="00602D9C" w:rsidP="00F61351">
      <w:pPr>
        <w:pStyle w:val="ListBullet"/>
        <w:rPr>
          <w:lang w:eastAsia="ja-JP"/>
        </w:rPr>
      </w:pPr>
      <w:r>
        <w:rPr>
          <w:lang w:eastAsia="ja-JP"/>
        </w:rPr>
        <w:lastRenderedPageBreak/>
        <w:t>enhance</w:t>
      </w:r>
      <w:r w:rsidR="00AC7D96">
        <w:rPr>
          <w:lang w:eastAsia="ja-JP"/>
        </w:rPr>
        <w:t xml:space="preserve"> market access</w:t>
      </w:r>
      <w:r>
        <w:rPr>
          <w:lang w:eastAsia="ja-JP"/>
        </w:rPr>
        <w:t xml:space="preserve"> work</w:t>
      </w:r>
      <w:r w:rsidR="0065622F">
        <w:rPr>
          <w:lang w:eastAsia="ja-JP"/>
        </w:rPr>
        <w:t>.</w:t>
      </w:r>
      <w:r w:rsidR="00AC7D96">
        <w:rPr>
          <w:lang w:eastAsia="ja-JP"/>
        </w:rPr>
        <w:t xml:space="preserve"> G</w:t>
      </w:r>
      <w:r w:rsidR="00F61351">
        <w:rPr>
          <w:lang w:eastAsia="ja-JP"/>
        </w:rPr>
        <w:t>iving greater focus to priority</w:t>
      </w:r>
      <w:r w:rsidR="00A646B2">
        <w:rPr>
          <w:lang w:eastAsia="ja-JP"/>
        </w:rPr>
        <w:t xml:space="preserve"> </w:t>
      </w:r>
      <w:r w:rsidR="00A646B2" w:rsidRPr="004C78E6">
        <w:rPr>
          <w:lang w:eastAsia="ja-JP"/>
        </w:rPr>
        <w:t>exotic</w:t>
      </w:r>
      <w:r w:rsidR="00F61351" w:rsidRPr="004C78E6">
        <w:rPr>
          <w:lang w:eastAsia="ja-JP"/>
        </w:rPr>
        <w:t xml:space="preserve"> p</w:t>
      </w:r>
      <w:r w:rsidR="00F61351">
        <w:rPr>
          <w:lang w:eastAsia="ja-JP"/>
        </w:rPr>
        <w:t>ests and diseases (including those with significant adverse economic impacts) will help align activities such as surveillance with Australia’s trade and market access priorities—</w:t>
      </w:r>
      <w:r w:rsidR="00A646B2">
        <w:rPr>
          <w:lang w:eastAsia="ja-JP"/>
        </w:rPr>
        <w:t>the</w:t>
      </w:r>
      <w:r w:rsidR="00F61351">
        <w:rPr>
          <w:lang w:eastAsia="ja-JP"/>
        </w:rPr>
        <w:t xml:space="preserve"> national system will be better prepared to generate evidence to underpin Australia’s cla</w:t>
      </w:r>
      <w:r w:rsidR="00937CA5">
        <w:rPr>
          <w:lang w:eastAsia="ja-JP"/>
        </w:rPr>
        <w:t>ims of absence and area freedom</w:t>
      </w:r>
    </w:p>
    <w:p w14:paraId="748EC9DE" w14:textId="779E92F5" w:rsidR="00F61351" w:rsidRDefault="00EB1504" w:rsidP="00F61351">
      <w:pPr>
        <w:pStyle w:val="ListBullet"/>
        <w:rPr>
          <w:lang w:eastAsia="ja-JP"/>
        </w:rPr>
      </w:pPr>
      <w:r>
        <w:rPr>
          <w:lang w:eastAsia="ja-JP"/>
        </w:rPr>
        <w:t>r</w:t>
      </w:r>
      <w:r w:rsidR="00F61351">
        <w:rPr>
          <w:lang w:eastAsia="ja-JP"/>
        </w:rPr>
        <w:t>esource allocation</w:t>
      </w:r>
      <w:r w:rsidR="0065622F">
        <w:rPr>
          <w:lang w:eastAsia="ja-JP"/>
        </w:rPr>
        <w:t>.</w:t>
      </w:r>
      <w:r w:rsidR="00F61351">
        <w:rPr>
          <w:lang w:eastAsia="ja-JP"/>
        </w:rPr>
        <w:t xml:space="preserve"> Consistent with the IGAB principles, the finite resources within the national system will give a greater return if focussed on exotic pests and diseases that will negatively impact the national economy, national industries, the</w:t>
      </w:r>
      <w:r w:rsidR="00937CA5">
        <w:rPr>
          <w:lang w:eastAsia="ja-JP"/>
        </w:rPr>
        <w:t xml:space="preserve"> environment and social amenity</w:t>
      </w:r>
    </w:p>
    <w:p w14:paraId="24E348F4" w14:textId="46F532E2" w:rsidR="00F61351" w:rsidRDefault="00EB1504" w:rsidP="00F61351">
      <w:pPr>
        <w:pStyle w:val="ListBullet"/>
        <w:rPr>
          <w:lang w:eastAsia="ja-JP"/>
        </w:rPr>
      </w:pPr>
      <w:r>
        <w:rPr>
          <w:lang w:eastAsia="ja-JP"/>
        </w:rPr>
        <w:t>r</w:t>
      </w:r>
      <w:r w:rsidR="00F61351">
        <w:rPr>
          <w:lang w:eastAsia="ja-JP"/>
        </w:rPr>
        <w:t>esource sharing</w:t>
      </w:r>
      <w:r w:rsidR="0065622F">
        <w:rPr>
          <w:lang w:eastAsia="ja-JP"/>
        </w:rPr>
        <w:t>.</w:t>
      </w:r>
      <w:r w:rsidR="00F61351">
        <w:rPr>
          <w:lang w:eastAsia="ja-JP"/>
        </w:rPr>
        <w:t xml:space="preserve"> There will be better identification of resource-sharing opportunities for managing national </w:t>
      </w:r>
      <w:r w:rsidR="00F61351" w:rsidRPr="004C78E6">
        <w:rPr>
          <w:lang w:eastAsia="ja-JP"/>
        </w:rPr>
        <w:t>priority</w:t>
      </w:r>
      <w:r w:rsidR="00A646B2" w:rsidRPr="004C78E6">
        <w:rPr>
          <w:lang w:eastAsia="ja-JP"/>
        </w:rPr>
        <w:t xml:space="preserve"> exotic</w:t>
      </w:r>
      <w:r w:rsidR="00F61351" w:rsidRPr="004C78E6">
        <w:rPr>
          <w:lang w:eastAsia="ja-JP"/>
        </w:rPr>
        <w:t xml:space="preserve"> pests</w:t>
      </w:r>
      <w:r w:rsidR="00F61351">
        <w:rPr>
          <w:lang w:eastAsia="ja-JP"/>
        </w:rPr>
        <w:t xml:space="preserve"> and diseases. For example, resources, such as laboratories, used by the Australian Government’s Northern Australian Quarantine Strategy (NAQS) could be better shared with the governments of Queensland, Western Austr</w:t>
      </w:r>
      <w:r w:rsidR="00937CA5">
        <w:rPr>
          <w:lang w:eastAsia="ja-JP"/>
        </w:rPr>
        <w:t>alia and the Northern Territory</w:t>
      </w:r>
    </w:p>
    <w:p w14:paraId="3E72837F" w14:textId="73EA15EB" w:rsidR="00F61351" w:rsidRDefault="00EB1504" w:rsidP="00F61351">
      <w:pPr>
        <w:pStyle w:val="ListBullet"/>
        <w:rPr>
          <w:lang w:eastAsia="ja-JP"/>
        </w:rPr>
      </w:pPr>
      <w:r>
        <w:rPr>
          <w:lang w:eastAsia="ja-JP"/>
        </w:rPr>
        <w:t>j</w:t>
      </w:r>
      <w:r w:rsidR="00F61351">
        <w:rPr>
          <w:lang w:eastAsia="ja-JP"/>
        </w:rPr>
        <w:t>urisdictional collaboration</w:t>
      </w:r>
      <w:r w:rsidR="0065622F">
        <w:rPr>
          <w:lang w:eastAsia="ja-JP"/>
        </w:rPr>
        <w:t>.</w:t>
      </w:r>
      <w:r w:rsidR="00F61351">
        <w:rPr>
          <w:lang w:eastAsia="ja-JP"/>
        </w:rPr>
        <w:t xml:space="preserve"> Addressing agreed national priority risks will focus national effort from across all jurisdictions, creating formal opportunities for collaboration and sha</w:t>
      </w:r>
      <w:r w:rsidR="00937CA5">
        <w:rPr>
          <w:lang w:eastAsia="ja-JP"/>
        </w:rPr>
        <w:t>ring of resources and expertise</w:t>
      </w:r>
    </w:p>
    <w:p w14:paraId="4A2B6438" w14:textId="030B3B52" w:rsidR="00F61351" w:rsidRDefault="00EB1504" w:rsidP="00F61351">
      <w:pPr>
        <w:pStyle w:val="ListBullet"/>
        <w:rPr>
          <w:lang w:eastAsia="ja-JP"/>
        </w:rPr>
      </w:pPr>
      <w:r>
        <w:rPr>
          <w:lang w:eastAsia="ja-JP"/>
        </w:rPr>
        <w:t>r</w:t>
      </w:r>
      <w:r w:rsidR="00F61351">
        <w:rPr>
          <w:lang w:eastAsia="ja-JP"/>
        </w:rPr>
        <w:t>esearch to address gaps</w:t>
      </w:r>
      <w:r w:rsidR="0065622F">
        <w:rPr>
          <w:lang w:eastAsia="ja-JP"/>
        </w:rPr>
        <w:t>.</w:t>
      </w:r>
      <w:r w:rsidR="00F61351">
        <w:rPr>
          <w:lang w:eastAsia="ja-JP"/>
        </w:rPr>
        <w:t xml:space="preserve"> Gaps identified in managing national priority pests and diseases will receive significant focus above other competing areas of the system. Further, there will be a clear national system priority focus to research and opportunities for technological innovation to address and improve national system gaps and priorities; research and innovation is discussed further in </w:t>
      </w:r>
      <w:hyperlink w:anchor="_Research_and_innovation" w:history="1">
        <w:r w:rsidR="00F61351" w:rsidRPr="00DE6C31">
          <w:rPr>
            <w:rStyle w:val="Hyperlink"/>
            <w:lang w:eastAsia="ja-JP"/>
          </w:rPr>
          <w:t>Chapter 6</w:t>
        </w:r>
      </w:hyperlink>
    </w:p>
    <w:p w14:paraId="7DB0A450" w14:textId="5C80B9B8" w:rsidR="00F61351" w:rsidRDefault="00EB1504" w:rsidP="00F61351">
      <w:pPr>
        <w:pStyle w:val="ListBullet"/>
        <w:rPr>
          <w:lang w:eastAsia="ja-JP"/>
        </w:rPr>
      </w:pPr>
      <w:r>
        <w:rPr>
          <w:lang w:eastAsia="ja-JP"/>
        </w:rPr>
        <w:t>s</w:t>
      </w:r>
      <w:r w:rsidR="00F61351">
        <w:rPr>
          <w:lang w:eastAsia="ja-JP"/>
        </w:rPr>
        <w:t>haring responsibility</w:t>
      </w:r>
      <w:r w:rsidR="0065622F">
        <w:rPr>
          <w:lang w:eastAsia="ja-JP"/>
        </w:rPr>
        <w:t>.</w:t>
      </w:r>
      <w:r w:rsidR="00F61351">
        <w:rPr>
          <w:lang w:eastAsia="ja-JP"/>
        </w:rPr>
        <w:t xml:space="preserve"> Involving the relevant system participants in the development of these programs will achieve a clearer understanding of how the individual components of the system can be better shared by its participants. Identifying a role for industry and community members will help give ‘shared responsibility’ a practical focus. Plans developed that outline responsibilities and costs should </w:t>
      </w:r>
      <w:r w:rsidR="00937CA5">
        <w:rPr>
          <w:lang w:eastAsia="ja-JP"/>
        </w:rPr>
        <w:t>be based on a standard template</w:t>
      </w:r>
    </w:p>
    <w:p w14:paraId="7C9C8772" w14:textId="7491D6F3" w:rsidR="004B03F2" w:rsidRDefault="00EB1504" w:rsidP="00F61351">
      <w:pPr>
        <w:pStyle w:val="ListBullet"/>
        <w:rPr>
          <w:lang w:eastAsia="ja-JP"/>
        </w:rPr>
      </w:pPr>
      <w:r>
        <w:rPr>
          <w:lang w:eastAsia="ja-JP"/>
        </w:rPr>
        <w:t>a</w:t>
      </w:r>
      <w:r w:rsidR="00F61351">
        <w:rPr>
          <w:lang w:eastAsia="ja-JP"/>
        </w:rPr>
        <w:t>ddressing concerns raised</w:t>
      </w:r>
      <w:r w:rsidR="0065622F">
        <w:rPr>
          <w:lang w:eastAsia="ja-JP"/>
        </w:rPr>
        <w:t>.</w:t>
      </w:r>
      <w:r w:rsidR="00F61351">
        <w:rPr>
          <w:lang w:eastAsia="ja-JP"/>
        </w:rPr>
        <w:t xml:space="preserve"> This prioritisation process and activity planning approach proposed by th</w:t>
      </w:r>
      <w:r w:rsidR="00A646B2">
        <w:rPr>
          <w:lang w:eastAsia="ja-JP"/>
        </w:rPr>
        <w:t>is</w:t>
      </w:r>
      <w:r w:rsidR="00F61351">
        <w:rPr>
          <w:lang w:eastAsia="ja-JP"/>
        </w:rPr>
        <w:t xml:space="preserve"> Review Panel will help respond to the many comments received by the Review Panel in relation to the fragmented nature of the system and its activities, and around declining resources allocated to</w:t>
      </w:r>
      <w:r w:rsidR="008D1872">
        <w:rPr>
          <w:lang w:eastAsia="ja-JP"/>
        </w:rPr>
        <w:t>,</w:t>
      </w:r>
      <w:r w:rsidR="00F61351">
        <w:rPr>
          <w:lang w:eastAsia="ja-JP"/>
        </w:rPr>
        <w:t xml:space="preserve"> and capability</w:t>
      </w:r>
      <w:r w:rsidR="008D1872">
        <w:rPr>
          <w:lang w:eastAsia="ja-JP"/>
        </w:rPr>
        <w:t>,</w:t>
      </w:r>
      <w:r w:rsidR="00F61351">
        <w:rPr>
          <w:lang w:eastAsia="ja-JP"/>
        </w:rPr>
        <w:t xml:space="preserve"> in surveillance and diagnostics.</w:t>
      </w:r>
    </w:p>
    <w:p w14:paraId="0BB59FAB" w14:textId="77777777" w:rsidR="00561771" w:rsidRDefault="00561771" w:rsidP="00561771">
      <w:pPr>
        <w:pStyle w:val="Heading2"/>
      </w:pPr>
      <w:bookmarkStart w:id="107" w:name="_Research_and_innovation"/>
      <w:bookmarkStart w:id="108" w:name="_Toc469654744"/>
      <w:bookmarkEnd w:id="107"/>
      <w:r>
        <w:lastRenderedPageBreak/>
        <w:t>Research and innovation</w:t>
      </w:r>
      <w:bookmarkEnd w:id="108"/>
    </w:p>
    <w:p w14:paraId="51BB073C" w14:textId="77777777" w:rsidR="004B03F2" w:rsidRPr="008E006E" w:rsidRDefault="004B03F2" w:rsidP="004B03F2">
      <w:pPr>
        <w:pStyle w:val="BoxHeading"/>
        <w:rPr>
          <w:sz w:val="22"/>
          <w:lang w:eastAsia="ja-JP"/>
        </w:rPr>
      </w:pPr>
      <w:r w:rsidRPr="008E006E">
        <w:rPr>
          <w:sz w:val="22"/>
          <w:lang w:eastAsia="ja-JP"/>
        </w:rPr>
        <w:t>Key points</w:t>
      </w:r>
    </w:p>
    <w:p w14:paraId="0F1177C5" w14:textId="77777777" w:rsidR="00B34EB0" w:rsidRPr="008E006E" w:rsidRDefault="00B34EB0" w:rsidP="00B34EB0">
      <w:pPr>
        <w:pStyle w:val="BoxTextBullet"/>
        <w:rPr>
          <w:sz w:val="22"/>
          <w:lang w:eastAsia="ja-JP"/>
        </w:rPr>
      </w:pPr>
      <w:r w:rsidRPr="008E006E">
        <w:rPr>
          <w:sz w:val="22"/>
          <w:lang w:eastAsia="ja-JP"/>
        </w:rPr>
        <w:t>Research and innovation (R&amp;I) underpin Australia's science-based approach to biosecurity.</w:t>
      </w:r>
    </w:p>
    <w:p w14:paraId="2C2C746B" w14:textId="77777777" w:rsidR="00B34EB0" w:rsidRPr="008E006E" w:rsidRDefault="00B34EB0" w:rsidP="00B34EB0">
      <w:pPr>
        <w:pStyle w:val="BoxTextBullet"/>
        <w:rPr>
          <w:sz w:val="22"/>
          <w:lang w:eastAsia="ja-JP"/>
        </w:rPr>
      </w:pPr>
      <w:r w:rsidRPr="008E006E">
        <w:rPr>
          <w:sz w:val="22"/>
          <w:lang w:eastAsia="ja-JP"/>
        </w:rPr>
        <w:t>There is no lead agency, national prioritisation process or coordination for biosecurity R&amp;I in Australia. Multiple funders and providers are involved in these activities, with the role of some players unclear.</w:t>
      </w:r>
    </w:p>
    <w:p w14:paraId="407AFB06" w14:textId="77777777" w:rsidR="00B34EB0" w:rsidRPr="008E006E" w:rsidRDefault="004F08A9" w:rsidP="00B34EB0">
      <w:pPr>
        <w:pStyle w:val="BoxTextBullet"/>
        <w:rPr>
          <w:sz w:val="22"/>
          <w:lang w:eastAsia="ja-JP"/>
        </w:rPr>
      </w:pPr>
      <w:r w:rsidRPr="008E006E">
        <w:rPr>
          <w:sz w:val="22"/>
          <w:lang w:eastAsia="ja-JP"/>
        </w:rPr>
        <w:t xml:space="preserve">A </w:t>
      </w:r>
      <w:r w:rsidR="00D1739D" w:rsidRPr="008E006E">
        <w:rPr>
          <w:sz w:val="22"/>
          <w:lang w:eastAsia="ja-JP"/>
        </w:rPr>
        <w:t>n</w:t>
      </w:r>
      <w:r w:rsidR="00B34EB0" w:rsidRPr="008E006E">
        <w:rPr>
          <w:sz w:val="22"/>
          <w:lang w:eastAsia="ja-JP"/>
        </w:rPr>
        <w:t>um</w:t>
      </w:r>
      <w:r w:rsidRPr="008E006E">
        <w:rPr>
          <w:sz w:val="22"/>
          <w:lang w:eastAsia="ja-JP"/>
        </w:rPr>
        <w:t>b</w:t>
      </w:r>
      <w:r w:rsidR="00B34EB0" w:rsidRPr="008E006E">
        <w:rPr>
          <w:sz w:val="22"/>
          <w:lang w:eastAsia="ja-JP"/>
        </w:rPr>
        <w:t>er</w:t>
      </w:r>
      <w:r w:rsidRPr="008E006E">
        <w:rPr>
          <w:sz w:val="22"/>
          <w:lang w:eastAsia="ja-JP"/>
        </w:rPr>
        <w:t xml:space="preserve"> of</w:t>
      </w:r>
      <w:r w:rsidR="00B34EB0" w:rsidRPr="008E006E">
        <w:rPr>
          <w:sz w:val="22"/>
          <w:lang w:eastAsia="ja-JP"/>
        </w:rPr>
        <w:t xml:space="preserve"> existing national biosecurity R&amp;I strategies are not able to provide sufficient clarity to reflect the priority needs of the national biosecurity system.</w:t>
      </w:r>
    </w:p>
    <w:p w14:paraId="48FCD9F7" w14:textId="53731596" w:rsidR="00B34EB0" w:rsidRPr="008E006E" w:rsidRDefault="00B34EB0" w:rsidP="00B34EB0">
      <w:pPr>
        <w:pStyle w:val="BoxTextBullet"/>
        <w:rPr>
          <w:sz w:val="22"/>
          <w:lang w:eastAsia="ja-JP"/>
        </w:rPr>
      </w:pPr>
      <w:r w:rsidRPr="008E006E">
        <w:rPr>
          <w:sz w:val="22"/>
          <w:lang w:eastAsia="ja-JP"/>
        </w:rPr>
        <w:t xml:space="preserve">Environmental biosecurity </w:t>
      </w:r>
      <w:r w:rsidR="008D1872">
        <w:rPr>
          <w:sz w:val="22"/>
          <w:lang w:eastAsia="ja-JP"/>
        </w:rPr>
        <w:t>ha</w:t>
      </w:r>
      <w:r w:rsidRPr="008E006E">
        <w:rPr>
          <w:sz w:val="22"/>
          <w:lang w:eastAsia="ja-JP"/>
        </w:rPr>
        <w:t>s</w:t>
      </w:r>
      <w:r w:rsidR="008D1872">
        <w:rPr>
          <w:sz w:val="22"/>
          <w:lang w:eastAsia="ja-JP"/>
        </w:rPr>
        <w:t xml:space="preserve"> been</w:t>
      </w:r>
      <w:r w:rsidRPr="008E006E">
        <w:rPr>
          <w:sz w:val="22"/>
          <w:lang w:eastAsia="ja-JP"/>
        </w:rPr>
        <w:t xml:space="preserve"> a significant research gap</w:t>
      </w:r>
      <w:r w:rsidR="003E150D">
        <w:rPr>
          <w:sz w:val="22"/>
          <w:lang w:eastAsia="ja-JP"/>
        </w:rPr>
        <w:t>.</w:t>
      </w:r>
      <w:r w:rsidRPr="008E006E">
        <w:rPr>
          <w:sz w:val="22"/>
          <w:lang w:eastAsia="ja-JP"/>
        </w:rPr>
        <w:t xml:space="preserve"> </w:t>
      </w:r>
    </w:p>
    <w:p w14:paraId="2742A8D5" w14:textId="77777777" w:rsidR="00B34EB0" w:rsidRPr="008E006E" w:rsidRDefault="004D10C7" w:rsidP="00B34EB0">
      <w:pPr>
        <w:pStyle w:val="BoxTextBullet"/>
        <w:rPr>
          <w:sz w:val="22"/>
          <w:lang w:eastAsia="ja-JP"/>
        </w:rPr>
      </w:pPr>
      <w:r w:rsidRPr="008E006E">
        <w:rPr>
          <w:sz w:val="22"/>
          <w:lang w:eastAsia="ja-JP"/>
        </w:rPr>
        <w:t>New national biosecurity R&amp;I priorities and a</w:t>
      </w:r>
      <w:r w:rsidR="00B34EB0" w:rsidRPr="008E006E">
        <w:rPr>
          <w:sz w:val="22"/>
          <w:lang w:eastAsia="ja-JP"/>
        </w:rPr>
        <w:t xml:space="preserve"> new national </w:t>
      </w:r>
      <w:r w:rsidR="006B194D" w:rsidRPr="008E006E">
        <w:rPr>
          <w:sz w:val="22"/>
          <w:lang w:eastAsia="ja-JP"/>
        </w:rPr>
        <w:t xml:space="preserve">entity for cross-sectoral </w:t>
      </w:r>
      <w:r w:rsidR="00B34EB0" w:rsidRPr="008E006E">
        <w:rPr>
          <w:sz w:val="22"/>
          <w:lang w:eastAsia="ja-JP"/>
        </w:rPr>
        <w:t>biosecurity R&amp;I</w:t>
      </w:r>
      <w:r w:rsidR="006B194D" w:rsidRPr="008E006E">
        <w:rPr>
          <w:sz w:val="22"/>
          <w:lang w:eastAsia="ja-JP"/>
        </w:rPr>
        <w:t xml:space="preserve"> </w:t>
      </w:r>
      <w:r w:rsidR="00B34EB0" w:rsidRPr="008E006E">
        <w:rPr>
          <w:sz w:val="22"/>
          <w:lang w:eastAsia="ja-JP"/>
        </w:rPr>
        <w:t>w</w:t>
      </w:r>
      <w:r w:rsidRPr="008E006E">
        <w:rPr>
          <w:sz w:val="22"/>
          <w:lang w:eastAsia="ja-JP"/>
        </w:rPr>
        <w:t>ould</w:t>
      </w:r>
      <w:r w:rsidR="00B34EB0" w:rsidRPr="008E006E">
        <w:rPr>
          <w:sz w:val="22"/>
          <w:lang w:eastAsia="ja-JP"/>
        </w:rPr>
        <w:t xml:space="preserve"> help provide leadership and coordination and better target investment.</w:t>
      </w:r>
    </w:p>
    <w:p w14:paraId="4353AD86" w14:textId="77777777" w:rsidR="004B03F2" w:rsidRDefault="004B03F2" w:rsidP="008E13D2">
      <w:pPr>
        <w:pStyle w:val="Heading3"/>
        <w:rPr>
          <w:lang w:eastAsia="ja-JP"/>
        </w:rPr>
      </w:pPr>
      <w:bookmarkStart w:id="109" w:name="_Toc469654745"/>
      <w:r>
        <w:rPr>
          <w:lang w:eastAsia="ja-JP"/>
        </w:rPr>
        <w:t>The key role of biosecurity</w:t>
      </w:r>
      <w:r w:rsidR="00E73DA4">
        <w:rPr>
          <w:lang w:eastAsia="ja-JP"/>
        </w:rPr>
        <w:t xml:space="preserve"> R&amp;I</w:t>
      </w:r>
      <w:bookmarkEnd w:id="109"/>
    </w:p>
    <w:p w14:paraId="7C34C5B8" w14:textId="4D7EDCA9" w:rsidR="00E73DA4" w:rsidRDefault="003E18FB" w:rsidP="00E73DA4">
      <w:pPr>
        <w:rPr>
          <w:lang w:eastAsia="ja-JP"/>
        </w:rPr>
      </w:pPr>
      <w:r>
        <w:rPr>
          <w:lang w:eastAsia="ja-JP"/>
        </w:rPr>
        <w:t>Innovation driven by r</w:t>
      </w:r>
      <w:r w:rsidR="00E73DA4">
        <w:rPr>
          <w:lang w:eastAsia="ja-JP"/>
        </w:rPr>
        <w:t>esearch, development and extension is vital to Australia’s scientific, risk-based approach to biosecurity. Research outcomes inform decisions of governments and industry, and help to improve the efficiency of biosecurity operations, maintain Australia’s favourable pest and disease status (through the ongoing development and application of science-based measures), and ensure an adequate scientific and technical capacity is maintained.</w:t>
      </w:r>
    </w:p>
    <w:p w14:paraId="0F920E18" w14:textId="1DF32AAD" w:rsidR="00E73DA4" w:rsidRDefault="00E73DA4" w:rsidP="00E73DA4">
      <w:pPr>
        <w:rPr>
          <w:lang w:eastAsia="ja-JP"/>
        </w:rPr>
      </w:pPr>
      <w:r>
        <w:rPr>
          <w:lang w:eastAsia="ja-JP"/>
        </w:rPr>
        <w:t xml:space="preserve">New and more innovative ways of undertaking biosecurity activities are needed now and into the future to ensure a robust, responsive and affordable national biosecurity system. Future biosecurity </w:t>
      </w:r>
      <w:r w:rsidR="003E18FB">
        <w:rPr>
          <w:lang w:eastAsia="ja-JP"/>
        </w:rPr>
        <w:t>research and innovation (</w:t>
      </w:r>
      <w:r>
        <w:rPr>
          <w:lang w:eastAsia="ja-JP"/>
        </w:rPr>
        <w:t>R&amp;I</w:t>
      </w:r>
      <w:r w:rsidR="003E18FB">
        <w:rPr>
          <w:lang w:eastAsia="ja-JP"/>
        </w:rPr>
        <w:t>)</w:t>
      </w:r>
      <w:r>
        <w:rPr>
          <w:lang w:eastAsia="ja-JP"/>
        </w:rPr>
        <w:t xml:space="preserve"> investment must be directed at identified research priorities and gaps in line with the pest and disease prioritisation process proposed by this </w:t>
      </w:r>
      <w:r w:rsidR="00CD2011">
        <w:rPr>
          <w:lang w:eastAsia="ja-JP"/>
        </w:rPr>
        <w:t>R</w:t>
      </w:r>
      <w:r>
        <w:rPr>
          <w:lang w:eastAsia="ja-JP"/>
        </w:rPr>
        <w:t>eview.</w:t>
      </w:r>
    </w:p>
    <w:p w14:paraId="71337812" w14:textId="77777777" w:rsidR="00E73DA4" w:rsidRDefault="00E73DA4" w:rsidP="00E73DA4">
      <w:pPr>
        <w:rPr>
          <w:lang w:eastAsia="ja-JP"/>
        </w:rPr>
      </w:pPr>
      <w:r>
        <w:rPr>
          <w:lang w:eastAsia="ja-JP"/>
        </w:rPr>
        <w:t>Targeting investment to technological innovations has the potential to generate significant benefits for the national biosecurity system, covering the range of activities across the national system such as surveillance, monitoring, laboratory diagnosis, data sharing and analytics. This could include helping to reduce the cost of typically high-cost activities (such as surveillance</w:t>
      </w:r>
      <w:r w:rsidR="009D6AFF">
        <w:rPr>
          <w:lang w:eastAsia="ja-JP"/>
        </w:rPr>
        <w:t xml:space="preserve">, </w:t>
      </w:r>
      <w:r w:rsidR="009D6AFF">
        <w:rPr>
          <w:lang w:eastAsia="ja-JP"/>
        </w:rPr>
        <w:fldChar w:fldCharType="begin"/>
      </w:r>
      <w:r w:rsidR="009D6AFF">
        <w:rPr>
          <w:lang w:eastAsia="ja-JP"/>
        </w:rPr>
        <w:instrText xml:space="preserve"> REF _Ref467500964 \h </w:instrText>
      </w:r>
      <w:r w:rsidR="009D6AFF">
        <w:rPr>
          <w:lang w:eastAsia="ja-JP"/>
        </w:rPr>
      </w:r>
      <w:r w:rsidR="009D6AFF">
        <w:rPr>
          <w:lang w:eastAsia="ja-JP"/>
        </w:rPr>
        <w:fldChar w:fldCharType="separate"/>
      </w:r>
      <w:r w:rsidR="008303E2">
        <w:t xml:space="preserve">Box </w:t>
      </w:r>
      <w:r w:rsidR="008303E2">
        <w:rPr>
          <w:noProof/>
        </w:rPr>
        <w:t>6</w:t>
      </w:r>
      <w:r w:rsidR="009D6AFF">
        <w:rPr>
          <w:lang w:eastAsia="ja-JP"/>
        </w:rPr>
        <w:fldChar w:fldCharType="end"/>
      </w:r>
      <w:r>
        <w:rPr>
          <w:lang w:eastAsia="ja-JP"/>
        </w:rPr>
        <w:t>), and improve early detection of exotic pests and diseases to increase the likelihood of eradication (thereby avoiding the high costs associated with subsequent containment or management measures).</w:t>
      </w:r>
    </w:p>
    <w:p w14:paraId="5E924412" w14:textId="77777777" w:rsidR="008E13D2" w:rsidRDefault="008E13D2" w:rsidP="00C37FD8">
      <w:pPr>
        <w:pStyle w:val="BoxHeading"/>
        <w:rPr>
          <w:lang w:eastAsia="ja-JP"/>
        </w:rPr>
      </w:pPr>
      <w:bookmarkStart w:id="110" w:name="_Ref467500964"/>
      <w:bookmarkStart w:id="111" w:name="_Toc468176750"/>
      <w:bookmarkStart w:id="112" w:name="_Toc468444399"/>
      <w:r>
        <w:t xml:space="preserve">Box </w:t>
      </w:r>
      <w:r w:rsidR="008303E2">
        <w:fldChar w:fldCharType="begin"/>
      </w:r>
      <w:r w:rsidR="008303E2">
        <w:instrText xml:space="preserve"> SEQ Box \* ARABIC </w:instrText>
      </w:r>
      <w:r w:rsidR="008303E2">
        <w:fldChar w:fldCharType="separate"/>
      </w:r>
      <w:r w:rsidR="008303E2">
        <w:rPr>
          <w:noProof/>
        </w:rPr>
        <w:t>6</w:t>
      </w:r>
      <w:r w:rsidR="008303E2">
        <w:rPr>
          <w:noProof/>
        </w:rPr>
        <w:fldChar w:fldCharType="end"/>
      </w:r>
      <w:bookmarkEnd w:id="110"/>
      <w:r w:rsidR="003F76E1">
        <w:t>:</w:t>
      </w:r>
      <w:r>
        <w:t xml:space="preserve"> Environmental DNA (eDNA) water sampling for Tilapia species</w:t>
      </w:r>
      <w:bookmarkEnd w:id="111"/>
      <w:bookmarkEnd w:id="112"/>
    </w:p>
    <w:p w14:paraId="2C4A585B" w14:textId="5CD98BB1" w:rsidR="00E73DA4" w:rsidRPr="0079600F" w:rsidRDefault="00E73DA4" w:rsidP="0079600F">
      <w:pPr>
        <w:pStyle w:val="BoxText"/>
      </w:pPr>
      <w:r>
        <w:rPr>
          <w:lang w:eastAsia="ja-JP"/>
        </w:rPr>
        <w:t>Tilapia, a popular aquarium fish, were illegally introduced into Australian waterways in the 1970s. Two species—Mozambique Tilapia (</w:t>
      </w:r>
      <w:r w:rsidRPr="00E73DA4">
        <w:rPr>
          <w:i/>
          <w:lang w:eastAsia="ja-JP"/>
        </w:rPr>
        <w:t>Oreochromis mossambicus</w:t>
      </w:r>
      <w:r>
        <w:rPr>
          <w:lang w:eastAsia="ja-JP"/>
        </w:rPr>
        <w:t>) and Spotted Tilapia (</w:t>
      </w:r>
      <w:r w:rsidRPr="00E73DA4">
        <w:rPr>
          <w:i/>
          <w:lang w:eastAsia="ja-JP"/>
        </w:rPr>
        <w:t>Tilapia mariae</w:t>
      </w:r>
      <w:r>
        <w:rPr>
          <w:lang w:eastAsia="ja-JP"/>
        </w:rPr>
        <w:t>)—have established populations in various sites in Queensla</w:t>
      </w:r>
      <w:r w:rsidR="00C40FF5">
        <w:rPr>
          <w:lang w:eastAsia="ja-JP"/>
        </w:rPr>
        <w:t>nd, Victoria, Western Australia</w:t>
      </w:r>
      <w:r>
        <w:rPr>
          <w:lang w:eastAsia="ja-JP"/>
        </w:rPr>
        <w:t xml:space="preserve"> and on the NSW far north coast. Populations of Mozambique Tilapia in southern Queensland are as little as </w:t>
      </w:r>
      <w:r w:rsidR="00C23D98">
        <w:rPr>
          <w:lang w:eastAsia="ja-JP"/>
        </w:rPr>
        <w:t>three</w:t>
      </w:r>
      <w:r>
        <w:rPr>
          <w:lang w:eastAsia="ja-JP"/>
        </w:rPr>
        <w:t xml:space="preserve"> </w:t>
      </w:r>
      <w:r w:rsidR="00501B4A">
        <w:rPr>
          <w:lang w:eastAsia="ja-JP"/>
        </w:rPr>
        <w:t>kilometres</w:t>
      </w:r>
      <w:r>
        <w:rPr>
          <w:lang w:eastAsia="ja-JP"/>
        </w:rPr>
        <w:t xml:space="preserve"> from the Murray-Darling Basin, and pose a significant threat to the native fish of the </w:t>
      </w:r>
      <w:r w:rsidRPr="00680893">
        <w:rPr>
          <w:lang w:eastAsia="ja-JP"/>
        </w:rPr>
        <w:t>basin (</w:t>
      </w:r>
      <w:hyperlink w:anchor="Hutchison_et_al_2012" w:history="1">
        <w:r w:rsidRPr="00927D82">
          <w:rPr>
            <w:rStyle w:val="Hyperlink"/>
          </w:rPr>
          <w:t>Hutchison et al. 2012</w:t>
        </w:r>
      </w:hyperlink>
      <w:r w:rsidRPr="00680893">
        <w:rPr>
          <w:lang w:eastAsia="ja-JP"/>
        </w:rPr>
        <w:t xml:space="preserve">). The biological and behavioural characteristics of tilapia, including traits such as aggressive </w:t>
      </w:r>
      <w:r w:rsidRPr="00680893">
        <w:rPr>
          <w:lang w:eastAsia="ja-JP"/>
        </w:rPr>
        <w:lastRenderedPageBreak/>
        <w:t>behaviour</w:t>
      </w:r>
      <w:r>
        <w:rPr>
          <w:lang w:eastAsia="ja-JP"/>
        </w:rPr>
        <w:t xml:space="preserve">, broad environmental tolerances and high fecundity, have aided the spread and subsequent establishment of new </w:t>
      </w:r>
      <w:r w:rsidRPr="0079600F">
        <w:t>populations.</w:t>
      </w:r>
    </w:p>
    <w:p w14:paraId="3B2C7187" w14:textId="77777777" w:rsidR="00E73DA4" w:rsidRDefault="00E73DA4" w:rsidP="0079600F">
      <w:pPr>
        <w:pStyle w:val="BoxText"/>
        <w:rPr>
          <w:lang w:eastAsia="ja-JP"/>
        </w:rPr>
      </w:pPr>
      <w:r w:rsidRPr="0079600F">
        <w:t>Early detection is a key factor of the success of eradicating an incursion by tilapia to a new regio</w:t>
      </w:r>
      <w:r w:rsidR="009D6AFF" w:rsidRPr="0079600F">
        <w:t>n</w:t>
      </w:r>
      <w:r w:rsidRPr="0079600F">
        <w:t>, as tilapia cannot be</w:t>
      </w:r>
      <w:r>
        <w:rPr>
          <w:lang w:eastAsia="ja-JP"/>
        </w:rPr>
        <w:t xml:space="preserve"> effectively removed by current methods once they become established. Traditional surveillance methods, involving periodic fish surveys using various methods such as electrofishing and netting, are resource intensive and may not detect the presence of tilapia in low numbers. Technological advances like eDNA, </w:t>
      </w:r>
      <w:r w:rsidR="00BC654B">
        <w:rPr>
          <w:lang w:eastAsia="ja-JP"/>
        </w:rPr>
        <w:t>cap</w:t>
      </w:r>
      <w:r>
        <w:rPr>
          <w:lang w:eastAsia="ja-JP"/>
        </w:rPr>
        <w:t>able of detecting the DNA of tilapia in a water sample, have proven to be an effective early detection tool, and are likely to greatly enhance the capacity of future surveillance programs; by providing rapid presence/absence data from a large number of sites.</w:t>
      </w:r>
    </w:p>
    <w:p w14:paraId="330C130C" w14:textId="1B63868D" w:rsidR="008E13D2" w:rsidRDefault="008E13D2" w:rsidP="008E13D2">
      <w:pPr>
        <w:pStyle w:val="BoxSource"/>
      </w:pPr>
      <w:r w:rsidRPr="008E13D2">
        <w:t xml:space="preserve">Source: adapted from </w:t>
      </w:r>
      <w:r w:rsidR="00595669">
        <w:t>the NSW</w:t>
      </w:r>
      <w:r w:rsidR="00595669" w:rsidRPr="00595669">
        <w:t xml:space="preserve"> Government Department of Primary Industries </w:t>
      </w:r>
      <w:hyperlink r:id="rId34" w:history="1">
        <w:r w:rsidR="00595669">
          <w:rPr>
            <w:rStyle w:val="Hyperlink"/>
          </w:rPr>
          <w:t>Tilapia</w:t>
        </w:r>
      </w:hyperlink>
      <w:r w:rsidRPr="008E13D2">
        <w:t xml:space="preserve"> </w:t>
      </w:r>
      <w:r w:rsidR="00595669">
        <w:t>website</w:t>
      </w:r>
      <w:r w:rsidR="00794A10">
        <w:t xml:space="preserve"> and </w:t>
      </w:r>
      <w:hyperlink w:anchor="Noble_et_al_2015" w:history="1">
        <w:r w:rsidRPr="00DE6C31">
          <w:rPr>
            <w:rStyle w:val="Hyperlink"/>
          </w:rPr>
          <w:t>Noble et al. 2015</w:t>
        </w:r>
      </w:hyperlink>
      <w:r w:rsidRPr="008E13D2">
        <w:t>.</w:t>
      </w:r>
    </w:p>
    <w:p w14:paraId="71438661" w14:textId="201D923D" w:rsidR="00E73DA4" w:rsidRDefault="00E73DA4" w:rsidP="00E73DA4">
      <w:r>
        <w:t xml:space="preserve">Research into new technologies must involve end-users to ensure research outputs can be feasibly adopted. Greater potential exists for R&amp;I outcomes that directly engage industry and the community in biosecurity activities, particularly in areas such as surveillance and diagnostics. The Review Panel considers these opportunities should be explored, as well as factors that limit the uptake of new biosecurity technologies; such as access to reliable internet services in rural and regional </w:t>
      </w:r>
      <w:r w:rsidRPr="009140DF">
        <w:t>Australia (</w:t>
      </w:r>
      <w:hyperlink w:anchor="Commonwealth_of_Australia_2016" w:history="1">
        <w:r w:rsidRPr="00927D82">
          <w:rPr>
            <w:rStyle w:val="Hyperlink"/>
          </w:rPr>
          <w:t>Commonwealth of Australia 2016</w:t>
        </w:r>
      </w:hyperlink>
      <w:r w:rsidRPr="009140DF">
        <w:t>).</w:t>
      </w:r>
    </w:p>
    <w:p w14:paraId="46871AF8" w14:textId="3C28495B" w:rsidR="00E73DA4" w:rsidRDefault="00E73DA4" w:rsidP="00E73DA4">
      <w:r>
        <w:t>The importance of biosecurity R&amp;I to the national biosecurity system was highlighted by stakeholders throughout th</w:t>
      </w:r>
      <w:r w:rsidR="00351534">
        <w:t>is</w:t>
      </w:r>
      <w:r>
        <w:t xml:space="preserve"> </w:t>
      </w:r>
      <w:r w:rsidR="00351534">
        <w:t>R</w:t>
      </w:r>
      <w:r>
        <w:t>eview, with ongoing support needed for traditional science disciplines—such as animal and plant pathology, veterinary science, epidemiology and entomology—and the development of new technologies identified as equally important components of an appropriate research capacity.</w:t>
      </w:r>
    </w:p>
    <w:p w14:paraId="48226CF1" w14:textId="55933EB5" w:rsidR="008E13D2" w:rsidRDefault="00E73DA4" w:rsidP="00E73DA4">
      <w:r>
        <w:t>Stakeholders identified detection and surveillance, environmental biosecurity, market access assurance, and technology transfer as areas that would benefit from future investment in targeted R&amp;I. Emerging technologies with potential to improve the efficiency of biosecurity activities identified by stakeholders covered: autonomous and drone surveillance; robotics and artificial intelligence</w:t>
      </w:r>
      <w:r w:rsidR="005D27C0">
        <w:t xml:space="preserve"> (</w:t>
      </w:r>
      <w:hyperlink w:anchor="Mohanty_et_al_2016" w:history="1">
        <w:r w:rsidR="005D27C0" w:rsidRPr="00927D82">
          <w:rPr>
            <w:rStyle w:val="Hyperlink"/>
          </w:rPr>
          <w:t>Mohanty et al. 201</w:t>
        </w:r>
        <w:r w:rsidR="001E295C" w:rsidRPr="00927D82">
          <w:rPr>
            <w:rStyle w:val="Hyperlink"/>
          </w:rPr>
          <w:t>6</w:t>
        </w:r>
      </w:hyperlink>
      <w:r w:rsidR="005D27C0">
        <w:t>)</w:t>
      </w:r>
      <w:r>
        <w:t>; ‘Big data’ and analytics; ‘point of need’ field testing; alternative treatment methods (</w:t>
      </w:r>
      <w:r w:rsidR="008057E4">
        <w:t>for example,</w:t>
      </w:r>
      <w:r>
        <w:t xml:space="preserve"> as a replacement for methyl bromide); and, innovations from various fields of science (</w:t>
      </w:r>
      <w:r w:rsidR="008057E4">
        <w:t xml:space="preserve">for example, </w:t>
      </w:r>
      <w:r>
        <w:t>as next-generation sequencing, antimicrobial resistance</w:t>
      </w:r>
      <w:r w:rsidR="00545810">
        <w:t>, and new biological controls).</w:t>
      </w:r>
    </w:p>
    <w:p w14:paraId="6BBA3303" w14:textId="77777777" w:rsidR="008E13D2" w:rsidRDefault="00E73DA4" w:rsidP="008E13D2">
      <w:pPr>
        <w:pStyle w:val="Heading3"/>
      </w:pPr>
      <w:bookmarkStart w:id="113" w:name="_Toc469654746"/>
      <w:r>
        <w:t>C</w:t>
      </w:r>
      <w:r w:rsidR="008E13D2">
        <w:t>urrent state of biosecurity R&amp;I</w:t>
      </w:r>
      <w:bookmarkEnd w:id="113"/>
    </w:p>
    <w:p w14:paraId="6143F5A5" w14:textId="5D46BA50" w:rsidR="008E13D2" w:rsidRDefault="00E73DA4" w:rsidP="008E13D2">
      <w:r w:rsidRPr="00E73DA4">
        <w:t>Throughout th</w:t>
      </w:r>
      <w:r w:rsidR="00CD2011">
        <w:t>is</w:t>
      </w:r>
      <w:r w:rsidRPr="00E73DA4">
        <w:t xml:space="preserve"> </w:t>
      </w:r>
      <w:r w:rsidR="008057E4">
        <w:t>R</w:t>
      </w:r>
      <w:r w:rsidRPr="00E73DA4">
        <w:t>eview, stakeholders have provided comments on a range of issues relevant to biosecurity R&amp;I. The Review Panel has groupe</w:t>
      </w:r>
      <w:r w:rsidR="009D1E8D">
        <w:t>d these under four broad areas.</w:t>
      </w:r>
    </w:p>
    <w:p w14:paraId="0733A904" w14:textId="77777777" w:rsidR="008E13D2" w:rsidRDefault="008E13D2" w:rsidP="008E13D2">
      <w:pPr>
        <w:pStyle w:val="Heading4"/>
      </w:pPr>
      <w:r>
        <w:t xml:space="preserve">Narrow research priorities and </w:t>
      </w:r>
      <w:r w:rsidR="00E73DA4">
        <w:t>unsupported</w:t>
      </w:r>
      <w:r>
        <w:t xml:space="preserve"> strategies</w:t>
      </w:r>
    </w:p>
    <w:p w14:paraId="63E7AB69" w14:textId="77777777" w:rsidR="00E73DA4" w:rsidRDefault="00E73DA4" w:rsidP="00E73DA4">
      <w:r>
        <w:t>Biosecurity is one of many existing priorities for overarching national research and development. These national priorities are intended to guide biosecurity R&amp;I investment decisions of the Australian, state and territory governments, as well as the key recipients and funders of biosecurity R&amp;I (such as the RDCs, CRCs and CSIRO).</w:t>
      </w:r>
    </w:p>
    <w:p w14:paraId="49A7B462" w14:textId="570CC7CC" w:rsidR="00E73DA4" w:rsidRDefault="00E73DA4" w:rsidP="00E73DA4">
      <w:r>
        <w:t xml:space="preserve">The two sets of national priorities relevant to biosecurity R&amp;I are the </w:t>
      </w:r>
      <w:r w:rsidR="008057E4">
        <w:t>N</w:t>
      </w:r>
      <w:r>
        <w:t xml:space="preserve">ational Science and Research Priorities and the National Rural R&amp;D Priorities. However, as they stand, they provide little clarity or substantive guidance on R&amp;I priorities for the national biosecurity system. Under these two sets of priorities, biosecurity is limited to the issue of food security and understanding </w:t>
      </w:r>
      <w:r>
        <w:lastRenderedPageBreak/>
        <w:t xml:space="preserve">pest and disease pathways. </w:t>
      </w:r>
      <w:r w:rsidR="00CD2011">
        <w:t>For example, t</w:t>
      </w:r>
      <w:r>
        <w:t>he National Rural R&amp;D Priorities</w:t>
      </w:r>
      <w:r w:rsidR="000608E8">
        <w:t xml:space="preserve">, as published in </w:t>
      </w:r>
      <w:r>
        <w:t xml:space="preserve">the 2015 Agricultural Competitiveness Whitepaper, </w:t>
      </w:r>
      <w:r w:rsidR="003E150D">
        <w:t>states</w:t>
      </w:r>
      <w:r>
        <w:t>:</w:t>
      </w:r>
    </w:p>
    <w:p w14:paraId="41BFFA41" w14:textId="77777777" w:rsidR="00E73DA4" w:rsidRDefault="00E73DA4" w:rsidP="00E73DA4">
      <w:pPr>
        <w:pStyle w:val="Quote"/>
      </w:pPr>
      <w:r>
        <w:t>To improve understanding and evidence of pest and disease pathways to help direct biosecurity resources to their best uses, minimising biosecurity threats and improving market access for primary producers</w:t>
      </w:r>
      <w:r w:rsidR="008057E4">
        <w:t xml:space="preserve"> (2015 Agricultural Competitiveness White Paper</w:t>
      </w:r>
      <w:r w:rsidR="00CD2011">
        <w:t>,</w:t>
      </w:r>
      <w:r w:rsidR="008057E4">
        <w:t xml:space="preserve"> p</w:t>
      </w:r>
      <w:r w:rsidR="00CD2011">
        <w:t>.</w:t>
      </w:r>
      <w:r w:rsidR="008057E4">
        <w:t xml:space="preserve"> 98)</w:t>
      </w:r>
    </w:p>
    <w:p w14:paraId="7CF0639B" w14:textId="265E1FD8" w:rsidR="00D46B0A" w:rsidRDefault="00E93AEE" w:rsidP="00E73DA4">
      <w:pPr>
        <w:rPr>
          <w:highlight w:val="yellow"/>
        </w:rPr>
      </w:pPr>
      <w:r>
        <w:t>In addition, o</w:t>
      </w:r>
      <w:r w:rsidR="00D46B0A" w:rsidRPr="00D46B0A">
        <w:t xml:space="preserve">n 18 November 2016, the Australian Government </w:t>
      </w:r>
      <w:r w:rsidR="00D46B0A">
        <w:t>M</w:t>
      </w:r>
      <w:r w:rsidR="00D46B0A" w:rsidRPr="00D46B0A">
        <w:t xml:space="preserve">inister for </w:t>
      </w:r>
      <w:r w:rsidR="00D46B0A">
        <w:t>I</w:t>
      </w:r>
      <w:r w:rsidR="00D46B0A" w:rsidRPr="00D46B0A">
        <w:t xml:space="preserve">ndustry, </w:t>
      </w:r>
      <w:r w:rsidR="00D46B0A">
        <w:t>I</w:t>
      </w:r>
      <w:r w:rsidR="00D46B0A" w:rsidRPr="00D46B0A">
        <w:t xml:space="preserve">nnovation and </w:t>
      </w:r>
      <w:r w:rsidR="00D46B0A">
        <w:t>S</w:t>
      </w:r>
      <w:r w:rsidR="00D46B0A" w:rsidRPr="00D46B0A">
        <w:t xml:space="preserve">cience provided CSIRO with the government’s Statement of Expectations for the organisation, which included </w:t>
      </w:r>
      <w:r w:rsidR="00A422D1">
        <w:t xml:space="preserve">enabling development of new </w:t>
      </w:r>
      <w:r w:rsidR="00D46B0A" w:rsidRPr="00D46B0A">
        <w:t xml:space="preserve">research </w:t>
      </w:r>
      <w:r w:rsidR="00A422D1">
        <w:t xml:space="preserve">and technologies </w:t>
      </w:r>
      <w:r w:rsidR="00D46B0A" w:rsidRPr="00D46B0A">
        <w:t>for biosecurity.</w:t>
      </w:r>
    </w:p>
    <w:p w14:paraId="2D2A22E7" w14:textId="77777777" w:rsidR="00E73DA4" w:rsidRDefault="00E73DA4" w:rsidP="00E73DA4">
      <w:r>
        <w:t>A multitude of strategies (general and specific) seek to build on the national research priorities relevant to biosecurity (</w:t>
      </w:r>
      <w:r>
        <w:fldChar w:fldCharType="begin"/>
      </w:r>
      <w:r>
        <w:instrText xml:space="preserve"> REF _Ref466971481 \h </w:instrText>
      </w:r>
      <w:r>
        <w:fldChar w:fldCharType="separate"/>
      </w:r>
      <w:r w:rsidR="008303E2" w:rsidRPr="00CD5E76">
        <w:t xml:space="preserve">Table </w:t>
      </w:r>
      <w:r w:rsidR="008303E2">
        <w:rPr>
          <w:noProof/>
        </w:rPr>
        <w:t>4</w:t>
      </w:r>
      <w:r>
        <w:fldChar w:fldCharType="end"/>
      </w:r>
      <w:r>
        <w:t>), comprising:</w:t>
      </w:r>
    </w:p>
    <w:p w14:paraId="4489B97B" w14:textId="77777777" w:rsidR="00E73DA4" w:rsidRDefault="00E73DA4" w:rsidP="00E73DA4">
      <w:pPr>
        <w:pStyle w:val="ListBullet"/>
      </w:pPr>
      <w:r>
        <w:t>national biosecurity R&amp;I strategies</w:t>
      </w:r>
    </w:p>
    <w:p w14:paraId="729D7B0C" w14:textId="5E574621" w:rsidR="00E73DA4" w:rsidRDefault="00E73DA4" w:rsidP="00E73DA4">
      <w:pPr>
        <w:pStyle w:val="ListBullet"/>
      </w:pPr>
      <w:r>
        <w:t>other st</w:t>
      </w:r>
      <w:r w:rsidR="009D1E8D">
        <w:t>rategies related to biosecurity</w:t>
      </w:r>
    </w:p>
    <w:p w14:paraId="1E86739F" w14:textId="52C7EB5B" w:rsidR="008E13D2" w:rsidRDefault="00E73DA4" w:rsidP="00E73DA4">
      <w:pPr>
        <w:pStyle w:val="ListBullet"/>
      </w:pPr>
      <w:r>
        <w:t>nat</w:t>
      </w:r>
      <w:r w:rsidR="009D1E8D">
        <w:t>ional industry RD&amp;E strategies.</w:t>
      </w:r>
    </w:p>
    <w:p w14:paraId="270E62C5" w14:textId="77777777" w:rsidR="008E13D2" w:rsidRPr="00CD5E76" w:rsidRDefault="008E13D2" w:rsidP="008E13D2">
      <w:pPr>
        <w:pStyle w:val="Caption"/>
        <w:rPr>
          <w:sz w:val="22"/>
          <w:szCs w:val="22"/>
        </w:rPr>
      </w:pPr>
      <w:bookmarkStart w:id="114" w:name="_Ref466971481"/>
      <w:bookmarkStart w:id="115" w:name="_Toc468176725"/>
      <w:r w:rsidRPr="00CD5E76">
        <w:rPr>
          <w:sz w:val="22"/>
          <w:szCs w:val="22"/>
        </w:rPr>
        <w:t xml:space="preserve">Table </w:t>
      </w:r>
      <w:r w:rsidR="00D56373" w:rsidRPr="00CD5E76">
        <w:rPr>
          <w:sz w:val="22"/>
          <w:szCs w:val="22"/>
        </w:rPr>
        <w:fldChar w:fldCharType="begin"/>
      </w:r>
      <w:r w:rsidR="00D56373" w:rsidRPr="00CD5E76">
        <w:rPr>
          <w:sz w:val="22"/>
          <w:szCs w:val="22"/>
        </w:rPr>
        <w:instrText xml:space="preserve"> SEQ Table \* ARABIC </w:instrText>
      </w:r>
      <w:r w:rsidR="00D56373" w:rsidRPr="00CD5E76">
        <w:rPr>
          <w:sz w:val="22"/>
          <w:szCs w:val="22"/>
        </w:rPr>
        <w:fldChar w:fldCharType="separate"/>
      </w:r>
      <w:r w:rsidR="008303E2">
        <w:rPr>
          <w:noProof/>
          <w:sz w:val="22"/>
          <w:szCs w:val="22"/>
        </w:rPr>
        <w:t>4</w:t>
      </w:r>
      <w:r w:rsidR="00D56373" w:rsidRPr="00CD5E76">
        <w:rPr>
          <w:noProof/>
          <w:sz w:val="22"/>
          <w:szCs w:val="22"/>
        </w:rPr>
        <w:fldChar w:fldCharType="end"/>
      </w:r>
      <w:bookmarkEnd w:id="114"/>
      <w:r w:rsidR="003F76E1" w:rsidRPr="00CD5E76">
        <w:rPr>
          <w:sz w:val="22"/>
          <w:szCs w:val="22"/>
        </w:rPr>
        <w:t>:</w:t>
      </w:r>
      <w:r w:rsidRPr="00CD5E76">
        <w:rPr>
          <w:sz w:val="22"/>
          <w:szCs w:val="22"/>
        </w:rPr>
        <w:t xml:space="preserve"> Strategies relevant to biosecurity R&amp;I</w:t>
      </w:r>
      <w:bookmarkEnd w:id="11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List of strategies relevant biosecurity R&amp;I "/>
      </w:tblPr>
      <w:tblGrid>
        <w:gridCol w:w="3020"/>
        <w:gridCol w:w="3020"/>
        <w:gridCol w:w="3020"/>
      </w:tblGrid>
      <w:tr w:rsidR="008E13D2" w:rsidRPr="008E13D2" w14:paraId="7AC61C79" w14:textId="77777777" w:rsidTr="00CD2011">
        <w:trPr>
          <w:tblHeader/>
        </w:trPr>
        <w:tc>
          <w:tcPr>
            <w:tcW w:w="3020" w:type="dxa"/>
          </w:tcPr>
          <w:p w14:paraId="6DEFE865" w14:textId="77777777" w:rsidR="008E13D2" w:rsidRPr="000E5E49" w:rsidRDefault="008E13D2" w:rsidP="008E13D2">
            <w:pPr>
              <w:pStyle w:val="TableHeading"/>
            </w:pPr>
            <w:r w:rsidRPr="000E5E49">
              <w:t>National biosecurity R&amp;I strategies</w:t>
            </w:r>
          </w:p>
        </w:tc>
        <w:tc>
          <w:tcPr>
            <w:tcW w:w="3020" w:type="dxa"/>
          </w:tcPr>
          <w:p w14:paraId="27B359D0" w14:textId="77777777" w:rsidR="008E13D2" w:rsidRPr="008E13D2" w:rsidRDefault="008E13D2" w:rsidP="008E13D2">
            <w:pPr>
              <w:pStyle w:val="TableHeading"/>
            </w:pPr>
            <w:r w:rsidRPr="008E13D2">
              <w:t>Other strategies related to biosecurity</w:t>
            </w:r>
          </w:p>
        </w:tc>
        <w:tc>
          <w:tcPr>
            <w:tcW w:w="3020" w:type="dxa"/>
          </w:tcPr>
          <w:p w14:paraId="2689426D" w14:textId="77777777" w:rsidR="008E13D2" w:rsidRPr="008E13D2" w:rsidRDefault="008E13D2" w:rsidP="008E13D2">
            <w:pPr>
              <w:pStyle w:val="TableHeading"/>
            </w:pPr>
            <w:r w:rsidRPr="008E13D2">
              <w:t>National Industry RD&amp;E Strategies</w:t>
            </w:r>
          </w:p>
        </w:tc>
      </w:tr>
      <w:tr w:rsidR="008E13D2" w:rsidRPr="008E13D2" w14:paraId="0143662B" w14:textId="77777777" w:rsidTr="00CD2011">
        <w:tc>
          <w:tcPr>
            <w:tcW w:w="3020" w:type="dxa"/>
          </w:tcPr>
          <w:p w14:paraId="1D3F35BC" w14:textId="77777777" w:rsidR="008E13D2" w:rsidRPr="000E5E49" w:rsidRDefault="008E13D2" w:rsidP="00CD2011">
            <w:pPr>
              <w:pStyle w:val="TableBullet"/>
            </w:pPr>
            <w:r w:rsidRPr="000E5E49">
              <w:t>Animal Biosecurity RD&amp;E Strategy</w:t>
            </w:r>
          </w:p>
          <w:p w14:paraId="51C8269B" w14:textId="77777777" w:rsidR="00CD2011" w:rsidRPr="000E5E49" w:rsidRDefault="00CD2011" w:rsidP="00CD2011">
            <w:pPr>
              <w:pStyle w:val="TableBullet"/>
            </w:pPr>
            <w:r w:rsidRPr="000E5E49">
              <w:t>Plant Biosecurity RD&amp;E Strategy</w:t>
            </w:r>
          </w:p>
          <w:p w14:paraId="1CFD36CE" w14:textId="0A2546ED" w:rsidR="000E5E49" w:rsidRPr="000E5E49" w:rsidRDefault="000E5E49" w:rsidP="00CD2011">
            <w:pPr>
              <w:pStyle w:val="TableBullet"/>
            </w:pPr>
            <w:r w:rsidRPr="000E5E49">
              <w:t>Environment and Community Biosecurity RD&amp;E Strategy</w:t>
            </w:r>
          </w:p>
        </w:tc>
        <w:tc>
          <w:tcPr>
            <w:tcW w:w="3020" w:type="dxa"/>
          </w:tcPr>
          <w:p w14:paraId="392C3795" w14:textId="77777777" w:rsidR="008E13D2" w:rsidRDefault="008E13D2" w:rsidP="00CD2011">
            <w:pPr>
              <w:pStyle w:val="TableBullet"/>
            </w:pPr>
            <w:r w:rsidRPr="008E13D2">
              <w:t>Australian Pest Animal Strategy</w:t>
            </w:r>
          </w:p>
          <w:p w14:paraId="705D1230" w14:textId="77777777" w:rsidR="00CD2011" w:rsidRDefault="00CD2011" w:rsidP="00CD2011">
            <w:pPr>
              <w:pStyle w:val="TableBullet"/>
            </w:pPr>
            <w:r>
              <w:t>Australian Weeds Strategy</w:t>
            </w:r>
          </w:p>
          <w:p w14:paraId="3D8FAB15" w14:textId="77777777" w:rsidR="00CD2011" w:rsidRDefault="00CD2011" w:rsidP="00CD2011">
            <w:pPr>
              <w:pStyle w:val="TableBullet"/>
            </w:pPr>
            <w:r>
              <w:t>National Bee Pest Surveillance Strategy</w:t>
            </w:r>
          </w:p>
          <w:p w14:paraId="4BA310FB" w14:textId="77777777" w:rsidR="00CD2011" w:rsidRDefault="00CD2011" w:rsidP="00CD2011">
            <w:pPr>
              <w:pStyle w:val="TableBullet"/>
            </w:pPr>
            <w:r>
              <w:t>National Fruit Fly Strategy</w:t>
            </w:r>
          </w:p>
          <w:p w14:paraId="49CF4A8B" w14:textId="77777777" w:rsidR="00CD2011" w:rsidRDefault="00CD2011" w:rsidP="00CD2011">
            <w:pPr>
              <w:pStyle w:val="TableBullet"/>
            </w:pPr>
            <w:r>
              <w:t>National Plant Biosecurity Strategy</w:t>
            </w:r>
          </w:p>
          <w:p w14:paraId="306B9CC6" w14:textId="77777777" w:rsidR="00CD2011" w:rsidRDefault="00CD2011" w:rsidP="00CD2011">
            <w:pPr>
              <w:pStyle w:val="TableBullet"/>
            </w:pPr>
            <w:r>
              <w:t>National Plant Biosecurity Diagnostic Strategy</w:t>
            </w:r>
          </w:p>
          <w:p w14:paraId="2B6A2F73" w14:textId="77777777" w:rsidR="00CD2011" w:rsidRPr="008E13D2" w:rsidRDefault="00CD2011" w:rsidP="00CD2011">
            <w:pPr>
              <w:pStyle w:val="TableBullet"/>
            </w:pPr>
            <w:r>
              <w:t>National Plant Biosecurity Surveillance Strategy</w:t>
            </w:r>
          </w:p>
        </w:tc>
        <w:tc>
          <w:tcPr>
            <w:tcW w:w="3020" w:type="dxa"/>
          </w:tcPr>
          <w:p w14:paraId="23AB0840" w14:textId="77777777" w:rsidR="008E13D2" w:rsidRDefault="008E13D2" w:rsidP="008E13D2">
            <w:pPr>
              <w:pStyle w:val="TableText"/>
            </w:pPr>
            <w:r w:rsidRPr="008E13D2">
              <w:t>Fourteen industry-specific strategies under the National Primary Industries RD&amp;E Framework</w:t>
            </w:r>
          </w:p>
          <w:p w14:paraId="73683EF0" w14:textId="77777777" w:rsidR="008E13D2" w:rsidRPr="008E13D2" w:rsidRDefault="008E13D2" w:rsidP="008E13D2">
            <w:pPr>
              <w:pStyle w:val="TableBullet"/>
            </w:pPr>
            <w:r w:rsidRPr="008E13D2">
              <w:t>(e.g. Beef Production National RD&amp;E Strategy, Cotton Sector National RD&amp;E Strategy, Grains Industry National RD&amp;E Strategy).</w:t>
            </w:r>
          </w:p>
        </w:tc>
      </w:tr>
    </w:tbl>
    <w:p w14:paraId="1FBF7A28" w14:textId="51DD678C" w:rsidR="00E73DA4" w:rsidRDefault="003F0CC8" w:rsidP="00E73DA4">
      <w:r w:rsidRPr="00FF0276">
        <w:t>Two of t</w:t>
      </w:r>
      <w:r w:rsidR="00E73DA4" w:rsidRPr="00FF0276">
        <w:t>he national biosecurity R&amp;I strategies—the Animal Biosecurity RD&amp;E Strategy and</w:t>
      </w:r>
      <w:r w:rsidR="00E73DA4">
        <w:t xml:space="preserve"> the Plant Biosecurity RD&amp;E Strategy—have been developed under the National Primary Industries Research, Development and Extension (RD&amp;E) Framework. These strategies</w:t>
      </w:r>
      <w:r w:rsidR="00607359">
        <w:t xml:space="preserve">, which are </w:t>
      </w:r>
      <w:r w:rsidR="005F6C94">
        <w:t xml:space="preserve">notable </w:t>
      </w:r>
      <w:r w:rsidR="00607359">
        <w:t>achievements under the IGAB,</w:t>
      </w:r>
      <w:r w:rsidR="00E73DA4">
        <w:t xml:space="preserve"> seek to provide the future direction to improve biosecurity R&amp;I for the animal and plant industries.</w:t>
      </w:r>
    </w:p>
    <w:p w14:paraId="0FBE2517" w14:textId="07BF1B87" w:rsidR="00E73DA4" w:rsidRDefault="00E73DA4" w:rsidP="00E73DA4">
      <w:r>
        <w:t>They detail generic areas of research required to achieve a coherent national biosecurity system for animal and plant pests and diseases</w:t>
      </w:r>
      <w:r w:rsidRPr="00520024">
        <w:t>.</w:t>
      </w:r>
      <w:r w:rsidR="00CD2011" w:rsidRPr="00520024">
        <w:t xml:space="preserve"> However, s</w:t>
      </w:r>
      <w:r w:rsidRPr="00520024">
        <w:t>takeholders</w:t>
      </w:r>
      <w:r>
        <w:t xml:space="preserve"> consistently raised concerns over the implementation of these strategies, which was characterised as slow due to resourcing issues, and lacking a unified, national approach to coordination and delivery:</w:t>
      </w:r>
    </w:p>
    <w:p w14:paraId="0CA1A94E" w14:textId="77777777" w:rsidR="00E73DA4" w:rsidRDefault="00E73DA4" w:rsidP="00E73DA4">
      <w:pPr>
        <w:pStyle w:val="Quote"/>
      </w:pPr>
      <w:r>
        <w:t xml:space="preserve">Progress on the strategy [Animal Biosecurity RD&amp;E Strategy] is slow, essentially due to the competing priorities of participants who have already committed resources to their own respective organisational strategies and performance criteria, as well as the National Rural Research and Development Priorities. New </w:t>
      </w:r>
      <w:r>
        <w:lastRenderedPageBreak/>
        <w:t>sources of funds targeting the agreed identified priorities would accelerate progress (Animal Health Australia submission, p. 19)</w:t>
      </w:r>
    </w:p>
    <w:p w14:paraId="30E8CB2C" w14:textId="77777777" w:rsidR="00E73DA4" w:rsidRDefault="00E73DA4" w:rsidP="00E73DA4">
      <w:pPr>
        <w:pStyle w:val="Quote"/>
      </w:pPr>
      <w:r>
        <w:t>Effective governance and national willingness to co-invest needs to be established to obtain significant benefits from the strategies’ implementation. Participation is required from Commonwealth and state/territory agencies, research and development corporations, universities and other RD&amp;E provider organisations (South Australian Government submission, p. 7)</w:t>
      </w:r>
    </w:p>
    <w:p w14:paraId="6DC73128" w14:textId="77777777" w:rsidR="00E73DA4" w:rsidRDefault="00E73DA4" w:rsidP="00E73DA4">
      <w:r>
        <w:t>While AHA and PHA had a lead role in their development and are “tasked” with their implementation, the strategies’ implementation committees (based within AHA and PHA) have no authority to prioritise R&amp;I or direct funding or resources. Adding to the maze of accountabilities is that AHA and PHA report to the Research &amp; Innovation Committee (AGSOC R&amp;I), an advisory sub-committee of the AGSOC, rather than through (or to) the NBC.</w:t>
      </w:r>
    </w:p>
    <w:p w14:paraId="12EF862A" w14:textId="727741D9" w:rsidR="00E73DA4" w:rsidRDefault="00E73DA4" w:rsidP="00E73DA4">
      <w:r>
        <w:t xml:space="preserve">As </w:t>
      </w:r>
      <w:r>
        <w:fldChar w:fldCharType="begin"/>
      </w:r>
      <w:r>
        <w:instrText xml:space="preserve"> REF _Ref466971481 \h </w:instrText>
      </w:r>
      <w:r>
        <w:fldChar w:fldCharType="separate"/>
      </w:r>
      <w:r w:rsidR="008303E2" w:rsidRPr="00CD5E76">
        <w:t xml:space="preserve">Table </w:t>
      </w:r>
      <w:r w:rsidR="008303E2">
        <w:rPr>
          <w:noProof/>
        </w:rPr>
        <w:t>4</w:t>
      </w:r>
      <w:r>
        <w:fldChar w:fldCharType="end"/>
      </w:r>
      <w:r>
        <w:t xml:space="preserve"> shows, a number of industry-specific R&amp;I strategies </w:t>
      </w:r>
      <w:r w:rsidR="00277FBD">
        <w:t>and</w:t>
      </w:r>
      <w:r>
        <w:t xml:space="preserve"> several biosecurity strategies also seek to direct R&amp;I investment. Stakeholders raised various concerns about the plethora of strategies, including the level of industry involvement in their development, and the variability and overall effectiveness of the strategies in achieving their aims:</w:t>
      </w:r>
    </w:p>
    <w:p w14:paraId="09FAC071" w14:textId="449FAA56" w:rsidR="00E73DA4" w:rsidRDefault="00E73DA4" w:rsidP="00E73DA4">
      <w:pPr>
        <w:pStyle w:val="Quote"/>
      </w:pPr>
      <w:r>
        <w:t>It is perhaps symptomatic of the current fragmented nature of Australia’s biosecurity system that there are already a number of national [plant] biosecurity strategies</w:t>
      </w:r>
      <w:r w:rsidR="00624A24">
        <w:t xml:space="preserve"> </w:t>
      </w:r>
      <w:r w:rsidR="00624A24">
        <w:rPr>
          <w:sz w:val="24"/>
        </w:rPr>
        <w:t>…</w:t>
      </w:r>
      <w:r>
        <w:t xml:space="preserve"> The degree to which these strategies and others operate and achieve their aims is extremely variable and appears to rely as much on individuals rathe</w:t>
      </w:r>
      <w:r w:rsidR="00060D86">
        <w:t>r than a supportive system (</w:t>
      </w:r>
      <w:r>
        <w:t>Voice of Horticulture submission, p.</w:t>
      </w:r>
      <w:r w:rsidR="002E2D5D">
        <w:t xml:space="preserve"> </w:t>
      </w:r>
      <w:r>
        <w:t>4)</w:t>
      </w:r>
    </w:p>
    <w:p w14:paraId="73B577F4" w14:textId="77777777" w:rsidR="00E73DA4" w:rsidRDefault="00E73DA4" w:rsidP="00E73DA4">
      <w:r>
        <w:t>The overall picture of strategies developed and in use across the national biosecurity system is overly complex, bordering on confusing. The biosecurity-specific strategies are predominantly sectoral, are not supported by funding for implementation and stakeholders noted that some were developed without incorporating the views of a broad range of system participants. The various national industry</w:t>
      </w:r>
      <w:r w:rsidR="00CD2011">
        <w:t xml:space="preserve"> specific</w:t>
      </w:r>
      <w:r>
        <w:t xml:space="preserve"> RD&amp;E strategies have an oblique and inconsistent focus on biosecurity and its importance to the particular industry in question.</w:t>
      </w:r>
    </w:p>
    <w:p w14:paraId="13C7C1BB" w14:textId="142EE08B" w:rsidR="008E13D2" w:rsidRPr="003B23FA" w:rsidRDefault="003B23FA" w:rsidP="00E73DA4">
      <w:r w:rsidRPr="00FF0276">
        <w:t>Numerous stakeholders drew the Review Panel’s attention to the lack of an equivalent national environmental biosecurity RD&amp;E strategy. The Panel notes that a National Environment and Community Biosecurity RD&amp;E Strategy 2016–19 was released by</w:t>
      </w:r>
      <w:r w:rsidR="003D6644">
        <w:t xml:space="preserve"> the</w:t>
      </w:r>
      <w:r w:rsidRPr="00FF0276">
        <w:t xml:space="preserve"> NBC in November 2016, though the level of public input to its development is unclear. The Panel also understands that a lead agency or organisation responsible for implementing this strategy is yet to be determined.</w:t>
      </w:r>
    </w:p>
    <w:p w14:paraId="361EAB99" w14:textId="77777777" w:rsidR="00EC0C8F" w:rsidRDefault="00EC0C8F" w:rsidP="00EC0C8F">
      <w:pPr>
        <w:pStyle w:val="Heading4"/>
      </w:pPr>
      <w:r>
        <w:t>Many players but no captain</w:t>
      </w:r>
    </w:p>
    <w:p w14:paraId="51A9CEF8" w14:textId="06A8E3BC" w:rsidR="00957341" w:rsidRDefault="00957341" w:rsidP="00957341">
      <w:r>
        <w:t xml:space="preserve">Biosecurity R&amp;I in Australia is closely linked to the broader agricultural research, development and extension system, which has evolved considerably over the last two </w:t>
      </w:r>
      <w:r w:rsidRPr="008E6DE2">
        <w:t>decades (</w:t>
      </w:r>
      <w:hyperlink w:anchor="PC_2011" w:history="1">
        <w:r w:rsidR="00C014A3" w:rsidRPr="00927D82">
          <w:rPr>
            <w:rStyle w:val="Hyperlink"/>
          </w:rPr>
          <w:t>PC</w:t>
        </w:r>
        <w:r w:rsidRPr="00927D82">
          <w:rPr>
            <w:rStyle w:val="Hyperlink"/>
          </w:rPr>
          <w:t xml:space="preserve"> 2011</w:t>
        </w:r>
      </w:hyperlink>
      <w:r w:rsidRPr="008E6DE2">
        <w:t xml:space="preserve">; </w:t>
      </w:r>
      <w:hyperlink w:anchor="Hunt_et_al_2014" w:history="1">
        <w:r w:rsidRPr="00927D82">
          <w:rPr>
            <w:rStyle w:val="Hyperlink"/>
          </w:rPr>
          <w:t>Hunt et al. 2014</w:t>
        </w:r>
      </w:hyperlink>
      <w:r w:rsidRPr="008E6DE2">
        <w:t xml:space="preserve">). </w:t>
      </w:r>
      <w:r w:rsidR="003041A6" w:rsidRPr="008E6DE2">
        <w:t>Multiple funders and providers are involved, however, t</w:t>
      </w:r>
      <w:r w:rsidRPr="008E6DE2">
        <w:t>here is no lead</w:t>
      </w:r>
      <w:r>
        <w:t xml:space="preserve"> agency, national prioritisation process or coordination for biosecurity R&amp;I in Australia.</w:t>
      </w:r>
    </w:p>
    <w:p w14:paraId="7A75D762" w14:textId="2A8FD0D7" w:rsidR="00EC0C8F" w:rsidRDefault="00957341" w:rsidP="00957341">
      <w:r>
        <w:t xml:space="preserve">Biosecurity research activities are primarily funded by the Australian, state and territory governments, and the rural Research and Development Corporations (RDCs)—industry contributes significant funding to the RDCs through commodity-based levies. Key providers of </w:t>
      </w:r>
      <w:r>
        <w:lastRenderedPageBreak/>
        <w:t>biosecurity R&amp;I include the CSIRO, state and territory government agencies through their research and diagnostic facilities, and a number of universities (</w:t>
      </w:r>
      <w:r>
        <w:fldChar w:fldCharType="begin"/>
      </w:r>
      <w:r>
        <w:instrText xml:space="preserve"> REF _Ref466972150 \h </w:instrText>
      </w:r>
      <w:r>
        <w:fldChar w:fldCharType="separate"/>
      </w:r>
      <w:r w:rsidR="008303E2" w:rsidRPr="00CD5E76">
        <w:t xml:space="preserve">Table </w:t>
      </w:r>
      <w:r w:rsidR="008303E2">
        <w:rPr>
          <w:noProof/>
        </w:rPr>
        <w:t>5</w:t>
      </w:r>
      <w:r>
        <w:fldChar w:fldCharType="end"/>
      </w:r>
      <w:r w:rsidR="00905F58">
        <w:t>).</w:t>
      </w:r>
    </w:p>
    <w:p w14:paraId="15D4BBE5" w14:textId="77777777" w:rsidR="00EC0C8F" w:rsidRPr="00CD5E76" w:rsidRDefault="00EC0C8F" w:rsidP="00EC0C8F">
      <w:pPr>
        <w:pStyle w:val="Caption"/>
        <w:rPr>
          <w:sz w:val="22"/>
          <w:szCs w:val="22"/>
        </w:rPr>
      </w:pPr>
      <w:bookmarkStart w:id="116" w:name="_Ref466972150"/>
      <w:bookmarkStart w:id="117" w:name="_Toc468176726"/>
      <w:r w:rsidRPr="00CD5E76">
        <w:rPr>
          <w:sz w:val="22"/>
          <w:szCs w:val="22"/>
        </w:rPr>
        <w:t xml:space="preserve">Table </w:t>
      </w:r>
      <w:r w:rsidR="00D56373" w:rsidRPr="00CD5E76">
        <w:rPr>
          <w:sz w:val="22"/>
          <w:szCs w:val="22"/>
        </w:rPr>
        <w:fldChar w:fldCharType="begin"/>
      </w:r>
      <w:r w:rsidR="00D56373" w:rsidRPr="00CD5E76">
        <w:rPr>
          <w:sz w:val="22"/>
          <w:szCs w:val="22"/>
        </w:rPr>
        <w:instrText xml:space="preserve"> SEQ Table \* ARABIC </w:instrText>
      </w:r>
      <w:r w:rsidR="00D56373" w:rsidRPr="00CD5E76">
        <w:rPr>
          <w:sz w:val="22"/>
          <w:szCs w:val="22"/>
        </w:rPr>
        <w:fldChar w:fldCharType="separate"/>
      </w:r>
      <w:r w:rsidR="008303E2">
        <w:rPr>
          <w:noProof/>
          <w:sz w:val="22"/>
          <w:szCs w:val="22"/>
        </w:rPr>
        <w:t>5</w:t>
      </w:r>
      <w:r w:rsidR="00D56373" w:rsidRPr="00CD5E76">
        <w:rPr>
          <w:noProof/>
          <w:sz w:val="22"/>
          <w:szCs w:val="22"/>
        </w:rPr>
        <w:fldChar w:fldCharType="end"/>
      </w:r>
      <w:bookmarkEnd w:id="116"/>
      <w:r w:rsidR="003F76E1" w:rsidRPr="00CD5E76">
        <w:rPr>
          <w:sz w:val="22"/>
          <w:szCs w:val="22"/>
        </w:rPr>
        <w:t>:</w:t>
      </w:r>
      <w:r w:rsidRPr="00CD5E76">
        <w:rPr>
          <w:sz w:val="22"/>
          <w:szCs w:val="22"/>
        </w:rPr>
        <w:t xml:space="preserve"> Key players </w:t>
      </w:r>
      <w:r w:rsidR="004F08A9" w:rsidRPr="00CD5E76">
        <w:rPr>
          <w:sz w:val="22"/>
          <w:szCs w:val="22"/>
        </w:rPr>
        <w:t>in</w:t>
      </w:r>
      <w:r w:rsidRPr="00CD5E76">
        <w:rPr>
          <w:sz w:val="22"/>
          <w:szCs w:val="22"/>
        </w:rPr>
        <w:t xml:space="preserve"> biosecurity R&amp;I in Australia</w:t>
      </w:r>
      <w:bookmarkEnd w:id="11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EC0C8F" w:rsidRPr="00EC0C8F" w14:paraId="7A5F5872" w14:textId="77777777" w:rsidTr="002F2F3C">
        <w:trPr>
          <w:tblHeader/>
        </w:trPr>
        <w:tc>
          <w:tcPr>
            <w:tcW w:w="3020" w:type="dxa"/>
          </w:tcPr>
          <w:p w14:paraId="1D390C3F" w14:textId="77777777" w:rsidR="00EC0C8F" w:rsidRPr="00EC0C8F" w:rsidRDefault="004D498A" w:rsidP="00EC0C8F">
            <w:pPr>
              <w:pStyle w:val="TableHeading"/>
            </w:pPr>
            <w:r>
              <w:t>Funders</w:t>
            </w:r>
          </w:p>
        </w:tc>
        <w:tc>
          <w:tcPr>
            <w:tcW w:w="3020" w:type="dxa"/>
          </w:tcPr>
          <w:p w14:paraId="30978E60" w14:textId="77777777" w:rsidR="00EC0C8F" w:rsidRPr="00EC0C8F" w:rsidRDefault="004D498A" w:rsidP="00EC0C8F">
            <w:pPr>
              <w:pStyle w:val="TableHeading"/>
            </w:pPr>
            <w:r>
              <w:t>Providers</w:t>
            </w:r>
          </w:p>
        </w:tc>
        <w:tc>
          <w:tcPr>
            <w:tcW w:w="3020" w:type="dxa"/>
          </w:tcPr>
          <w:p w14:paraId="413DC946" w14:textId="77777777" w:rsidR="00EC0C8F" w:rsidRPr="00EC0C8F" w:rsidRDefault="004D498A" w:rsidP="00EC0C8F">
            <w:pPr>
              <w:pStyle w:val="TableHeading"/>
            </w:pPr>
            <w:r>
              <w:t>Other role (unclear)</w:t>
            </w:r>
          </w:p>
        </w:tc>
      </w:tr>
      <w:tr w:rsidR="00EC0C8F" w:rsidRPr="00EC0C8F" w14:paraId="0F8D0A11" w14:textId="77777777" w:rsidTr="002F2F3C">
        <w:tc>
          <w:tcPr>
            <w:tcW w:w="3020" w:type="dxa"/>
          </w:tcPr>
          <w:p w14:paraId="36D0FB56" w14:textId="77777777" w:rsidR="00EC0C8F" w:rsidRDefault="00EC0C8F" w:rsidP="00EC0C8F">
            <w:pPr>
              <w:pStyle w:val="TableText"/>
            </w:pPr>
            <w:r w:rsidRPr="00EC0C8F">
              <w:t>Australian</w:t>
            </w:r>
            <w:r w:rsidRPr="00EC0C8F">
              <w:rPr>
                <w:vertAlign w:val="superscript"/>
              </w:rPr>
              <w:t>1</w:t>
            </w:r>
            <w:r w:rsidRPr="00EC0C8F">
              <w:t>, and state and territory governments</w:t>
            </w:r>
          </w:p>
          <w:p w14:paraId="0A46D7B4" w14:textId="77777777" w:rsidR="002F2F3C" w:rsidRDefault="002F2F3C" w:rsidP="00EC0C8F">
            <w:pPr>
              <w:pStyle w:val="TableText"/>
              <w:rPr>
                <w:vertAlign w:val="superscript"/>
              </w:rPr>
            </w:pPr>
            <w:r w:rsidRPr="00EC0C8F">
              <w:t>Rural Research and Development Corporations</w:t>
            </w:r>
            <w:r w:rsidRPr="00EC0C8F">
              <w:rPr>
                <w:vertAlign w:val="superscript"/>
              </w:rPr>
              <w:t>2</w:t>
            </w:r>
          </w:p>
          <w:p w14:paraId="5ACDD67A" w14:textId="4DB3A6A1" w:rsidR="002F2F3C" w:rsidRPr="00EC0C8F" w:rsidRDefault="002F2F3C" w:rsidP="002F2F3C">
            <w:pPr>
              <w:pStyle w:val="TableText"/>
            </w:pPr>
            <w:r>
              <w:t>Cooperative Research Centres</w:t>
            </w:r>
            <w:r w:rsidRPr="002F2F3C">
              <w:rPr>
                <w:vertAlign w:val="superscript"/>
              </w:rPr>
              <w:t>2</w:t>
            </w:r>
            <w:r>
              <w:t xml:space="preserve"> (e.g. Plant Biosecurity; Invasive Animals)</w:t>
            </w:r>
            <w:r>
              <w:tab/>
            </w:r>
          </w:p>
        </w:tc>
        <w:tc>
          <w:tcPr>
            <w:tcW w:w="3020" w:type="dxa"/>
          </w:tcPr>
          <w:p w14:paraId="25A9E81B" w14:textId="77777777" w:rsidR="00EC0C8F" w:rsidRDefault="00EC0C8F" w:rsidP="00EC0C8F">
            <w:pPr>
              <w:pStyle w:val="TableText"/>
            </w:pPr>
            <w:r w:rsidRPr="00EC0C8F">
              <w:t>CSIRO</w:t>
            </w:r>
            <w:r w:rsidR="002F2F3C">
              <w:t xml:space="preserve"> </w:t>
            </w:r>
          </w:p>
          <w:p w14:paraId="023A08DD" w14:textId="77777777" w:rsidR="002F2F3C" w:rsidRDefault="002F2F3C" w:rsidP="00EC0C8F">
            <w:pPr>
              <w:pStyle w:val="TableText"/>
            </w:pPr>
            <w:r w:rsidRPr="002F2F3C">
              <w:t>State &amp; territory research facilities</w:t>
            </w:r>
          </w:p>
          <w:p w14:paraId="0772AA7B" w14:textId="05B79189" w:rsidR="002F2F3C" w:rsidRDefault="002F2F3C" w:rsidP="00EC0C8F">
            <w:pPr>
              <w:pStyle w:val="TableText"/>
            </w:pPr>
            <w:r w:rsidRPr="002F2F3C">
              <w:t>Universities</w:t>
            </w:r>
          </w:p>
          <w:p w14:paraId="5502D9E5" w14:textId="77777777" w:rsidR="002F2F3C" w:rsidRPr="00EC0C8F" w:rsidRDefault="002F2F3C" w:rsidP="002F2F3C">
            <w:pPr>
              <w:pStyle w:val="TableText"/>
            </w:pPr>
            <w:r>
              <w:t xml:space="preserve">Private consultants </w:t>
            </w:r>
          </w:p>
        </w:tc>
        <w:tc>
          <w:tcPr>
            <w:tcW w:w="3020" w:type="dxa"/>
          </w:tcPr>
          <w:p w14:paraId="696E1347" w14:textId="77777777" w:rsidR="00EC0C8F" w:rsidRDefault="00EC0C8F" w:rsidP="00EC0C8F">
            <w:pPr>
              <w:pStyle w:val="TableText"/>
            </w:pPr>
            <w:r w:rsidRPr="00EC0C8F">
              <w:t>AGSOC R&amp;I committee</w:t>
            </w:r>
          </w:p>
          <w:p w14:paraId="3EE66754" w14:textId="77777777" w:rsidR="002F2F3C" w:rsidRDefault="002F2F3C" w:rsidP="00EC0C8F">
            <w:pPr>
              <w:pStyle w:val="TableText"/>
            </w:pPr>
            <w:r w:rsidRPr="002F2F3C">
              <w:t>Animal Health Australia</w:t>
            </w:r>
          </w:p>
          <w:p w14:paraId="2816E7DF" w14:textId="77777777" w:rsidR="002F2F3C" w:rsidRDefault="002F2F3C" w:rsidP="00EC0C8F">
            <w:pPr>
              <w:pStyle w:val="TableText"/>
            </w:pPr>
            <w:r w:rsidRPr="002F2F3C">
              <w:t>Plant Health Australia</w:t>
            </w:r>
          </w:p>
          <w:p w14:paraId="11CA0E23" w14:textId="77777777" w:rsidR="002F2F3C" w:rsidRPr="00EC0C8F" w:rsidRDefault="002F2F3C" w:rsidP="00EC0C8F">
            <w:pPr>
              <w:pStyle w:val="TableText"/>
            </w:pPr>
          </w:p>
        </w:tc>
      </w:tr>
    </w:tbl>
    <w:p w14:paraId="30C7EE3E" w14:textId="77777777" w:rsidR="00EC0C8F" w:rsidRDefault="00EC0C8F" w:rsidP="00EC0C8F">
      <w:pPr>
        <w:pStyle w:val="TableText"/>
      </w:pPr>
      <w:r w:rsidRPr="00EC0C8F">
        <w:rPr>
          <w:vertAlign w:val="superscript"/>
        </w:rPr>
        <w:t>1</w:t>
      </w:r>
      <w:r>
        <w:t xml:space="preserve"> Australian Government initiatives include the Australian Research Council’s Linkage and Discovery programmes, Rural R&amp;D for Profit Programme and Cooperative Research Centres (CRC) Programme.</w:t>
      </w:r>
    </w:p>
    <w:p w14:paraId="010B7F9E" w14:textId="2C53C350" w:rsidR="00EC0C8F" w:rsidRDefault="00EC0C8F" w:rsidP="00EC0C8F">
      <w:pPr>
        <w:pStyle w:val="TableText"/>
      </w:pPr>
      <w:r w:rsidRPr="00EC0C8F">
        <w:rPr>
          <w:vertAlign w:val="superscript"/>
        </w:rPr>
        <w:t>2</w:t>
      </w:r>
      <w:r>
        <w:t xml:space="preserve"> Both the RDCs and CRCs receive funding from </w:t>
      </w:r>
      <w:r w:rsidR="00AC31E2">
        <w:t>industry and government sources.</w:t>
      </w:r>
    </w:p>
    <w:p w14:paraId="312B81A1" w14:textId="77777777" w:rsidR="00957341" w:rsidRDefault="000E4C72" w:rsidP="00957341">
      <w:pPr>
        <w:pStyle w:val="Heading4"/>
      </w:pPr>
      <w:r>
        <w:t>Ad-hoc and short-</w:t>
      </w:r>
      <w:r w:rsidR="00957341">
        <w:t>lived investments—RDCs and CRCs</w:t>
      </w:r>
    </w:p>
    <w:p w14:paraId="6D18BDED" w14:textId="77777777" w:rsidR="00957341" w:rsidRDefault="00957341" w:rsidP="00957341">
      <w:r>
        <w:t xml:space="preserve">The RDCs are key funders of biosecurity R&amp;I. These industry-focused organisations receive significant funding each year from both industry (commodity-based levies) and the Australian Government (matching funding), which is invested in a portfolio of research and industry service activities for the benefit of their respective industry or industries. The RDCs are required to take into account both industry and nationally agreed government priorities (which include biosecurity) in their strategic planning processes and investment decisions. The extent to which they take into account the animal and plant biosecurity strategies is not clear, as this is not </w:t>
      </w:r>
      <w:r w:rsidR="00C23D98">
        <w:t xml:space="preserve">clearly </w:t>
      </w:r>
      <w:r>
        <w:t>reported.</w:t>
      </w:r>
    </w:p>
    <w:p w14:paraId="6774C299" w14:textId="3B6D6272" w:rsidR="001B313E" w:rsidRDefault="001B313E" w:rsidP="00957341">
      <w:r w:rsidRPr="001B313E">
        <w:t>Of similar significance is the extent to which the RDCs collaborate in jointly-funded biosecurity R&amp;I. As biosecurity is largely ‘blind’ to commodities and geography</w:t>
      </w:r>
      <w:r w:rsidR="003E150D">
        <w:t>,</w:t>
      </w:r>
      <w:r w:rsidRPr="001B313E">
        <w:t xml:space="preserve"> the capacity of multiple RDCs to co-invest in areas of joint concern should be obligatory. The leadership inherent in the Council of </w:t>
      </w:r>
      <w:r w:rsidR="003E150D">
        <w:t>Rural</w:t>
      </w:r>
      <w:r w:rsidRPr="001B313E">
        <w:t xml:space="preserve"> RDCs jointly invest in biosecurity issues of both national interest and impact cross-sectoral needs.</w:t>
      </w:r>
    </w:p>
    <w:p w14:paraId="693B1A87" w14:textId="77777777" w:rsidR="00957341" w:rsidRDefault="00957341" w:rsidP="00957341">
      <w:r>
        <w:t>The RDCs’ investments in biosecurity R&amp;I, as publicly reported in their various corporate documents (including annual reports, annual operating plans, and strategic plans), vary considerably and, in some cases, are relatively small when compared with their overall annual R&amp;I spend (</w:t>
      </w:r>
      <w:r>
        <w:fldChar w:fldCharType="begin"/>
      </w:r>
      <w:r>
        <w:instrText xml:space="preserve"> REF _Ref466972383 \h </w:instrText>
      </w:r>
      <w:r>
        <w:fldChar w:fldCharType="separate"/>
      </w:r>
      <w:r w:rsidR="008303E2" w:rsidRPr="00CD5E76">
        <w:t xml:space="preserve">Table </w:t>
      </w:r>
      <w:r w:rsidR="008303E2">
        <w:rPr>
          <w:noProof/>
        </w:rPr>
        <w:t>6</w:t>
      </w:r>
      <w:r>
        <w:fldChar w:fldCharType="end"/>
      </w:r>
      <w:r>
        <w:t>).</w:t>
      </w:r>
    </w:p>
    <w:p w14:paraId="1B75A528" w14:textId="77777777" w:rsidR="00FA4FC9" w:rsidRPr="00957341" w:rsidRDefault="00FA4FC9" w:rsidP="00957341">
      <w:pPr>
        <w:sectPr w:rsidR="00FA4FC9" w:rsidRPr="00957341" w:rsidSect="00AF2185">
          <w:pgSz w:w="11906" w:h="16838"/>
          <w:pgMar w:top="1418" w:right="1418" w:bottom="1418" w:left="1418" w:header="567" w:footer="283" w:gutter="0"/>
          <w:cols w:space="708"/>
          <w:docGrid w:linePitch="360"/>
        </w:sectPr>
      </w:pPr>
    </w:p>
    <w:p w14:paraId="0B4DA987" w14:textId="18A68F48" w:rsidR="00217F53" w:rsidRPr="00CD5E76" w:rsidRDefault="005D59B0" w:rsidP="001717D8">
      <w:pPr>
        <w:pStyle w:val="Caption"/>
        <w:ind w:left="-426"/>
        <w:rPr>
          <w:sz w:val="22"/>
          <w:szCs w:val="22"/>
        </w:rPr>
      </w:pPr>
      <w:bookmarkStart w:id="118" w:name="_Ref466972383"/>
      <w:bookmarkStart w:id="119" w:name="_Toc468176727"/>
      <w:r w:rsidRPr="00CD5E76">
        <w:rPr>
          <w:sz w:val="22"/>
          <w:szCs w:val="22"/>
        </w:rPr>
        <w:lastRenderedPageBreak/>
        <w:t>T</w:t>
      </w:r>
      <w:r w:rsidR="00217F53" w:rsidRPr="00CD5E76">
        <w:rPr>
          <w:sz w:val="22"/>
          <w:szCs w:val="22"/>
        </w:rPr>
        <w:t xml:space="preserve">able </w:t>
      </w:r>
      <w:r w:rsidR="00D56373" w:rsidRPr="00CD5E76">
        <w:rPr>
          <w:sz w:val="22"/>
          <w:szCs w:val="22"/>
        </w:rPr>
        <w:fldChar w:fldCharType="begin"/>
      </w:r>
      <w:r w:rsidR="00D56373" w:rsidRPr="00CD5E76">
        <w:rPr>
          <w:sz w:val="22"/>
          <w:szCs w:val="22"/>
        </w:rPr>
        <w:instrText xml:space="preserve"> SEQ Table \* ARABIC </w:instrText>
      </w:r>
      <w:r w:rsidR="00D56373" w:rsidRPr="00CD5E76">
        <w:rPr>
          <w:sz w:val="22"/>
          <w:szCs w:val="22"/>
        </w:rPr>
        <w:fldChar w:fldCharType="separate"/>
      </w:r>
      <w:r w:rsidR="008303E2">
        <w:rPr>
          <w:noProof/>
          <w:sz w:val="22"/>
          <w:szCs w:val="22"/>
        </w:rPr>
        <w:t>6</w:t>
      </w:r>
      <w:r w:rsidR="00D56373" w:rsidRPr="00CD5E76">
        <w:rPr>
          <w:noProof/>
          <w:sz w:val="22"/>
          <w:szCs w:val="22"/>
        </w:rPr>
        <w:fldChar w:fldCharType="end"/>
      </w:r>
      <w:bookmarkEnd w:id="118"/>
      <w:r w:rsidR="003F76E1" w:rsidRPr="00CD5E76">
        <w:rPr>
          <w:sz w:val="22"/>
          <w:szCs w:val="22"/>
        </w:rPr>
        <w:t>:</w:t>
      </w:r>
      <w:r w:rsidR="00217F53" w:rsidRPr="00CD5E76">
        <w:rPr>
          <w:sz w:val="22"/>
          <w:szCs w:val="22"/>
        </w:rPr>
        <w:t xml:space="preserve"> Investments made by RDCs on biosecurity R&amp;I</w:t>
      </w:r>
      <w:bookmarkEnd w:id="119"/>
    </w:p>
    <w:tbl>
      <w:tblPr>
        <w:tblStyle w:val="TableGrid"/>
        <w:tblW w:w="0" w:type="auto"/>
        <w:tblInd w:w="-4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1278"/>
        <w:gridCol w:w="1370"/>
        <w:gridCol w:w="1273"/>
        <w:gridCol w:w="1489"/>
        <w:gridCol w:w="1370"/>
        <w:gridCol w:w="1273"/>
        <w:gridCol w:w="1489"/>
        <w:gridCol w:w="1370"/>
        <w:gridCol w:w="1273"/>
      </w:tblGrid>
      <w:tr w:rsidR="00A06924" w:rsidRPr="00FA4FC9" w14:paraId="400E12B8" w14:textId="77777777" w:rsidTr="002679F1">
        <w:trPr>
          <w:tblHeader/>
        </w:trPr>
        <w:tc>
          <w:tcPr>
            <w:tcW w:w="2269" w:type="dxa"/>
          </w:tcPr>
          <w:p w14:paraId="3D6D6A26" w14:textId="77777777" w:rsidR="00A06924" w:rsidRPr="008C057D" w:rsidRDefault="00A06924" w:rsidP="005D59B0">
            <w:pPr>
              <w:pStyle w:val="TableHeading"/>
            </w:pPr>
            <w:r w:rsidRPr="008C057D">
              <w:t>Organisation</w:t>
            </w:r>
          </w:p>
        </w:tc>
        <w:tc>
          <w:tcPr>
            <w:tcW w:w="1278" w:type="dxa"/>
          </w:tcPr>
          <w:p w14:paraId="3EBECDEB" w14:textId="40A86D8A" w:rsidR="00A06924" w:rsidRPr="008C057D" w:rsidRDefault="00E86A53" w:rsidP="005D59B0">
            <w:pPr>
              <w:pStyle w:val="TableHeading"/>
              <w:jc w:val="center"/>
            </w:pPr>
            <w:r w:rsidRPr="002679F1">
              <w:rPr>
                <w:color w:val="FFFFFF" w:themeColor="background1"/>
              </w:rPr>
              <w:t>.</w:t>
            </w:r>
          </w:p>
        </w:tc>
        <w:tc>
          <w:tcPr>
            <w:tcW w:w="1370" w:type="dxa"/>
          </w:tcPr>
          <w:p w14:paraId="38EE8364" w14:textId="15319C35" w:rsidR="00A06924" w:rsidRPr="008C057D" w:rsidRDefault="00A06924" w:rsidP="00CD6D42">
            <w:pPr>
              <w:pStyle w:val="TableHeading"/>
              <w:jc w:val="center"/>
            </w:pPr>
            <w:r w:rsidRPr="008C057D">
              <w:t>2012-13</w:t>
            </w:r>
          </w:p>
        </w:tc>
        <w:tc>
          <w:tcPr>
            <w:tcW w:w="1273" w:type="dxa"/>
          </w:tcPr>
          <w:p w14:paraId="298DFFEF" w14:textId="358113BC" w:rsidR="00A06924" w:rsidRPr="00E86A53" w:rsidRDefault="00E86A53" w:rsidP="005D59B0">
            <w:pPr>
              <w:pStyle w:val="TableHeading"/>
              <w:jc w:val="center"/>
              <w:rPr>
                <w:color w:val="FFFFFF" w:themeColor="background1"/>
              </w:rPr>
            </w:pPr>
            <w:r w:rsidRPr="00E86A53">
              <w:rPr>
                <w:color w:val="FFFFFF" w:themeColor="background1"/>
              </w:rPr>
              <w:t>.</w:t>
            </w:r>
            <w:r w:rsidR="002679F1">
              <w:rPr>
                <w:color w:val="FFFFFF" w:themeColor="background1"/>
              </w:rPr>
              <w:t>.</w:t>
            </w:r>
          </w:p>
        </w:tc>
        <w:tc>
          <w:tcPr>
            <w:tcW w:w="1489" w:type="dxa"/>
          </w:tcPr>
          <w:p w14:paraId="5768C45D" w14:textId="33DEE798" w:rsidR="00A06924" w:rsidRPr="00E86A53" w:rsidRDefault="00E86A53" w:rsidP="005D59B0">
            <w:pPr>
              <w:pStyle w:val="TableHeading"/>
              <w:jc w:val="center"/>
              <w:rPr>
                <w:color w:val="FFFFFF" w:themeColor="background1"/>
              </w:rPr>
            </w:pPr>
            <w:r w:rsidRPr="00E86A53">
              <w:rPr>
                <w:color w:val="FFFFFF" w:themeColor="background1"/>
              </w:rPr>
              <w:t>.</w:t>
            </w:r>
            <w:r w:rsidR="002679F1">
              <w:rPr>
                <w:color w:val="FFFFFF" w:themeColor="background1"/>
              </w:rPr>
              <w:t>.</w:t>
            </w:r>
          </w:p>
        </w:tc>
        <w:tc>
          <w:tcPr>
            <w:tcW w:w="1370" w:type="dxa"/>
          </w:tcPr>
          <w:p w14:paraId="69420E68" w14:textId="6CFC30FA" w:rsidR="00A06924" w:rsidRPr="008C057D" w:rsidRDefault="00A06924" w:rsidP="005D59B0">
            <w:pPr>
              <w:pStyle w:val="TableHeading"/>
              <w:jc w:val="center"/>
            </w:pPr>
            <w:r w:rsidRPr="008C057D">
              <w:t>2013-14</w:t>
            </w:r>
          </w:p>
        </w:tc>
        <w:tc>
          <w:tcPr>
            <w:tcW w:w="1273" w:type="dxa"/>
          </w:tcPr>
          <w:p w14:paraId="47A03C48" w14:textId="096772F6" w:rsidR="00A06924" w:rsidRPr="00E86A53" w:rsidRDefault="00E86A53" w:rsidP="005D59B0">
            <w:pPr>
              <w:pStyle w:val="TableHeading"/>
              <w:jc w:val="center"/>
              <w:rPr>
                <w:color w:val="FFFFFF" w:themeColor="background1"/>
              </w:rPr>
            </w:pPr>
            <w:r w:rsidRPr="00E86A53">
              <w:rPr>
                <w:color w:val="FFFFFF" w:themeColor="background1"/>
              </w:rPr>
              <w:t>.</w:t>
            </w:r>
            <w:r w:rsidR="002679F1">
              <w:rPr>
                <w:color w:val="FFFFFF" w:themeColor="background1"/>
              </w:rPr>
              <w:t>.</w:t>
            </w:r>
          </w:p>
        </w:tc>
        <w:tc>
          <w:tcPr>
            <w:tcW w:w="1489" w:type="dxa"/>
          </w:tcPr>
          <w:p w14:paraId="0E431A02" w14:textId="60B1F872" w:rsidR="00A06924" w:rsidRPr="00E86A53" w:rsidRDefault="00E86A53" w:rsidP="005D59B0">
            <w:pPr>
              <w:pStyle w:val="TableHeading"/>
              <w:jc w:val="center"/>
              <w:rPr>
                <w:color w:val="FFFFFF" w:themeColor="background1"/>
              </w:rPr>
            </w:pPr>
            <w:r w:rsidRPr="00E86A53">
              <w:rPr>
                <w:color w:val="FFFFFF" w:themeColor="background1"/>
              </w:rPr>
              <w:t>.</w:t>
            </w:r>
            <w:r w:rsidR="002679F1">
              <w:rPr>
                <w:color w:val="FFFFFF" w:themeColor="background1"/>
              </w:rPr>
              <w:t>.</w:t>
            </w:r>
          </w:p>
        </w:tc>
        <w:tc>
          <w:tcPr>
            <w:tcW w:w="1370" w:type="dxa"/>
          </w:tcPr>
          <w:p w14:paraId="3F498875" w14:textId="49576ABF" w:rsidR="00A06924" w:rsidRPr="008C057D" w:rsidRDefault="00A06924" w:rsidP="005D59B0">
            <w:pPr>
              <w:pStyle w:val="TableHeading"/>
              <w:jc w:val="center"/>
            </w:pPr>
            <w:r w:rsidRPr="008C057D">
              <w:t>2014-15</w:t>
            </w:r>
          </w:p>
        </w:tc>
        <w:tc>
          <w:tcPr>
            <w:tcW w:w="1273" w:type="dxa"/>
          </w:tcPr>
          <w:p w14:paraId="6935626E" w14:textId="0F6FB700" w:rsidR="00A06924" w:rsidRPr="008C057D" w:rsidRDefault="00E86A53" w:rsidP="005D59B0">
            <w:pPr>
              <w:pStyle w:val="TableHeading"/>
              <w:jc w:val="center"/>
            </w:pPr>
            <w:r w:rsidRPr="00E86A53">
              <w:rPr>
                <w:color w:val="FFFFFF" w:themeColor="background1"/>
              </w:rPr>
              <w:t>.</w:t>
            </w:r>
          </w:p>
        </w:tc>
      </w:tr>
      <w:tr w:rsidR="00D5342A" w:rsidRPr="00FA4FC9" w14:paraId="79874E9F" w14:textId="77777777" w:rsidTr="002679F1">
        <w:trPr>
          <w:tblHeader/>
        </w:trPr>
        <w:tc>
          <w:tcPr>
            <w:tcW w:w="2269" w:type="dxa"/>
          </w:tcPr>
          <w:p w14:paraId="76F0E0E0" w14:textId="0BA6CBF1" w:rsidR="00FA4FC9" w:rsidRPr="002679F1" w:rsidRDefault="00E86A53" w:rsidP="005D59B0">
            <w:pPr>
              <w:pStyle w:val="TableHeading"/>
            </w:pPr>
            <w:r w:rsidRPr="002679F1">
              <w:rPr>
                <w:color w:val="FFFFFF" w:themeColor="background1"/>
              </w:rPr>
              <w:t>.</w:t>
            </w:r>
            <w:r w:rsidR="002679F1" w:rsidRPr="002679F1">
              <w:rPr>
                <w:color w:val="FFFFFF" w:themeColor="background1"/>
              </w:rPr>
              <w:t>.</w:t>
            </w:r>
          </w:p>
        </w:tc>
        <w:tc>
          <w:tcPr>
            <w:tcW w:w="1278" w:type="dxa"/>
          </w:tcPr>
          <w:p w14:paraId="11EFEEE2" w14:textId="6EBB42DA" w:rsidR="00FA4FC9" w:rsidRPr="00FA4FC9" w:rsidRDefault="00FA4FC9" w:rsidP="00DD7DC3">
            <w:pPr>
              <w:pStyle w:val="TableHeading"/>
              <w:jc w:val="right"/>
            </w:pPr>
            <w:r w:rsidRPr="00FA4FC9">
              <w:t>Total R&amp;I spend</w:t>
            </w:r>
            <w:r w:rsidR="00DD7DC3">
              <w:t xml:space="preserve"> </w:t>
            </w:r>
            <w:r w:rsidR="00DD7DC3">
              <w:br/>
            </w:r>
            <w:r w:rsidRPr="00FA4FC9">
              <w:t>($)</w:t>
            </w:r>
          </w:p>
        </w:tc>
        <w:tc>
          <w:tcPr>
            <w:tcW w:w="1370" w:type="dxa"/>
          </w:tcPr>
          <w:p w14:paraId="3CAC112B" w14:textId="2C44205D" w:rsidR="00FA4FC9" w:rsidRPr="00FA4FC9" w:rsidRDefault="00FA4FC9" w:rsidP="00DD7DC3">
            <w:pPr>
              <w:pStyle w:val="TableHeading"/>
              <w:jc w:val="right"/>
            </w:pPr>
            <w:r w:rsidRPr="00FA4FC9">
              <w:t>Estimated biosecurity</w:t>
            </w:r>
            <w:r w:rsidR="00DD7DC3">
              <w:t xml:space="preserve"> </w:t>
            </w:r>
            <w:r w:rsidR="00DD7DC3">
              <w:br/>
            </w:r>
            <w:r w:rsidRPr="00FA4FC9">
              <w:t>spend ($)</w:t>
            </w:r>
          </w:p>
        </w:tc>
        <w:tc>
          <w:tcPr>
            <w:tcW w:w="1273" w:type="dxa"/>
          </w:tcPr>
          <w:p w14:paraId="301B79E3" w14:textId="58A81985" w:rsidR="00FA4FC9" w:rsidRPr="00FA4FC9" w:rsidRDefault="00FA4FC9" w:rsidP="00DD7DC3">
            <w:pPr>
              <w:pStyle w:val="TableHeading"/>
              <w:jc w:val="right"/>
            </w:pPr>
            <w:r w:rsidRPr="00FA4FC9">
              <w:t>Biosecurity spend</w:t>
            </w:r>
            <w:r w:rsidR="00DD7DC3">
              <w:t xml:space="preserve"> </w:t>
            </w:r>
            <w:r w:rsidR="00DD7DC3">
              <w:br/>
            </w:r>
            <w:r w:rsidRPr="00FA4FC9">
              <w:t>(% of total)</w:t>
            </w:r>
          </w:p>
        </w:tc>
        <w:tc>
          <w:tcPr>
            <w:tcW w:w="1489" w:type="dxa"/>
          </w:tcPr>
          <w:p w14:paraId="291FB615" w14:textId="1E1CF9CE" w:rsidR="00FA4FC9" w:rsidRPr="00FA4FC9" w:rsidRDefault="00FA4FC9" w:rsidP="00DD7DC3">
            <w:pPr>
              <w:pStyle w:val="TableHeading"/>
              <w:jc w:val="right"/>
            </w:pPr>
            <w:r w:rsidRPr="00FA4FC9">
              <w:t>Total R&amp;I spend</w:t>
            </w:r>
            <w:r w:rsidR="00DD7DC3">
              <w:t xml:space="preserve"> </w:t>
            </w:r>
            <w:r w:rsidR="00DD7DC3">
              <w:br/>
            </w:r>
            <w:r w:rsidRPr="00FA4FC9">
              <w:t>($)</w:t>
            </w:r>
          </w:p>
        </w:tc>
        <w:tc>
          <w:tcPr>
            <w:tcW w:w="1370" w:type="dxa"/>
          </w:tcPr>
          <w:p w14:paraId="40991B72" w14:textId="3F8C016F" w:rsidR="00FA4FC9" w:rsidRPr="00FA4FC9" w:rsidRDefault="00FA4FC9" w:rsidP="00DD7DC3">
            <w:pPr>
              <w:pStyle w:val="TableHeading"/>
              <w:jc w:val="right"/>
            </w:pPr>
            <w:r w:rsidRPr="00FA4FC9">
              <w:t>Estimated biosecurity</w:t>
            </w:r>
            <w:r w:rsidR="00DD7DC3">
              <w:t xml:space="preserve"> </w:t>
            </w:r>
            <w:r w:rsidR="00DD7DC3">
              <w:br/>
            </w:r>
            <w:r w:rsidRPr="00FA4FC9">
              <w:t>spend ($)</w:t>
            </w:r>
          </w:p>
        </w:tc>
        <w:tc>
          <w:tcPr>
            <w:tcW w:w="1273" w:type="dxa"/>
          </w:tcPr>
          <w:p w14:paraId="4CBEB9C2" w14:textId="55154411" w:rsidR="00FA4FC9" w:rsidRPr="00FA4FC9" w:rsidRDefault="00FA4FC9" w:rsidP="00DD7DC3">
            <w:pPr>
              <w:pStyle w:val="TableHeading"/>
              <w:jc w:val="right"/>
            </w:pPr>
            <w:r w:rsidRPr="00FA4FC9">
              <w:t>Biosecurity spend</w:t>
            </w:r>
            <w:r w:rsidR="00DD7DC3">
              <w:br/>
            </w:r>
            <w:r w:rsidRPr="00FA4FC9">
              <w:t xml:space="preserve"> (% of total)</w:t>
            </w:r>
          </w:p>
        </w:tc>
        <w:tc>
          <w:tcPr>
            <w:tcW w:w="1489" w:type="dxa"/>
          </w:tcPr>
          <w:p w14:paraId="4BE91D0B" w14:textId="587B0F2C" w:rsidR="00FA4FC9" w:rsidRPr="00FA4FC9" w:rsidRDefault="00FA4FC9" w:rsidP="00DD7DC3">
            <w:pPr>
              <w:pStyle w:val="TableHeading"/>
              <w:jc w:val="right"/>
            </w:pPr>
            <w:r w:rsidRPr="00FA4FC9">
              <w:t>Total R&amp;I spend</w:t>
            </w:r>
            <w:r w:rsidR="00DD7DC3">
              <w:t xml:space="preserve"> </w:t>
            </w:r>
            <w:r w:rsidR="00DD7DC3">
              <w:br/>
            </w:r>
            <w:r w:rsidRPr="00FA4FC9">
              <w:t>($)</w:t>
            </w:r>
          </w:p>
        </w:tc>
        <w:tc>
          <w:tcPr>
            <w:tcW w:w="1370" w:type="dxa"/>
          </w:tcPr>
          <w:p w14:paraId="490C1978" w14:textId="77777777" w:rsidR="00FA4FC9" w:rsidRPr="00FA4FC9" w:rsidRDefault="00FA4FC9" w:rsidP="00D5342A">
            <w:pPr>
              <w:pStyle w:val="TableHeading"/>
              <w:jc w:val="right"/>
            </w:pPr>
            <w:r w:rsidRPr="00FA4FC9">
              <w:t>Estimated biosecurity spend ($)</w:t>
            </w:r>
          </w:p>
        </w:tc>
        <w:tc>
          <w:tcPr>
            <w:tcW w:w="1273" w:type="dxa"/>
          </w:tcPr>
          <w:p w14:paraId="7039EEB3" w14:textId="59344486" w:rsidR="00FA4FC9" w:rsidRPr="00FA4FC9" w:rsidRDefault="00FA4FC9" w:rsidP="00DD7DC3">
            <w:pPr>
              <w:pStyle w:val="TableHeading"/>
              <w:jc w:val="right"/>
            </w:pPr>
            <w:r w:rsidRPr="00FA4FC9">
              <w:t>Biosecurity spend</w:t>
            </w:r>
            <w:r w:rsidR="00DD7DC3">
              <w:t xml:space="preserve"> </w:t>
            </w:r>
            <w:r w:rsidR="00DD7DC3">
              <w:br/>
            </w:r>
            <w:r w:rsidRPr="00FA4FC9">
              <w:t>(% of total)</w:t>
            </w:r>
          </w:p>
        </w:tc>
      </w:tr>
      <w:tr w:rsidR="00D5342A" w:rsidRPr="00D5342A" w14:paraId="1269780D" w14:textId="77777777" w:rsidTr="002679F1">
        <w:tc>
          <w:tcPr>
            <w:tcW w:w="2269" w:type="dxa"/>
          </w:tcPr>
          <w:p w14:paraId="56E024DE" w14:textId="77777777" w:rsidR="00FA4FC9" w:rsidRPr="00D5342A" w:rsidRDefault="007509F3" w:rsidP="00D5342A">
            <w:pPr>
              <w:pStyle w:val="TableText"/>
            </w:pPr>
            <w:r w:rsidRPr="00D5342A">
              <w:t>Australian Livestock Export Corporation</w:t>
            </w:r>
            <w:r w:rsidR="00D5342A" w:rsidRPr="00D5342A">
              <w:t xml:space="preserve"> Ltd</w:t>
            </w:r>
            <w:r w:rsidR="00FA4FC9" w:rsidRPr="00D5342A">
              <w:t>*</w:t>
            </w:r>
          </w:p>
        </w:tc>
        <w:tc>
          <w:tcPr>
            <w:tcW w:w="1278" w:type="dxa"/>
          </w:tcPr>
          <w:p w14:paraId="6FF34345" w14:textId="77777777" w:rsidR="00FA4FC9" w:rsidRPr="00D5342A" w:rsidRDefault="00FA4FC9" w:rsidP="005D59B0">
            <w:pPr>
              <w:pStyle w:val="TableText"/>
              <w:jc w:val="right"/>
            </w:pPr>
            <w:r w:rsidRPr="00D5342A">
              <w:t>$1,090,000</w:t>
            </w:r>
          </w:p>
        </w:tc>
        <w:tc>
          <w:tcPr>
            <w:tcW w:w="1370" w:type="dxa"/>
          </w:tcPr>
          <w:p w14:paraId="62689A1C" w14:textId="77777777" w:rsidR="00FA4FC9" w:rsidRPr="00D5342A" w:rsidRDefault="00FA4FC9" w:rsidP="005D59B0">
            <w:pPr>
              <w:pStyle w:val="TableText"/>
              <w:jc w:val="right"/>
            </w:pPr>
            <w:r w:rsidRPr="00D5342A">
              <w:t>$0</w:t>
            </w:r>
          </w:p>
        </w:tc>
        <w:tc>
          <w:tcPr>
            <w:tcW w:w="1273" w:type="dxa"/>
          </w:tcPr>
          <w:p w14:paraId="61ED21AD" w14:textId="77777777" w:rsidR="00FA4FC9" w:rsidRPr="00D5342A" w:rsidRDefault="00FA4FC9" w:rsidP="005D59B0">
            <w:pPr>
              <w:pStyle w:val="TableText"/>
              <w:jc w:val="right"/>
            </w:pPr>
            <w:r w:rsidRPr="00D5342A">
              <w:t>0.0%</w:t>
            </w:r>
          </w:p>
        </w:tc>
        <w:tc>
          <w:tcPr>
            <w:tcW w:w="1489" w:type="dxa"/>
          </w:tcPr>
          <w:p w14:paraId="6131CD33" w14:textId="77777777" w:rsidR="00FA4FC9" w:rsidRPr="00D5342A" w:rsidRDefault="00FA4FC9" w:rsidP="005D59B0">
            <w:pPr>
              <w:pStyle w:val="TableText"/>
              <w:jc w:val="right"/>
            </w:pPr>
            <w:r w:rsidRPr="00D5342A">
              <w:t>$1,440,000</w:t>
            </w:r>
          </w:p>
        </w:tc>
        <w:tc>
          <w:tcPr>
            <w:tcW w:w="1370" w:type="dxa"/>
          </w:tcPr>
          <w:p w14:paraId="4E9A182F" w14:textId="77777777" w:rsidR="00FA4FC9" w:rsidRPr="00D5342A" w:rsidRDefault="00FA4FC9" w:rsidP="005D59B0">
            <w:pPr>
              <w:pStyle w:val="TableText"/>
              <w:jc w:val="right"/>
            </w:pPr>
            <w:r w:rsidRPr="00D5342A">
              <w:t>$0</w:t>
            </w:r>
          </w:p>
        </w:tc>
        <w:tc>
          <w:tcPr>
            <w:tcW w:w="1273" w:type="dxa"/>
          </w:tcPr>
          <w:p w14:paraId="089EAA2E" w14:textId="77777777" w:rsidR="00FA4FC9" w:rsidRPr="00D5342A" w:rsidRDefault="00FA4FC9" w:rsidP="005D59B0">
            <w:pPr>
              <w:pStyle w:val="TableText"/>
              <w:jc w:val="right"/>
            </w:pPr>
            <w:r w:rsidRPr="00D5342A">
              <w:t>0.0%</w:t>
            </w:r>
          </w:p>
        </w:tc>
        <w:tc>
          <w:tcPr>
            <w:tcW w:w="1489" w:type="dxa"/>
          </w:tcPr>
          <w:p w14:paraId="49F357CA" w14:textId="77777777" w:rsidR="00FA4FC9" w:rsidRPr="00D5342A" w:rsidRDefault="00FA4FC9" w:rsidP="005D59B0">
            <w:pPr>
              <w:pStyle w:val="TableText"/>
              <w:jc w:val="right"/>
            </w:pPr>
            <w:r w:rsidRPr="00D5342A">
              <w:t>$1,640,000</w:t>
            </w:r>
          </w:p>
        </w:tc>
        <w:tc>
          <w:tcPr>
            <w:tcW w:w="1370" w:type="dxa"/>
          </w:tcPr>
          <w:p w14:paraId="177BB940" w14:textId="77777777" w:rsidR="00FA4FC9" w:rsidRPr="00D5342A" w:rsidRDefault="00FA4FC9" w:rsidP="005D59B0">
            <w:pPr>
              <w:pStyle w:val="TableText"/>
              <w:jc w:val="right"/>
            </w:pPr>
            <w:r w:rsidRPr="00D5342A">
              <w:t>$0</w:t>
            </w:r>
          </w:p>
        </w:tc>
        <w:tc>
          <w:tcPr>
            <w:tcW w:w="1273" w:type="dxa"/>
          </w:tcPr>
          <w:p w14:paraId="007E9010" w14:textId="77777777" w:rsidR="00FA4FC9" w:rsidRPr="00D5342A" w:rsidRDefault="00FA4FC9" w:rsidP="005D59B0">
            <w:pPr>
              <w:pStyle w:val="TableText"/>
              <w:jc w:val="right"/>
            </w:pPr>
            <w:r w:rsidRPr="00D5342A">
              <w:t>0.0%</w:t>
            </w:r>
          </w:p>
        </w:tc>
      </w:tr>
      <w:tr w:rsidR="00D5342A" w:rsidRPr="00D5342A" w14:paraId="2470F759" w14:textId="77777777" w:rsidTr="002679F1">
        <w:tc>
          <w:tcPr>
            <w:tcW w:w="2269" w:type="dxa"/>
          </w:tcPr>
          <w:p w14:paraId="732F5413" w14:textId="77777777" w:rsidR="00FA4FC9" w:rsidRPr="00D5342A" w:rsidRDefault="00FA4FC9" w:rsidP="005D59B0">
            <w:pPr>
              <w:pStyle w:val="TableText"/>
            </w:pPr>
            <w:r w:rsidRPr="00D5342A">
              <w:t>Dairy Aus</w:t>
            </w:r>
            <w:r w:rsidR="007509F3" w:rsidRPr="00D5342A">
              <w:t>tralia Ltd*</w:t>
            </w:r>
          </w:p>
        </w:tc>
        <w:tc>
          <w:tcPr>
            <w:tcW w:w="1278" w:type="dxa"/>
          </w:tcPr>
          <w:p w14:paraId="79B961EF" w14:textId="77777777" w:rsidR="00FA4FC9" w:rsidRPr="00D5342A" w:rsidRDefault="00FA4FC9" w:rsidP="005D59B0">
            <w:pPr>
              <w:pStyle w:val="TableText"/>
              <w:jc w:val="right"/>
            </w:pPr>
            <w:r w:rsidRPr="00D5342A">
              <w:t>$56,150,000</w:t>
            </w:r>
          </w:p>
        </w:tc>
        <w:tc>
          <w:tcPr>
            <w:tcW w:w="1370" w:type="dxa"/>
          </w:tcPr>
          <w:p w14:paraId="57EF0E2D" w14:textId="77777777" w:rsidR="00FA4FC9" w:rsidRPr="00D5342A" w:rsidRDefault="00FA4FC9" w:rsidP="005D59B0">
            <w:pPr>
              <w:pStyle w:val="TableText"/>
              <w:jc w:val="right"/>
            </w:pPr>
            <w:r w:rsidRPr="00D5342A">
              <w:t>$1,123,000</w:t>
            </w:r>
          </w:p>
        </w:tc>
        <w:tc>
          <w:tcPr>
            <w:tcW w:w="1273" w:type="dxa"/>
          </w:tcPr>
          <w:p w14:paraId="08FFB409" w14:textId="77777777" w:rsidR="00FA4FC9" w:rsidRPr="00D5342A" w:rsidRDefault="00FA4FC9" w:rsidP="005D59B0">
            <w:pPr>
              <w:pStyle w:val="TableText"/>
              <w:jc w:val="right"/>
            </w:pPr>
            <w:r w:rsidRPr="00D5342A">
              <w:t>2.0%</w:t>
            </w:r>
          </w:p>
        </w:tc>
        <w:tc>
          <w:tcPr>
            <w:tcW w:w="1489" w:type="dxa"/>
          </w:tcPr>
          <w:p w14:paraId="54AA6F05" w14:textId="77777777" w:rsidR="00FA4FC9" w:rsidRPr="00D5342A" w:rsidRDefault="00FA4FC9" w:rsidP="005D59B0">
            <w:pPr>
              <w:pStyle w:val="TableText"/>
              <w:jc w:val="right"/>
            </w:pPr>
            <w:r w:rsidRPr="00D5342A">
              <w:t>$38,500,000</w:t>
            </w:r>
          </w:p>
        </w:tc>
        <w:tc>
          <w:tcPr>
            <w:tcW w:w="1370" w:type="dxa"/>
          </w:tcPr>
          <w:p w14:paraId="29720409" w14:textId="77777777" w:rsidR="00FA4FC9" w:rsidRPr="00D5342A" w:rsidRDefault="00FA4FC9" w:rsidP="005D59B0">
            <w:pPr>
              <w:pStyle w:val="TableText"/>
              <w:jc w:val="right"/>
            </w:pPr>
            <w:r w:rsidRPr="00D5342A">
              <w:t>$154,000</w:t>
            </w:r>
          </w:p>
        </w:tc>
        <w:tc>
          <w:tcPr>
            <w:tcW w:w="1273" w:type="dxa"/>
          </w:tcPr>
          <w:p w14:paraId="1611925B" w14:textId="77777777" w:rsidR="00FA4FC9" w:rsidRPr="00D5342A" w:rsidRDefault="00FA4FC9" w:rsidP="005D59B0">
            <w:pPr>
              <w:pStyle w:val="TableText"/>
              <w:jc w:val="right"/>
            </w:pPr>
            <w:r w:rsidRPr="00D5342A">
              <w:t>0.4%</w:t>
            </w:r>
          </w:p>
        </w:tc>
        <w:tc>
          <w:tcPr>
            <w:tcW w:w="1489" w:type="dxa"/>
          </w:tcPr>
          <w:p w14:paraId="3B2872AB" w14:textId="77777777" w:rsidR="00FA4FC9" w:rsidRPr="00D5342A" w:rsidRDefault="00FA4FC9" w:rsidP="005D59B0">
            <w:pPr>
              <w:pStyle w:val="TableText"/>
              <w:jc w:val="right"/>
            </w:pPr>
            <w:r w:rsidRPr="00D5342A">
              <w:t>$40,200,000</w:t>
            </w:r>
          </w:p>
        </w:tc>
        <w:tc>
          <w:tcPr>
            <w:tcW w:w="1370" w:type="dxa"/>
          </w:tcPr>
          <w:p w14:paraId="19C3DA26" w14:textId="77777777" w:rsidR="00FA4FC9" w:rsidRPr="00D5342A" w:rsidRDefault="00FA4FC9" w:rsidP="005D59B0">
            <w:pPr>
              <w:pStyle w:val="TableText"/>
              <w:jc w:val="right"/>
            </w:pPr>
            <w:r w:rsidRPr="00D5342A">
              <w:t>$200,000</w:t>
            </w:r>
          </w:p>
        </w:tc>
        <w:tc>
          <w:tcPr>
            <w:tcW w:w="1273" w:type="dxa"/>
          </w:tcPr>
          <w:p w14:paraId="099496FC" w14:textId="77777777" w:rsidR="00FA4FC9" w:rsidRPr="00D5342A" w:rsidRDefault="00FA4FC9" w:rsidP="005D59B0">
            <w:pPr>
              <w:pStyle w:val="TableText"/>
              <w:jc w:val="right"/>
            </w:pPr>
            <w:r w:rsidRPr="00D5342A">
              <w:t>0.5%</w:t>
            </w:r>
          </w:p>
        </w:tc>
      </w:tr>
      <w:tr w:rsidR="00D5342A" w:rsidRPr="00D5342A" w14:paraId="1123B891" w14:textId="77777777" w:rsidTr="002679F1">
        <w:tc>
          <w:tcPr>
            <w:tcW w:w="2269" w:type="dxa"/>
          </w:tcPr>
          <w:p w14:paraId="1CCDD4D8" w14:textId="77777777" w:rsidR="00FA4FC9" w:rsidRPr="00D5342A" w:rsidRDefault="007509F3" w:rsidP="007509F3">
            <w:pPr>
              <w:pStyle w:val="TableText"/>
            </w:pPr>
            <w:r w:rsidRPr="00D5342A">
              <w:t>Forest and Wood Products Australia Ltd*</w:t>
            </w:r>
          </w:p>
        </w:tc>
        <w:tc>
          <w:tcPr>
            <w:tcW w:w="1278" w:type="dxa"/>
          </w:tcPr>
          <w:p w14:paraId="1F6B2F33" w14:textId="77777777" w:rsidR="00FA4FC9" w:rsidRPr="00D5342A" w:rsidRDefault="00FA4FC9" w:rsidP="005D59B0">
            <w:pPr>
              <w:pStyle w:val="TableText"/>
              <w:jc w:val="right"/>
            </w:pPr>
            <w:r w:rsidRPr="00D5342A">
              <w:t>$5,480,000</w:t>
            </w:r>
          </w:p>
        </w:tc>
        <w:tc>
          <w:tcPr>
            <w:tcW w:w="1370" w:type="dxa"/>
          </w:tcPr>
          <w:p w14:paraId="6DFE6B00" w14:textId="77777777" w:rsidR="00FA4FC9" w:rsidRPr="00D5342A" w:rsidRDefault="00FA4FC9" w:rsidP="005D59B0">
            <w:pPr>
              <w:pStyle w:val="TableText"/>
              <w:jc w:val="right"/>
            </w:pPr>
            <w:r w:rsidRPr="00D5342A">
              <w:t>$328,800</w:t>
            </w:r>
          </w:p>
        </w:tc>
        <w:tc>
          <w:tcPr>
            <w:tcW w:w="1273" w:type="dxa"/>
          </w:tcPr>
          <w:p w14:paraId="545BD709" w14:textId="77777777" w:rsidR="00FA4FC9" w:rsidRPr="00D5342A" w:rsidRDefault="00FA4FC9" w:rsidP="005D59B0">
            <w:pPr>
              <w:pStyle w:val="TableText"/>
              <w:jc w:val="right"/>
            </w:pPr>
            <w:r w:rsidRPr="00D5342A">
              <w:t>6.0%</w:t>
            </w:r>
          </w:p>
        </w:tc>
        <w:tc>
          <w:tcPr>
            <w:tcW w:w="1489" w:type="dxa"/>
          </w:tcPr>
          <w:p w14:paraId="62554DCF" w14:textId="77777777" w:rsidR="00FA4FC9" w:rsidRPr="00D5342A" w:rsidRDefault="00FA4FC9" w:rsidP="005D59B0">
            <w:pPr>
              <w:pStyle w:val="TableText"/>
              <w:jc w:val="right"/>
            </w:pPr>
            <w:r w:rsidRPr="00D5342A">
              <w:t>$5,380,000</w:t>
            </w:r>
          </w:p>
        </w:tc>
        <w:tc>
          <w:tcPr>
            <w:tcW w:w="1370" w:type="dxa"/>
          </w:tcPr>
          <w:p w14:paraId="7D96DA5C" w14:textId="77777777" w:rsidR="00FA4FC9" w:rsidRPr="00D5342A" w:rsidRDefault="00FA4FC9" w:rsidP="005D59B0">
            <w:pPr>
              <w:pStyle w:val="TableText"/>
              <w:jc w:val="right"/>
            </w:pPr>
            <w:r w:rsidRPr="00D5342A">
              <w:t>$53,800</w:t>
            </w:r>
          </w:p>
        </w:tc>
        <w:tc>
          <w:tcPr>
            <w:tcW w:w="1273" w:type="dxa"/>
          </w:tcPr>
          <w:p w14:paraId="1F43E54C" w14:textId="77777777" w:rsidR="00FA4FC9" w:rsidRPr="00D5342A" w:rsidRDefault="00FA4FC9" w:rsidP="005D59B0">
            <w:pPr>
              <w:pStyle w:val="TableText"/>
              <w:jc w:val="right"/>
            </w:pPr>
            <w:r w:rsidRPr="00D5342A">
              <w:t>1.0%</w:t>
            </w:r>
          </w:p>
        </w:tc>
        <w:tc>
          <w:tcPr>
            <w:tcW w:w="1489" w:type="dxa"/>
          </w:tcPr>
          <w:p w14:paraId="0AC0616A" w14:textId="77777777" w:rsidR="00FA4FC9" w:rsidRPr="00D5342A" w:rsidRDefault="00FA4FC9" w:rsidP="005D59B0">
            <w:pPr>
              <w:pStyle w:val="TableText"/>
              <w:jc w:val="right"/>
            </w:pPr>
            <w:r w:rsidRPr="00D5342A">
              <w:t>$6,080,000</w:t>
            </w:r>
          </w:p>
        </w:tc>
        <w:tc>
          <w:tcPr>
            <w:tcW w:w="1370" w:type="dxa"/>
          </w:tcPr>
          <w:p w14:paraId="1165D9F4" w14:textId="77777777" w:rsidR="00FA4FC9" w:rsidRPr="00D5342A" w:rsidRDefault="00FA4FC9" w:rsidP="005D59B0">
            <w:pPr>
              <w:pStyle w:val="TableText"/>
              <w:jc w:val="right"/>
            </w:pPr>
            <w:r w:rsidRPr="00D5342A">
              <w:t>$182,400</w:t>
            </w:r>
          </w:p>
        </w:tc>
        <w:tc>
          <w:tcPr>
            <w:tcW w:w="1273" w:type="dxa"/>
          </w:tcPr>
          <w:p w14:paraId="0B673332" w14:textId="77777777" w:rsidR="00FA4FC9" w:rsidRPr="00D5342A" w:rsidRDefault="00FA4FC9" w:rsidP="005D59B0">
            <w:pPr>
              <w:pStyle w:val="TableText"/>
              <w:jc w:val="right"/>
            </w:pPr>
            <w:r w:rsidRPr="00D5342A">
              <w:t>3.0%</w:t>
            </w:r>
          </w:p>
        </w:tc>
      </w:tr>
      <w:tr w:rsidR="00D5342A" w:rsidRPr="00D5342A" w14:paraId="0E7E1136" w14:textId="77777777" w:rsidTr="002679F1">
        <w:tc>
          <w:tcPr>
            <w:tcW w:w="2269" w:type="dxa"/>
          </w:tcPr>
          <w:p w14:paraId="226C5D62" w14:textId="77777777" w:rsidR="00FA4FC9" w:rsidRPr="00D5342A" w:rsidRDefault="007509F3" w:rsidP="005D59B0">
            <w:pPr>
              <w:pStyle w:val="TableText"/>
            </w:pPr>
            <w:r w:rsidRPr="00D5342A">
              <w:t>Australian Egg Corporation Ltd*</w:t>
            </w:r>
          </w:p>
        </w:tc>
        <w:tc>
          <w:tcPr>
            <w:tcW w:w="1278" w:type="dxa"/>
          </w:tcPr>
          <w:p w14:paraId="32472FC0" w14:textId="77777777" w:rsidR="00FA4FC9" w:rsidRPr="00D5342A" w:rsidRDefault="00FA4FC9" w:rsidP="005D59B0">
            <w:pPr>
              <w:pStyle w:val="TableText"/>
              <w:jc w:val="right"/>
            </w:pPr>
            <w:r w:rsidRPr="00D5342A">
              <w:t>$3,730,000</w:t>
            </w:r>
          </w:p>
        </w:tc>
        <w:tc>
          <w:tcPr>
            <w:tcW w:w="1370" w:type="dxa"/>
          </w:tcPr>
          <w:p w14:paraId="6FFFA699" w14:textId="77777777" w:rsidR="00FA4FC9" w:rsidRPr="00D5342A" w:rsidRDefault="00FA4FC9" w:rsidP="005D59B0">
            <w:pPr>
              <w:pStyle w:val="TableText"/>
              <w:jc w:val="right"/>
            </w:pPr>
            <w:r w:rsidRPr="00D5342A">
              <w:t>$73,693</w:t>
            </w:r>
          </w:p>
        </w:tc>
        <w:tc>
          <w:tcPr>
            <w:tcW w:w="1273" w:type="dxa"/>
          </w:tcPr>
          <w:p w14:paraId="3DA73138" w14:textId="77777777" w:rsidR="00FA4FC9" w:rsidRPr="00D5342A" w:rsidRDefault="00FA4FC9" w:rsidP="005D59B0">
            <w:pPr>
              <w:pStyle w:val="TableText"/>
              <w:jc w:val="right"/>
            </w:pPr>
            <w:r w:rsidRPr="00D5342A">
              <w:t>2.0%</w:t>
            </w:r>
          </w:p>
        </w:tc>
        <w:tc>
          <w:tcPr>
            <w:tcW w:w="1489" w:type="dxa"/>
          </w:tcPr>
          <w:p w14:paraId="52181213" w14:textId="77777777" w:rsidR="00FA4FC9" w:rsidRPr="00D5342A" w:rsidRDefault="00FA4FC9" w:rsidP="005D59B0">
            <w:pPr>
              <w:pStyle w:val="TableText"/>
              <w:jc w:val="right"/>
            </w:pPr>
            <w:r w:rsidRPr="00D5342A">
              <w:t>$2,590,000</w:t>
            </w:r>
          </w:p>
        </w:tc>
        <w:tc>
          <w:tcPr>
            <w:tcW w:w="1370" w:type="dxa"/>
          </w:tcPr>
          <w:p w14:paraId="007A4FDA" w14:textId="77777777" w:rsidR="00FA4FC9" w:rsidRPr="00D5342A" w:rsidRDefault="00FA4FC9" w:rsidP="005D59B0">
            <w:pPr>
              <w:pStyle w:val="TableText"/>
              <w:jc w:val="right"/>
            </w:pPr>
            <w:r w:rsidRPr="00D5342A">
              <w:t>$22,805</w:t>
            </w:r>
          </w:p>
        </w:tc>
        <w:tc>
          <w:tcPr>
            <w:tcW w:w="1273" w:type="dxa"/>
          </w:tcPr>
          <w:p w14:paraId="6F5615B7" w14:textId="77777777" w:rsidR="00FA4FC9" w:rsidRPr="00D5342A" w:rsidRDefault="00FA4FC9" w:rsidP="005D59B0">
            <w:pPr>
              <w:pStyle w:val="TableText"/>
              <w:jc w:val="right"/>
            </w:pPr>
            <w:r w:rsidRPr="00D5342A">
              <w:t>0.9%</w:t>
            </w:r>
          </w:p>
        </w:tc>
        <w:tc>
          <w:tcPr>
            <w:tcW w:w="1489" w:type="dxa"/>
          </w:tcPr>
          <w:p w14:paraId="548BFE2C" w14:textId="77777777" w:rsidR="00FA4FC9" w:rsidRPr="00D5342A" w:rsidRDefault="00FA4FC9" w:rsidP="005D59B0">
            <w:pPr>
              <w:pStyle w:val="TableText"/>
              <w:jc w:val="right"/>
            </w:pPr>
            <w:r w:rsidRPr="00D5342A">
              <w:t>$5,080,000</w:t>
            </w:r>
          </w:p>
        </w:tc>
        <w:tc>
          <w:tcPr>
            <w:tcW w:w="1370" w:type="dxa"/>
          </w:tcPr>
          <w:p w14:paraId="19A2CA8F" w14:textId="77777777" w:rsidR="00FA4FC9" w:rsidRPr="00D5342A" w:rsidRDefault="00FA4FC9" w:rsidP="005D59B0">
            <w:pPr>
              <w:pStyle w:val="TableText"/>
              <w:jc w:val="right"/>
            </w:pPr>
            <w:r w:rsidRPr="00D5342A">
              <w:t>$169,326</w:t>
            </w:r>
          </w:p>
        </w:tc>
        <w:tc>
          <w:tcPr>
            <w:tcW w:w="1273" w:type="dxa"/>
          </w:tcPr>
          <w:p w14:paraId="15418AFF" w14:textId="77777777" w:rsidR="00FA4FC9" w:rsidRPr="00D5342A" w:rsidRDefault="00FA4FC9" w:rsidP="005D59B0">
            <w:pPr>
              <w:pStyle w:val="TableText"/>
              <w:jc w:val="right"/>
            </w:pPr>
            <w:r w:rsidRPr="00D5342A">
              <w:t>3.3%</w:t>
            </w:r>
          </w:p>
        </w:tc>
      </w:tr>
      <w:tr w:rsidR="00D5342A" w:rsidRPr="00D5342A" w14:paraId="36DB841E" w14:textId="77777777" w:rsidTr="002679F1">
        <w:tc>
          <w:tcPr>
            <w:tcW w:w="2269" w:type="dxa"/>
          </w:tcPr>
          <w:p w14:paraId="1566FD6A" w14:textId="124A7391" w:rsidR="00FA4FC9" w:rsidRPr="00D5342A" w:rsidRDefault="00471CF9" w:rsidP="007509F3">
            <w:pPr>
              <w:pStyle w:val="TableText"/>
            </w:pPr>
            <w:r>
              <w:t>Australian Wool Innovation L</w:t>
            </w:r>
            <w:r w:rsidR="007509F3" w:rsidRPr="00D5342A">
              <w:t>td*</w:t>
            </w:r>
          </w:p>
        </w:tc>
        <w:tc>
          <w:tcPr>
            <w:tcW w:w="1278" w:type="dxa"/>
          </w:tcPr>
          <w:p w14:paraId="2B149936" w14:textId="77777777" w:rsidR="00FA4FC9" w:rsidRPr="00D5342A" w:rsidRDefault="00FA4FC9" w:rsidP="005D59B0">
            <w:pPr>
              <w:pStyle w:val="TableText"/>
              <w:jc w:val="right"/>
            </w:pPr>
            <w:r w:rsidRPr="00D5342A">
              <w:t>$65,100,000</w:t>
            </w:r>
          </w:p>
        </w:tc>
        <w:tc>
          <w:tcPr>
            <w:tcW w:w="1370" w:type="dxa"/>
          </w:tcPr>
          <w:p w14:paraId="50466DF4" w14:textId="77777777" w:rsidR="00FA4FC9" w:rsidRPr="00D5342A" w:rsidRDefault="00FA4FC9" w:rsidP="005D59B0">
            <w:pPr>
              <w:pStyle w:val="TableText"/>
              <w:jc w:val="right"/>
            </w:pPr>
            <w:r w:rsidRPr="00D5342A">
              <w:t>$3,143,000</w:t>
            </w:r>
          </w:p>
        </w:tc>
        <w:tc>
          <w:tcPr>
            <w:tcW w:w="1273" w:type="dxa"/>
          </w:tcPr>
          <w:p w14:paraId="38F51277" w14:textId="77777777" w:rsidR="00FA4FC9" w:rsidRPr="00D5342A" w:rsidRDefault="00FA4FC9" w:rsidP="005D59B0">
            <w:pPr>
              <w:pStyle w:val="TableText"/>
              <w:jc w:val="right"/>
            </w:pPr>
            <w:r w:rsidRPr="00D5342A">
              <w:t>4.8%</w:t>
            </w:r>
          </w:p>
        </w:tc>
        <w:tc>
          <w:tcPr>
            <w:tcW w:w="1489" w:type="dxa"/>
          </w:tcPr>
          <w:p w14:paraId="2CD23D7E" w14:textId="77777777" w:rsidR="00FA4FC9" w:rsidRPr="00D5342A" w:rsidRDefault="00FA4FC9" w:rsidP="005D59B0">
            <w:pPr>
              <w:pStyle w:val="TableText"/>
              <w:jc w:val="right"/>
            </w:pPr>
            <w:r w:rsidRPr="00D5342A">
              <w:t>$73,790,000</w:t>
            </w:r>
          </w:p>
        </w:tc>
        <w:tc>
          <w:tcPr>
            <w:tcW w:w="1370" w:type="dxa"/>
          </w:tcPr>
          <w:p w14:paraId="188DD195" w14:textId="77777777" w:rsidR="00FA4FC9" w:rsidRPr="00D5342A" w:rsidRDefault="00FA4FC9" w:rsidP="005D59B0">
            <w:pPr>
              <w:pStyle w:val="TableText"/>
              <w:jc w:val="right"/>
            </w:pPr>
            <w:r w:rsidRPr="00D5342A">
              <w:t>$2,600,000</w:t>
            </w:r>
          </w:p>
        </w:tc>
        <w:tc>
          <w:tcPr>
            <w:tcW w:w="1273" w:type="dxa"/>
          </w:tcPr>
          <w:p w14:paraId="13AE0D8F" w14:textId="77777777" w:rsidR="00FA4FC9" w:rsidRPr="00D5342A" w:rsidRDefault="00FA4FC9" w:rsidP="005D59B0">
            <w:pPr>
              <w:pStyle w:val="TableText"/>
              <w:jc w:val="right"/>
            </w:pPr>
            <w:r w:rsidRPr="00D5342A">
              <w:t>3.5%</w:t>
            </w:r>
          </w:p>
        </w:tc>
        <w:tc>
          <w:tcPr>
            <w:tcW w:w="1489" w:type="dxa"/>
          </w:tcPr>
          <w:p w14:paraId="174AE4EB" w14:textId="77777777" w:rsidR="00FA4FC9" w:rsidRPr="00D5342A" w:rsidRDefault="00FA4FC9" w:rsidP="005D59B0">
            <w:pPr>
              <w:pStyle w:val="TableText"/>
              <w:jc w:val="right"/>
            </w:pPr>
            <w:r w:rsidRPr="00D5342A">
              <w:t>$58,590,000</w:t>
            </w:r>
          </w:p>
        </w:tc>
        <w:tc>
          <w:tcPr>
            <w:tcW w:w="1370" w:type="dxa"/>
          </w:tcPr>
          <w:p w14:paraId="2F3CC72A" w14:textId="77777777" w:rsidR="00FA4FC9" w:rsidRPr="00D5342A" w:rsidRDefault="00FA4FC9" w:rsidP="005D59B0">
            <w:pPr>
              <w:pStyle w:val="TableText"/>
              <w:jc w:val="right"/>
            </w:pPr>
            <w:r w:rsidRPr="00D5342A">
              <w:t>$2,082,000</w:t>
            </w:r>
          </w:p>
        </w:tc>
        <w:tc>
          <w:tcPr>
            <w:tcW w:w="1273" w:type="dxa"/>
          </w:tcPr>
          <w:p w14:paraId="49B16E26" w14:textId="77777777" w:rsidR="00FA4FC9" w:rsidRPr="00D5342A" w:rsidRDefault="00FA4FC9" w:rsidP="005D59B0">
            <w:pPr>
              <w:pStyle w:val="TableText"/>
              <w:jc w:val="right"/>
            </w:pPr>
            <w:r w:rsidRPr="00D5342A">
              <w:t>3.6%</w:t>
            </w:r>
          </w:p>
        </w:tc>
      </w:tr>
      <w:tr w:rsidR="00D5342A" w:rsidRPr="00D5342A" w14:paraId="5B033AD1" w14:textId="77777777" w:rsidTr="002679F1">
        <w:tc>
          <w:tcPr>
            <w:tcW w:w="2269" w:type="dxa"/>
          </w:tcPr>
          <w:p w14:paraId="1E684459" w14:textId="77777777" w:rsidR="00FA4FC9" w:rsidRPr="00D5342A" w:rsidRDefault="007509F3" w:rsidP="007509F3">
            <w:pPr>
              <w:pStyle w:val="TableText"/>
            </w:pPr>
            <w:r w:rsidRPr="00D5342A">
              <w:t>Australian Pork Ltd*</w:t>
            </w:r>
          </w:p>
        </w:tc>
        <w:tc>
          <w:tcPr>
            <w:tcW w:w="1278" w:type="dxa"/>
          </w:tcPr>
          <w:p w14:paraId="2112CED2" w14:textId="77777777" w:rsidR="00FA4FC9" w:rsidRPr="00D5342A" w:rsidRDefault="00FA4FC9" w:rsidP="005D59B0">
            <w:pPr>
              <w:pStyle w:val="TableText"/>
              <w:jc w:val="right"/>
            </w:pPr>
            <w:r w:rsidRPr="00D5342A">
              <w:t>$9,120,000</w:t>
            </w:r>
          </w:p>
        </w:tc>
        <w:tc>
          <w:tcPr>
            <w:tcW w:w="1370" w:type="dxa"/>
          </w:tcPr>
          <w:p w14:paraId="69950283" w14:textId="77777777" w:rsidR="00FA4FC9" w:rsidRPr="00D5342A" w:rsidRDefault="00FA4FC9" w:rsidP="005D59B0">
            <w:pPr>
              <w:pStyle w:val="TableText"/>
              <w:jc w:val="right"/>
            </w:pPr>
            <w:r w:rsidRPr="00D5342A">
              <w:t>$397,425</w:t>
            </w:r>
          </w:p>
        </w:tc>
        <w:tc>
          <w:tcPr>
            <w:tcW w:w="1273" w:type="dxa"/>
          </w:tcPr>
          <w:p w14:paraId="148E4C96" w14:textId="77777777" w:rsidR="00FA4FC9" w:rsidRPr="00D5342A" w:rsidRDefault="00FA4FC9" w:rsidP="005D59B0">
            <w:pPr>
              <w:pStyle w:val="TableText"/>
              <w:jc w:val="right"/>
            </w:pPr>
            <w:r w:rsidRPr="00D5342A">
              <w:t>4.4%</w:t>
            </w:r>
          </w:p>
        </w:tc>
        <w:tc>
          <w:tcPr>
            <w:tcW w:w="1489" w:type="dxa"/>
          </w:tcPr>
          <w:p w14:paraId="321CC6AC" w14:textId="77777777" w:rsidR="00FA4FC9" w:rsidRPr="00D5342A" w:rsidRDefault="00FA4FC9" w:rsidP="005D59B0">
            <w:pPr>
              <w:pStyle w:val="TableText"/>
              <w:jc w:val="right"/>
            </w:pPr>
            <w:r w:rsidRPr="00D5342A">
              <w:t>$9,660,000</w:t>
            </w:r>
          </w:p>
        </w:tc>
        <w:tc>
          <w:tcPr>
            <w:tcW w:w="1370" w:type="dxa"/>
          </w:tcPr>
          <w:p w14:paraId="14FE8675" w14:textId="77777777" w:rsidR="00FA4FC9" w:rsidRPr="00D5342A" w:rsidRDefault="00FA4FC9" w:rsidP="005D59B0">
            <w:pPr>
              <w:pStyle w:val="TableText"/>
              <w:jc w:val="right"/>
            </w:pPr>
            <w:r w:rsidRPr="00D5342A">
              <w:t>$822,995</w:t>
            </w:r>
          </w:p>
        </w:tc>
        <w:tc>
          <w:tcPr>
            <w:tcW w:w="1273" w:type="dxa"/>
          </w:tcPr>
          <w:p w14:paraId="03790568" w14:textId="77777777" w:rsidR="00FA4FC9" w:rsidRPr="00D5342A" w:rsidRDefault="00FA4FC9" w:rsidP="005D59B0">
            <w:pPr>
              <w:pStyle w:val="TableText"/>
              <w:jc w:val="right"/>
            </w:pPr>
            <w:r w:rsidRPr="00D5342A">
              <w:t>8.5%</w:t>
            </w:r>
          </w:p>
        </w:tc>
        <w:tc>
          <w:tcPr>
            <w:tcW w:w="1489" w:type="dxa"/>
          </w:tcPr>
          <w:p w14:paraId="54D12485" w14:textId="77777777" w:rsidR="00FA4FC9" w:rsidRPr="00D5342A" w:rsidRDefault="00FA4FC9" w:rsidP="005D59B0">
            <w:pPr>
              <w:pStyle w:val="TableText"/>
              <w:jc w:val="right"/>
            </w:pPr>
            <w:r w:rsidRPr="00D5342A">
              <w:t>$9,780,000</w:t>
            </w:r>
          </w:p>
        </w:tc>
        <w:tc>
          <w:tcPr>
            <w:tcW w:w="1370" w:type="dxa"/>
          </w:tcPr>
          <w:p w14:paraId="7672F5EE" w14:textId="77777777" w:rsidR="00FA4FC9" w:rsidRPr="00D5342A" w:rsidRDefault="00FA4FC9" w:rsidP="005D59B0">
            <w:pPr>
              <w:pStyle w:val="TableText"/>
              <w:jc w:val="right"/>
            </w:pPr>
            <w:r w:rsidRPr="00D5342A">
              <w:t>$466,473</w:t>
            </w:r>
          </w:p>
        </w:tc>
        <w:tc>
          <w:tcPr>
            <w:tcW w:w="1273" w:type="dxa"/>
          </w:tcPr>
          <w:p w14:paraId="33518FB7" w14:textId="77777777" w:rsidR="00FA4FC9" w:rsidRPr="00D5342A" w:rsidRDefault="00FA4FC9" w:rsidP="005D59B0">
            <w:pPr>
              <w:pStyle w:val="TableText"/>
              <w:jc w:val="right"/>
            </w:pPr>
            <w:r w:rsidRPr="00D5342A">
              <w:t>4.8%</w:t>
            </w:r>
          </w:p>
        </w:tc>
      </w:tr>
      <w:tr w:rsidR="00D5342A" w:rsidRPr="00D5342A" w14:paraId="04942BB9" w14:textId="77777777" w:rsidTr="002679F1">
        <w:tc>
          <w:tcPr>
            <w:tcW w:w="2269" w:type="dxa"/>
          </w:tcPr>
          <w:p w14:paraId="25F44DE0" w14:textId="77777777" w:rsidR="00FA4FC9" w:rsidRPr="00D5342A" w:rsidRDefault="007509F3" w:rsidP="007509F3">
            <w:pPr>
              <w:pStyle w:val="TableText"/>
            </w:pPr>
            <w:r w:rsidRPr="00D5342A">
              <w:t>Meat &amp; Livestock Australia Ltd*</w:t>
            </w:r>
          </w:p>
        </w:tc>
        <w:tc>
          <w:tcPr>
            <w:tcW w:w="1278" w:type="dxa"/>
          </w:tcPr>
          <w:p w14:paraId="285C5E12" w14:textId="77777777" w:rsidR="00FA4FC9" w:rsidRPr="00D5342A" w:rsidRDefault="00FA4FC9" w:rsidP="005D59B0">
            <w:pPr>
              <w:pStyle w:val="TableText"/>
              <w:jc w:val="right"/>
            </w:pPr>
            <w:r w:rsidRPr="00D5342A">
              <w:t>$79,600,000</w:t>
            </w:r>
          </w:p>
        </w:tc>
        <w:tc>
          <w:tcPr>
            <w:tcW w:w="1370" w:type="dxa"/>
          </w:tcPr>
          <w:p w14:paraId="7A91AE41" w14:textId="77777777" w:rsidR="00FA4FC9" w:rsidRPr="00D5342A" w:rsidRDefault="00FA4FC9" w:rsidP="005D59B0">
            <w:pPr>
              <w:pStyle w:val="TableText"/>
              <w:jc w:val="right"/>
            </w:pPr>
            <w:r w:rsidRPr="00D5342A">
              <w:t>$4,537,200</w:t>
            </w:r>
          </w:p>
        </w:tc>
        <w:tc>
          <w:tcPr>
            <w:tcW w:w="1273" w:type="dxa"/>
          </w:tcPr>
          <w:p w14:paraId="41D6EC06" w14:textId="77777777" w:rsidR="00FA4FC9" w:rsidRPr="00D5342A" w:rsidRDefault="00FA4FC9" w:rsidP="005D59B0">
            <w:pPr>
              <w:pStyle w:val="TableText"/>
              <w:jc w:val="right"/>
            </w:pPr>
            <w:r w:rsidRPr="00D5342A">
              <w:t>5.7%</w:t>
            </w:r>
          </w:p>
        </w:tc>
        <w:tc>
          <w:tcPr>
            <w:tcW w:w="1489" w:type="dxa"/>
          </w:tcPr>
          <w:p w14:paraId="6D29781F" w14:textId="77777777" w:rsidR="00FA4FC9" w:rsidRPr="00D5342A" w:rsidRDefault="00FA4FC9" w:rsidP="005D59B0">
            <w:pPr>
              <w:pStyle w:val="TableText"/>
              <w:jc w:val="right"/>
            </w:pPr>
            <w:r w:rsidRPr="00D5342A">
              <w:t>$95,800,000</w:t>
            </w:r>
          </w:p>
        </w:tc>
        <w:tc>
          <w:tcPr>
            <w:tcW w:w="1370" w:type="dxa"/>
          </w:tcPr>
          <w:p w14:paraId="6AF22436" w14:textId="77777777" w:rsidR="00FA4FC9" w:rsidRPr="00D5342A" w:rsidRDefault="00FA4FC9" w:rsidP="005D59B0">
            <w:pPr>
              <w:pStyle w:val="TableText"/>
              <w:jc w:val="right"/>
            </w:pPr>
            <w:r w:rsidRPr="00D5342A">
              <w:t>$5,556,400</w:t>
            </w:r>
          </w:p>
        </w:tc>
        <w:tc>
          <w:tcPr>
            <w:tcW w:w="1273" w:type="dxa"/>
          </w:tcPr>
          <w:p w14:paraId="66641BA2" w14:textId="77777777" w:rsidR="00FA4FC9" w:rsidRPr="00D5342A" w:rsidRDefault="00FA4FC9" w:rsidP="005D59B0">
            <w:pPr>
              <w:pStyle w:val="TableText"/>
              <w:jc w:val="right"/>
            </w:pPr>
            <w:r w:rsidRPr="00D5342A">
              <w:t>5.8%</w:t>
            </w:r>
          </w:p>
        </w:tc>
        <w:tc>
          <w:tcPr>
            <w:tcW w:w="1489" w:type="dxa"/>
          </w:tcPr>
          <w:p w14:paraId="298504F9" w14:textId="77777777" w:rsidR="00FA4FC9" w:rsidRPr="00D5342A" w:rsidRDefault="00FA4FC9" w:rsidP="005D59B0">
            <w:pPr>
              <w:pStyle w:val="TableText"/>
              <w:jc w:val="right"/>
            </w:pPr>
            <w:r w:rsidRPr="00D5342A">
              <w:t>$92,900,000</w:t>
            </w:r>
          </w:p>
        </w:tc>
        <w:tc>
          <w:tcPr>
            <w:tcW w:w="1370" w:type="dxa"/>
          </w:tcPr>
          <w:p w14:paraId="6F1C863E" w14:textId="77777777" w:rsidR="00FA4FC9" w:rsidRPr="00D5342A" w:rsidRDefault="00FA4FC9" w:rsidP="005D59B0">
            <w:pPr>
              <w:pStyle w:val="TableText"/>
              <w:jc w:val="right"/>
            </w:pPr>
            <w:r w:rsidRPr="00D5342A">
              <w:t>$4,830,800</w:t>
            </w:r>
          </w:p>
        </w:tc>
        <w:tc>
          <w:tcPr>
            <w:tcW w:w="1273" w:type="dxa"/>
          </w:tcPr>
          <w:p w14:paraId="3456E4CC" w14:textId="77777777" w:rsidR="00FA4FC9" w:rsidRPr="00D5342A" w:rsidRDefault="00FA4FC9" w:rsidP="005D59B0">
            <w:pPr>
              <w:pStyle w:val="TableText"/>
              <w:jc w:val="right"/>
            </w:pPr>
            <w:r w:rsidRPr="00D5342A">
              <w:t>5.2%</w:t>
            </w:r>
          </w:p>
        </w:tc>
      </w:tr>
      <w:tr w:rsidR="00D5342A" w:rsidRPr="00D5342A" w14:paraId="3CEEA6E2" w14:textId="77777777" w:rsidTr="002679F1">
        <w:tc>
          <w:tcPr>
            <w:tcW w:w="2269" w:type="dxa"/>
          </w:tcPr>
          <w:p w14:paraId="435E01DE" w14:textId="77777777" w:rsidR="00FA4FC9" w:rsidRPr="00D5342A" w:rsidRDefault="007509F3" w:rsidP="007509F3">
            <w:pPr>
              <w:pStyle w:val="TableText"/>
            </w:pPr>
            <w:r w:rsidRPr="00D5342A">
              <w:t>Australian Grape &amp; Wine Authority^</w:t>
            </w:r>
          </w:p>
        </w:tc>
        <w:tc>
          <w:tcPr>
            <w:tcW w:w="1278" w:type="dxa"/>
          </w:tcPr>
          <w:p w14:paraId="087A7B31" w14:textId="77777777" w:rsidR="00FA4FC9" w:rsidRPr="00D5342A" w:rsidRDefault="00FA4FC9" w:rsidP="005D59B0">
            <w:pPr>
              <w:pStyle w:val="TableText"/>
              <w:jc w:val="right"/>
            </w:pPr>
            <w:r w:rsidRPr="00D5342A">
              <w:t>$18,030,000</w:t>
            </w:r>
          </w:p>
        </w:tc>
        <w:tc>
          <w:tcPr>
            <w:tcW w:w="1370" w:type="dxa"/>
          </w:tcPr>
          <w:p w14:paraId="5DD4BC99" w14:textId="77777777" w:rsidR="00FA4FC9" w:rsidRPr="00D5342A" w:rsidRDefault="00FA4FC9" w:rsidP="005D59B0">
            <w:pPr>
              <w:pStyle w:val="TableText"/>
              <w:jc w:val="right"/>
            </w:pPr>
            <w:r w:rsidRPr="00D5342A">
              <w:t>$497,628</w:t>
            </w:r>
          </w:p>
        </w:tc>
        <w:tc>
          <w:tcPr>
            <w:tcW w:w="1273" w:type="dxa"/>
          </w:tcPr>
          <w:p w14:paraId="45542375" w14:textId="77777777" w:rsidR="00FA4FC9" w:rsidRPr="00D5342A" w:rsidRDefault="00FA4FC9" w:rsidP="005D59B0">
            <w:pPr>
              <w:pStyle w:val="TableText"/>
              <w:jc w:val="right"/>
            </w:pPr>
            <w:r w:rsidRPr="00D5342A">
              <w:t>2.8%</w:t>
            </w:r>
          </w:p>
        </w:tc>
        <w:tc>
          <w:tcPr>
            <w:tcW w:w="1489" w:type="dxa"/>
          </w:tcPr>
          <w:p w14:paraId="47E10C3B" w14:textId="77777777" w:rsidR="00FA4FC9" w:rsidRPr="00D5342A" w:rsidRDefault="00FA4FC9" w:rsidP="005D59B0">
            <w:pPr>
              <w:pStyle w:val="TableText"/>
              <w:jc w:val="right"/>
            </w:pPr>
            <w:r w:rsidRPr="00D5342A">
              <w:t>$22,160,000</w:t>
            </w:r>
          </w:p>
        </w:tc>
        <w:tc>
          <w:tcPr>
            <w:tcW w:w="1370" w:type="dxa"/>
          </w:tcPr>
          <w:p w14:paraId="1F9F0D46" w14:textId="77777777" w:rsidR="00FA4FC9" w:rsidRPr="00D5342A" w:rsidRDefault="00FA4FC9" w:rsidP="005D59B0">
            <w:pPr>
              <w:pStyle w:val="TableText"/>
              <w:jc w:val="right"/>
            </w:pPr>
            <w:r w:rsidRPr="00D5342A">
              <w:t>$986,120</w:t>
            </w:r>
          </w:p>
        </w:tc>
        <w:tc>
          <w:tcPr>
            <w:tcW w:w="1273" w:type="dxa"/>
          </w:tcPr>
          <w:p w14:paraId="33CD081A" w14:textId="77777777" w:rsidR="00FA4FC9" w:rsidRPr="00D5342A" w:rsidRDefault="00FA4FC9" w:rsidP="005D59B0">
            <w:pPr>
              <w:pStyle w:val="TableText"/>
              <w:jc w:val="right"/>
            </w:pPr>
            <w:r w:rsidRPr="00D5342A">
              <w:t>4.5%</w:t>
            </w:r>
          </w:p>
        </w:tc>
        <w:tc>
          <w:tcPr>
            <w:tcW w:w="1489" w:type="dxa"/>
          </w:tcPr>
          <w:p w14:paraId="5BBCA6D5" w14:textId="77777777" w:rsidR="00FA4FC9" w:rsidRPr="00D5342A" w:rsidRDefault="00FA4FC9" w:rsidP="005D59B0">
            <w:pPr>
              <w:pStyle w:val="TableText"/>
              <w:jc w:val="right"/>
            </w:pPr>
            <w:r w:rsidRPr="00D5342A">
              <w:t>$21,880,000</w:t>
            </w:r>
          </w:p>
        </w:tc>
        <w:tc>
          <w:tcPr>
            <w:tcW w:w="1370" w:type="dxa"/>
          </w:tcPr>
          <w:p w14:paraId="6F592DF7" w14:textId="77777777" w:rsidR="00FA4FC9" w:rsidRPr="00D5342A" w:rsidRDefault="00FA4FC9" w:rsidP="005D59B0">
            <w:pPr>
              <w:pStyle w:val="TableText"/>
              <w:jc w:val="right"/>
            </w:pPr>
            <w:r w:rsidRPr="00D5342A">
              <w:t>$1,162,000</w:t>
            </w:r>
          </w:p>
        </w:tc>
        <w:tc>
          <w:tcPr>
            <w:tcW w:w="1273" w:type="dxa"/>
          </w:tcPr>
          <w:p w14:paraId="4B454ED9" w14:textId="77777777" w:rsidR="00FA4FC9" w:rsidRPr="00D5342A" w:rsidRDefault="00FA4FC9" w:rsidP="005D59B0">
            <w:pPr>
              <w:pStyle w:val="TableText"/>
              <w:jc w:val="right"/>
            </w:pPr>
            <w:r w:rsidRPr="00D5342A">
              <w:t>5.3%</w:t>
            </w:r>
          </w:p>
        </w:tc>
      </w:tr>
      <w:tr w:rsidR="00D5342A" w:rsidRPr="00D5342A" w14:paraId="59BD9247" w14:textId="77777777" w:rsidTr="002679F1">
        <w:tc>
          <w:tcPr>
            <w:tcW w:w="2269" w:type="dxa"/>
          </w:tcPr>
          <w:p w14:paraId="2A8513F4" w14:textId="55520096" w:rsidR="00FA4FC9" w:rsidRPr="00D5342A" w:rsidRDefault="007509F3" w:rsidP="005D59B0">
            <w:pPr>
              <w:pStyle w:val="TableText"/>
            </w:pPr>
            <w:r w:rsidRPr="00D5342A">
              <w:t>Australian Meat Processor Corporation</w:t>
            </w:r>
            <w:r w:rsidR="00471CF9">
              <w:t xml:space="preserve"> Ltd</w:t>
            </w:r>
            <w:r w:rsidRPr="00D5342A">
              <w:t>*</w:t>
            </w:r>
          </w:p>
        </w:tc>
        <w:tc>
          <w:tcPr>
            <w:tcW w:w="1278" w:type="dxa"/>
          </w:tcPr>
          <w:p w14:paraId="4E5B480A" w14:textId="77777777" w:rsidR="00FA4FC9" w:rsidRPr="00D5342A" w:rsidRDefault="00FA4FC9" w:rsidP="005D59B0">
            <w:pPr>
              <w:pStyle w:val="TableText"/>
              <w:jc w:val="right"/>
            </w:pPr>
            <w:r w:rsidRPr="00D5342A">
              <w:t>$17,700,000</w:t>
            </w:r>
          </w:p>
        </w:tc>
        <w:tc>
          <w:tcPr>
            <w:tcW w:w="1370" w:type="dxa"/>
          </w:tcPr>
          <w:p w14:paraId="1EE77DA7" w14:textId="77777777" w:rsidR="00FA4FC9" w:rsidRPr="00D5342A" w:rsidRDefault="00FA4FC9" w:rsidP="005D59B0">
            <w:pPr>
              <w:pStyle w:val="TableText"/>
              <w:jc w:val="right"/>
            </w:pPr>
            <w:r w:rsidRPr="00D5342A">
              <w:t>$984,512</w:t>
            </w:r>
          </w:p>
        </w:tc>
        <w:tc>
          <w:tcPr>
            <w:tcW w:w="1273" w:type="dxa"/>
          </w:tcPr>
          <w:p w14:paraId="31CC373A" w14:textId="77777777" w:rsidR="00FA4FC9" w:rsidRPr="00D5342A" w:rsidRDefault="00FA4FC9" w:rsidP="005D59B0">
            <w:pPr>
              <w:pStyle w:val="TableText"/>
              <w:jc w:val="right"/>
            </w:pPr>
            <w:r w:rsidRPr="00D5342A">
              <w:t>5.6%</w:t>
            </w:r>
          </w:p>
        </w:tc>
        <w:tc>
          <w:tcPr>
            <w:tcW w:w="1489" w:type="dxa"/>
          </w:tcPr>
          <w:p w14:paraId="026F7175" w14:textId="77777777" w:rsidR="00FA4FC9" w:rsidRPr="00D5342A" w:rsidRDefault="00FA4FC9" w:rsidP="005D59B0">
            <w:pPr>
              <w:pStyle w:val="TableText"/>
              <w:jc w:val="right"/>
            </w:pPr>
            <w:r w:rsidRPr="00D5342A">
              <w:t>$11,800,000</w:t>
            </w:r>
          </w:p>
        </w:tc>
        <w:tc>
          <w:tcPr>
            <w:tcW w:w="1370" w:type="dxa"/>
          </w:tcPr>
          <w:p w14:paraId="086050A0" w14:textId="77777777" w:rsidR="00FA4FC9" w:rsidRPr="00D5342A" w:rsidRDefault="00FA4FC9" w:rsidP="005D59B0">
            <w:pPr>
              <w:pStyle w:val="TableText"/>
              <w:jc w:val="right"/>
            </w:pPr>
            <w:r w:rsidRPr="00D5342A">
              <w:t>$421,862</w:t>
            </w:r>
          </w:p>
        </w:tc>
        <w:tc>
          <w:tcPr>
            <w:tcW w:w="1273" w:type="dxa"/>
          </w:tcPr>
          <w:p w14:paraId="7201C9AA" w14:textId="77777777" w:rsidR="00FA4FC9" w:rsidRPr="00D5342A" w:rsidRDefault="00FA4FC9" w:rsidP="005D59B0">
            <w:pPr>
              <w:pStyle w:val="TableText"/>
              <w:jc w:val="right"/>
            </w:pPr>
            <w:r w:rsidRPr="00D5342A">
              <w:t>3.6%</w:t>
            </w:r>
          </w:p>
        </w:tc>
        <w:tc>
          <w:tcPr>
            <w:tcW w:w="1489" w:type="dxa"/>
          </w:tcPr>
          <w:p w14:paraId="49A270CA" w14:textId="77777777" w:rsidR="00FA4FC9" w:rsidRPr="00D5342A" w:rsidRDefault="00FA4FC9" w:rsidP="005D59B0">
            <w:pPr>
              <w:pStyle w:val="TableText"/>
              <w:jc w:val="right"/>
            </w:pPr>
            <w:r w:rsidRPr="00D5342A">
              <w:t>$13,100,000</w:t>
            </w:r>
          </w:p>
        </w:tc>
        <w:tc>
          <w:tcPr>
            <w:tcW w:w="1370" w:type="dxa"/>
          </w:tcPr>
          <w:p w14:paraId="77CDD19E" w14:textId="77777777" w:rsidR="00FA4FC9" w:rsidRPr="00D5342A" w:rsidRDefault="00FA4FC9" w:rsidP="005D59B0">
            <w:pPr>
              <w:pStyle w:val="TableText"/>
              <w:jc w:val="right"/>
            </w:pPr>
            <w:r w:rsidRPr="00D5342A">
              <w:t>$744,316</w:t>
            </w:r>
          </w:p>
        </w:tc>
        <w:tc>
          <w:tcPr>
            <w:tcW w:w="1273" w:type="dxa"/>
          </w:tcPr>
          <w:p w14:paraId="2DEF8B3E" w14:textId="77777777" w:rsidR="00FA4FC9" w:rsidRPr="00D5342A" w:rsidRDefault="00FA4FC9" w:rsidP="005D59B0">
            <w:pPr>
              <w:pStyle w:val="TableText"/>
              <w:jc w:val="right"/>
            </w:pPr>
            <w:r w:rsidRPr="00D5342A">
              <w:t>5.7%</w:t>
            </w:r>
          </w:p>
        </w:tc>
      </w:tr>
      <w:tr w:rsidR="00D5342A" w:rsidRPr="00D5342A" w14:paraId="0E688459" w14:textId="77777777" w:rsidTr="002679F1">
        <w:tc>
          <w:tcPr>
            <w:tcW w:w="2269" w:type="dxa"/>
          </w:tcPr>
          <w:p w14:paraId="58A195F1" w14:textId="77777777" w:rsidR="00FA4FC9" w:rsidRPr="00D5342A" w:rsidRDefault="007509F3" w:rsidP="005D59B0">
            <w:pPr>
              <w:pStyle w:val="TableText"/>
            </w:pPr>
            <w:r w:rsidRPr="00D5342A">
              <w:t>Fisheries RDC^</w:t>
            </w:r>
          </w:p>
        </w:tc>
        <w:tc>
          <w:tcPr>
            <w:tcW w:w="1278" w:type="dxa"/>
          </w:tcPr>
          <w:p w14:paraId="4A022AD2" w14:textId="77777777" w:rsidR="00FA4FC9" w:rsidRPr="00D5342A" w:rsidRDefault="00FA4FC9" w:rsidP="005D59B0">
            <w:pPr>
              <w:pStyle w:val="TableText"/>
              <w:jc w:val="right"/>
            </w:pPr>
            <w:r w:rsidRPr="00D5342A">
              <w:t>$22,130,000</w:t>
            </w:r>
          </w:p>
        </w:tc>
        <w:tc>
          <w:tcPr>
            <w:tcW w:w="1370" w:type="dxa"/>
          </w:tcPr>
          <w:p w14:paraId="5031A62F" w14:textId="77777777" w:rsidR="00FA4FC9" w:rsidRPr="00D5342A" w:rsidRDefault="00FA4FC9" w:rsidP="005D59B0">
            <w:pPr>
              <w:pStyle w:val="TableText"/>
              <w:jc w:val="right"/>
            </w:pPr>
            <w:r w:rsidRPr="00D5342A">
              <w:t>$1,447,000</w:t>
            </w:r>
          </w:p>
        </w:tc>
        <w:tc>
          <w:tcPr>
            <w:tcW w:w="1273" w:type="dxa"/>
          </w:tcPr>
          <w:p w14:paraId="1BC1487F" w14:textId="77777777" w:rsidR="00FA4FC9" w:rsidRPr="00D5342A" w:rsidRDefault="00FA4FC9" w:rsidP="005D59B0">
            <w:pPr>
              <w:pStyle w:val="TableText"/>
              <w:jc w:val="right"/>
            </w:pPr>
            <w:r w:rsidRPr="00D5342A">
              <w:t>6.5%</w:t>
            </w:r>
          </w:p>
        </w:tc>
        <w:tc>
          <w:tcPr>
            <w:tcW w:w="1489" w:type="dxa"/>
          </w:tcPr>
          <w:p w14:paraId="6106E76F" w14:textId="77777777" w:rsidR="00FA4FC9" w:rsidRPr="00D5342A" w:rsidRDefault="00FA4FC9" w:rsidP="005D59B0">
            <w:pPr>
              <w:pStyle w:val="TableText"/>
              <w:jc w:val="right"/>
            </w:pPr>
            <w:r w:rsidRPr="00D5342A">
              <w:t>$22,870,000</w:t>
            </w:r>
          </w:p>
        </w:tc>
        <w:tc>
          <w:tcPr>
            <w:tcW w:w="1370" w:type="dxa"/>
          </w:tcPr>
          <w:p w14:paraId="60E9691C" w14:textId="77777777" w:rsidR="00FA4FC9" w:rsidRPr="00D5342A" w:rsidRDefault="00FA4FC9" w:rsidP="005D59B0">
            <w:pPr>
              <w:pStyle w:val="TableText"/>
              <w:jc w:val="right"/>
            </w:pPr>
            <w:r w:rsidRPr="00D5342A">
              <w:t>$1,921,000</w:t>
            </w:r>
          </w:p>
        </w:tc>
        <w:tc>
          <w:tcPr>
            <w:tcW w:w="1273" w:type="dxa"/>
          </w:tcPr>
          <w:p w14:paraId="75724490" w14:textId="77777777" w:rsidR="00FA4FC9" w:rsidRPr="00D5342A" w:rsidRDefault="00FA4FC9" w:rsidP="005D59B0">
            <w:pPr>
              <w:pStyle w:val="TableText"/>
              <w:jc w:val="right"/>
            </w:pPr>
            <w:r w:rsidRPr="00D5342A">
              <w:t>8.4%</w:t>
            </w:r>
          </w:p>
        </w:tc>
        <w:tc>
          <w:tcPr>
            <w:tcW w:w="1489" w:type="dxa"/>
          </w:tcPr>
          <w:p w14:paraId="3BBD5002" w14:textId="77777777" w:rsidR="00FA4FC9" w:rsidRPr="00D5342A" w:rsidRDefault="00FA4FC9" w:rsidP="005D59B0">
            <w:pPr>
              <w:pStyle w:val="TableText"/>
              <w:jc w:val="right"/>
            </w:pPr>
            <w:r w:rsidRPr="00D5342A">
              <w:t>$24,850,000</w:t>
            </w:r>
          </w:p>
        </w:tc>
        <w:tc>
          <w:tcPr>
            <w:tcW w:w="1370" w:type="dxa"/>
          </w:tcPr>
          <w:p w14:paraId="68B334C4" w14:textId="77777777" w:rsidR="00FA4FC9" w:rsidRPr="00D5342A" w:rsidRDefault="00FA4FC9" w:rsidP="005D59B0">
            <w:pPr>
              <w:pStyle w:val="TableText"/>
              <w:jc w:val="right"/>
            </w:pPr>
            <w:r w:rsidRPr="00D5342A">
              <w:t>$1,840,000</w:t>
            </w:r>
          </w:p>
        </w:tc>
        <w:tc>
          <w:tcPr>
            <w:tcW w:w="1273" w:type="dxa"/>
          </w:tcPr>
          <w:p w14:paraId="3DFC2D74" w14:textId="77777777" w:rsidR="00FA4FC9" w:rsidRPr="00D5342A" w:rsidRDefault="00FA4FC9" w:rsidP="005D59B0">
            <w:pPr>
              <w:pStyle w:val="TableText"/>
              <w:jc w:val="right"/>
            </w:pPr>
            <w:r w:rsidRPr="00D5342A">
              <w:t>7.4%</w:t>
            </w:r>
          </w:p>
        </w:tc>
      </w:tr>
      <w:tr w:rsidR="00D5342A" w:rsidRPr="00D5342A" w14:paraId="5EB94831" w14:textId="77777777" w:rsidTr="002679F1">
        <w:tc>
          <w:tcPr>
            <w:tcW w:w="2269" w:type="dxa"/>
          </w:tcPr>
          <w:p w14:paraId="5AAA0F91" w14:textId="77777777" w:rsidR="00FA4FC9" w:rsidRPr="00D5342A" w:rsidRDefault="007509F3" w:rsidP="005D59B0">
            <w:pPr>
              <w:pStyle w:val="TableText"/>
            </w:pPr>
            <w:r w:rsidRPr="00D5342A">
              <w:t>Rural Industries RDC^</w:t>
            </w:r>
          </w:p>
        </w:tc>
        <w:tc>
          <w:tcPr>
            <w:tcW w:w="1278" w:type="dxa"/>
          </w:tcPr>
          <w:p w14:paraId="49240138" w14:textId="77777777" w:rsidR="00FA4FC9" w:rsidRPr="00D5342A" w:rsidRDefault="00FA4FC9" w:rsidP="005D59B0">
            <w:pPr>
              <w:pStyle w:val="TableText"/>
              <w:jc w:val="right"/>
            </w:pPr>
            <w:r w:rsidRPr="00D5342A">
              <w:t>$14,200,000</w:t>
            </w:r>
          </w:p>
        </w:tc>
        <w:tc>
          <w:tcPr>
            <w:tcW w:w="1370" w:type="dxa"/>
          </w:tcPr>
          <w:p w14:paraId="054FAF7E" w14:textId="77777777" w:rsidR="00FA4FC9" w:rsidRPr="00D5342A" w:rsidRDefault="00FA4FC9" w:rsidP="005D59B0">
            <w:pPr>
              <w:pStyle w:val="TableText"/>
              <w:jc w:val="right"/>
            </w:pPr>
            <w:r w:rsidRPr="00D5342A">
              <w:t>$1,060,000</w:t>
            </w:r>
          </w:p>
        </w:tc>
        <w:tc>
          <w:tcPr>
            <w:tcW w:w="1273" w:type="dxa"/>
          </w:tcPr>
          <w:p w14:paraId="5D0C28B3" w14:textId="77777777" w:rsidR="00FA4FC9" w:rsidRPr="00D5342A" w:rsidRDefault="00FA4FC9" w:rsidP="005D59B0">
            <w:pPr>
              <w:pStyle w:val="TableText"/>
              <w:jc w:val="right"/>
            </w:pPr>
            <w:r w:rsidRPr="00D5342A">
              <w:t>7.5%</w:t>
            </w:r>
          </w:p>
        </w:tc>
        <w:tc>
          <w:tcPr>
            <w:tcW w:w="1489" w:type="dxa"/>
          </w:tcPr>
          <w:p w14:paraId="36823026" w14:textId="77777777" w:rsidR="00FA4FC9" w:rsidRPr="00D5342A" w:rsidRDefault="00FA4FC9" w:rsidP="005D59B0">
            <w:pPr>
              <w:pStyle w:val="TableText"/>
              <w:jc w:val="right"/>
            </w:pPr>
            <w:r w:rsidRPr="00D5342A">
              <w:t>$14,580,000</w:t>
            </w:r>
          </w:p>
        </w:tc>
        <w:tc>
          <w:tcPr>
            <w:tcW w:w="1370" w:type="dxa"/>
          </w:tcPr>
          <w:p w14:paraId="3B7DE278" w14:textId="77777777" w:rsidR="00FA4FC9" w:rsidRPr="00D5342A" w:rsidRDefault="00FA4FC9" w:rsidP="005D59B0">
            <w:pPr>
              <w:pStyle w:val="TableText"/>
              <w:jc w:val="right"/>
            </w:pPr>
            <w:r w:rsidRPr="00D5342A">
              <w:t>$1,071,000</w:t>
            </w:r>
          </w:p>
        </w:tc>
        <w:tc>
          <w:tcPr>
            <w:tcW w:w="1273" w:type="dxa"/>
          </w:tcPr>
          <w:p w14:paraId="6765E611" w14:textId="77777777" w:rsidR="00FA4FC9" w:rsidRPr="00D5342A" w:rsidRDefault="00FA4FC9" w:rsidP="005D59B0">
            <w:pPr>
              <w:pStyle w:val="TableText"/>
              <w:jc w:val="right"/>
            </w:pPr>
            <w:r w:rsidRPr="00D5342A">
              <w:t>7.4%</w:t>
            </w:r>
          </w:p>
        </w:tc>
        <w:tc>
          <w:tcPr>
            <w:tcW w:w="1489" w:type="dxa"/>
          </w:tcPr>
          <w:p w14:paraId="4B37F729" w14:textId="77777777" w:rsidR="00FA4FC9" w:rsidRPr="00D5342A" w:rsidRDefault="00FA4FC9" w:rsidP="005D59B0">
            <w:pPr>
              <w:pStyle w:val="TableText"/>
              <w:jc w:val="right"/>
            </w:pPr>
            <w:r w:rsidRPr="00D5342A">
              <w:t>$13,240,000</w:t>
            </w:r>
          </w:p>
        </w:tc>
        <w:tc>
          <w:tcPr>
            <w:tcW w:w="1370" w:type="dxa"/>
          </w:tcPr>
          <w:p w14:paraId="3D11C9B2" w14:textId="77777777" w:rsidR="00FA4FC9" w:rsidRPr="00D5342A" w:rsidRDefault="00FA4FC9" w:rsidP="005D59B0">
            <w:pPr>
              <w:pStyle w:val="TableText"/>
              <w:jc w:val="right"/>
            </w:pPr>
            <w:r w:rsidRPr="00D5342A">
              <w:t>$1,494,000</w:t>
            </w:r>
          </w:p>
        </w:tc>
        <w:tc>
          <w:tcPr>
            <w:tcW w:w="1273" w:type="dxa"/>
          </w:tcPr>
          <w:p w14:paraId="6E73776B" w14:textId="77777777" w:rsidR="00FA4FC9" w:rsidRPr="00D5342A" w:rsidRDefault="00FA4FC9" w:rsidP="005D59B0">
            <w:pPr>
              <w:pStyle w:val="TableText"/>
              <w:jc w:val="right"/>
            </w:pPr>
            <w:r w:rsidRPr="00D5342A">
              <w:t>11.3%</w:t>
            </w:r>
          </w:p>
        </w:tc>
      </w:tr>
      <w:tr w:rsidR="00D5342A" w:rsidRPr="00D5342A" w14:paraId="76D787A6" w14:textId="77777777" w:rsidTr="002679F1">
        <w:tc>
          <w:tcPr>
            <w:tcW w:w="2269" w:type="dxa"/>
          </w:tcPr>
          <w:p w14:paraId="0513779D" w14:textId="77777777" w:rsidR="00FA4FC9" w:rsidRPr="00D5342A" w:rsidRDefault="007509F3" w:rsidP="007509F3">
            <w:pPr>
              <w:pStyle w:val="TableText"/>
            </w:pPr>
            <w:r w:rsidRPr="00D5342A">
              <w:t>Horticulture Australia Ltd*/Horticulture Innovation Australia</w:t>
            </w:r>
            <w:r w:rsidR="00D5342A" w:rsidRPr="00D5342A">
              <w:t xml:space="preserve"> Ltd*</w:t>
            </w:r>
          </w:p>
        </w:tc>
        <w:tc>
          <w:tcPr>
            <w:tcW w:w="1278" w:type="dxa"/>
          </w:tcPr>
          <w:p w14:paraId="56E08685" w14:textId="77777777" w:rsidR="00FA4FC9" w:rsidRPr="00D5342A" w:rsidRDefault="00FA4FC9" w:rsidP="005D59B0">
            <w:pPr>
              <w:pStyle w:val="TableText"/>
              <w:jc w:val="right"/>
            </w:pPr>
            <w:r w:rsidRPr="00D5342A">
              <w:t>$75,100,000</w:t>
            </w:r>
          </w:p>
        </w:tc>
        <w:tc>
          <w:tcPr>
            <w:tcW w:w="1370" w:type="dxa"/>
          </w:tcPr>
          <w:p w14:paraId="7E9576E7" w14:textId="77777777" w:rsidR="00FA4FC9" w:rsidRPr="00D5342A" w:rsidRDefault="00FA4FC9" w:rsidP="005D59B0">
            <w:pPr>
              <w:pStyle w:val="TableText"/>
              <w:jc w:val="right"/>
            </w:pPr>
            <w:r w:rsidRPr="00D5342A">
              <w:t>$6,759,000</w:t>
            </w:r>
          </w:p>
        </w:tc>
        <w:tc>
          <w:tcPr>
            <w:tcW w:w="1273" w:type="dxa"/>
          </w:tcPr>
          <w:p w14:paraId="46FF6CE9" w14:textId="77777777" w:rsidR="00FA4FC9" w:rsidRPr="00D5342A" w:rsidRDefault="00FA4FC9" w:rsidP="005D59B0">
            <w:pPr>
              <w:pStyle w:val="TableText"/>
              <w:jc w:val="right"/>
            </w:pPr>
            <w:r w:rsidRPr="00D5342A">
              <w:t>9.0%</w:t>
            </w:r>
          </w:p>
        </w:tc>
        <w:tc>
          <w:tcPr>
            <w:tcW w:w="1489" w:type="dxa"/>
          </w:tcPr>
          <w:p w14:paraId="5001FD30" w14:textId="77777777" w:rsidR="00FA4FC9" w:rsidRPr="00D5342A" w:rsidRDefault="00FA4FC9" w:rsidP="005D59B0">
            <w:pPr>
              <w:pStyle w:val="TableText"/>
              <w:jc w:val="right"/>
            </w:pPr>
            <w:r w:rsidRPr="00D5342A">
              <w:t>$76,700,000</w:t>
            </w:r>
          </w:p>
        </w:tc>
        <w:tc>
          <w:tcPr>
            <w:tcW w:w="1370" w:type="dxa"/>
          </w:tcPr>
          <w:p w14:paraId="775AEC68" w14:textId="77777777" w:rsidR="00FA4FC9" w:rsidRPr="00D5342A" w:rsidRDefault="00FA4FC9" w:rsidP="005D59B0">
            <w:pPr>
              <w:pStyle w:val="TableText"/>
              <w:jc w:val="right"/>
            </w:pPr>
            <w:r w:rsidRPr="00D5342A">
              <w:t>$6,903,000</w:t>
            </w:r>
          </w:p>
        </w:tc>
        <w:tc>
          <w:tcPr>
            <w:tcW w:w="1273" w:type="dxa"/>
          </w:tcPr>
          <w:p w14:paraId="762C470B" w14:textId="77777777" w:rsidR="00FA4FC9" w:rsidRPr="00D5342A" w:rsidRDefault="00FA4FC9" w:rsidP="005D59B0">
            <w:pPr>
              <w:pStyle w:val="TableText"/>
              <w:jc w:val="right"/>
            </w:pPr>
            <w:r w:rsidRPr="00D5342A">
              <w:t>9.0%</w:t>
            </w:r>
          </w:p>
        </w:tc>
        <w:tc>
          <w:tcPr>
            <w:tcW w:w="1489" w:type="dxa"/>
          </w:tcPr>
          <w:p w14:paraId="1BAE552E" w14:textId="77777777" w:rsidR="00FA4FC9" w:rsidRPr="00D5342A" w:rsidRDefault="00FA4FC9" w:rsidP="005D59B0">
            <w:pPr>
              <w:pStyle w:val="TableText"/>
              <w:jc w:val="right"/>
            </w:pPr>
            <w:r w:rsidRPr="00D5342A">
              <w:t>$51,970,000</w:t>
            </w:r>
          </w:p>
        </w:tc>
        <w:tc>
          <w:tcPr>
            <w:tcW w:w="1370" w:type="dxa"/>
          </w:tcPr>
          <w:p w14:paraId="0A0673A5" w14:textId="77777777" w:rsidR="00FA4FC9" w:rsidRPr="00D5342A" w:rsidRDefault="00FA4FC9" w:rsidP="005D59B0">
            <w:pPr>
              <w:pStyle w:val="TableText"/>
              <w:jc w:val="right"/>
            </w:pPr>
            <w:r w:rsidRPr="00D5342A">
              <w:t>$6,236,400</w:t>
            </w:r>
          </w:p>
        </w:tc>
        <w:tc>
          <w:tcPr>
            <w:tcW w:w="1273" w:type="dxa"/>
          </w:tcPr>
          <w:p w14:paraId="348F41AE" w14:textId="77777777" w:rsidR="00FA4FC9" w:rsidRPr="00D5342A" w:rsidRDefault="00FA4FC9" w:rsidP="005D59B0">
            <w:pPr>
              <w:pStyle w:val="TableText"/>
              <w:jc w:val="right"/>
            </w:pPr>
            <w:r w:rsidRPr="00D5342A">
              <w:t>12.0%</w:t>
            </w:r>
          </w:p>
        </w:tc>
      </w:tr>
      <w:tr w:rsidR="00D5342A" w:rsidRPr="00D5342A" w14:paraId="0A4F5D08" w14:textId="77777777" w:rsidTr="002679F1">
        <w:tc>
          <w:tcPr>
            <w:tcW w:w="2269" w:type="dxa"/>
          </w:tcPr>
          <w:p w14:paraId="457BEA88" w14:textId="77777777" w:rsidR="00FA4FC9" w:rsidRPr="00D5342A" w:rsidRDefault="00D5342A" w:rsidP="005D59B0">
            <w:pPr>
              <w:pStyle w:val="TableText"/>
            </w:pPr>
            <w:r w:rsidRPr="00D5342A">
              <w:t xml:space="preserve">Cotton </w:t>
            </w:r>
            <w:r w:rsidR="00FA4FC9" w:rsidRPr="00D5342A">
              <w:t>RDC</w:t>
            </w:r>
            <w:r w:rsidRPr="00D5342A">
              <w:t>^</w:t>
            </w:r>
          </w:p>
        </w:tc>
        <w:tc>
          <w:tcPr>
            <w:tcW w:w="1278" w:type="dxa"/>
          </w:tcPr>
          <w:p w14:paraId="3DE14DBB" w14:textId="77777777" w:rsidR="00FA4FC9" w:rsidRPr="00D5342A" w:rsidRDefault="00FA4FC9" w:rsidP="005D59B0">
            <w:pPr>
              <w:pStyle w:val="TableText"/>
              <w:jc w:val="right"/>
            </w:pPr>
            <w:r w:rsidRPr="00D5342A">
              <w:t>$14,900,000</w:t>
            </w:r>
          </w:p>
        </w:tc>
        <w:tc>
          <w:tcPr>
            <w:tcW w:w="1370" w:type="dxa"/>
          </w:tcPr>
          <w:p w14:paraId="076FCF1C" w14:textId="77777777" w:rsidR="00FA4FC9" w:rsidRPr="00D5342A" w:rsidRDefault="00FA4FC9" w:rsidP="005D59B0">
            <w:pPr>
              <w:pStyle w:val="TableText"/>
              <w:jc w:val="right"/>
            </w:pPr>
            <w:r w:rsidRPr="00D5342A">
              <w:t>$3,799,500</w:t>
            </w:r>
          </w:p>
        </w:tc>
        <w:tc>
          <w:tcPr>
            <w:tcW w:w="1273" w:type="dxa"/>
          </w:tcPr>
          <w:p w14:paraId="67692648" w14:textId="77777777" w:rsidR="00FA4FC9" w:rsidRPr="00D5342A" w:rsidRDefault="00FA4FC9" w:rsidP="005D59B0">
            <w:pPr>
              <w:pStyle w:val="TableText"/>
              <w:jc w:val="right"/>
            </w:pPr>
            <w:r w:rsidRPr="00D5342A">
              <w:t>25.5%</w:t>
            </w:r>
          </w:p>
        </w:tc>
        <w:tc>
          <w:tcPr>
            <w:tcW w:w="1489" w:type="dxa"/>
          </w:tcPr>
          <w:p w14:paraId="47EE9270" w14:textId="77777777" w:rsidR="00FA4FC9" w:rsidRPr="00D5342A" w:rsidRDefault="00FA4FC9" w:rsidP="005D59B0">
            <w:pPr>
              <w:pStyle w:val="TableText"/>
              <w:jc w:val="right"/>
            </w:pPr>
            <w:r w:rsidRPr="00D5342A">
              <w:t>$18,200,000</w:t>
            </w:r>
          </w:p>
        </w:tc>
        <w:tc>
          <w:tcPr>
            <w:tcW w:w="1370" w:type="dxa"/>
          </w:tcPr>
          <w:p w14:paraId="2674BD50" w14:textId="77777777" w:rsidR="00FA4FC9" w:rsidRPr="00D5342A" w:rsidRDefault="00FA4FC9" w:rsidP="005D59B0">
            <w:pPr>
              <w:pStyle w:val="TableText"/>
              <w:jc w:val="right"/>
            </w:pPr>
            <w:r w:rsidRPr="00D5342A">
              <w:t>$4,368,000</w:t>
            </w:r>
          </w:p>
        </w:tc>
        <w:tc>
          <w:tcPr>
            <w:tcW w:w="1273" w:type="dxa"/>
          </w:tcPr>
          <w:p w14:paraId="678F6BBE" w14:textId="77777777" w:rsidR="00FA4FC9" w:rsidRPr="00D5342A" w:rsidRDefault="00FA4FC9" w:rsidP="005D59B0">
            <w:pPr>
              <w:pStyle w:val="TableText"/>
              <w:jc w:val="right"/>
            </w:pPr>
            <w:r w:rsidRPr="00D5342A">
              <w:t>24.0%</w:t>
            </w:r>
          </w:p>
        </w:tc>
        <w:tc>
          <w:tcPr>
            <w:tcW w:w="1489" w:type="dxa"/>
          </w:tcPr>
          <w:p w14:paraId="04255562" w14:textId="77777777" w:rsidR="00FA4FC9" w:rsidRPr="00D5342A" w:rsidRDefault="00FA4FC9" w:rsidP="005D59B0">
            <w:pPr>
              <w:pStyle w:val="TableText"/>
              <w:jc w:val="right"/>
            </w:pPr>
            <w:r w:rsidRPr="00D5342A">
              <w:t>$19,240,000</w:t>
            </w:r>
          </w:p>
        </w:tc>
        <w:tc>
          <w:tcPr>
            <w:tcW w:w="1370" w:type="dxa"/>
          </w:tcPr>
          <w:p w14:paraId="27493FA9" w14:textId="77777777" w:rsidR="00FA4FC9" w:rsidRPr="00D5342A" w:rsidRDefault="00FA4FC9" w:rsidP="005D59B0">
            <w:pPr>
              <w:pStyle w:val="TableText"/>
              <w:jc w:val="right"/>
            </w:pPr>
            <w:r w:rsidRPr="00D5342A">
              <w:t>$2,501,200</w:t>
            </w:r>
          </w:p>
        </w:tc>
        <w:tc>
          <w:tcPr>
            <w:tcW w:w="1273" w:type="dxa"/>
          </w:tcPr>
          <w:p w14:paraId="401BEC91" w14:textId="77777777" w:rsidR="00FA4FC9" w:rsidRPr="00D5342A" w:rsidRDefault="00FA4FC9" w:rsidP="005D59B0">
            <w:pPr>
              <w:pStyle w:val="TableText"/>
              <w:jc w:val="right"/>
            </w:pPr>
            <w:r w:rsidRPr="00D5342A">
              <w:t>13.0%</w:t>
            </w:r>
          </w:p>
        </w:tc>
      </w:tr>
      <w:tr w:rsidR="00D5342A" w:rsidRPr="00D5342A" w14:paraId="5B9B1165" w14:textId="77777777" w:rsidTr="002679F1">
        <w:tc>
          <w:tcPr>
            <w:tcW w:w="2269" w:type="dxa"/>
          </w:tcPr>
          <w:p w14:paraId="21B0B408" w14:textId="77777777" w:rsidR="00FA4FC9" w:rsidRPr="00D5342A" w:rsidRDefault="00D5342A" w:rsidP="00D5342A">
            <w:pPr>
              <w:pStyle w:val="TableText"/>
            </w:pPr>
            <w:r w:rsidRPr="00D5342A">
              <w:t>Sugar RDC^/ Sugar Research Australia Ltd*</w:t>
            </w:r>
          </w:p>
        </w:tc>
        <w:tc>
          <w:tcPr>
            <w:tcW w:w="1278" w:type="dxa"/>
          </w:tcPr>
          <w:p w14:paraId="12F74C42" w14:textId="77777777" w:rsidR="00FA4FC9" w:rsidRPr="00D5342A" w:rsidRDefault="00FA4FC9" w:rsidP="005D59B0">
            <w:pPr>
              <w:pStyle w:val="TableText"/>
              <w:jc w:val="right"/>
            </w:pPr>
            <w:r w:rsidRPr="00D5342A">
              <w:t>$7,757,000</w:t>
            </w:r>
          </w:p>
        </w:tc>
        <w:tc>
          <w:tcPr>
            <w:tcW w:w="1370" w:type="dxa"/>
          </w:tcPr>
          <w:p w14:paraId="3435400B" w14:textId="77777777" w:rsidR="00FA4FC9" w:rsidRPr="00D5342A" w:rsidRDefault="00FA4FC9" w:rsidP="005D59B0">
            <w:pPr>
              <w:pStyle w:val="TableText"/>
              <w:jc w:val="right"/>
            </w:pPr>
            <w:r w:rsidRPr="00D5342A">
              <w:t>$987,000</w:t>
            </w:r>
          </w:p>
        </w:tc>
        <w:tc>
          <w:tcPr>
            <w:tcW w:w="1273" w:type="dxa"/>
          </w:tcPr>
          <w:p w14:paraId="79E6A515" w14:textId="77777777" w:rsidR="00FA4FC9" w:rsidRPr="00D5342A" w:rsidRDefault="00FA4FC9" w:rsidP="005D59B0">
            <w:pPr>
              <w:pStyle w:val="TableText"/>
              <w:jc w:val="right"/>
            </w:pPr>
            <w:r w:rsidRPr="00D5342A">
              <w:t>12.7%</w:t>
            </w:r>
          </w:p>
        </w:tc>
        <w:tc>
          <w:tcPr>
            <w:tcW w:w="1489" w:type="dxa"/>
          </w:tcPr>
          <w:p w14:paraId="20581496" w14:textId="77777777" w:rsidR="00FA4FC9" w:rsidRPr="00D5342A" w:rsidRDefault="00FA4FC9" w:rsidP="005D59B0">
            <w:pPr>
              <w:pStyle w:val="TableText"/>
              <w:jc w:val="right"/>
            </w:pPr>
            <w:r w:rsidRPr="00D5342A">
              <w:t>$7,700,000</w:t>
            </w:r>
          </w:p>
        </w:tc>
        <w:tc>
          <w:tcPr>
            <w:tcW w:w="1370" w:type="dxa"/>
          </w:tcPr>
          <w:p w14:paraId="6E1A7F01" w14:textId="77777777" w:rsidR="00FA4FC9" w:rsidRPr="00D5342A" w:rsidRDefault="00FA4FC9" w:rsidP="005D59B0">
            <w:pPr>
              <w:pStyle w:val="TableText"/>
              <w:jc w:val="right"/>
            </w:pPr>
            <w:r w:rsidRPr="00D5342A">
              <w:t>$1,097,000</w:t>
            </w:r>
          </w:p>
        </w:tc>
        <w:tc>
          <w:tcPr>
            <w:tcW w:w="1273" w:type="dxa"/>
          </w:tcPr>
          <w:p w14:paraId="09873244" w14:textId="77777777" w:rsidR="00FA4FC9" w:rsidRPr="00D5342A" w:rsidRDefault="00FA4FC9" w:rsidP="005D59B0">
            <w:pPr>
              <w:pStyle w:val="TableText"/>
              <w:jc w:val="right"/>
            </w:pPr>
            <w:r w:rsidRPr="00D5342A">
              <w:t>13.0%</w:t>
            </w:r>
          </w:p>
        </w:tc>
        <w:tc>
          <w:tcPr>
            <w:tcW w:w="1489" w:type="dxa"/>
          </w:tcPr>
          <w:p w14:paraId="22A01992" w14:textId="77777777" w:rsidR="00FA4FC9" w:rsidRPr="00D5342A" w:rsidRDefault="00FA4FC9" w:rsidP="005D59B0">
            <w:pPr>
              <w:pStyle w:val="TableText"/>
              <w:jc w:val="right"/>
            </w:pPr>
            <w:r w:rsidRPr="00D5342A">
              <w:t>$28,720,000</w:t>
            </w:r>
          </w:p>
        </w:tc>
        <w:tc>
          <w:tcPr>
            <w:tcW w:w="1370" w:type="dxa"/>
          </w:tcPr>
          <w:p w14:paraId="7301B8B9" w14:textId="77777777" w:rsidR="00FA4FC9" w:rsidRPr="00D5342A" w:rsidRDefault="00FA4FC9" w:rsidP="005D59B0">
            <w:pPr>
              <w:pStyle w:val="TableText"/>
              <w:jc w:val="right"/>
            </w:pPr>
            <w:r w:rsidRPr="00D5342A">
              <w:t>$4,641,152</w:t>
            </w:r>
          </w:p>
        </w:tc>
        <w:tc>
          <w:tcPr>
            <w:tcW w:w="1273" w:type="dxa"/>
          </w:tcPr>
          <w:p w14:paraId="24188460" w14:textId="77777777" w:rsidR="00FA4FC9" w:rsidRPr="00D5342A" w:rsidRDefault="00FA4FC9" w:rsidP="005D59B0">
            <w:pPr>
              <w:pStyle w:val="TableText"/>
              <w:jc w:val="right"/>
            </w:pPr>
            <w:r w:rsidRPr="00D5342A">
              <w:t>16.2%</w:t>
            </w:r>
          </w:p>
        </w:tc>
      </w:tr>
      <w:tr w:rsidR="00D5342A" w:rsidRPr="00D5342A" w14:paraId="2F2DE31D" w14:textId="77777777" w:rsidTr="002679F1">
        <w:tc>
          <w:tcPr>
            <w:tcW w:w="2269" w:type="dxa"/>
          </w:tcPr>
          <w:p w14:paraId="66F72435" w14:textId="77777777" w:rsidR="00FA4FC9" w:rsidRPr="00D5342A" w:rsidRDefault="00FA4FC9" w:rsidP="00D5342A">
            <w:pPr>
              <w:pStyle w:val="TableText"/>
            </w:pPr>
            <w:r w:rsidRPr="00D5342A">
              <w:t>G</w:t>
            </w:r>
            <w:r w:rsidR="00D5342A" w:rsidRPr="00D5342A">
              <w:t xml:space="preserve">rains </w:t>
            </w:r>
            <w:r w:rsidRPr="00D5342A">
              <w:t>RDC</w:t>
            </w:r>
            <w:r w:rsidR="00D5342A" w:rsidRPr="00D5342A">
              <w:t>^</w:t>
            </w:r>
          </w:p>
        </w:tc>
        <w:tc>
          <w:tcPr>
            <w:tcW w:w="1278" w:type="dxa"/>
          </w:tcPr>
          <w:p w14:paraId="32350143" w14:textId="77777777" w:rsidR="00FA4FC9" w:rsidRPr="00D5342A" w:rsidRDefault="00FA4FC9" w:rsidP="005D59B0">
            <w:pPr>
              <w:pStyle w:val="TableText"/>
              <w:jc w:val="right"/>
            </w:pPr>
            <w:r w:rsidRPr="00D5342A">
              <w:t>$159,240,000</w:t>
            </w:r>
          </w:p>
        </w:tc>
        <w:tc>
          <w:tcPr>
            <w:tcW w:w="1370" w:type="dxa"/>
          </w:tcPr>
          <w:p w14:paraId="367E326B" w14:textId="77777777" w:rsidR="00FA4FC9" w:rsidRPr="00D5342A" w:rsidRDefault="00FA4FC9" w:rsidP="005D59B0">
            <w:pPr>
              <w:pStyle w:val="TableText"/>
              <w:jc w:val="right"/>
            </w:pPr>
            <w:r w:rsidRPr="00D5342A">
              <w:t>$13,370,000</w:t>
            </w:r>
          </w:p>
        </w:tc>
        <w:tc>
          <w:tcPr>
            <w:tcW w:w="1273" w:type="dxa"/>
          </w:tcPr>
          <w:p w14:paraId="22610CDD" w14:textId="77777777" w:rsidR="00FA4FC9" w:rsidRPr="00D5342A" w:rsidRDefault="00FA4FC9" w:rsidP="005D59B0">
            <w:pPr>
              <w:pStyle w:val="TableText"/>
              <w:jc w:val="right"/>
            </w:pPr>
            <w:r w:rsidRPr="00D5342A">
              <w:t>8.4%</w:t>
            </w:r>
          </w:p>
        </w:tc>
        <w:tc>
          <w:tcPr>
            <w:tcW w:w="1489" w:type="dxa"/>
          </w:tcPr>
          <w:p w14:paraId="00373389" w14:textId="77777777" w:rsidR="00FA4FC9" w:rsidRPr="00D5342A" w:rsidRDefault="00FA4FC9" w:rsidP="005D59B0">
            <w:pPr>
              <w:pStyle w:val="TableText"/>
              <w:jc w:val="right"/>
            </w:pPr>
            <w:r w:rsidRPr="00D5342A">
              <w:t>$166,370,000</w:t>
            </w:r>
          </w:p>
        </w:tc>
        <w:tc>
          <w:tcPr>
            <w:tcW w:w="1370" w:type="dxa"/>
          </w:tcPr>
          <w:p w14:paraId="60C0B98D" w14:textId="77777777" w:rsidR="00FA4FC9" w:rsidRPr="00D5342A" w:rsidRDefault="00FA4FC9" w:rsidP="005D59B0">
            <w:pPr>
              <w:pStyle w:val="TableText"/>
              <w:jc w:val="right"/>
            </w:pPr>
            <w:r w:rsidRPr="00D5342A">
              <w:t>$22,780,000</w:t>
            </w:r>
          </w:p>
        </w:tc>
        <w:tc>
          <w:tcPr>
            <w:tcW w:w="1273" w:type="dxa"/>
          </w:tcPr>
          <w:p w14:paraId="5C9B4B8F" w14:textId="77777777" w:rsidR="00FA4FC9" w:rsidRPr="00D5342A" w:rsidRDefault="00FA4FC9" w:rsidP="005D59B0">
            <w:pPr>
              <w:pStyle w:val="TableText"/>
              <w:jc w:val="right"/>
            </w:pPr>
            <w:r w:rsidRPr="00D5342A">
              <w:t>13.7%</w:t>
            </w:r>
          </w:p>
        </w:tc>
        <w:tc>
          <w:tcPr>
            <w:tcW w:w="1489" w:type="dxa"/>
          </w:tcPr>
          <w:p w14:paraId="4CAEA668" w14:textId="77777777" w:rsidR="00FA4FC9" w:rsidRPr="00D5342A" w:rsidRDefault="00FA4FC9" w:rsidP="005D59B0">
            <w:pPr>
              <w:pStyle w:val="TableText"/>
              <w:jc w:val="right"/>
            </w:pPr>
            <w:r w:rsidRPr="00D5342A">
              <w:t>$194,100,000</w:t>
            </w:r>
          </w:p>
        </w:tc>
        <w:tc>
          <w:tcPr>
            <w:tcW w:w="1370" w:type="dxa"/>
          </w:tcPr>
          <w:p w14:paraId="6332CE7A" w14:textId="77777777" w:rsidR="00FA4FC9" w:rsidRPr="00D5342A" w:rsidRDefault="00FA4FC9" w:rsidP="005D59B0">
            <w:pPr>
              <w:pStyle w:val="TableText"/>
              <w:jc w:val="right"/>
            </w:pPr>
            <w:r w:rsidRPr="00D5342A">
              <w:t>$34,700,000</w:t>
            </w:r>
          </w:p>
        </w:tc>
        <w:tc>
          <w:tcPr>
            <w:tcW w:w="1273" w:type="dxa"/>
          </w:tcPr>
          <w:p w14:paraId="2F281156" w14:textId="77777777" w:rsidR="00FA4FC9" w:rsidRPr="00D5342A" w:rsidRDefault="00FA4FC9" w:rsidP="005D59B0">
            <w:pPr>
              <w:pStyle w:val="TableText"/>
              <w:jc w:val="right"/>
            </w:pPr>
            <w:r w:rsidRPr="00D5342A">
              <w:t>17.9%</w:t>
            </w:r>
          </w:p>
        </w:tc>
      </w:tr>
    </w:tbl>
    <w:p w14:paraId="0E6EA555" w14:textId="32DBB63F" w:rsidR="00217F53" w:rsidRDefault="005D59B0" w:rsidP="001717D8">
      <w:pPr>
        <w:pStyle w:val="FigureTableNoteSource"/>
        <w:ind w:left="-426"/>
      </w:pPr>
      <w:r w:rsidRPr="00D5342A">
        <w:t>*Industry owned</w:t>
      </w:r>
      <w:r>
        <w:t xml:space="preserve"> company ^ Corporate Commonwealth Entity</w:t>
      </w:r>
      <w:r w:rsidR="00647424">
        <w:t>.</w:t>
      </w:r>
    </w:p>
    <w:p w14:paraId="45C96088" w14:textId="484D015D" w:rsidR="005D59B0" w:rsidRDefault="005D59B0" w:rsidP="001717D8">
      <w:pPr>
        <w:pStyle w:val="FigureTableNoteSource"/>
        <w:ind w:left="-426"/>
      </w:pPr>
      <w:r>
        <w:t xml:space="preserve">Note: 1) </w:t>
      </w:r>
      <w:r w:rsidR="00027C98">
        <w:t xml:space="preserve">Comparisons between the RDCs are limited by </w:t>
      </w:r>
      <w:r>
        <w:t>inconsistent reporting (varying levels of detail of biosecurity R&amp;I investment)</w:t>
      </w:r>
      <w:r w:rsidR="00647424">
        <w:t>.</w:t>
      </w:r>
    </w:p>
    <w:p w14:paraId="59891327" w14:textId="199C65BE" w:rsidR="005D59B0" w:rsidRDefault="005D59B0" w:rsidP="001717D8">
      <w:pPr>
        <w:pStyle w:val="FigureTableNoteSource"/>
        <w:ind w:left="-426"/>
      </w:pPr>
      <w:r>
        <w:t>Note: 2) Livecorp’s biosecurity R&amp;I is conducted through MLA</w:t>
      </w:r>
      <w:r w:rsidR="00647424">
        <w:t>.</w:t>
      </w:r>
      <w:r>
        <w:t xml:space="preserve"> </w:t>
      </w:r>
    </w:p>
    <w:p w14:paraId="7AB09F86" w14:textId="75E97E3A" w:rsidR="00FA4FC9" w:rsidRDefault="00FA4FC9" w:rsidP="00EC0C8F">
      <w:pPr>
        <w:sectPr w:rsidR="00FA4FC9" w:rsidSect="00D5342A">
          <w:pgSz w:w="16838" w:h="11906" w:orient="landscape"/>
          <w:pgMar w:top="720" w:right="720" w:bottom="720" w:left="1418" w:header="567" w:footer="284" w:gutter="0"/>
          <w:cols w:space="708"/>
          <w:docGrid w:linePitch="360"/>
        </w:sectPr>
      </w:pPr>
    </w:p>
    <w:p w14:paraId="64E4C825" w14:textId="77777777" w:rsidR="0005522A" w:rsidRDefault="0005522A" w:rsidP="0005522A">
      <w:r>
        <w:lastRenderedPageBreak/>
        <w:t xml:space="preserve">Based on a </w:t>
      </w:r>
      <w:r w:rsidR="00C23D98">
        <w:t>three</w:t>
      </w:r>
      <w:r>
        <w:t>-year average between 2012 and 2015, the RDCs’ collective annual investment on biosecurity R&amp;I is estimated at around $49 million, which is 8.7 per cent of an average total annual R&amp;I spend of $566 million. However, this proportional figure of total RDC expenditure, does not capture the highly variable investment levels across the RDCs, which ranges from 0.5 per cent to 25.5 per cent by individual RDCs.</w:t>
      </w:r>
    </w:p>
    <w:p w14:paraId="37DF2602" w14:textId="5A477FBA" w:rsidR="0005522A" w:rsidRDefault="0005522A" w:rsidP="0005522A">
      <w:r>
        <w:t>Nonetheless, the annual average spend ($49 million) made by the RDCs is a sizeable investment on biosecurity R&amp;I</w:t>
      </w:r>
      <w:r w:rsidR="00046649">
        <w:t>.</w:t>
      </w:r>
      <w:r>
        <w:t xml:space="preserve"> Given </w:t>
      </w:r>
      <w:r w:rsidR="00793AC5">
        <w:t>this</w:t>
      </w:r>
      <w:r>
        <w:t xml:space="preserve"> quantum</w:t>
      </w:r>
      <w:r w:rsidR="00793AC5">
        <w:t xml:space="preserve">, </w:t>
      </w:r>
      <w:r>
        <w:t>the Australian Government should</w:t>
      </w:r>
      <w:r w:rsidR="00CC4633">
        <w:t>:</w:t>
      </w:r>
      <w:r>
        <w:t xml:space="preserve"> ensure RDC funding is being directed to priority areas in line with nationally agreed biosecurity R&amp;I priorities</w:t>
      </w:r>
      <w:r w:rsidR="00CC4633">
        <w:t xml:space="preserve">; and, </w:t>
      </w:r>
      <w:r>
        <w:t>reconsider the available accountability mechanisms, including mandating</w:t>
      </w:r>
      <w:r w:rsidR="0088682F">
        <w:t>, through statutory funding agreements,</w:t>
      </w:r>
      <w:r>
        <w:t xml:space="preserve"> consistent reporting of how RDCs expenditure and biosecurity research outcomes meet R&amp;I priorities established by the NBC.</w:t>
      </w:r>
    </w:p>
    <w:p w14:paraId="06C1EA28" w14:textId="77777777" w:rsidR="0005522A" w:rsidRDefault="0005522A" w:rsidP="0005522A">
      <w:r>
        <w:t>Stakeholders identified various limitations for biosecurity R&amp;I funded through the RDCs. Research generally addresses priorities with more immediate benefits for the producer (such as increasing yield, reducing the cost of production and improved nutrition) and with application to a single industry or sector.</w:t>
      </w:r>
    </w:p>
    <w:p w14:paraId="5840A253" w14:textId="77777777" w:rsidR="0005522A" w:rsidRDefault="0005522A" w:rsidP="0005522A">
      <w:r>
        <w:t>Significant biosecurity R&amp;I funding has also been directed to specific, time-limited Cooperative Research Centres (CRCs). These have included the CRC for Australian Weed Management (ceased in 2008), and the Australian Biosecurity CRC for Emerging Infectious Disease (ceased in 2010). Current biosecurity related CRCs include the Invasive Animals CRC (to cease in 2017) and the Plant Biosecurity CRC (to cease in 2018).</w:t>
      </w:r>
    </w:p>
    <w:p w14:paraId="42A020EB" w14:textId="555E8353" w:rsidR="0005522A" w:rsidRDefault="0005522A" w:rsidP="0005522A">
      <w:r>
        <w:t xml:space="preserve">For example, the Plant Biosecurity CRC’s Investment Plan </w:t>
      </w:r>
      <w:r w:rsidR="0061325A">
        <w:t xml:space="preserve">for </w:t>
      </w:r>
      <w:r>
        <w:t xml:space="preserve">2012–18 </w:t>
      </w:r>
      <w:r w:rsidR="0061325A">
        <w:t>allocated</w:t>
      </w:r>
      <w:r>
        <w:t xml:space="preserve"> $128 million of research resources</w:t>
      </w:r>
      <w:r w:rsidR="0061325A">
        <w:t xml:space="preserve"> over the six-year funding period</w:t>
      </w:r>
      <w:r>
        <w:t>,</w:t>
      </w:r>
      <w:r w:rsidR="0061325A">
        <w:t xml:space="preserve"> equating</w:t>
      </w:r>
      <w:r>
        <w:t xml:space="preserve"> to an average annual investment of around $21.3 million on plant biosecurity R&amp;I activities.</w:t>
      </w:r>
    </w:p>
    <w:p w14:paraId="141BBE40" w14:textId="6C7F2925" w:rsidR="0005522A" w:rsidRPr="00EE2529" w:rsidRDefault="0005522A" w:rsidP="0005522A">
      <w:r>
        <w:t xml:space="preserve">The continuation of many biosecurity-related CRCs has been contingent on securing extensions for further terms of operation under the CRC Programme. Changes to the programme, following a 2015 </w:t>
      </w:r>
      <w:r w:rsidRPr="00EE2529">
        <w:t>review (</w:t>
      </w:r>
      <w:hyperlink w:anchor="Miles_2015" w:history="1">
        <w:r w:rsidRPr="0050175A">
          <w:rPr>
            <w:rStyle w:val="Hyperlink"/>
          </w:rPr>
          <w:t>Miles 2015</w:t>
        </w:r>
      </w:hyperlink>
      <w:r w:rsidRPr="00EE2529">
        <w:t>), now limit CRC funding to a maximum of 10 years with no funding extensions possible.</w:t>
      </w:r>
    </w:p>
    <w:p w14:paraId="075E5FCA" w14:textId="77777777" w:rsidR="0005522A" w:rsidRPr="00EE2529" w:rsidRDefault="0005522A" w:rsidP="0005522A">
      <w:r w:rsidRPr="00EE2529">
        <w:t>Stakeholders noted the long-term impacts on biosecurity R&amp;I that have occurred where CRCs have closed without appropriate transition arrangements. These include the loss of valuable scientific knowledge and expertise, subsequent fragmentation of research activities, and difficulties in securing ongoing funding for research from other sources.</w:t>
      </w:r>
    </w:p>
    <w:p w14:paraId="4A8D873F" w14:textId="6C4E2D0E" w:rsidR="0005522A" w:rsidRPr="00EE2529" w:rsidRDefault="0005522A" w:rsidP="0005522A">
      <w:r w:rsidRPr="00EE2529">
        <w:t>The Review Panel notes work underway to transition the Invasive Animals CRC to the Centre for Invasive Species Solutions (CISS). This transition is a positive move for continuing the CRC’s work without interruption</w:t>
      </w:r>
      <w:r w:rsidR="00F77FCC">
        <w:t>, albeit initially at least,</w:t>
      </w:r>
      <w:r w:rsidR="006E4533" w:rsidRPr="00EE2529">
        <w:t xml:space="preserve"> </w:t>
      </w:r>
      <w:r w:rsidRPr="00EE2529">
        <w:t>for established animal pests and diseases</w:t>
      </w:r>
      <w:r w:rsidR="002C1018">
        <w:t xml:space="preserve"> </w:t>
      </w:r>
      <w:r w:rsidR="0059661E">
        <w:br/>
      </w:r>
      <w:r w:rsidR="002C1018">
        <w:t>(</w:t>
      </w:r>
      <w:r w:rsidR="00943EBA">
        <w:fldChar w:fldCharType="begin"/>
      </w:r>
      <w:r w:rsidR="00943EBA">
        <w:instrText xml:space="preserve"> REF _Ref469495083 \h </w:instrText>
      </w:r>
      <w:r w:rsidR="00943EBA">
        <w:fldChar w:fldCharType="separate"/>
      </w:r>
      <w:r w:rsidR="008303E2" w:rsidRPr="002C1018">
        <w:t xml:space="preserve">Box </w:t>
      </w:r>
      <w:r w:rsidR="008303E2">
        <w:rPr>
          <w:noProof/>
        </w:rPr>
        <w:t>7</w:t>
      </w:r>
      <w:r w:rsidR="00943EBA">
        <w:fldChar w:fldCharType="end"/>
      </w:r>
      <w:r w:rsidR="002C1018">
        <w:t>)</w:t>
      </w:r>
      <w:r w:rsidRPr="00EE2529">
        <w:t xml:space="preserve">. </w:t>
      </w:r>
      <w:r w:rsidR="00F77FCC">
        <w:t xml:space="preserve">The development of novel solutions to existing problems may also raise issues of relevance for </w:t>
      </w:r>
      <w:r w:rsidR="00FB7CEF">
        <w:t xml:space="preserve">responses to exotic </w:t>
      </w:r>
      <w:r w:rsidR="00FB7CEF" w:rsidRPr="00E837A6">
        <w:t xml:space="preserve">incursions. </w:t>
      </w:r>
      <w:r w:rsidR="00F77FCC" w:rsidRPr="00E837A6">
        <w:t xml:space="preserve">This </w:t>
      </w:r>
      <w:r w:rsidR="00B50AC3" w:rsidRPr="00E837A6">
        <w:t xml:space="preserve">is </w:t>
      </w:r>
      <w:r w:rsidR="00F77FCC" w:rsidRPr="00E837A6">
        <w:t xml:space="preserve">consistent with the </w:t>
      </w:r>
      <w:r w:rsidR="00BF282B" w:rsidRPr="00E837A6">
        <w:t xml:space="preserve">NBC’s proposed approach </w:t>
      </w:r>
      <w:r w:rsidR="00F77FCC" w:rsidRPr="00E837A6">
        <w:t>to dealing with established pests and diseases</w:t>
      </w:r>
      <w:r w:rsidR="00BF282B" w:rsidRPr="00E837A6">
        <w:t>,</w:t>
      </w:r>
      <w:r w:rsidR="00F77FCC" w:rsidRPr="00E837A6">
        <w:t xml:space="preserve"> </w:t>
      </w:r>
      <w:r w:rsidR="00FB7CEF" w:rsidRPr="00E837A6">
        <w:t xml:space="preserve">as </w:t>
      </w:r>
      <w:r w:rsidR="00AC31E2" w:rsidRPr="00E837A6">
        <w:t xml:space="preserve">outlined in </w:t>
      </w:r>
      <w:r w:rsidR="00B9335F" w:rsidRPr="00E837A6">
        <w:t>its</w:t>
      </w:r>
      <w:r w:rsidR="00AC31E2" w:rsidRPr="00E837A6">
        <w:t xml:space="preserve"> 2015 discussion paper on </w:t>
      </w:r>
      <w:r w:rsidR="00FB7CEF" w:rsidRPr="00E837A6">
        <w:t>modernising Australia’s approach to managing established pests and diseases of national significance (</w:t>
      </w:r>
      <w:hyperlink w:anchor="NBC_2015" w:history="1">
        <w:r w:rsidR="00FB7CEF" w:rsidRPr="0050175A">
          <w:rPr>
            <w:rStyle w:val="Hyperlink"/>
          </w:rPr>
          <w:t>NBC 2015</w:t>
        </w:r>
      </w:hyperlink>
      <w:r w:rsidR="00FB7CEF" w:rsidRPr="00E837A6">
        <w:t xml:space="preserve">), in </w:t>
      </w:r>
      <w:r w:rsidR="00F77FCC" w:rsidRPr="00E837A6">
        <w:t>which roles and responsibilities for government, industry and the community are consistent with insights from the generalised invasion curve.</w:t>
      </w:r>
    </w:p>
    <w:p w14:paraId="7847B7E7" w14:textId="03804178" w:rsidR="00F77FCC" w:rsidRPr="002C1018" w:rsidRDefault="00F77FCC" w:rsidP="004434BB">
      <w:pPr>
        <w:pStyle w:val="BoxHeading"/>
        <w:keepNext/>
        <w:rPr>
          <w:lang w:eastAsia="ja-JP"/>
        </w:rPr>
      </w:pPr>
      <w:bookmarkStart w:id="120" w:name="_Ref469495083"/>
      <w:bookmarkStart w:id="121" w:name="_Toc468265944"/>
      <w:bookmarkStart w:id="122" w:name="_Toc468444400"/>
      <w:r w:rsidRPr="002C1018">
        <w:lastRenderedPageBreak/>
        <w:t xml:space="preserve">Box </w:t>
      </w:r>
      <w:r w:rsidR="008303E2">
        <w:fldChar w:fldCharType="begin"/>
      </w:r>
      <w:r w:rsidR="008303E2">
        <w:instrText xml:space="preserve"> SEQ Box \* ARABIC </w:instrText>
      </w:r>
      <w:r w:rsidR="008303E2">
        <w:fldChar w:fldCharType="separate"/>
      </w:r>
      <w:r w:rsidR="008303E2">
        <w:rPr>
          <w:noProof/>
        </w:rPr>
        <w:t>7</w:t>
      </w:r>
      <w:r w:rsidR="008303E2">
        <w:rPr>
          <w:noProof/>
        </w:rPr>
        <w:fldChar w:fldCharType="end"/>
      </w:r>
      <w:bookmarkEnd w:id="120"/>
      <w:r w:rsidRPr="002C1018">
        <w:t>:</w:t>
      </w:r>
      <w:r w:rsidR="002845D8" w:rsidRPr="002C1018">
        <w:t xml:space="preserve"> T</w:t>
      </w:r>
      <w:r w:rsidRPr="002C1018">
        <w:t xml:space="preserve">he biocontrol of European rabbits </w:t>
      </w:r>
      <w:bookmarkEnd w:id="121"/>
      <w:bookmarkEnd w:id="122"/>
    </w:p>
    <w:p w14:paraId="72671C0A" w14:textId="155EF97A" w:rsidR="00F77FCC" w:rsidRPr="002C1018" w:rsidRDefault="00F77FCC" w:rsidP="00F77FCC">
      <w:pPr>
        <w:pStyle w:val="BoxText"/>
      </w:pPr>
      <w:r w:rsidRPr="002C1018">
        <w:t>European rabbits (</w:t>
      </w:r>
      <w:r w:rsidRPr="002C1018">
        <w:rPr>
          <w:i/>
        </w:rPr>
        <w:t>Oryctolagus cuniculus</w:t>
      </w:r>
      <w:r w:rsidRPr="002C1018">
        <w:t xml:space="preserve">) are a </w:t>
      </w:r>
      <w:r w:rsidR="002C1018">
        <w:t>nation-wide</w:t>
      </w:r>
      <w:r w:rsidRPr="002C1018">
        <w:t xml:space="preserve"> threat to Australia’s biodiversity and agriculture. Competition an</w:t>
      </w:r>
      <w:r w:rsidR="002C1018">
        <w:t>d land degradation by rabbits is</w:t>
      </w:r>
      <w:r w:rsidRPr="002C1018">
        <w:t xml:space="preserve"> listed as a key threatening process (</w:t>
      </w:r>
      <w:hyperlink w:anchor="DEWHA_2008" w:history="1">
        <w:r w:rsidRPr="00DE6C31">
          <w:rPr>
            <w:rStyle w:val="Hyperlink"/>
          </w:rPr>
          <w:t>DEWHA 2008</w:t>
        </w:r>
      </w:hyperlink>
      <w:r w:rsidRPr="002C1018">
        <w:t xml:space="preserve">). Rabbits are </w:t>
      </w:r>
      <w:r w:rsidR="002C1018">
        <w:t xml:space="preserve">one of </w:t>
      </w:r>
      <w:r w:rsidRPr="002C1018">
        <w:t>Australian agriculture’s most costly vertebrate pest animal</w:t>
      </w:r>
      <w:r w:rsidR="002C1018">
        <w:t>s</w:t>
      </w:r>
      <w:r w:rsidRPr="002C1018">
        <w:t>.</w:t>
      </w:r>
    </w:p>
    <w:p w14:paraId="78ABA709" w14:textId="5B292744" w:rsidR="00F77FCC" w:rsidRPr="002C1018" w:rsidRDefault="002C1018" w:rsidP="00F77FCC">
      <w:pPr>
        <w:pStyle w:val="BoxText"/>
      </w:pPr>
      <w:r>
        <w:t>R</w:t>
      </w:r>
      <w:r w:rsidR="00F77FCC" w:rsidRPr="002C1018">
        <w:t xml:space="preserve">abbit biocontrol agents, </w:t>
      </w:r>
      <w:r>
        <w:t xml:space="preserve">such as </w:t>
      </w:r>
      <w:r w:rsidR="00F77FCC" w:rsidRPr="002C1018">
        <w:t>Myxoma virus (MV) and Rabbit Haemorrhagic Disease Virus (RHDV)</w:t>
      </w:r>
      <w:r>
        <w:t xml:space="preserve">, have limited </w:t>
      </w:r>
      <w:r w:rsidR="00F77FCC" w:rsidRPr="002C1018">
        <w:t xml:space="preserve">rabbit numbers to around 15 per cent of their potential </w:t>
      </w:r>
      <w:r>
        <w:t xml:space="preserve">population, </w:t>
      </w:r>
      <w:r w:rsidR="00F77FCC" w:rsidRPr="002C1018">
        <w:t>and without them the cost for agriculture alone would be in excess of $2 billion a year. The cumulative economic benefits for agriculture alone from MV and RHDV over 60 years are estimated at $70 billion. Effective control has also reduced the impacts on many nationally listed threatened species, and improved landscape condition.</w:t>
      </w:r>
    </w:p>
    <w:p w14:paraId="1D0DB5D6" w14:textId="036D9884" w:rsidR="002C1018" w:rsidRDefault="00F77FCC" w:rsidP="00F77FCC">
      <w:pPr>
        <w:pStyle w:val="BoxText"/>
      </w:pPr>
      <w:r w:rsidRPr="002C1018">
        <w:t xml:space="preserve">However, rabbits and viral biocontrol agents are </w:t>
      </w:r>
      <w:r w:rsidR="002C1018">
        <w:t xml:space="preserve">considered a </w:t>
      </w:r>
      <w:r w:rsidRPr="002C1018">
        <w:t xml:space="preserve">continual ‘arms race’ as rabbits gradually develop genetic resistance and the </w:t>
      </w:r>
      <w:r w:rsidR="002C1018" w:rsidRPr="002C1018">
        <w:t xml:space="preserve">virulence of the viral biocontrol agent </w:t>
      </w:r>
      <w:r w:rsidRPr="002C1018">
        <w:t>progressive</w:t>
      </w:r>
      <w:r w:rsidR="002C1018">
        <w:t>ly</w:t>
      </w:r>
      <w:r w:rsidRPr="002C1018">
        <w:t xml:space="preserve"> reduce</w:t>
      </w:r>
      <w:r w:rsidR="002C1018">
        <w:t>s.</w:t>
      </w:r>
    </w:p>
    <w:p w14:paraId="6C340AC3" w14:textId="639557E7" w:rsidR="00F77FCC" w:rsidRPr="002C1018" w:rsidRDefault="00F77FCC" w:rsidP="00F77FCC">
      <w:pPr>
        <w:pStyle w:val="BoxText"/>
      </w:pPr>
      <w:r w:rsidRPr="002C1018">
        <w:t>To efficiently manage rabbit impacts</w:t>
      </w:r>
      <w:r w:rsidR="00E25F8D">
        <w:t>,</w:t>
      </w:r>
      <w:r w:rsidRPr="002C1018">
        <w:t xml:space="preserve"> </w:t>
      </w:r>
      <w:r w:rsidR="00E25F8D">
        <w:t xml:space="preserve">investment in a </w:t>
      </w:r>
      <w:r w:rsidRPr="002C1018">
        <w:t xml:space="preserve">pipeline of biocontrol agents </w:t>
      </w:r>
      <w:r w:rsidR="00E25F8D">
        <w:t>is needed to ensure an effective agent can be</w:t>
      </w:r>
      <w:r w:rsidRPr="002C1018">
        <w:t xml:space="preserve"> released every 8 to 10 years. A new Korean strain of RHDV (RHDV1 K5) is set to be released in 2017</w:t>
      </w:r>
      <w:r w:rsidRPr="00836943">
        <w:t xml:space="preserve">. </w:t>
      </w:r>
      <w:r w:rsidR="00F02FF3" w:rsidRPr="00836943">
        <w:t>Since the early 1990s, t</w:t>
      </w:r>
      <w:r w:rsidR="0096714C" w:rsidRPr="00836943">
        <w:t>he Invasive Animals CRC and its predecessor organisations have been leading rabbit biocontrol research in collaboration with government and research agencies and industry partners.</w:t>
      </w:r>
    </w:p>
    <w:p w14:paraId="238DDCD8" w14:textId="07798A32" w:rsidR="00F77FCC" w:rsidRDefault="00F77FCC" w:rsidP="00F77FCC">
      <w:pPr>
        <w:pStyle w:val="BoxSource"/>
      </w:pPr>
      <w:r w:rsidRPr="002C1018">
        <w:t xml:space="preserve">Source: adapted from </w:t>
      </w:r>
      <w:hyperlink w:anchor="Gong_et_al_2009" w:history="1">
        <w:r w:rsidRPr="0050175A">
          <w:rPr>
            <w:rStyle w:val="Hyperlink"/>
          </w:rPr>
          <w:t>Gong et al. 2009</w:t>
        </w:r>
      </w:hyperlink>
      <w:r w:rsidRPr="002C1018">
        <w:t xml:space="preserve">; </w:t>
      </w:r>
      <w:hyperlink w:anchor="Cook_et_al_2013" w:history="1">
        <w:r w:rsidRPr="0050175A">
          <w:rPr>
            <w:rStyle w:val="Hyperlink"/>
          </w:rPr>
          <w:t>Cooke et al.</w:t>
        </w:r>
        <w:r w:rsidR="00F47515">
          <w:rPr>
            <w:rStyle w:val="Hyperlink"/>
          </w:rPr>
          <w:t xml:space="preserve"> </w:t>
        </w:r>
        <w:r w:rsidRPr="0050175A">
          <w:rPr>
            <w:rStyle w:val="Hyperlink"/>
          </w:rPr>
          <w:t>2013</w:t>
        </w:r>
      </w:hyperlink>
      <w:r w:rsidRPr="002C1018">
        <w:t xml:space="preserve">; </w:t>
      </w:r>
      <w:hyperlink w:anchor="Cox_et_al_2013" w:history="1">
        <w:r w:rsidRPr="0050175A">
          <w:rPr>
            <w:rStyle w:val="Hyperlink"/>
          </w:rPr>
          <w:t>Cox et al. 2013</w:t>
        </w:r>
      </w:hyperlink>
      <w:r w:rsidRPr="002C1018">
        <w:t xml:space="preserve">; </w:t>
      </w:r>
      <w:hyperlink w:anchor="Wishart_Cox_2016" w:history="1">
        <w:r w:rsidRPr="0050175A">
          <w:rPr>
            <w:rStyle w:val="Hyperlink"/>
          </w:rPr>
          <w:t>Wishart and Cox 2016</w:t>
        </w:r>
      </w:hyperlink>
      <w:r w:rsidRPr="002C1018">
        <w:t>.</w:t>
      </w:r>
    </w:p>
    <w:p w14:paraId="328A64F0" w14:textId="56AEF80A" w:rsidR="00217F53" w:rsidRDefault="0005522A" w:rsidP="00265C8D">
      <w:r w:rsidRPr="00EE2529">
        <w:t xml:space="preserve">Separately, the Plant Biosecurity CRC </w:t>
      </w:r>
      <w:r w:rsidR="00265C8D">
        <w:t>has</w:t>
      </w:r>
      <w:r w:rsidR="009541DB" w:rsidRPr="00EE2529">
        <w:t xml:space="preserve"> also</w:t>
      </w:r>
      <w:r w:rsidRPr="00EE2529">
        <w:t xml:space="preserve"> consider</w:t>
      </w:r>
      <w:r w:rsidR="00265C8D">
        <w:t>ed</w:t>
      </w:r>
      <w:r w:rsidRPr="00EE2529">
        <w:t xml:space="preserve"> options for transitioning its work beyond 2018 (</w:t>
      </w:r>
      <w:hyperlink w:anchor="Keogh_2016" w:history="1">
        <w:r w:rsidRPr="0050175A">
          <w:rPr>
            <w:rStyle w:val="Hyperlink"/>
          </w:rPr>
          <w:t>Keogh and Goucher 2016</w:t>
        </w:r>
      </w:hyperlink>
      <w:r w:rsidRPr="00EE2529">
        <w:t>)</w:t>
      </w:r>
      <w:r w:rsidR="00265C8D">
        <w:t xml:space="preserve"> and has recently released its proposal for SmartBiosecurity: </w:t>
      </w:r>
      <w:r w:rsidR="00265C8D" w:rsidRPr="00265C8D">
        <w:t>Australasian Plant Biosecurity Collaborative Science Institute</w:t>
      </w:r>
      <w:r w:rsidRPr="00EE2529">
        <w:t>.</w:t>
      </w:r>
    </w:p>
    <w:p w14:paraId="024F17FE" w14:textId="77777777" w:rsidR="002365EB" w:rsidRDefault="002365EB" w:rsidP="002365EB">
      <w:pPr>
        <w:pStyle w:val="Heading4"/>
      </w:pPr>
      <w:r>
        <w:t>Cross-sectoral research: a substantial gap</w:t>
      </w:r>
    </w:p>
    <w:p w14:paraId="2F5825B8" w14:textId="2CED899A" w:rsidR="002365EB" w:rsidRDefault="002365EB" w:rsidP="002365EB">
      <w:r>
        <w:t>Current cross-sectoral research efforts are inadequate to support the national biosecurity system into the future. Examples of significant cross-sectoral research priorities and gaps put to the Review Panel include</w:t>
      </w:r>
      <w:r w:rsidR="00046649">
        <w:t>:</w:t>
      </w:r>
      <w:r>
        <w:t xml:space="preserve"> alternatives to methyl bromide treatments, technological solutions for detecting hitchhiker pests at the border</w:t>
      </w:r>
      <w:r w:rsidR="00046649">
        <w:t>;</w:t>
      </w:r>
      <w:r>
        <w:t xml:space="preserve"> electronic sampling for commodities (for example, contaminants in grain)</w:t>
      </w:r>
      <w:r w:rsidR="00046649">
        <w:t>;</w:t>
      </w:r>
      <w:r>
        <w:t xml:space="preserve"> improving pest and disease surveillance and monitoring across Australia</w:t>
      </w:r>
      <w:r w:rsidR="00046649">
        <w:t>;</w:t>
      </w:r>
      <w:r>
        <w:t xml:space="preserve"> market access</w:t>
      </w:r>
      <w:r w:rsidR="00046649">
        <w:t>; and</w:t>
      </w:r>
      <w:r>
        <w:t xml:space="preserve"> social research</w:t>
      </w:r>
      <w:r w:rsidR="00B4014B">
        <w:t>,</w:t>
      </w:r>
      <w:r>
        <w:t xml:space="preserve"> including behavioural change, practice change, collaboration, terminology and communication.</w:t>
      </w:r>
    </w:p>
    <w:p w14:paraId="63ABD165" w14:textId="7EE625F8" w:rsidR="002365EB" w:rsidRDefault="002365EB" w:rsidP="00CE732A">
      <w:r>
        <w:t xml:space="preserve">The Plant Biosecurity RD&amp;E Strategy Implementation Committee’s analysis of the 2015 National Plant Biosecurity Status Report </w:t>
      </w:r>
      <w:r w:rsidRPr="00EE2529">
        <w:t>(</w:t>
      </w:r>
      <w:hyperlink w:anchor="NPBRDES_IC_2016" w:history="1">
        <w:r w:rsidRPr="0050175A">
          <w:rPr>
            <w:rStyle w:val="Hyperlink"/>
          </w:rPr>
          <w:t>NPBRDES IC 2016</w:t>
        </w:r>
      </w:hyperlink>
      <w:r w:rsidRPr="00EE2529">
        <w:t>) showed</w:t>
      </w:r>
      <w:r>
        <w:t xml:space="preserve"> that, of the 578 projects from the status report, 64 per cent (370 projects) were considered to be sectoral and 36 per cent (208 projects) cross-sectoral (</w:t>
      </w:r>
      <w:r w:rsidR="00CE732A">
        <w:fldChar w:fldCharType="begin"/>
      </w:r>
      <w:r w:rsidR="00CE732A">
        <w:instrText xml:space="preserve"> REF _Ref469641022 \h </w:instrText>
      </w:r>
      <w:r w:rsidR="00CE732A">
        <w:fldChar w:fldCharType="separate"/>
      </w:r>
      <w:r w:rsidR="008303E2" w:rsidRPr="00B660A8">
        <w:t xml:space="preserve">Figure </w:t>
      </w:r>
      <w:r w:rsidR="008303E2">
        <w:rPr>
          <w:noProof/>
        </w:rPr>
        <w:t>5</w:t>
      </w:r>
      <w:r w:rsidR="00CE732A">
        <w:fldChar w:fldCharType="end"/>
      </w:r>
      <w:r>
        <w:t>).</w:t>
      </w:r>
    </w:p>
    <w:p w14:paraId="3B3637E7" w14:textId="2435EE0D" w:rsidR="006F4629" w:rsidRDefault="006F4629" w:rsidP="00B660A8">
      <w:pPr>
        <w:pStyle w:val="Caption"/>
        <w:rPr>
          <w:noProof/>
          <w:lang w:eastAsia="en-AU"/>
        </w:rPr>
      </w:pPr>
      <w:bookmarkStart w:id="123" w:name="_Ref466972885"/>
      <w:bookmarkStart w:id="124" w:name="_Toc468176740"/>
      <w:r>
        <w:rPr>
          <w:noProof/>
          <w:lang w:eastAsia="en-AU"/>
        </w:rPr>
        <w:lastRenderedPageBreak/>
        <w:drawing>
          <wp:inline distT="0" distB="0" distL="0" distR="0" wp14:anchorId="365E27C1" wp14:editId="58AFB68B">
            <wp:extent cx="4495800" cy="2865120"/>
            <wp:effectExtent l="0" t="0" r="0" b="0"/>
            <wp:docPr id="3" name="Picture 3" descr="Piechart with the percentage  breakdown of projects under the status report which are sectoral 45%, sectoral but could possibly be applied to other industries 19%, and those that are cross-sectoral 36%, as described in the text of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95800" cy="2865120"/>
                    </a:xfrm>
                    <a:prstGeom prst="rect">
                      <a:avLst/>
                    </a:prstGeom>
                    <a:noFill/>
                  </pic:spPr>
                </pic:pic>
              </a:graphicData>
            </a:graphic>
          </wp:inline>
        </w:drawing>
      </w:r>
    </w:p>
    <w:p w14:paraId="205BC335" w14:textId="27246B54" w:rsidR="00B660A8" w:rsidRPr="00B660A8" w:rsidRDefault="00B660A8" w:rsidP="00B660A8">
      <w:pPr>
        <w:pStyle w:val="Caption"/>
        <w:rPr>
          <w:sz w:val="22"/>
          <w:szCs w:val="22"/>
        </w:rPr>
      </w:pPr>
      <w:bookmarkStart w:id="125" w:name="_Ref469641022"/>
      <w:bookmarkStart w:id="126" w:name="_Ref469641003"/>
      <w:r w:rsidRPr="00B660A8">
        <w:rPr>
          <w:sz w:val="22"/>
          <w:szCs w:val="22"/>
        </w:rPr>
        <w:t xml:space="preserve">Figure </w:t>
      </w:r>
      <w:r w:rsidRPr="00B660A8">
        <w:rPr>
          <w:sz w:val="22"/>
          <w:szCs w:val="22"/>
        </w:rPr>
        <w:fldChar w:fldCharType="begin"/>
      </w:r>
      <w:r w:rsidRPr="00B660A8">
        <w:rPr>
          <w:sz w:val="22"/>
          <w:szCs w:val="22"/>
        </w:rPr>
        <w:instrText xml:space="preserve"> SEQ Figure \* ARABIC </w:instrText>
      </w:r>
      <w:r w:rsidRPr="00B660A8">
        <w:rPr>
          <w:sz w:val="22"/>
          <w:szCs w:val="22"/>
        </w:rPr>
        <w:fldChar w:fldCharType="separate"/>
      </w:r>
      <w:r w:rsidR="008303E2">
        <w:rPr>
          <w:noProof/>
          <w:sz w:val="22"/>
          <w:szCs w:val="22"/>
        </w:rPr>
        <w:t>5</w:t>
      </w:r>
      <w:r w:rsidRPr="00B660A8">
        <w:rPr>
          <w:noProof/>
          <w:sz w:val="22"/>
          <w:szCs w:val="22"/>
        </w:rPr>
        <w:fldChar w:fldCharType="end"/>
      </w:r>
      <w:bookmarkEnd w:id="123"/>
      <w:bookmarkEnd w:id="125"/>
      <w:r w:rsidRPr="00B660A8">
        <w:rPr>
          <w:sz w:val="22"/>
          <w:szCs w:val="22"/>
        </w:rPr>
        <w:t>: Breakdown of projects under the 2015 National Plant Biosecurity Status Report</w:t>
      </w:r>
      <w:bookmarkEnd w:id="124"/>
      <w:bookmarkEnd w:id="126"/>
    </w:p>
    <w:p w14:paraId="29577082" w14:textId="04E89AB7" w:rsidR="008E305F" w:rsidRPr="008E305F" w:rsidRDefault="008E305F" w:rsidP="002365EB">
      <w:pPr>
        <w:pStyle w:val="FigureTableNoteSource"/>
      </w:pPr>
      <w:r>
        <w:t>Source: Plant Biosecurity RD&amp;E Strategy Implementation Committee</w:t>
      </w:r>
      <w:r w:rsidR="00046649">
        <w:t>.</w:t>
      </w:r>
    </w:p>
    <w:p w14:paraId="50AFE94D" w14:textId="07710870" w:rsidR="00217F53" w:rsidRDefault="002365EB" w:rsidP="00EC0C8F">
      <w:r w:rsidRPr="002365EB">
        <w:t>Importantly, the analysis concluded that 110 of the 370 sectoral projects could be adapted for use by other sectors (</w:t>
      </w:r>
      <w:r w:rsidR="009541DB">
        <w:t>that is,</w:t>
      </w:r>
      <w:r w:rsidRPr="002365EB">
        <w:t xml:space="preserve"> </w:t>
      </w:r>
      <w:r w:rsidR="009541DB">
        <w:t>be</w:t>
      </w:r>
      <w:r w:rsidR="00C23D98">
        <w:t xml:space="preserve"> </w:t>
      </w:r>
      <w:r w:rsidR="003B50B3">
        <w:t xml:space="preserve">cross-sectoral). </w:t>
      </w:r>
      <w:r w:rsidRPr="002365EB">
        <w:t>Adapting this research will require additional resources, which may possibly have been avoided through better coordination during project development. This highlights that cross-sectoral opportunities for biosecurity R&amp;I benefits are being missed, and that there are inefficiencies in the research being undertaken.</w:t>
      </w:r>
    </w:p>
    <w:p w14:paraId="559F2E16" w14:textId="759031D7" w:rsidR="00CE5800" w:rsidRDefault="00CE5800" w:rsidP="00CE5800">
      <w:pPr>
        <w:pStyle w:val="Heading3"/>
      </w:pPr>
      <w:bookmarkStart w:id="127" w:name="_Toc469654747"/>
      <w:r>
        <w:t>A new approach</w:t>
      </w:r>
      <w:bookmarkEnd w:id="127"/>
    </w:p>
    <w:p w14:paraId="24FC0149" w14:textId="77777777" w:rsidR="002365EB" w:rsidRDefault="002365EB" w:rsidP="002365EB">
      <w:r>
        <w:t>Australia’s national biosecurity system has, historically, derived significant benefits from the current approach to R&amp;I. However, there are limitations and the system does not have the required structure, focus, capacity or capability to address both existing and emerging biosecurity challenges. Biosecurity R&amp;I is a not a short-term investment and has clear cross-sectoral benefits. For too long, these benefits have been undervalued and under-realised.</w:t>
      </w:r>
    </w:p>
    <w:p w14:paraId="72CA05CA" w14:textId="4959C913" w:rsidR="008E305F" w:rsidRDefault="002365EB" w:rsidP="002365EB">
      <w:r>
        <w:t>Into the future, R&amp;I, especially technology and innovation, will play an increasingly important role in a future where biosecurity challenges are more complex. There must be better articulation, especially by governments, of the importance of investing in R&amp;I to address and prepare for serious biosecurity risks and threats.</w:t>
      </w:r>
    </w:p>
    <w:p w14:paraId="4B4D0008" w14:textId="77777777" w:rsidR="002365EB" w:rsidRDefault="002365EB" w:rsidP="002365EB">
      <w:pPr>
        <w:pStyle w:val="Heading4"/>
      </w:pPr>
      <w:r>
        <w:t>National biosecurity R&amp;I priorities</w:t>
      </w:r>
    </w:p>
    <w:p w14:paraId="6407113D" w14:textId="77777777" w:rsidR="002365EB" w:rsidRDefault="002365EB" w:rsidP="002365EB">
      <w:r>
        <w:t>To better target investment in biosecurity R&amp;I, biosecurity R&amp;I strategies and frameworks must align with the agreed national biosecurity R&amp;I priorities. The Review Panel believes that development of a new set of National Biosecurity R&amp;I Priorities would deliver clarity to the national biosecurity and R&amp;I systems.</w:t>
      </w:r>
    </w:p>
    <w:p w14:paraId="7E2D454C" w14:textId="7E40E22C" w:rsidR="002365EB" w:rsidRPr="002365EB" w:rsidRDefault="002365EB" w:rsidP="002365EB">
      <w:r>
        <w:t xml:space="preserve">These would be informed by priority research areas and gaps arising from the national animal, plant and environmental pest and disease prioritisation process proposed by this </w:t>
      </w:r>
      <w:r w:rsidR="0056569E">
        <w:t>R</w:t>
      </w:r>
      <w:r>
        <w:t>eview (</w:t>
      </w:r>
      <w:r w:rsidRPr="003B628F">
        <w:t xml:space="preserve">see </w:t>
      </w:r>
      <w:hyperlink w:anchor="_Building_the_national" w:history="1">
        <w:r w:rsidR="0050175A" w:rsidRPr="0050175A">
          <w:rPr>
            <w:rStyle w:val="Hyperlink"/>
          </w:rPr>
          <w:t>C</w:t>
        </w:r>
        <w:r w:rsidRPr="0050175A">
          <w:rPr>
            <w:rStyle w:val="Hyperlink"/>
          </w:rPr>
          <w:t>hapter 5</w:t>
        </w:r>
      </w:hyperlink>
      <w:r>
        <w:t>). The Panel believes priorities should particularly address cross-sectoral and cross-system issues in areas such as surveillance and early detection and market access.</w:t>
      </w:r>
    </w:p>
    <w:p w14:paraId="29C86348" w14:textId="2D606819" w:rsidR="00D97D98" w:rsidRPr="004434BB" w:rsidRDefault="00D97D98" w:rsidP="00692C07">
      <w:pPr>
        <w:pStyle w:val="BoxHeading"/>
        <w:keepNext/>
        <w:keepLines/>
        <w:shd w:val="clear" w:color="auto" w:fill="D9D9D9" w:themeFill="background1" w:themeFillShade="D9"/>
        <w:rPr>
          <w:sz w:val="22"/>
        </w:rPr>
      </w:pPr>
      <w:bookmarkStart w:id="128" w:name="_Toc467231867"/>
      <w:bookmarkStart w:id="129" w:name="Draft_recommendation_15"/>
      <w:r w:rsidRPr="004434BB">
        <w:rPr>
          <w:sz w:val="22"/>
        </w:rPr>
        <w:lastRenderedPageBreak/>
        <w:t>Draft recommendation</w:t>
      </w:r>
      <w:bookmarkEnd w:id="128"/>
      <w:r w:rsidR="0050175A">
        <w:rPr>
          <w:sz w:val="22"/>
        </w:rPr>
        <w:t xml:space="preserve"> 1</w:t>
      </w:r>
      <w:r w:rsidR="00FE6EEF">
        <w:rPr>
          <w:sz w:val="22"/>
        </w:rPr>
        <w:t>5</w:t>
      </w:r>
      <w:bookmarkEnd w:id="129"/>
      <w:r w:rsidR="003A1E8C" w:rsidRPr="004434BB">
        <w:rPr>
          <w:noProof/>
          <w:sz w:val="22"/>
        </w:rPr>
        <w:t>:</w:t>
      </w:r>
    </w:p>
    <w:p w14:paraId="07957F93" w14:textId="3EB33CD3" w:rsidR="002365EB" w:rsidRPr="004434BB" w:rsidRDefault="002365EB" w:rsidP="00692C07">
      <w:pPr>
        <w:pStyle w:val="BoxText"/>
        <w:keepNext/>
        <w:keepLines/>
        <w:shd w:val="clear" w:color="auto" w:fill="D9D9D9" w:themeFill="background1" w:themeFillShade="D9"/>
        <w:rPr>
          <w:sz w:val="22"/>
        </w:rPr>
      </w:pPr>
      <w:r w:rsidRPr="004434BB">
        <w:rPr>
          <w:sz w:val="22"/>
        </w:rPr>
        <w:t xml:space="preserve">The sectoral committees of the NBC, with the endorsement </w:t>
      </w:r>
      <w:r w:rsidR="002F2F3C" w:rsidRPr="004434BB">
        <w:rPr>
          <w:sz w:val="22"/>
        </w:rPr>
        <w:t>of</w:t>
      </w:r>
      <w:r w:rsidRPr="004434BB">
        <w:rPr>
          <w:sz w:val="22"/>
        </w:rPr>
        <w:t xml:space="preserve"> </w:t>
      </w:r>
      <w:r w:rsidR="00807740" w:rsidRPr="004434BB">
        <w:rPr>
          <w:sz w:val="22"/>
        </w:rPr>
        <w:t xml:space="preserve">the </w:t>
      </w:r>
      <w:r w:rsidRPr="004434BB">
        <w:rPr>
          <w:sz w:val="22"/>
        </w:rPr>
        <w:t xml:space="preserve">NBC, </w:t>
      </w:r>
      <w:r w:rsidR="00E47DD7" w:rsidRPr="004434BB">
        <w:rPr>
          <w:sz w:val="22"/>
        </w:rPr>
        <w:t xml:space="preserve">should </w:t>
      </w:r>
      <w:r w:rsidRPr="004434BB">
        <w:rPr>
          <w:sz w:val="22"/>
        </w:rPr>
        <w:t xml:space="preserve">develop an agreed set of National Biosecurity R&amp;I Priorities, in consultation with system participants and in line with the agreed national priority pests and diseases. Priorities at a sectoral and cross-sectoral level need to be considered. The priorities should be developed within </w:t>
      </w:r>
      <w:r w:rsidR="00B52320" w:rsidRPr="004434BB">
        <w:rPr>
          <w:sz w:val="22"/>
        </w:rPr>
        <w:t>two</w:t>
      </w:r>
      <w:r w:rsidRPr="004434BB">
        <w:rPr>
          <w:sz w:val="22"/>
        </w:rPr>
        <w:t xml:space="preserve"> years of the final IGAB review report, and should be reviewed every </w:t>
      </w:r>
      <w:r w:rsidR="00B52320" w:rsidRPr="004434BB">
        <w:rPr>
          <w:sz w:val="22"/>
        </w:rPr>
        <w:t>five</w:t>
      </w:r>
      <w:r w:rsidRPr="004434BB">
        <w:rPr>
          <w:sz w:val="22"/>
        </w:rPr>
        <w:t xml:space="preserve"> years.</w:t>
      </w:r>
    </w:p>
    <w:p w14:paraId="0D4BE9A5" w14:textId="1BBF8A9D" w:rsidR="008E305F" w:rsidRDefault="002365EB" w:rsidP="008E305F">
      <w:r w:rsidRPr="002365EB">
        <w:t>Over time, including when reviewed, the existing biosecurity R&amp;I strategies and frameworks should be better tailored to the new National Biosecurity R&amp;I Priorities.</w:t>
      </w:r>
    </w:p>
    <w:p w14:paraId="344F1E1B" w14:textId="77777777" w:rsidR="008E305F" w:rsidRDefault="008E305F" w:rsidP="008E305F">
      <w:pPr>
        <w:pStyle w:val="Heading4"/>
      </w:pPr>
      <w:r>
        <w:t>Seizing existing opportunities</w:t>
      </w:r>
    </w:p>
    <w:p w14:paraId="5A42D05E" w14:textId="77777777" w:rsidR="002365EB" w:rsidRDefault="002365EB" w:rsidP="002365EB">
      <w:r>
        <w:t>In the immediate term, the Panel offers t</w:t>
      </w:r>
      <w:r w:rsidR="009541DB">
        <w:t>hree</w:t>
      </w:r>
      <w:r>
        <w:t xml:space="preserve"> suggestions for ongoing work to better position the national biosecurity system to respond to present and future challenges:</w:t>
      </w:r>
    </w:p>
    <w:p w14:paraId="504088D4" w14:textId="6888C02D" w:rsidR="002365EB" w:rsidRDefault="002365EB" w:rsidP="002365EB">
      <w:pPr>
        <w:pStyle w:val="ListBullet"/>
      </w:pPr>
      <w:r>
        <w:t xml:space="preserve">Strengthen the requirements for RDCs to invest in and report against the new National Biosecurity R&amp;I Priorities through additional provisions in each </w:t>
      </w:r>
      <w:r w:rsidR="00937CA5">
        <w:t>RDC statutory funding agreement</w:t>
      </w:r>
      <w:r w:rsidR="00600412">
        <w:t>.</w:t>
      </w:r>
    </w:p>
    <w:p w14:paraId="56CE0F52" w14:textId="61417EB3" w:rsidR="00431CE5" w:rsidRDefault="002365EB" w:rsidP="00FF0E60">
      <w:pPr>
        <w:pStyle w:val="ListBullet"/>
      </w:pPr>
      <w:r>
        <w:t xml:space="preserve">Improve opportunities within existing RDC fora (for example, the </w:t>
      </w:r>
      <w:r w:rsidR="004434CF">
        <w:t xml:space="preserve">Council of Rural RDCs or </w:t>
      </w:r>
      <w:r>
        <w:t>AGSOC R&amp;I Committee) to more actively and deliberately collaborate on cross-sectoral biosecurity R&amp;I, maximising their investment outcomes and benefits to their industry constituents (especially where there may be coordinated or composite benefits for levy payers paying multiple levies)</w:t>
      </w:r>
      <w:r w:rsidR="00600412">
        <w:t>.</w:t>
      </w:r>
    </w:p>
    <w:p w14:paraId="3A2EA29E" w14:textId="00925A9C" w:rsidR="008E305F" w:rsidRDefault="002365EB" w:rsidP="00FF0E60">
      <w:pPr>
        <w:pStyle w:val="ListBullet"/>
      </w:pPr>
      <w:r>
        <w:t>Explore strategic joint government-industry investment options for particular biosecurity challenges. Examples include the SITplus Partnership initiative and New Zealand’s Primary Growth Partnership initiative, demonstrating the benefits of industry-led and sector-connecting investment programs for developing solutions to key industry problems (</w:t>
      </w:r>
      <w:r w:rsidR="00877D55">
        <w:fldChar w:fldCharType="begin"/>
      </w:r>
      <w:r w:rsidR="00877D55">
        <w:instrText xml:space="preserve"> REF _Ref467248961 \h </w:instrText>
      </w:r>
      <w:r w:rsidR="00877D55">
        <w:fldChar w:fldCharType="separate"/>
      </w:r>
      <w:r w:rsidR="008303E2">
        <w:t xml:space="preserve">Box </w:t>
      </w:r>
      <w:r w:rsidR="008303E2">
        <w:rPr>
          <w:noProof/>
        </w:rPr>
        <w:t>8</w:t>
      </w:r>
      <w:r w:rsidR="00877D55">
        <w:fldChar w:fldCharType="end"/>
      </w:r>
      <w:r>
        <w:t>).</w:t>
      </w:r>
    </w:p>
    <w:p w14:paraId="2A215B78" w14:textId="692CB494" w:rsidR="00C95D12" w:rsidRDefault="00C95D12" w:rsidP="00E33F4C">
      <w:pPr>
        <w:pStyle w:val="BoxHeading"/>
      </w:pPr>
      <w:bookmarkStart w:id="130" w:name="_Ref467248961"/>
      <w:bookmarkStart w:id="131" w:name="_Toc468176751"/>
      <w:bookmarkStart w:id="132" w:name="_Toc468444401"/>
      <w:r>
        <w:t xml:space="preserve">Box </w:t>
      </w:r>
      <w:r w:rsidR="008303E2">
        <w:fldChar w:fldCharType="begin"/>
      </w:r>
      <w:r w:rsidR="008303E2">
        <w:instrText xml:space="preserve"> SEQ Box \* ARABIC </w:instrText>
      </w:r>
      <w:r w:rsidR="008303E2">
        <w:fldChar w:fldCharType="separate"/>
      </w:r>
      <w:r w:rsidR="008303E2">
        <w:rPr>
          <w:noProof/>
        </w:rPr>
        <w:t>8</w:t>
      </w:r>
      <w:r w:rsidR="008303E2">
        <w:rPr>
          <w:noProof/>
        </w:rPr>
        <w:fldChar w:fldCharType="end"/>
      </w:r>
      <w:bookmarkEnd w:id="130"/>
      <w:r w:rsidR="003F76E1">
        <w:t>:</w:t>
      </w:r>
      <w:r>
        <w:t xml:space="preserve"> </w:t>
      </w:r>
      <w:r w:rsidR="00C34585">
        <w:t xml:space="preserve">Model </w:t>
      </w:r>
      <w:r w:rsidR="00877D55">
        <w:t>R&amp;I</w:t>
      </w:r>
      <w:r w:rsidR="00C34585">
        <w:t xml:space="preserve"> partnerships</w:t>
      </w:r>
      <w:bookmarkEnd w:id="131"/>
      <w:bookmarkEnd w:id="132"/>
      <w:r w:rsidR="00877D55">
        <w:t xml:space="preserve"> </w:t>
      </w:r>
    </w:p>
    <w:p w14:paraId="5CBEDCCA" w14:textId="77777777" w:rsidR="00877D55" w:rsidRDefault="00877D55" w:rsidP="00877D55">
      <w:pPr>
        <w:pStyle w:val="BoxHeading"/>
      </w:pPr>
      <w:r w:rsidRPr="00877D55">
        <w:t>Primary Growth Partnership (New Zealand)</w:t>
      </w:r>
    </w:p>
    <w:p w14:paraId="21291531" w14:textId="77777777" w:rsidR="00906B0E" w:rsidRDefault="00877D55" w:rsidP="00906B0E">
      <w:pPr>
        <w:pStyle w:val="BoxText"/>
      </w:pPr>
      <w:r>
        <w:t xml:space="preserve">The New Zealand Government Ministry for Primary Industries (MPI) reports that more than 50 companies are involved in Primary Growth Partnerships programs that enable research, development and innovation that no individual organisation could undertake alone. As at April 2016, MPI indicates $727 million of committed investment by MPI and industry over the life of programs, covering </w:t>
      </w:r>
      <w:r w:rsidR="00906B0E">
        <w:t>nine</w:t>
      </w:r>
      <w:r>
        <w:t xml:space="preserve"> primary industry sectors, with an anticipated 32:1 return on investment, which equates to an estimated contribution of $6.4 billion to New Zealand’s GDP from 2025.</w:t>
      </w:r>
    </w:p>
    <w:p w14:paraId="401EAA2E" w14:textId="46913E13" w:rsidR="00877D55" w:rsidRDefault="00877D55" w:rsidP="00906B0E">
      <w:pPr>
        <w:pStyle w:val="BoxSource"/>
      </w:pPr>
      <w:r>
        <w:t xml:space="preserve">Source: The New Zealand Government’s </w:t>
      </w:r>
      <w:hyperlink r:id="rId36" w:history="1">
        <w:r w:rsidR="00697976">
          <w:rPr>
            <w:rStyle w:val="Hyperlink"/>
          </w:rPr>
          <w:t>Primary Growth Partnership</w:t>
        </w:r>
      </w:hyperlink>
      <w:r w:rsidR="00697976">
        <w:t xml:space="preserve"> website.</w:t>
      </w:r>
    </w:p>
    <w:p w14:paraId="73737515" w14:textId="77777777" w:rsidR="00877D55" w:rsidRDefault="00877D55" w:rsidP="00877D55">
      <w:pPr>
        <w:pStyle w:val="BoxHeading"/>
      </w:pPr>
      <w:r>
        <w:t>SITplus Partnership</w:t>
      </w:r>
    </w:p>
    <w:p w14:paraId="2F5FA6AF" w14:textId="77777777" w:rsidR="00877D55" w:rsidRDefault="00877D55" w:rsidP="00877D55">
      <w:pPr>
        <w:pStyle w:val="BoxText"/>
      </w:pPr>
      <w:r>
        <w:t>SITplus is a five-year $45 million research and development partnership seeking to deliver a transformative pest management solution to Queensland fruit fly, a major horticultural pest. The partnership has brought together various stakeholders from across government, industry and research, including Horticulture Innovation Australia Limited, Macquarie University, the CSIRO, Plant and Food Research Australia</w:t>
      </w:r>
      <w:r w:rsidR="00906B0E">
        <w:t>,</w:t>
      </w:r>
      <w:r>
        <w:t xml:space="preserve"> and the Australian, New South Wales, Victorian and South Australian governments.</w:t>
      </w:r>
    </w:p>
    <w:p w14:paraId="038A4B63" w14:textId="6B780176" w:rsidR="00877D55" w:rsidRDefault="00877D55" w:rsidP="00877D55">
      <w:pPr>
        <w:pStyle w:val="BoxSource"/>
      </w:pPr>
      <w:r>
        <w:t xml:space="preserve">Source: </w:t>
      </w:r>
      <w:hyperlink w:anchor="Chapman_2016" w:history="1">
        <w:r w:rsidR="00D47482" w:rsidRPr="0050175A">
          <w:rPr>
            <w:rStyle w:val="Hyperlink"/>
          </w:rPr>
          <w:t>Chapman 2016</w:t>
        </w:r>
      </w:hyperlink>
      <w:r w:rsidR="00D47482">
        <w:t xml:space="preserve">; </w:t>
      </w:r>
      <w:r>
        <w:t xml:space="preserve">Horticulture Innovation Australia Limited’s </w:t>
      </w:r>
      <w:hyperlink r:id="rId37" w:history="1">
        <w:r w:rsidR="00697976">
          <w:rPr>
            <w:rStyle w:val="Hyperlink"/>
          </w:rPr>
          <w:t>SITplus</w:t>
        </w:r>
      </w:hyperlink>
      <w:r w:rsidR="00697976" w:rsidRPr="00697976">
        <w:t xml:space="preserve"> </w:t>
      </w:r>
      <w:r w:rsidR="00697976">
        <w:t>website</w:t>
      </w:r>
      <w:r>
        <w:t>.</w:t>
      </w:r>
    </w:p>
    <w:p w14:paraId="6B7AD733" w14:textId="77777777" w:rsidR="00C95D12" w:rsidRDefault="00877D55" w:rsidP="00C95D12">
      <w:pPr>
        <w:pStyle w:val="Heading4"/>
      </w:pPr>
      <w:r>
        <w:lastRenderedPageBreak/>
        <w:t>F</w:t>
      </w:r>
      <w:r w:rsidR="00C95D12">
        <w:t>uture</w:t>
      </w:r>
      <w:r>
        <w:t>-focussed biosecurity R&amp;I</w:t>
      </w:r>
    </w:p>
    <w:p w14:paraId="629EAF3E" w14:textId="21352E61" w:rsidR="00877D55" w:rsidRDefault="00877D55" w:rsidP="00877D55">
      <w:r>
        <w:t xml:space="preserve">A robust national biosecurity R&amp;I function is vital to the national biosecurity system. A future-focussed biosecurity R&amp;I capability and capacity will help ensure Australia’s favourable pest and disease status is maintained, and keep </w:t>
      </w:r>
      <w:r w:rsidR="00B71A7A">
        <w:t>Australia</w:t>
      </w:r>
      <w:r>
        <w:t xml:space="preserve"> ahead of the game. Institutional structures for biosecurity R&amp;I must be supported by more enduring arrangements than they have to date. Stakeholders highlighted the necessity of a long-term, sustainable approach to these activities, including funding:</w:t>
      </w:r>
    </w:p>
    <w:p w14:paraId="7CB5D721" w14:textId="77777777" w:rsidR="00877D55" w:rsidRDefault="00877D55" w:rsidP="00877D55">
      <w:pPr>
        <w:pStyle w:val="Quote"/>
      </w:pPr>
      <w:r>
        <w:t>Research should be ongoing. Diagnostics, surveillance, response methodologies and treatments need to be continually developed as new technology becomes available and old systems become redundant. The research tap cannot be turned on and off and still expect effective innovation (Biosecurity Council of Western Australia, submission, p. 3)</w:t>
      </w:r>
    </w:p>
    <w:p w14:paraId="670B059F" w14:textId="7D0BC970" w:rsidR="00877D55" w:rsidRDefault="00877D55" w:rsidP="00877D55">
      <w:r>
        <w:t xml:space="preserve">Stakeholders noted the need for a new approach to biosecurity R&amp;I in Australia, and posed various options for a new construct. These included: a network of national and international universities; a new biosecurity R&amp;I entity, such as a CRC, RDC, or a centre of excellence; or, better national coordination of current activities, by housing biosecurity R&amp;I within an existing RDC or other suitable organisation (such as CSIRO, RIRDC, AHA or PHA). A recent review of plant biosecurity RD&amp;E in Australia by </w:t>
      </w:r>
      <w:hyperlink w:anchor="Keogh_2016" w:history="1">
        <w:r w:rsidRPr="0050175A">
          <w:rPr>
            <w:rStyle w:val="Hyperlink"/>
          </w:rPr>
          <w:t>Keogh and Goucher (2016)</w:t>
        </w:r>
      </w:hyperlink>
      <w:r>
        <w:t>, proposed a new enduring Plant Biosecurity Research Corporation to fund strategic and plant-sectoral biosecurity R&amp;I projects, and provide opportunities for training and development of future industry research capability. Funding was to be provided equally by industry, and Australian, state and territory governments.</w:t>
      </w:r>
    </w:p>
    <w:p w14:paraId="2CE38FB0" w14:textId="50CC5929" w:rsidR="00877D55" w:rsidRDefault="00877D55" w:rsidP="00877D55">
      <w:r>
        <w:t xml:space="preserve">The Review Panel considers </w:t>
      </w:r>
      <w:r w:rsidR="00375EB2">
        <w:t>the most desirable option to be</w:t>
      </w:r>
      <w:r>
        <w:t xml:space="preserve"> a new national biosecurity R&amp;I </w:t>
      </w:r>
      <w:r w:rsidRPr="00FE0A54">
        <w:t xml:space="preserve">entity, </w:t>
      </w:r>
      <w:r w:rsidR="00375EB2" w:rsidRPr="00FE0A54">
        <w:t xml:space="preserve">though </w:t>
      </w:r>
      <w:r w:rsidRPr="00FE0A54">
        <w:t>broader than t</w:t>
      </w:r>
      <w:r w:rsidR="00FE0A54">
        <w:t xml:space="preserve">hat posed by </w:t>
      </w:r>
      <w:hyperlink w:anchor="Keogh_2016" w:history="1">
        <w:r w:rsidR="00FE0A54" w:rsidRPr="0050175A">
          <w:rPr>
            <w:rStyle w:val="Hyperlink"/>
          </w:rPr>
          <w:t>Keogh and Goucher (</w:t>
        </w:r>
        <w:r w:rsidRPr="0050175A">
          <w:rPr>
            <w:rStyle w:val="Hyperlink"/>
          </w:rPr>
          <w:t>2016</w:t>
        </w:r>
        <w:r w:rsidR="00FE0A54" w:rsidRPr="0050175A">
          <w:rPr>
            <w:rStyle w:val="Hyperlink"/>
          </w:rPr>
          <w:t>)</w:t>
        </w:r>
      </w:hyperlink>
      <w:r w:rsidR="00375EB2" w:rsidRPr="00FE0A54">
        <w:t>. Such a body must have a</w:t>
      </w:r>
      <w:r w:rsidR="00375EB2">
        <w:t xml:space="preserve"> </w:t>
      </w:r>
      <w:r>
        <w:t xml:space="preserve">clear cross-sectoral mandate—encompassing animal, plant, and environmental biosecurity, market access opportunities and broader research disciplines such as social science. </w:t>
      </w:r>
      <w:r w:rsidR="00375EB2">
        <w:t>In doing so, it</w:t>
      </w:r>
      <w:r>
        <w:t xml:space="preserve"> would take on a distinct but complementary role to that of the proposed Centre for Invasive Species Solutions.</w:t>
      </w:r>
      <w:r w:rsidR="00836943">
        <w:t xml:space="preserve"> The Panel acknowledges tha</w:t>
      </w:r>
      <w:r w:rsidR="00836943" w:rsidRPr="002203A0">
        <w:t xml:space="preserve">t a new entity may not entirely address the fragmented biosecurity R&amp;I problem, </w:t>
      </w:r>
      <w:r w:rsidR="002203A0">
        <w:t xml:space="preserve">without other </w:t>
      </w:r>
      <w:r w:rsidR="002203A0" w:rsidRPr="002203A0">
        <w:t xml:space="preserve">mechanisms to incorporate </w:t>
      </w:r>
      <w:r w:rsidR="00836943" w:rsidRPr="002203A0">
        <w:t xml:space="preserve">players, </w:t>
      </w:r>
      <w:r w:rsidR="002203A0">
        <w:t xml:space="preserve">such as </w:t>
      </w:r>
      <w:r w:rsidR="00836943" w:rsidRPr="002203A0">
        <w:t>universities and private funders</w:t>
      </w:r>
      <w:r w:rsidR="002203A0" w:rsidRPr="002203A0">
        <w:t>.</w:t>
      </w:r>
    </w:p>
    <w:p w14:paraId="310C0E22" w14:textId="115008B5" w:rsidR="00877D55" w:rsidRDefault="00877D55" w:rsidP="00877D55">
      <w:r>
        <w:t xml:space="preserve">The Review Panel is seeking feedback from stakeholders on options to establish </w:t>
      </w:r>
      <w:r w:rsidR="009B0813">
        <w:t xml:space="preserve">a new </w:t>
      </w:r>
      <w:r w:rsidR="00DD038C">
        <w:t>cross</w:t>
      </w:r>
      <w:r w:rsidR="009B0813">
        <w:t>-sectoral entity</w:t>
      </w:r>
      <w:r>
        <w:t>, recognising there are advantages and disadvantages to the two options detailed below</w:t>
      </w:r>
      <w:r w:rsidR="004F08A9">
        <w:t xml:space="preserve">. </w:t>
      </w:r>
      <w:r w:rsidR="004F08A9" w:rsidRPr="004F08A9">
        <w:t xml:space="preserve">Stakeholders may also have an alternative proposal to draw to the </w:t>
      </w:r>
      <w:r w:rsidR="00046649">
        <w:t>P</w:t>
      </w:r>
      <w:r w:rsidR="004F08A9" w:rsidRPr="004F08A9">
        <w:t>anel’s attention.</w:t>
      </w:r>
    </w:p>
    <w:p w14:paraId="3686F4DC" w14:textId="77777777" w:rsidR="00877D55" w:rsidRPr="00877D55" w:rsidRDefault="00877D55" w:rsidP="00877D55">
      <w:pPr>
        <w:rPr>
          <w:rStyle w:val="Strong"/>
        </w:rPr>
      </w:pPr>
      <w:r w:rsidRPr="00877D55">
        <w:rPr>
          <w:rStyle w:val="Strong"/>
        </w:rPr>
        <w:t xml:space="preserve">Option 1: Establishing a new stand-alone entity for cross-sectoral biosecurity R&amp;I </w:t>
      </w:r>
    </w:p>
    <w:p w14:paraId="726C72D6" w14:textId="77777777" w:rsidR="00877D55" w:rsidRDefault="00877D55" w:rsidP="00877D55">
      <w:r>
        <w:t xml:space="preserve">A future stand-alone entity would take on a national leadership and coordination role for cross-sectoral biosecurity R&amp;I (for example, providing stronger direction to and ownership of R&amp;I strategies) and take the lead role in addressing the new National Biosecurity R&amp;I Priorities proposed by this </w:t>
      </w:r>
      <w:r w:rsidR="00C23D98">
        <w:t>R</w:t>
      </w:r>
      <w:r>
        <w:t>eview (with flexibility to respond to changing priorities). The</w:t>
      </w:r>
      <w:r w:rsidR="00C23D98">
        <w:t xml:space="preserve"> Review</w:t>
      </w:r>
      <w:r>
        <w:t xml:space="preserve"> Panel considers that AHA and PHA could have a formal relationship with the entity, using their existing arrangements and expertise.</w:t>
      </w:r>
    </w:p>
    <w:p w14:paraId="3EC32DFF" w14:textId="0936628B" w:rsidR="00381817" w:rsidRDefault="00877D55" w:rsidP="00877D55">
      <w:r>
        <w:t xml:space="preserve">A future entity should have a sustainable funding platform, including funding to maintain appropriate scientific and technical capacity (for example, veterinarians, animal and plant </w:t>
      </w:r>
      <w:r>
        <w:lastRenderedPageBreak/>
        <w:t>pathologists, entomologists, social scientists and economists). Further, a single entity is arguably more cost-effective than existing arrangements</w:t>
      </w:r>
      <w:r w:rsidR="00381817">
        <w:t xml:space="preserve"> whereby multiple players lack a focus on cross-sectoral R&amp;I.</w:t>
      </w:r>
    </w:p>
    <w:p w14:paraId="457E708E" w14:textId="60C8650E" w:rsidR="00877D55" w:rsidRDefault="00877D55" w:rsidP="00877D55">
      <w:r>
        <w:t>Funding could be sourced from a new national charge</w:t>
      </w:r>
      <w:r w:rsidR="00D12679">
        <w:t xml:space="preserve"> applied to incoming passengers</w:t>
      </w:r>
      <w:r w:rsidR="001531C0">
        <w:t>. B</w:t>
      </w:r>
      <w:r>
        <w:t>y way of precedent, in January 2016, the New Zealand Government introduced a Border Clearance Levy (incoming) of approximately $20; the Great Barrier Reef Marine Park Authority levies most commercial activities and tourism activities within the marine park including a visitor charge of $6.50 per day.</w:t>
      </w:r>
    </w:p>
    <w:p w14:paraId="1EB0D852" w14:textId="4BF7522F" w:rsidR="00877D55" w:rsidRDefault="00877D55" w:rsidP="00877D55">
      <w:r>
        <w:t>Alternatively, if there is no appetite for the proposed levy funding model, a proportion (for example, 5 or 10 per cent)</w:t>
      </w:r>
      <w:r w:rsidR="00431CE5">
        <w:t xml:space="preserve"> </w:t>
      </w:r>
      <w:r>
        <w:t>of Australian Government funds currently directed to existing RDCs (matching funding) could be redirected towards the proposed new biosecurity R&amp;I entity.</w:t>
      </w:r>
      <w:r w:rsidR="00222219">
        <w:t xml:space="preserve"> This would require legislative change</w:t>
      </w:r>
      <w:r w:rsidR="009744F7">
        <w:t xml:space="preserve"> which would likely be contentious given the national priorities may not align with specific industry priorities</w:t>
      </w:r>
      <w:r w:rsidR="00222219">
        <w:t>.</w:t>
      </w:r>
    </w:p>
    <w:p w14:paraId="01678860" w14:textId="77777777" w:rsidR="00877D55" w:rsidRPr="00877D55" w:rsidRDefault="00877D55" w:rsidP="00877D55">
      <w:pPr>
        <w:rPr>
          <w:rStyle w:val="Strong"/>
        </w:rPr>
      </w:pPr>
      <w:r w:rsidRPr="00877D55">
        <w:rPr>
          <w:rStyle w:val="Strong"/>
        </w:rPr>
        <w:t>Option 2: Addressing cross-sectoral biosecurity R&amp;I within an existing RDC.</w:t>
      </w:r>
    </w:p>
    <w:p w14:paraId="7BE78265" w14:textId="77777777" w:rsidR="00877D55" w:rsidRDefault="004434CF" w:rsidP="00877D55">
      <w:r>
        <w:t>National c</w:t>
      </w:r>
      <w:r w:rsidR="00877D55">
        <w:t>ross-sectoral biosecurity R&amp;I issues could be addressed, on a smaller scale to Option</w:t>
      </w:r>
      <w:r>
        <w:t> </w:t>
      </w:r>
      <w:r w:rsidR="00877D55">
        <w:t>1, within an existing RDC.</w:t>
      </w:r>
    </w:p>
    <w:p w14:paraId="7B824D62" w14:textId="77777777" w:rsidR="00877D55" w:rsidRDefault="00877D55" w:rsidP="00877D55">
      <w:r>
        <w:t>Most RDCs do not hold responsibility for cross-sectoral biosecurity R&amp;I—the majority of their expertise lies in industry-specific issues. The Rural Industries Research and Development Corporation (RIRDC) would have an ability to manage cross-system biosecurity issues given its whole-of-agriculture focus. The limitations include the present size of the organisation, compared to other RDCs, and the need for additional resourcing.</w:t>
      </w:r>
    </w:p>
    <w:p w14:paraId="50DF952C" w14:textId="1EE66BC1" w:rsidR="00C95D12" w:rsidRDefault="00877D55" w:rsidP="00C95D12">
      <w:r w:rsidRPr="002F2F3C">
        <w:t>Funding for this</w:t>
      </w:r>
      <w:r w:rsidR="000D4317" w:rsidRPr="002F2F3C">
        <w:t xml:space="preserve"> additional</w:t>
      </w:r>
      <w:r w:rsidRPr="002F2F3C">
        <w:t xml:space="preserve"> function </w:t>
      </w:r>
      <w:r w:rsidR="000D4317" w:rsidRPr="002F2F3C">
        <w:t>to be provided by RIRDC, could come from the</w:t>
      </w:r>
      <w:r w:rsidRPr="002F2F3C">
        <w:t xml:space="preserve"> redirect</w:t>
      </w:r>
      <w:r w:rsidR="000D4317" w:rsidRPr="002F2F3C">
        <w:t>ion of a proportion of both</w:t>
      </w:r>
      <w:r w:rsidRPr="002F2F3C">
        <w:t xml:space="preserve"> Australian Government matching funds</w:t>
      </w:r>
      <w:r w:rsidR="000D4317" w:rsidRPr="002F2F3C">
        <w:t xml:space="preserve"> and industry specific levy monies</w:t>
      </w:r>
      <w:r>
        <w:t xml:space="preserve"> from within the existing RDC system</w:t>
      </w:r>
      <w:r w:rsidR="002F2F3C">
        <w:t>,</w:t>
      </w:r>
      <w:r>
        <w:t xml:space="preserve"> for the specific purpose of cross-sectoral biosecurity R&amp;I. This proposal would limit the need for substantial change to existing RDC funding structures and increase the pool of existing RDC funds directed to cross-se</w:t>
      </w:r>
      <w:r w:rsidR="00DD7DC3">
        <w:t xml:space="preserve">ctoral biosecurity R&amp;I issues. </w:t>
      </w:r>
      <w:r w:rsidR="009744F7">
        <w:t>However, it too would require legislative change, which is also likely to be contentious.</w:t>
      </w:r>
    </w:p>
    <w:p w14:paraId="2C6A9A78" w14:textId="0B04A2DE" w:rsidR="00C95D12" w:rsidRPr="004C58C4" w:rsidRDefault="00877CB2" w:rsidP="003A1E8C">
      <w:pPr>
        <w:pStyle w:val="BoxHeading"/>
        <w:shd w:val="clear" w:color="auto" w:fill="D9D9D9" w:themeFill="background1" w:themeFillShade="D9"/>
        <w:rPr>
          <w:sz w:val="22"/>
        </w:rPr>
      </w:pPr>
      <w:bookmarkStart w:id="133" w:name="Request_for_feedback_3"/>
      <w:r w:rsidRPr="004C58C4">
        <w:rPr>
          <w:sz w:val="22"/>
        </w:rPr>
        <w:t>Request for feedback</w:t>
      </w:r>
      <w:r w:rsidR="004F08A9" w:rsidRPr="004C58C4">
        <w:rPr>
          <w:sz w:val="22"/>
        </w:rPr>
        <w:t xml:space="preserve"> </w:t>
      </w:r>
      <w:r w:rsidR="00E61E5A" w:rsidRPr="004C58C4">
        <w:rPr>
          <w:sz w:val="22"/>
        </w:rPr>
        <w:t>3</w:t>
      </w:r>
      <w:bookmarkEnd w:id="133"/>
      <w:r w:rsidR="003A1E8C" w:rsidRPr="004C58C4">
        <w:rPr>
          <w:sz w:val="22"/>
        </w:rPr>
        <w:t>:</w:t>
      </w:r>
    </w:p>
    <w:p w14:paraId="10B4AD23" w14:textId="2740395A" w:rsidR="00877D55" w:rsidRPr="004C58C4" w:rsidRDefault="00877D55" w:rsidP="003A1E8C">
      <w:pPr>
        <w:pStyle w:val="BoxText"/>
        <w:shd w:val="clear" w:color="auto" w:fill="D9D9D9" w:themeFill="background1" w:themeFillShade="D9"/>
        <w:rPr>
          <w:sz w:val="22"/>
        </w:rPr>
      </w:pPr>
      <w:r w:rsidRPr="004C58C4">
        <w:rPr>
          <w:sz w:val="22"/>
        </w:rPr>
        <w:t>The Review Panel seek</w:t>
      </w:r>
      <w:r w:rsidR="00877CB2" w:rsidRPr="004C58C4">
        <w:rPr>
          <w:sz w:val="22"/>
        </w:rPr>
        <w:t>s</w:t>
      </w:r>
      <w:r w:rsidRPr="004C58C4">
        <w:rPr>
          <w:sz w:val="22"/>
        </w:rPr>
        <w:t xml:space="preserve"> feedback on the following options for a new entity for cross-sectoral biosecurity R&amp;I:</w:t>
      </w:r>
    </w:p>
    <w:p w14:paraId="7E62CC63" w14:textId="6AADA68C" w:rsidR="00877D55" w:rsidRPr="004C58C4" w:rsidRDefault="00877D55" w:rsidP="003A1E8C">
      <w:pPr>
        <w:pStyle w:val="BoxTextBullet"/>
        <w:shd w:val="clear" w:color="auto" w:fill="D9D9D9" w:themeFill="background1" w:themeFillShade="D9"/>
        <w:rPr>
          <w:sz w:val="22"/>
        </w:rPr>
      </w:pPr>
      <w:r w:rsidRPr="004C58C4">
        <w:rPr>
          <w:sz w:val="22"/>
        </w:rPr>
        <w:t xml:space="preserve">Option 1: </w:t>
      </w:r>
      <w:r w:rsidR="004539A4">
        <w:rPr>
          <w:sz w:val="22"/>
        </w:rPr>
        <w:t>E</w:t>
      </w:r>
      <w:r w:rsidRPr="004C58C4">
        <w:rPr>
          <w:sz w:val="22"/>
        </w:rPr>
        <w:t>stablishing a new stand-alone entity for cross-sectoral biosecurity R&amp;I</w:t>
      </w:r>
      <w:r w:rsidR="004539A4">
        <w:rPr>
          <w:sz w:val="22"/>
        </w:rPr>
        <w:t>.</w:t>
      </w:r>
    </w:p>
    <w:p w14:paraId="2F47E668" w14:textId="2532990F" w:rsidR="00877D55" w:rsidRPr="004C58C4" w:rsidRDefault="00877D55" w:rsidP="003A1E8C">
      <w:pPr>
        <w:pStyle w:val="BoxTextBullet"/>
        <w:shd w:val="clear" w:color="auto" w:fill="D9D9D9" w:themeFill="background1" w:themeFillShade="D9"/>
        <w:rPr>
          <w:sz w:val="22"/>
        </w:rPr>
      </w:pPr>
      <w:r w:rsidRPr="004C58C4">
        <w:rPr>
          <w:sz w:val="22"/>
        </w:rPr>
        <w:t xml:space="preserve">Option 2: </w:t>
      </w:r>
      <w:r w:rsidR="004539A4">
        <w:rPr>
          <w:sz w:val="22"/>
        </w:rPr>
        <w:t>A</w:t>
      </w:r>
      <w:r w:rsidRPr="004C58C4">
        <w:rPr>
          <w:sz w:val="22"/>
        </w:rPr>
        <w:t>ddressing cross-sectoral biosecurity R&amp;I within an existing RDC (</w:t>
      </w:r>
      <w:r w:rsidR="00431CE5" w:rsidRPr="004C58C4">
        <w:rPr>
          <w:sz w:val="22"/>
        </w:rPr>
        <w:t>for example,</w:t>
      </w:r>
      <w:r w:rsidRPr="004C58C4">
        <w:rPr>
          <w:sz w:val="22"/>
        </w:rPr>
        <w:t xml:space="preserve"> </w:t>
      </w:r>
      <w:r w:rsidR="00C530D6">
        <w:rPr>
          <w:sz w:val="22"/>
        </w:rPr>
        <w:t xml:space="preserve">the Rural Industries </w:t>
      </w:r>
      <w:r w:rsidR="00872904" w:rsidRPr="004C58C4">
        <w:rPr>
          <w:sz w:val="22"/>
        </w:rPr>
        <w:t>R</w:t>
      </w:r>
      <w:r w:rsidRPr="004C58C4">
        <w:rPr>
          <w:sz w:val="22"/>
        </w:rPr>
        <w:t>DC)</w:t>
      </w:r>
      <w:r w:rsidR="004539A4">
        <w:rPr>
          <w:sz w:val="22"/>
        </w:rPr>
        <w:t>.</w:t>
      </w:r>
    </w:p>
    <w:p w14:paraId="745EE1BE" w14:textId="47C27363" w:rsidR="004F08A9" w:rsidRPr="004C58C4" w:rsidRDefault="00877D55" w:rsidP="003A1E8C">
      <w:pPr>
        <w:pStyle w:val="BoxText"/>
        <w:shd w:val="clear" w:color="auto" w:fill="D9D9D9" w:themeFill="background1" w:themeFillShade="D9"/>
        <w:rPr>
          <w:sz w:val="22"/>
        </w:rPr>
      </w:pPr>
      <w:r w:rsidRPr="004C58C4">
        <w:rPr>
          <w:sz w:val="22"/>
        </w:rPr>
        <w:t>The Panel also seek</w:t>
      </w:r>
      <w:r w:rsidR="00877CB2" w:rsidRPr="004C58C4">
        <w:rPr>
          <w:sz w:val="22"/>
        </w:rPr>
        <w:t>s</w:t>
      </w:r>
      <w:r w:rsidRPr="004C58C4">
        <w:rPr>
          <w:sz w:val="22"/>
        </w:rPr>
        <w:t xml:space="preserve"> </w:t>
      </w:r>
      <w:r w:rsidR="00877CB2" w:rsidRPr="004C58C4">
        <w:rPr>
          <w:sz w:val="22"/>
        </w:rPr>
        <w:t>feedback</w:t>
      </w:r>
      <w:r w:rsidRPr="004C58C4">
        <w:rPr>
          <w:sz w:val="22"/>
        </w:rPr>
        <w:t xml:space="preserve"> on the funding options</w:t>
      </w:r>
      <w:r w:rsidR="002F2F3C" w:rsidRPr="004C58C4">
        <w:rPr>
          <w:sz w:val="22"/>
        </w:rPr>
        <w:t xml:space="preserve"> and </w:t>
      </w:r>
      <w:r w:rsidR="004F08A9" w:rsidRPr="004C58C4">
        <w:rPr>
          <w:sz w:val="22"/>
        </w:rPr>
        <w:t>would welcome alternative suggestions.</w:t>
      </w:r>
    </w:p>
    <w:p w14:paraId="77073E8A" w14:textId="77777777" w:rsidR="00561771" w:rsidRDefault="00561771" w:rsidP="00596255">
      <w:pPr>
        <w:pStyle w:val="Heading2"/>
      </w:pPr>
      <w:bookmarkStart w:id="134" w:name="_Strengthening_Governance"/>
      <w:bookmarkStart w:id="135" w:name="_Toc469654748"/>
      <w:bookmarkEnd w:id="134"/>
      <w:r>
        <w:lastRenderedPageBreak/>
        <w:t xml:space="preserve">Strengthening </w:t>
      </w:r>
      <w:r w:rsidR="00906B0E">
        <w:t>g</w:t>
      </w:r>
      <w:r>
        <w:t>overnance</w:t>
      </w:r>
      <w:bookmarkEnd w:id="135"/>
    </w:p>
    <w:p w14:paraId="6BF73289" w14:textId="77777777" w:rsidR="00C95D12" w:rsidRPr="00C90F39" w:rsidRDefault="00C95D12" w:rsidP="00C95D12">
      <w:pPr>
        <w:pStyle w:val="BoxHeading"/>
        <w:rPr>
          <w:sz w:val="22"/>
          <w:lang w:eastAsia="ja-JP"/>
        </w:rPr>
      </w:pPr>
      <w:r w:rsidRPr="00C90F39">
        <w:rPr>
          <w:sz w:val="22"/>
          <w:lang w:eastAsia="ja-JP"/>
        </w:rPr>
        <w:t>Key points</w:t>
      </w:r>
    </w:p>
    <w:p w14:paraId="055A9C19" w14:textId="77777777" w:rsidR="002749BD" w:rsidRPr="00C90F39" w:rsidRDefault="002749BD" w:rsidP="002749BD">
      <w:pPr>
        <w:pStyle w:val="BoxTextBullet"/>
        <w:rPr>
          <w:sz w:val="22"/>
          <w:lang w:eastAsia="ja-JP"/>
        </w:rPr>
      </w:pPr>
      <w:r w:rsidRPr="00C90F39">
        <w:rPr>
          <w:sz w:val="22"/>
          <w:lang w:eastAsia="ja-JP"/>
        </w:rPr>
        <w:t>The IGAB and the NBC have been pivotal in fostering improved government collaboration.</w:t>
      </w:r>
    </w:p>
    <w:p w14:paraId="002314F9" w14:textId="77777777" w:rsidR="002749BD" w:rsidRPr="00C90F39" w:rsidRDefault="002749BD" w:rsidP="002749BD">
      <w:pPr>
        <w:pStyle w:val="BoxTextBullet"/>
        <w:rPr>
          <w:sz w:val="22"/>
          <w:lang w:eastAsia="ja-JP"/>
        </w:rPr>
      </w:pPr>
      <w:r w:rsidRPr="00C90F39">
        <w:rPr>
          <w:sz w:val="22"/>
          <w:lang w:eastAsia="ja-JP"/>
        </w:rPr>
        <w:t>First Ministers should continue to provide jurisdictions with a strong mandate under the IGAB for advancing national biosecurity arrangements.</w:t>
      </w:r>
    </w:p>
    <w:p w14:paraId="5CE8362C" w14:textId="77777777" w:rsidR="002749BD" w:rsidRPr="00C90F39" w:rsidRDefault="002749BD" w:rsidP="002749BD">
      <w:pPr>
        <w:pStyle w:val="BoxTextBullet"/>
        <w:rPr>
          <w:sz w:val="22"/>
          <w:lang w:eastAsia="ja-JP"/>
        </w:rPr>
      </w:pPr>
      <w:r w:rsidRPr="00C90F39">
        <w:rPr>
          <w:sz w:val="22"/>
          <w:lang w:eastAsia="ja-JP"/>
        </w:rPr>
        <w:t>The NBC must improve its transparency and accountability.</w:t>
      </w:r>
    </w:p>
    <w:p w14:paraId="53732C26" w14:textId="77777777" w:rsidR="002749BD" w:rsidRPr="00C90F39" w:rsidRDefault="002749BD" w:rsidP="002749BD">
      <w:pPr>
        <w:pStyle w:val="BoxTextBullet"/>
        <w:rPr>
          <w:sz w:val="22"/>
          <w:lang w:eastAsia="ja-JP"/>
        </w:rPr>
      </w:pPr>
      <w:r w:rsidRPr="00C90F39">
        <w:rPr>
          <w:sz w:val="22"/>
          <w:lang w:eastAsia="ja-JP"/>
        </w:rPr>
        <w:t>IGAB governance structures should provide industry and community with a stronger voice and role in the further developing the national system.</w:t>
      </w:r>
    </w:p>
    <w:p w14:paraId="047180D4" w14:textId="77777777" w:rsidR="00C95D12" w:rsidRDefault="00C95D12" w:rsidP="00C95D12">
      <w:pPr>
        <w:pStyle w:val="Heading3"/>
        <w:rPr>
          <w:lang w:eastAsia="ja-JP"/>
        </w:rPr>
      </w:pPr>
      <w:bookmarkStart w:id="136" w:name="_Toc469654749"/>
      <w:r>
        <w:rPr>
          <w:lang w:eastAsia="ja-JP"/>
        </w:rPr>
        <w:t>A strong mandate</w:t>
      </w:r>
      <w:bookmarkEnd w:id="136"/>
    </w:p>
    <w:p w14:paraId="11680263" w14:textId="22A42307" w:rsidR="00C95D12" w:rsidRDefault="002749BD" w:rsidP="00C95D12">
      <w:pPr>
        <w:rPr>
          <w:lang w:eastAsia="ja-JP"/>
        </w:rPr>
      </w:pPr>
      <w:r w:rsidRPr="002749BD">
        <w:rPr>
          <w:lang w:eastAsia="ja-JP"/>
        </w:rPr>
        <w:t>The IGAB was authorised under previous C</w:t>
      </w:r>
      <w:r w:rsidR="00697976">
        <w:rPr>
          <w:lang w:eastAsia="ja-JP"/>
        </w:rPr>
        <w:t xml:space="preserve">OAG </w:t>
      </w:r>
      <w:r w:rsidRPr="002749BD">
        <w:rPr>
          <w:lang w:eastAsia="ja-JP"/>
        </w:rPr>
        <w:t xml:space="preserve">arrangements. As an agreement between First Ministers, the IGAB provides a strong mandate for advancing national biosecurity capacity and capability. This Review has confirmed that national biosecurity is a whole-of economy and whole-of-government responsibility—affecting trade and market access, tourism, farm productivity, environmental quality, human health, native species and biodiversity. Subsequent agreements must maintain the authority </w:t>
      </w:r>
      <w:r w:rsidR="00773D50">
        <w:rPr>
          <w:lang w:eastAsia="ja-JP"/>
        </w:rPr>
        <w:t>provided</w:t>
      </w:r>
      <w:r w:rsidRPr="002749BD">
        <w:rPr>
          <w:lang w:eastAsia="ja-JP"/>
        </w:rPr>
        <w:t xml:space="preserve"> by First Ministers of Australian, state and territory governments. Anything less would effectively devalue national biosecurity efforts and impede further deve</w:t>
      </w:r>
      <w:r w:rsidR="009D1E8D">
        <w:rPr>
          <w:lang w:eastAsia="ja-JP"/>
        </w:rPr>
        <w:t>lopment of the national system.</w:t>
      </w:r>
    </w:p>
    <w:p w14:paraId="5E303A5F" w14:textId="4997CE0E" w:rsidR="00D97D98" w:rsidRPr="00C90F39" w:rsidRDefault="00D97D98" w:rsidP="00C90F39">
      <w:pPr>
        <w:pStyle w:val="BoxHeading"/>
        <w:shd w:val="clear" w:color="auto" w:fill="D9D9D9" w:themeFill="background1" w:themeFillShade="D9"/>
        <w:rPr>
          <w:sz w:val="22"/>
          <w:lang w:eastAsia="ja-JP"/>
        </w:rPr>
      </w:pPr>
      <w:bookmarkStart w:id="137" w:name="_Toc467231869"/>
      <w:bookmarkStart w:id="138" w:name="Draft_recommendation_16"/>
      <w:r w:rsidRPr="00C90F39">
        <w:rPr>
          <w:sz w:val="22"/>
        </w:rPr>
        <w:t>Draft recommendation</w:t>
      </w:r>
      <w:bookmarkEnd w:id="137"/>
      <w:r w:rsidR="0050175A">
        <w:rPr>
          <w:sz w:val="22"/>
        </w:rPr>
        <w:t xml:space="preserve"> 1</w:t>
      </w:r>
      <w:r w:rsidR="00FE6EEF">
        <w:rPr>
          <w:sz w:val="22"/>
        </w:rPr>
        <w:t>6</w:t>
      </w:r>
      <w:bookmarkEnd w:id="138"/>
      <w:r w:rsidR="007879B6" w:rsidRPr="00C90F39">
        <w:rPr>
          <w:noProof/>
          <w:sz w:val="22"/>
        </w:rPr>
        <w:t>:</w:t>
      </w:r>
    </w:p>
    <w:p w14:paraId="7B3C475E" w14:textId="77777777" w:rsidR="00C95D12" w:rsidRPr="00C90F39" w:rsidRDefault="00597662" w:rsidP="00C90F39">
      <w:pPr>
        <w:pStyle w:val="BoxText"/>
        <w:shd w:val="clear" w:color="auto" w:fill="D9D9D9" w:themeFill="background1" w:themeFillShade="D9"/>
        <w:rPr>
          <w:sz w:val="22"/>
        </w:rPr>
      </w:pPr>
      <w:r w:rsidRPr="00C90F39">
        <w:rPr>
          <w:sz w:val="22"/>
        </w:rPr>
        <w:t>A</w:t>
      </w:r>
      <w:r w:rsidR="002749BD" w:rsidRPr="00C90F39">
        <w:rPr>
          <w:sz w:val="22"/>
        </w:rPr>
        <w:t xml:space="preserve"> future IGAB should remain an agreement between the First Ministers of the Australian, state and territory governments.</w:t>
      </w:r>
    </w:p>
    <w:p w14:paraId="528AE0D3" w14:textId="77777777" w:rsidR="00E55618" w:rsidRDefault="00E55618" w:rsidP="00E55618">
      <w:r>
        <w:t xml:space="preserve">First Ministers have tasked Australian, state and territory ministers responsible for biosecurity with implementation and administration of the IGAB, in consultation with other relevant ministers. This has traditionally been </w:t>
      </w:r>
      <w:r w:rsidR="00B97B95">
        <w:t>m</w:t>
      </w:r>
      <w:r>
        <w:t>inisters responsible for agriculture or primary industries. In practice, it is difficult to judge the level of engagement of ‘lead’ ministers for biosecurity with other ministers (</w:t>
      </w:r>
      <w:r w:rsidR="00431CE5">
        <w:t>for example,</w:t>
      </w:r>
      <w:r>
        <w:t xml:space="preserve"> environment, natural resources</w:t>
      </w:r>
      <w:r w:rsidR="00773D50">
        <w:t>,</w:t>
      </w:r>
      <w:r>
        <w:t xml:space="preserve"> fisheries</w:t>
      </w:r>
      <w:r w:rsidR="00773D50">
        <w:t>, regional development, health and defence</w:t>
      </w:r>
      <w:r>
        <w:t>) as there are no formal mechanisms to facilitate this. Consultation with ‘support’ biosecurity ministers may well occur but these key relationships warrant clearer and greater recognition in the IGAB.</w:t>
      </w:r>
    </w:p>
    <w:p w14:paraId="34DFEC46" w14:textId="197437F1" w:rsidR="00F12067" w:rsidRDefault="00E55618" w:rsidP="00E55618">
      <w:r>
        <w:t xml:space="preserve">For government agencies, the need for clearly defined ‘lead’ and ‘support’ biosecurity roles is particularly important, and </w:t>
      </w:r>
      <w:hyperlink w:anchor="_Stronger_Environmental_biosecurity" w:history="1">
        <w:r w:rsidRPr="00943EBA">
          <w:rPr>
            <w:rStyle w:val="Hyperlink"/>
          </w:rPr>
          <w:t>Chapter 4</w:t>
        </w:r>
      </w:hyperlink>
      <w:r>
        <w:t xml:space="preserve"> demonstrated this in the context of environmental biosecurity. However, the delineation of roles should extend beyond agriculture and environment. Each jurisdiction should have whole-of-government arrangements in place, inclusive of central agencies, to support their role in the national biosecurity system and the delivery of their commitments under the IGAB.</w:t>
      </w:r>
    </w:p>
    <w:p w14:paraId="0D78094F" w14:textId="20F0CF68" w:rsidR="00D97D98" w:rsidRDefault="00E55618" w:rsidP="00E55618">
      <w:r>
        <w:t xml:space="preserve">First Ministers could facilitate this by clearly identifying their lead minster and agency for biosecurity under the IGAB and requiring supporting agencies and arrangements to be delineated, public and in place. Given the experience and knowledge accumulated, agriculture </w:t>
      </w:r>
      <w:r>
        <w:lastRenderedPageBreak/>
        <w:t xml:space="preserve">would be the logical lead discipline. </w:t>
      </w:r>
      <w:r w:rsidR="001166B3">
        <w:t xml:space="preserve">MoUs </w:t>
      </w:r>
      <w:r w:rsidR="00F12067" w:rsidRPr="00F12067">
        <w:t>between relevant agencies would be appropriate, modelled on those bet</w:t>
      </w:r>
      <w:r w:rsidR="001166B3">
        <w:t xml:space="preserve">ween the Australian Government agriculture, </w:t>
      </w:r>
      <w:r w:rsidR="00F12067" w:rsidRPr="00F12067">
        <w:t>health and immigration agencies. All jurisdictions should consider formalised arrangements between their agriculture agency and environment, regional development, defence (Australian Government only), and others as relevant.</w:t>
      </w:r>
    </w:p>
    <w:p w14:paraId="5109C0F0" w14:textId="37634028" w:rsidR="00C95D12" w:rsidRPr="00EC59D0" w:rsidRDefault="00D97D98" w:rsidP="00EC59D0">
      <w:pPr>
        <w:pStyle w:val="BoxHeading"/>
        <w:shd w:val="clear" w:color="auto" w:fill="D9D9D9" w:themeFill="background1" w:themeFillShade="D9"/>
        <w:rPr>
          <w:sz w:val="22"/>
        </w:rPr>
      </w:pPr>
      <w:bookmarkStart w:id="139" w:name="_Toc467231870"/>
      <w:bookmarkStart w:id="140" w:name="Draft_recommendation_17"/>
      <w:r w:rsidRPr="00EC59D0">
        <w:rPr>
          <w:sz w:val="22"/>
        </w:rPr>
        <w:t>Draft recommendation</w:t>
      </w:r>
      <w:bookmarkEnd w:id="139"/>
      <w:r w:rsidR="0050175A">
        <w:rPr>
          <w:sz w:val="22"/>
        </w:rPr>
        <w:t xml:space="preserve"> 1</w:t>
      </w:r>
      <w:r w:rsidR="00FE6EEF">
        <w:rPr>
          <w:sz w:val="22"/>
        </w:rPr>
        <w:t>7</w:t>
      </w:r>
      <w:bookmarkEnd w:id="140"/>
      <w:r w:rsidR="00AD5588" w:rsidRPr="00EC59D0">
        <w:rPr>
          <w:sz w:val="22"/>
        </w:rPr>
        <w:t>:</w:t>
      </w:r>
    </w:p>
    <w:p w14:paraId="7E3B9B97" w14:textId="77777777" w:rsidR="00F12067" w:rsidRPr="00EC59D0" w:rsidRDefault="00F12067" w:rsidP="00EC59D0">
      <w:pPr>
        <w:pStyle w:val="BoxText"/>
        <w:shd w:val="clear" w:color="auto" w:fill="D9D9D9" w:themeFill="background1" w:themeFillShade="D9"/>
        <w:rPr>
          <w:sz w:val="22"/>
        </w:rPr>
      </w:pPr>
      <w:r w:rsidRPr="00EC59D0">
        <w:rPr>
          <w:sz w:val="22"/>
        </w:rPr>
        <w:t>First Ministers should, within IGAB2, identify lead ministers and agencies for biosecurity (assumed to be agriculture or primary industries) and require supporting whole-of-government arrangements to be in place, including through memoranda of understanding.</w:t>
      </w:r>
    </w:p>
    <w:p w14:paraId="4FCCD8FB" w14:textId="77777777" w:rsidR="00C95D12" w:rsidRDefault="00C95D12" w:rsidP="00C95D12">
      <w:pPr>
        <w:pStyle w:val="Heading3"/>
      </w:pPr>
      <w:bookmarkStart w:id="141" w:name="_Toc469654750"/>
      <w:r>
        <w:t>An empowered National Biosecurity Committee</w:t>
      </w:r>
      <w:bookmarkEnd w:id="141"/>
    </w:p>
    <w:p w14:paraId="00ACE908" w14:textId="77777777" w:rsidR="0094727C" w:rsidRDefault="0094727C" w:rsidP="0094727C">
      <w:r>
        <w:t>The NBC is the key body responsible for implementing the priority reform areas in the IGAB and coordinating national biosecurity arrangements. It provides advice and reports to AGSOC and AGMIN.</w:t>
      </w:r>
    </w:p>
    <w:p w14:paraId="04749534" w14:textId="0DE084E2" w:rsidR="00D05566" w:rsidRDefault="0094727C" w:rsidP="0094727C">
      <w:pPr>
        <w:sectPr w:rsidR="00D05566" w:rsidSect="00D5342A">
          <w:pgSz w:w="11906" w:h="16838"/>
          <w:pgMar w:top="1418" w:right="1418" w:bottom="1418" w:left="1418" w:header="567" w:footer="283" w:gutter="0"/>
          <w:cols w:space="708"/>
          <w:docGrid w:linePitch="360"/>
        </w:sectPr>
      </w:pPr>
      <w:r>
        <w:t>The NBC is supported by various committees, sub</w:t>
      </w:r>
      <w:r w:rsidR="000060EA">
        <w:t>-</w:t>
      </w:r>
      <w:r>
        <w:t>committees and working groups (</w:t>
      </w:r>
      <w:r>
        <w:fldChar w:fldCharType="begin"/>
      </w:r>
      <w:r>
        <w:instrText xml:space="preserve"> REF _Ref466974187 \h </w:instrText>
      </w:r>
      <w:r>
        <w:fldChar w:fldCharType="separate"/>
      </w:r>
      <w:r w:rsidR="008303E2" w:rsidRPr="00CD5E76">
        <w:t xml:space="preserve">Figure </w:t>
      </w:r>
      <w:r w:rsidR="008303E2">
        <w:rPr>
          <w:noProof/>
        </w:rPr>
        <w:t>6</w:t>
      </w:r>
      <w:r>
        <w:fldChar w:fldCharType="end"/>
      </w:r>
      <w:r>
        <w:t>); in total, there are currently 35. This structure has been reviewed and adjusted at various points in the past.</w:t>
      </w:r>
    </w:p>
    <w:p w14:paraId="078C8F56" w14:textId="395004FF" w:rsidR="007806CE" w:rsidRPr="00C95D12" w:rsidRDefault="0038666A" w:rsidP="00C44070">
      <w:pPr>
        <w:pStyle w:val="Picture"/>
      </w:pPr>
      <w:r>
        <w:lastRenderedPageBreak/>
        <w:drawing>
          <wp:inline distT="0" distB="0" distL="0" distR="0" wp14:anchorId="5A36F4A9" wp14:editId="324BEB6A">
            <wp:extent cx="8643668" cy="5491066"/>
            <wp:effectExtent l="0" t="0" r="5080" b="0"/>
            <wp:docPr id="9" name="Picture 9" descr="Shows the NBCs reporting lines and underlying committee structure. The NBC reports to the agriculture senior officials committee, which reports to the agriculture ministers’ forum. The NBC is currently supported by 4 sectoral committees, the Animal, Plant, Marine Pest and Invasive Plants &amp; Animals committees. These committees are supported by various sub-committees (4 in total), and specialist task or working groups (20 in total). In addition the NBC has two cross-system expert groups, related to emergency preparedness and information governance. The emergency preparedness expert group is supported by an additional 3 task groups. In addition, 3 groups operate in the event of an emergency response. In sum, the NBC is supported by a total of 35 committees, sub-committees and specialist task or working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56055" cy="5498935"/>
                    </a:xfrm>
                    <a:prstGeom prst="rect">
                      <a:avLst/>
                    </a:prstGeom>
                    <a:noFill/>
                  </pic:spPr>
                </pic:pic>
              </a:graphicData>
            </a:graphic>
          </wp:inline>
        </w:drawing>
      </w:r>
    </w:p>
    <w:p w14:paraId="366391FE" w14:textId="5D04A3B2" w:rsidR="00635857" w:rsidRPr="00CD5E76" w:rsidRDefault="007806CE" w:rsidP="007806CE">
      <w:pPr>
        <w:pStyle w:val="Caption"/>
        <w:rPr>
          <w:sz w:val="22"/>
          <w:szCs w:val="22"/>
        </w:rPr>
        <w:sectPr w:rsidR="00635857" w:rsidRPr="00CD5E76" w:rsidSect="00D05566">
          <w:pgSz w:w="16838" w:h="11906" w:orient="landscape"/>
          <w:pgMar w:top="1418" w:right="1418" w:bottom="1418" w:left="1418" w:header="567" w:footer="283" w:gutter="0"/>
          <w:cols w:space="708"/>
          <w:docGrid w:linePitch="360"/>
        </w:sectPr>
      </w:pPr>
      <w:bookmarkStart w:id="142" w:name="_Ref466974187"/>
      <w:bookmarkStart w:id="143" w:name="_Toc468176741"/>
      <w:r w:rsidRPr="00CD5E76">
        <w:rPr>
          <w:sz w:val="22"/>
          <w:szCs w:val="22"/>
        </w:rPr>
        <w:t xml:space="preserve">Figure </w:t>
      </w:r>
      <w:r w:rsidR="00D56373" w:rsidRPr="00CD5E76">
        <w:rPr>
          <w:sz w:val="22"/>
          <w:szCs w:val="22"/>
        </w:rPr>
        <w:fldChar w:fldCharType="begin"/>
      </w:r>
      <w:r w:rsidR="00D56373" w:rsidRPr="00CD5E76">
        <w:rPr>
          <w:sz w:val="22"/>
          <w:szCs w:val="22"/>
        </w:rPr>
        <w:instrText xml:space="preserve"> SEQ Figure \* ARABIC </w:instrText>
      </w:r>
      <w:r w:rsidR="00D56373" w:rsidRPr="00CD5E76">
        <w:rPr>
          <w:sz w:val="22"/>
          <w:szCs w:val="22"/>
        </w:rPr>
        <w:fldChar w:fldCharType="separate"/>
      </w:r>
      <w:r w:rsidR="008303E2">
        <w:rPr>
          <w:noProof/>
          <w:sz w:val="22"/>
          <w:szCs w:val="22"/>
        </w:rPr>
        <w:t>6</w:t>
      </w:r>
      <w:r w:rsidR="00D56373" w:rsidRPr="00CD5E76">
        <w:rPr>
          <w:noProof/>
          <w:sz w:val="22"/>
          <w:szCs w:val="22"/>
        </w:rPr>
        <w:fldChar w:fldCharType="end"/>
      </w:r>
      <w:bookmarkEnd w:id="142"/>
      <w:r w:rsidR="00081BB4" w:rsidRPr="00CD5E76">
        <w:rPr>
          <w:sz w:val="22"/>
          <w:szCs w:val="22"/>
        </w:rPr>
        <w:t>:</w:t>
      </w:r>
      <w:r w:rsidRPr="00CD5E76">
        <w:rPr>
          <w:sz w:val="22"/>
          <w:szCs w:val="22"/>
        </w:rPr>
        <w:t xml:space="preserve"> </w:t>
      </w:r>
      <w:bookmarkEnd w:id="143"/>
      <w:r w:rsidR="00EB5992">
        <w:rPr>
          <w:sz w:val="22"/>
          <w:szCs w:val="22"/>
        </w:rPr>
        <w:t>IGAB governance arrangements</w:t>
      </w:r>
    </w:p>
    <w:p w14:paraId="24E49D3D" w14:textId="77777777" w:rsidR="007806CE" w:rsidRDefault="007806CE" w:rsidP="007806CE">
      <w:pPr>
        <w:pStyle w:val="Heading4"/>
      </w:pPr>
      <w:r>
        <w:lastRenderedPageBreak/>
        <w:t>Authority and membership</w:t>
      </w:r>
    </w:p>
    <w:p w14:paraId="717102A7" w14:textId="77777777" w:rsidR="0094727C" w:rsidRDefault="0094727C" w:rsidP="0094727C">
      <w:r>
        <w:t>There is a lack of clarity around the authorisation and remit of the NBC. The common understanding, reflected in</w:t>
      </w:r>
      <w:r w:rsidR="007679F6">
        <w:t xml:space="preserve"> the</w:t>
      </w:r>
      <w:r>
        <w:t xml:space="preserve"> NBC’s Terms of Reference, is that the NBC is formally established under the IGAB. However, the IGAB states the NBC is:</w:t>
      </w:r>
    </w:p>
    <w:p w14:paraId="177FA42D" w14:textId="2457C322" w:rsidR="0094727C" w:rsidRDefault="0094727C" w:rsidP="0094727C">
      <w:pPr>
        <w:pStyle w:val="Quote"/>
      </w:pPr>
      <w:r>
        <w:t xml:space="preserve">The committee established, independently of this Agreement, responsible for biosecurity matters, and tasked with managing a national, strategic approach to emerging and ongoing </w:t>
      </w:r>
      <w:r w:rsidR="00A12604">
        <w:t>biosecurity policy issues (2012 IGAB</w:t>
      </w:r>
      <w:r w:rsidR="00906B0E">
        <w:t>, p. 19</w:t>
      </w:r>
      <w:r>
        <w:t>)</w:t>
      </w:r>
    </w:p>
    <w:p w14:paraId="16CA0E38" w14:textId="7F425872" w:rsidR="0094727C" w:rsidRDefault="0094727C" w:rsidP="0094727C">
      <w:r>
        <w:t xml:space="preserve">The NBC should be integral to and not independent of the IGAB. First Ministers through the IGAB should formally establish the NBC and articulate its Terms of Reference. </w:t>
      </w:r>
      <w:r w:rsidR="00C92BA3">
        <w:t>Given that the authority of the IGAB comes from being established by First Ministers, it is logical that the main body implementing the IGAB objectives be similarly authorised by First Ministers.</w:t>
      </w:r>
    </w:p>
    <w:p w14:paraId="609032D7" w14:textId="6E3EA5C9" w:rsidR="007806CE" w:rsidRDefault="0094727C" w:rsidP="0094727C">
      <w:r>
        <w:t xml:space="preserve">There is no national biosecurity system without national cooperation by Australian governments, and this has been </w:t>
      </w:r>
      <w:r w:rsidR="00807740">
        <w:t xml:space="preserve">the </w:t>
      </w:r>
      <w:r>
        <w:t xml:space="preserve">NBC’s focus to </w:t>
      </w:r>
      <w:r w:rsidRPr="00C92CFB">
        <w:t xml:space="preserve">date. </w:t>
      </w:r>
      <w:r w:rsidR="00A154DD" w:rsidRPr="00C92CFB">
        <w:t>The Australian Government Depar</w:t>
      </w:r>
      <w:r w:rsidR="009909A0">
        <w:t>tment of Agriculture and Water R</w:t>
      </w:r>
      <w:r w:rsidR="00A154DD" w:rsidRPr="00C92CFB">
        <w:t xml:space="preserve">esources </w:t>
      </w:r>
      <w:hyperlink r:id="rId39" w:history="1">
        <w:r w:rsidR="00A154DD" w:rsidRPr="00F47515">
          <w:rPr>
            <w:rStyle w:val="Hyperlink"/>
          </w:rPr>
          <w:t>NBC</w:t>
        </w:r>
      </w:hyperlink>
      <w:r w:rsidR="00A154DD" w:rsidRPr="00C92CFB">
        <w:t xml:space="preserve"> website notes the committee’</w:t>
      </w:r>
      <w:r w:rsidRPr="00C92CFB">
        <w:t>s</w:t>
      </w:r>
      <w:r>
        <w:t xml:space="preserve"> core objective is “to promote cooperation, coordination, consistency and synergies across and </w:t>
      </w:r>
      <w:r w:rsidR="00A154DD">
        <w:t>between Australian governments”</w:t>
      </w:r>
      <w:r>
        <w:t xml:space="preserve">. This is an entirely appropriate role, but </w:t>
      </w:r>
      <w:r w:rsidR="00807740">
        <w:t xml:space="preserve">the </w:t>
      </w:r>
      <w:r>
        <w:t xml:space="preserve">NBC should equally be the policy powerhouse for the national system—and needs a remit and identity to match. The terms of reference for </w:t>
      </w:r>
      <w:r w:rsidR="00807740">
        <w:t xml:space="preserve">the </w:t>
      </w:r>
      <w:r>
        <w:t>NBC should reflect the policy and decision-making role the NBC nee</w:t>
      </w:r>
      <w:r w:rsidR="00C92CFB">
        <w:t>ds to play under a future IGAB.</w:t>
      </w:r>
    </w:p>
    <w:p w14:paraId="16FB3A4D" w14:textId="3CAD0EAA" w:rsidR="00D97D98" w:rsidRPr="00603E6B" w:rsidRDefault="00D97D98" w:rsidP="00603E6B">
      <w:pPr>
        <w:pStyle w:val="BoxHeading"/>
        <w:shd w:val="clear" w:color="auto" w:fill="D9D9D9" w:themeFill="background1" w:themeFillShade="D9"/>
        <w:rPr>
          <w:sz w:val="22"/>
        </w:rPr>
      </w:pPr>
      <w:bookmarkStart w:id="144" w:name="_Toc467231871"/>
      <w:bookmarkStart w:id="145" w:name="Draft_recommendation_18"/>
      <w:r w:rsidRPr="00603E6B">
        <w:rPr>
          <w:sz w:val="22"/>
        </w:rPr>
        <w:t>Draft recommendation</w:t>
      </w:r>
      <w:bookmarkEnd w:id="144"/>
      <w:r w:rsidR="0050175A">
        <w:rPr>
          <w:sz w:val="22"/>
        </w:rPr>
        <w:t xml:space="preserve"> 1</w:t>
      </w:r>
      <w:r w:rsidR="00FE6EEF">
        <w:rPr>
          <w:sz w:val="22"/>
        </w:rPr>
        <w:t>8</w:t>
      </w:r>
      <w:bookmarkEnd w:id="145"/>
      <w:r w:rsidR="002C7DA4" w:rsidRPr="00603E6B">
        <w:rPr>
          <w:noProof/>
          <w:sz w:val="22"/>
        </w:rPr>
        <w:t>:</w:t>
      </w:r>
    </w:p>
    <w:p w14:paraId="3EF8476E" w14:textId="77777777" w:rsidR="00A77170" w:rsidRPr="00603E6B" w:rsidRDefault="0094727C" w:rsidP="00603E6B">
      <w:pPr>
        <w:pStyle w:val="BoxText"/>
        <w:shd w:val="clear" w:color="auto" w:fill="D9D9D9" w:themeFill="background1" w:themeFillShade="D9"/>
        <w:rPr>
          <w:sz w:val="22"/>
        </w:rPr>
      </w:pPr>
      <w:r w:rsidRPr="00603E6B">
        <w:rPr>
          <w:sz w:val="22"/>
        </w:rPr>
        <w:t>First Ministers should formally establish the NBC and articulate its Terms of Reference in the IGAB.</w:t>
      </w:r>
    </w:p>
    <w:p w14:paraId="55D92E49" w14:textId="710358AE" w:rsidR="00C150E6" w:rsidRDefault="00C150E6" w:rsidP="00C150E6">
      <w:r>
        <w:t>Membership of the NBC is primarily made up of senior officers from the Australian, state and territory agriculture agencies and some environment representatives; A</w:t>
      </w:r>
      <w:r w:rsidR="00D12679">
        <w:t>H</w:t>
      </w:r>
      <w:r>
        <w:t>A</w:t>
      </w:r>
      <w:r w:rsidR="00D12679">
        <w:t xml:space="preserve"> </w:t>
      </w:r>
      <w:r>
        <w:t>and PHA</w:t>
      </w:r>
      <w:r w:rsidR="00D12679">
        <w:t xml:space="preserve"> </w:t>
      </w:r>
      <w:r>
        <w:t>are observers. Not surprisingly, the views of agriculture agencies tend to dominate NBC discussions and there is a need to bring a more balanced set of views to national discussions on biosecurity.</w:t>
      </w:r>
    </w:p>
    <w:p w14:paraId="07D192DF" w14:textId="54437041" w:rsidR="00C150E6" w:rsidRDefault="00C150E6" w:rsidP="00C150E6">
      <w:r>
        <w:t>The IGAB and the NBC are not yet truly ‘intergovernmental’ as local government is not a party to the arrangements. Given local government’s role in biosecurity (some responsibilities under the national system include established pests and diseases, and local emergency response) and the increasing risk from peri-urban activities, formal involvement would provide for a more inclusive structure. The expertise and support of local governments could be better recognised and utilised by other levels of government. Accordingly, the Review Panel recommends the NBC include the Chief Executive Officer of the Australian Local Government Association</w:t>
      </w:r>
      <w:r w:rsidR="007C6F03">
        <w:t xml:space="preserve"> (ALGA)</w:t>
      </w:r>
      <w:r>
        <w:t>. Separately, governments may also wish to consider the representation of local government at AGSOC and AGMIN</w:t>
      </w:r>
      <w:r w:rsidR="00182884">
        <w:t>—</w:t>
      </w:r>
      <w:r w:rsidR="007C6F03">
        <w:t>the ALGA</w:t>
      </w:r>
      <w:r w:rsidR="00182884">
        <w:t xml:space="preserve"> is already represented on </w:t>
      </w:r>
      <w:r w:rsidR="007C6F03">
        <w:t>COAG</w:t>
      </w:r>
      <w:r w:rsidR="00D03F5C">
        <w:t xml:space="preserve">, </w:t>
      </w:r>
      <w:r w:rsidR="007C6F03">
        <w:t xml:space="preserve">COAG councils and other intergovernmental </w:t>
      </w:r>
      <w:r w:rsidR="00767F57">
        <w:t>fora</w:t>
      </w:r>
      <w:r w:rsidR="007C6F03">
        <w:t>, including in the areas of t</w:t>
      </w:r>
      <w:r w:rsidR="007C6F03" w:rsidRPr="007C6F03">
        <w:t xml:space="preserve">ransport and </w:t>
      </w:r>
      <w:r w:rsidR="007C6F03">
        <w:t>i</w:t>
      </w:r>
      <w:r w:rsidR="007C6F03" w:rsidRPr="007C6F03">
        <w:t>nfrastructure</w:t>
      </w:r>
      <w:r w:rsidR="007C6F03">
        <w:t>, disability reform, and l</w:t>
      </w:r>
      <w:r w:rsidR="007C6F03" w:rsidRPr="007C6F03">
        <w:t xml:space="preserve">aw, </w:t>
      </w:r>
      <w:r w:rsidR="007C6F03">
        <w:t>c</w:t>
      </w:r>
      <w:r w:rsidR="007C6F03" w:rsidRPr="007C6F03">
        <w:t xml:space="preserve">rime and </w:t>
      </w:r>
      <w:r w:rsidR="007C6F03">
        <w:t>c</w:t>
      </w:r>
      <w:r w:rsidR="007C6F03" w:rsidRPr="007C6F03">
        <w:t>om</w:t>
      </w:r>
      <w:r w:rsidR="007C6F03">
        <w:t>munity safety</w:t>
      </w:r>
      <w:r w:rsidR="009D1E8D">
        <w:t>.</w:t>
      </w:r>
    </w:p>
    <w:p w14:paraId="0DFC1B27" w14:textId="019191E3" w:rsidR="00A77170" w:rsidRDefault="00C150E6" w:rsidP="00A77170">
      <w:r>
        <w:t>The Panel notes that New Zealand Government is represented on AGSOC and AGMIN and is</w:t>
      </w:r>
      <w:r w:rsidR="00906B0E">
        <w:t xml:space="preserve"> also</w:t>
      </w:r>
      <w:r>
        <w:t xml:space="preserve"> an observer on some of the NBC’s underlying committees (for example, the Marine Pest Sectoral Committee</w:t>
      </w:r>
      <w:r w:rsidR="00736F4B">
        <w:t>(MPSC)</w:t>
      </w:r>
      <w:r>
        <w:t>), but New Zealand is not represented on the NBC. The Panel recommends the New Zealand Government be invited to join the NBC, to further strengthen the existing Trans-</w:t>
      </w:r>
      <w:r>
        <w:lastRenderedPageBreak/>
        <w:t xml:space="preserve">Tasman partnership in </w:t>
      </w:r>
      <w:r w:rsidRPr="002F2F3C">
        <w:t>biosecurity.</w:t>
      </w:r>
      <w:r w:rsidR="007679F6" w:rsidRPr="002F2F3C">
        <w:t xml:space="preserve"> </w:t>
      </w:r>
      <w:r w:rsidRPr="002F2F3C">
        <w:t>The Panel acknowledges New Zealand is sometimes a trade competitor, but any conflicts can be appropriately</w:t>
      </w:r>
      <w:r w:rsidR="00DA7DFE">
        <w:t xml:space="preserve"> managed by the NBC.</w:t>
      </w:r>
    </w:p>
    <w:p w14:paraId="1BAA6C1B" w14:textId="3F3BCB84" w:rsidR="00D97D98" w:rsidRPr="00DA7DFE" w:rsidRDefault="00D97D98" w:rsidP="00DA7DFE">
      <w:pPr>
        <w:pStyle w:val="BoxHeading"/>
        <w:shd w:val="clear" w:color="auto" w:fill="D9D9D9" w:themeFill="background1" w:themeFillShade="D9"/>
        <w:rPr>
          <w:sz w:val="22"/>
        </w:rPr>
      </w:pPr>
      <w:bookmarkStart w:id="146" w:name="_Toc467231872"/>
      <w:bookmarkStart w:id="147" w:name="Draft_recommendation_19"/>
      <w:r w:rsidRPr="00DA7DFE">
        <w:rPr>
          <w:sz w:val="22"/>
        </w:rPr>
        <w:t>Draft recommendation</w:t>
      </w:r>
      <w:bookmarkEnd w:id="146"/>
      <w:r w:rsidR="0050175A">
        <w:rPr>
          <w:sz w:val="22"/>
        </w:rPr>
        <w:t xml:space="preserve"> </w:t>
      </w:r>
      <w:r w:rsidR="00FE6EEF">
        <w:rPr>
          <w:sz w:val="22"/>
        </w:rPr>
        <w:t>19</w:t>
      </w:r>
      <w:bookmarkEnd w:id="147"/>
      <w:r w:rsidR="002C7DA4" w:rsidRPr="00DA7DFE">
        <w:rPr>
          <w:noProof/>
          <w:sz w:val="22"/>
        </w:rPr>
        <w:t>:</w:t>
      </w:r>
    </w:p>
    <w:p w14:paraId="7401FF7A" w14:textId="77777777" w:rsidR="00A77170" w:rsidRPr="00DA7DFE" w:rsidRDefault="0094727C" w:rsidP="00DA7DFE">
      <w:pPr>
        <w:pStyle w:val="BoxText"/>
        <w:shd w:val="clear" w:color="auto" w:fill="D9D9D9" w:themeFill="background1" w:themeFillShade="D9"/>
        <w:rPr>
          <w:sz w:val="22"/>
        </w:rPr>
      </w:pPr>
      <w:r w:rsidRPr="00DA7DFE">
        <w:rPr>
          <w:sz w:val="22"/>
        </w:rPr>
        <w:t>The NBC</w:t>
      </w:r>
      <w:r w:rsidR="00E47DD7" w:rsidRPr="00DA7DFE">
        <w:rPr>
          <w:sz w:val="22"/>
        </w:rPr>
        <w:t xml:space="preserve"> should </w:t>
      </w:r>
      <w:r w:rsidRPr="00DA7DFE">
        <w:rPr>
          <w:sz w:val="22"/>
        </w:rPr>
        <w:t>include the CEO of the Australian Local Government Association, and the New Zealand Government be invited to include a representative.</w:t>
      </w:r>
    </w:p>
    <w:p w14:paraId="0BB2E9F4" w14:textId="5DD69A69" w:rsidR="00A77170" w:rsidRDefault="002810EC" w:rsidP="00A77170">
      <w:r w:rsidRPr="002810EC">
        <w:t>In sum, the Review Panel has proposed Terms of Reference for the NBC (</w:t>
      </w:r>
      <w:r>
        <w:fldChar w:fldCharType="begin"/>
      </w:r>
      <w:r>
        <w:instrText xml:space="preserve"> REF _Ref467224499 \h </w:instrText>
      </w:r>
      <w:r>
        <w:fldChar w:fldCharType="separate"/>
      </w:r>
      <w:r w:rsidR="008303E2">
        <w:t xml:space="preserve">Box </w:t>
      </w:r>
      <w:r w:rsidR="008303E2">
        <w:rPr>
          <w:noProof/>
        </w:rPr>
        <w:t>9</w:t>
      </w:r>
      <w:r>
        <w:fldChar w:fldCharType="end"/>
      </w:r>
      <w:r w:rsidRPr="002810EC">
        <w:t>) to be included in the IGAB as a schedule.</w:t>
      </w:r>
    </w:p>
    <w:p w14:paraId="69C5E837" w14:textId="77777777" w:rsidR="00A77170" w:rsidRDefault="00A77170" w:rsidP="00CE53A8">
      <w:pPr>
        <w:pStyle w:val="BoxHeading"/>
      </w:pPr>
      <w:bookmarkStart w:id="148" w:name="_Ref467224499"/>
      <w:bookmarkStart w:id="149" w:name="_Toc468176752"/>
      <w:bookmarkStart w:id="150" w:name="_Toc468444402"/>
      <w:r>
        <w:t xml:space="preserve">Box </w:t>
      </w:r>
      <w:r w:rsidR="008303E2">
        <w:fldChar w:fldCharType="begin"/>
      </w:r>
      <w:r w:rsidR="008303E2">
        <w:instrText xml:space="preserve"> SEQ Box \* ARABIC </w:instrText>
      </w:r>
      <w:r w:rsidR="008303E2">
        <w:fldChar w:fldCharType="separate"/>
      </w:r>
      <w:r w:rsidR="008303E2">
        <w:rPr>
          <w:noProof/>
        </w:rPr>
        <w:t>9</w:t>
      </w:r>
      <w:r w:rsidR="008303E2">
        <w:rPr>
          <w:noProof/>
        </w:rPr>
        <w:fldChar w:fldCharType="end"/>
      </w:r>
      <w:bookmarkEnd w:id="148"/>
      <w:r w:rsidR="00081BB4">
        <w:t>:</w:t>
      </w:r>
      <w:r>
        <w:t xml:space="preserve"> Proposed NBC Terms of Reference</w:t>
      </w:r>
      <w:bookmarkEnd w:id="149"/>
      <w:bookmarkEnd w:id="150"/>
    </w:p>
    <w:p w14:paraId="686A771F" w14:textId="77777777" w:rsidR="00A77170" w:rsidRDefault="00A77170" w:rsidP="00C87CD5">
      <w:pPr>
        <w:pStyle w:val="BoxText"/>
      </w:pPr>
      <w:r>
        <w:t xml:space="preserve">The National Biosecurity Committee (NBC) is established by First Ministers of all Australian governments under the Intergovernmental Agreement on Biosecurity (IGAB). </w:t>
      </w:r>
    </w:p>
    <w:p w14:paraId="5768C4BD" w14:textId="77777777" w:rsidR="00A77170" w:rsidRDefault="00A77170" w:rsidP="00C87CD5">
      <w:pPr>
        <w:pStyle w:val="BoxText"/>
      </w:pPr>
      <w:r>
        <w:t>The objective of the NBC is to strengthen national biosecurity through:</w:t>
      </w:r>
    </w:p>
    <w:p w14:paraId="695076C0" w14:textId="77777777" w:rsidR="00A77170" w:rsidRDefault="00A77170" w:rsidP="00C87CD5">
      <w:pPr>
        <w:pStyle w:val="BoxTextBullet"/>
      </w:pPr>
      <w:r>
        <w:t>providing expert strategic and policy advice to ministers responsible for biosecurity (AGMIN)</w:t>
      </w:r>
    </w:p>
    <w:p w14:paraId="4EE899C3" w14:textId="6E1B64AB" w:rsidR="00A77170" w:rsidRDefault="00A77170" w:rsidP="00C87CD5">
      <w:pPr>
        <w:pStyle w:val="BoxTextBullet"/>
      </w:pPr>
      <w:r w:rsidRPr="004434CF">
        <w:t>ensuring a</w:t>
      </w:r>
      <w:r>
        <w:t xml:space="preserve">n effective national biosecurity capability is maintained </w:t>
      </w:r>
    </w:p>
    <w:p w14:paraId="4C5FAAE6" w14:textId="42D0A537" w:rsidR="00A77170" w:rsidRDefault="00A77170" w:rsidP="00C87CD5">
      <w:pPr>
        <w:pStyle w:val="BoxTextBullet"/>
      </w:pPr>
      <w:r>
        <w:t>coordinat</w:t>
      </w:r>
      <w:r w:rsidR="002845D8">
        <w:t>ing</w:t>
      </w:r>
      <w:r>
        <w:t xml:space="preserve"> biosecurity investment in the national interest</w:t>
      </w:r>
    </w:p>
    <w:p w14:paraId="0D2C2A53" w14:textId="77777777" w:rsidR="00A77170" w:rsidRDefault="00A77170" w:rsidP="00C87CD5">
      <w:pPr>
        <w:pStyle w:val="BoxTextBullet"/>
      </w:pPr>
      <w:r>
        <w:t>establishing effective arrangements for the regular sharing of intelligence and performance information on the national biosecurity system</w:t>
      </w:r>
    </w:p>
    <w:p w14:paraId="726073C9" w14:textId="77777777" w:rsidR="00A77170" w:rsidRDefault="00A77170" w:rsidP="00C87CD5">
      <w:pPr>
        <w:pStyle w:val="BoxTextBullet"/>
      </w:pPr>
      <w:r>
        <w:t>promoting cooperation, collaborating and consistency across and between Australian governments</w:t>
      </w:r>
    </w:p>
    <w:p w14:paraId="7946EAB7" w14:textId="025B42FF" w:rsidR="00A77170" w:rsidRDefault="00A77170" w:rsidP="00C87CD5">
      <w:pPr>
        <w:pStyle w:val="BoxTextBullet"/>
      </w:pPr>
      <w:r>
        <w:t>jointly investing in annual program of work to strengthen national arrang</w:t>
      </w:r>
      <w:r w:rsidR="00DD7DC3">
        <w:t>ements</w:t>
      </w:r>
    </w:p>
    <w:p w14:paraId="010C3567" w14:textId="6DC6EBF6" w:rsidR="00C92BA3" w:rsidRDefault="00C92BA3" w:rsidP="00C92BA3">
      <w:pPr>
        <w:pStyle w:val="BoxTextBullet"/>
      </w:pPr>
      <w:r>
        <w:t>establishing and maintaining lists of national high-priority animal, plant and environmental pests and diseases and their biosecurity requirements</w:t>
      </w:r>
    </w:p>
    <w:p w14:paraId="30A762B2" w14:textId="43FCC2C5" w:rsidR="00A77170" w:rsidRDefault="002845D8" w:rsidP="00C87CD5">
      <w:pPr>
        <w:pStyle w:val="BoxTextBullet"/>
      </w:pPr>
      <w:r>
        <w:t>overseeing development of, and reporting against, a performance framework and measures for</w:t>
      </w:r>
      <w:r w:rsidR="00A77170">
        <w:t xml:space="preserve"> </w:t>
      </w:r>
      <w:r>
        <w:t xml:space="preserve">the </w:t>
      </w:r>
      <w:r w:rsidR="00A77170">
        <w:t xml:space="preserve">national biosecurity </w:t>
      </w:r>
      <w:r>
        <w:t>system</w:t>
      </w:r>
      <w:r w:rsidR="00A77170">
        <w:t>.</w:t>
      </w:r>
    </w:p>
    <w:p w14:paraId="20821604" w14:textId="77777777" w:rsidR="00A77170" w:rsidRDefault="00A77170" w:rsidP="00C87CD5">
      <w:pPr>
        <w:pStyle w:val="BoxText"/>
      </w:pPr>
      <w:r>
        <w:t>The NBC is chaired by the Secretary of the Australian Government Department of Agriculture and Water Resources. Membership comprises senior officials from the Australian, state and territory and New Zealand primary industry and/or environment departments. Jurisdictions may have up to two representatives, but bring a single position to the committee on matters for resolution. The CEO of the Australian Local Government Association is also a member. New Zealand will be invited to send a representative to NBC meetings.</w:t>
      </w:r>
    </w:p>
    <w:p w14:paraId="7EDB1DAF" w14:textId="52C8E4B8" w:rsidR="007D440B" w:rsidRDefault="00A77170" w:rsidP="00C87CD5">
      <w:pPr>
        <w:pStyle w:val="BoxText"/>
      </w:pPr>
      <w:r>
        <w:t>The NBC will establish sectoral sub</w:t>
      </w:r>
      <w:r w:rsidR="000060EA">
        <w:t>-</w:t>
      </w:r>
      <w:r>
        <w:t>committees</w:t>
      </w:r>
      <w:r w:rsidR="00222219">
        <w:t>,</w:t>
      </w:r>
      <w:r>
        <w:t xml:space="preserve"> and from time to time will establish time-limited expert groups to facilitate effective operations. The NBC will task these committees and subgroups.</w:t>
      </w:r>
    </w:p>
    <w:p w14:paraId="07665CF7" w14:textId="7D092899" w:rsidR="007C6F03" w:rsidRPr="00257F9C" w:rsidRDefault="007C6F03" w:rsidP="00257F9C">
      <w:pPr>
        <w:spacing w:after="0"/>
        <w:rPr>
          <w:sz w:val="16"/>
          <w:szCs w:val="16"/>
        </w:rPr>
      </w:pPr>
    </w:p>
    <w:p w14:paraId="64BC6677" w14:textId="595F0C57" w:rsidR="00773D50" w:rsidRPr="00C76BCF" w:rsidRDefault="007D440B" w:rsidP="00C76BCF">
      <w:pPr>
        <w:pStyle w:val="BoxHeading"/>
        <w:shd w:val="clear" w:color="auto" w:fill="D9D9D9" w:themeFill="background1" w:themeFillShade="D9"/>
        <w:rPr>
          <w:rStyle w:val="Strong"/>
          <w:b/>
          <w:bCs w:val="0"/>
          <w:sz w:val="22"/>
        </w:rPr>
      </w:pPr>
      <w:bookmarkStart w:id="151" w:name="Request_for_feedback_4"/>
      <w:r w:rsidRPr="00C76BCF">
        <w:rPr>
          <w:rStyle w:val="Strong"/>
          <w:b/>
          <w:bCs w:val="0"/>
          <w:sz w:val="22"/>
        </w:rPr>
        <w:t>Request for feedback</w:t>
      </w:r>
      <w:r w:rsidR="00EF1B97" w:rsidRPr="00C76BCF">
        <w:rPr>
          <w:rStyle w:val="Strong"/>
          <w:b/>
          <w:bCs w:val="0"/>
          <w:sz w:val="22"/>
        </w:rPr>
        <w:t xml:space="preserve"> </w:t>
      </w:r>
      <w:r w:rsidR="00E61E5A" w:rsidRPr="00C76BCF">
        <w:rPr>
          <w:rStyle w:val="Strong"/>
          <w:b/>
          <w:bCs w:val="0"/>
          <w:sz w:val="22"/>
        </w:rPr>
        <w:t>4</w:t>
      </w:r>
      <w:bookmarkEnd w:id="151"/>
      <w:r w:rsidR="00535639" w:rsidRPr="00C76BCF">
        <w:rPr>
          <w:rStyle w:val="Strong"/>
          <w:b/>
          <w:bCs w:val="0"/>
          <w:sz w:val="22"/>
        </w:rPr>
        <w:t>:</w:t>
      </w:r>
    </w:p>
    <w:p w14:paraId="2AB3C9BC" w14:textId="3A9DBC32" w:rsidR="00773D50" w:rsidRPr="00C76BCF" w:rsidRDefault="002F2F3C" w:rsidP="00C76BCF">
      <w:pPr>
        <w:pStyle w:val="BoxText"/>
        <w:shd w:val="clear" w:color="auto" w:fill="D9D9D9" w:themeFill="background1" w:themeFillShade="D9"/>
        <w:rPr>
          <w:sz w:val="22"/>
        </w:rPr>
      </w:pPr>
      <w:r w:rsidRPr="00C76BCF">
        <w:rPr>
          <w:sz w:val="22"/>
        </w:rPr>
        <w:t xml:space="preserve">The Review Panel </w:t>
      </w:r>
      <w:r w:rsidR="007D440B" w:rsidRPr="00C76BCF">
        <w:rPr>
          <w:sz w:val="22"/>
        </w:rPr>
        <w:t>seeks</w:t>
      </w:r>
      <w:r w:rsidRPr="00C76BCF">
        <w:rPr>
          <w:sz w:val="22"/>
        </w:rPr>
        <w:t xml:space="preserve"> f</w:t>
      </w:r>
      <w:r w:rsidR="00773D50" w:rsidRPr="00C76BCF">
        <w:rPr>
          <w:sz w:val="22"/>
        </w:rPr>
        <w:t xml:space="preserve">eedback on </w:t>
      </w:r>
      <w:r w:rsidRPr="00C76BCF">
        <w:rPr>
          <w:sz w:val="22"/>
        </w:rPr>
        <w:t xml:space="preserve">the proposed </w:t>
      </w:r>
      <w:r w:rsidR="00773D50" w:rsidRPr="00C76BCF">
        <w:rPr>
          <w:sz w:val="22"/>
        </w:rPr>
        <w:t>Terms of Reference</w:t>
      </w:r>
      <w:r w:rsidR="00CA5498" w:rsidRPr="00C76BCF">
        <w:rPr>
          <w:sz w:val="22"/>
        </w:rPr>
        <w:t xml:space="preserve"> for the NBC</w:t>
      </w:r>
      <w:r w:rsidRPr="00C76BCF">
        <w:rPr>
          <w:sz w:val="22"/>
        </w:rPr>
        <w:t>.</w:t>
      </w:r>
    </w:p>
    <w:p w14:paraId="4E4EF75B" w14:textId="77777777" w:rsidR="00A77170" w:rsidRDefault="00A77170" w:rsidP="00257F9C">
      <w:pPr>
        <w:pStyle w:val="Heading4"/>
        <w:keepNext/>
      </w:pPr>
      <w:r>
        <w:lastRenderedPageBreak/>
        <w:t>Committee structure</w:t>
      </w:r>
    </w:p>
    <w:p w14:paraId="46743187" w14:textId="77777777" w:rsidR="001617D0" w:rsidRDefault="001617D0" w:rsidP="00257F9C">
      <w:pPr>
        <w:keepNext/>
      </w:pPr>
      <w:r>
        <w:t>The NBC’s current committee structure is extensive, comprising:</w:t>
      </w:r>
    </w:p>
    <w:p w14:paraId="729CEF37" w14:textId="6BF7B34A" w:rsidR="001617D0" w:rsidRDefault="00D41485" w:rsidP="00257F9C">
      <w:pPr>
        <w:pStyle w:val="ListBullet"/>
        <w:keepNext/>
      </w:pPr>
      <w:r>
        <w:t>Four</w:t>
      </w:r>
      <w:r w:rsidR="001617D0">
        <w:t xml:space="preserve"> primary sectoral committees—AHC,</w:t>
      </w:r>
      <w:r w:rsidR="006072E1">
        <w:t xml:space="preserve"> </w:t>
      </w:r>
      <w:r w:rsidR="001617D0">
        <w:t xml:space="preserve">PHC, </w:t>
      </w:r>
      <w:r w:rsidR="001617D0" w:rsidRPr="006072E1">
        <w:t>MPSC</w:t>
      </w:r>
      <w:r w:rsidR="001617D0">
        <w:t xml:space="preserve"> and IPAC. These committees are supported by a further 24 sub-committees, working groups and expert groups.</w:t>
      </w:r>
    </w:p>
    <w:p w14:paraId="099215C2" w14:textId="2FD06C5C" w:rsidR="001617D0" w:rsidRDefault="00D41485" w:rsidP="001617D0">
      <w:pPr>
        <w:pStyle w:val="ListBullet"/>
      </w:pPr>
      <w:r>
        <w:t>Two</w:t>
      </w:r>
      <w:r w:rsidR="001617D0">
        <w:t xml:space="preserve"> cross-system expert groups—the National Biosecurity Emergency Preparedness Expert Group (supported by a further </w:t>
      </w:r>
      <w:r w:rsidR="006072E1">
        <w:t>three</w:t>
      </w:r>
      <w:r w:rsidR="001617D0">
        <w:t xml:space="preserve"> task groups) and the National Biosecurity Information Governance Expert Group</w:t>
      </w:r>
      <w:r w:rsidR="006072E1">
        <w:t>.</w:t>
      </w:r>
    </w:p>
    <w:p w14:paraId="445961DB" w14:textId="77777777" w:rsidR="001617D0" w:rsidRDefault="00D41485" w:rsidP="001617D0">
      <w:pPr>
        <w:pStyle w:val="ListBullet"/>
      </w:pPr>
      <w:r>
        <w:t>Two</w:t>
      </w:r>
      <w:r w:rsidR="001617D0">
        <w:t xml:space="preserve"> committees that operate in the event of a biosecurity response—the National Management Group and the Biosecurity Incident National Communication Network.</w:t>
      </w:r>
    </w:p>
    <w:p w14:paraId="340BF91C" w14:textId="77777777" w:rsidR="001617D0" w:rsidRDefault="001617D0" w:rsidP="001617D0">
      <w:r>
        <w:t>The existing committee structure does not provide clarity about which committee is responsible for specific issues. For example</w:t>
      </w:r>
      <w:r w:rsidR="006072E1">
        <w:t>,</w:t>
      </w:r>
      <w:r>
        <w:t xml:space="preserve"> it is unclear which committee should deal with new pests or established pests, plants versus pests that are plants and which committees should deal with environmental issues.</w:t>
      </w:r>
    </w:p>
    <w:p w14:paraId="4A6065E3" w14:textId="77777777" w:rsidR="001617D0" w:rsidRDefault="001617D0" w:rsidP="001617D0">
      <w:r>
        <w:t>The Australian Government suggests (submission, p. 2) there could be better coordination and linkages between the committees and sub-committees to ensure greater transparency, sharing of information, cross-sectoral utilisation of the work of the committees.</w:t>
      </w:r>
    </w:p>
    <w:p w14:paraId="6F319093" w14:textId="79F0B5D4" w:rsidR="001617D0" w:rsidRDefault="001617D0" w:rsidP="001617D0">
      <w:r>
        <w:t>The Review Panel has proposed revised objectives and priority reform areas for the national system under the IGAB; a greater focus on market access and environmental biosecurity; and greater sharing of responsibility for established pests and weeds among system participants. As a consequence, the Panel considers there is need to modify the NBC sectoral committee structure, along with the terms of reference for relevant sub-committees.</w:t>
      </w:r>
      <w:r w:rsidR="00C92BA3">
        <w:t xml:space="preserve"> The Panel has also attempted to minimise changes from the existing structure except where it believes there is a strong case to do so.</w:t>
      </w:r>
    </w:p>
    <w:p w14:paraId="5B8452CF" w14:textId="34835E14" w:rsidR="001617D0" w:rsidRDefault="001617D0" w:rsidP="001617D0">
      <w:r>
        <w:t xml:space="preserve">As detailed in </w:t>
      </w:r>
      <w:r w:rsidRPr="003B628F">
        <w:t>Chapter 4</w:t>
      </w:r>
      <w:r>
        <w:t>, the Panel has proposed a new Environmental Biosecurity Committee with responsibility for non-production based terrestrial</w:t>
      </w:r>
      <w:r w:rsidR="00773D50">
        <w:t>, aquatic</w:t>
      </w:r>
      <w:r>
        <w:t xml:space="preserve"> and marine pests</w:t>
      </w:r>
      <w:r w:rsidR="00773D50">
        <w:t xml:space="preserve"> (including invertebrates)</w:t>
      </w:r>
      <w:r>
        <w:t xml:space="preserve"> and diseases. While these areas will require different expertise and management approaches, these can be accommodated in different streams of work under the oversight of the Chief Environmental Biosecurity Officer.</w:t>
      </w:r>
    </w:p>
    <w:p w14:paraId="7E69AF54" w14:textId="6C396D3D" w:rsidR="001617D0" w:rsidRDefault="001617D0" w:rsidP="001617D0">
      <w:r>
        <w:t xml:space="preserve">The Panel also </w:t>
      </w:r>
      <w:r w:rsidR="00A91B9C">
        <w:t>considers much of the work of the IPAC</w:t>
      </w:r>
      <w:r>
        <w:t xml:space="preserve"> is now at a mature stage and implementation responsibility for </w:t>
      </w:r>
      <w:r w:rsidR="00A91B9C">
        <w:t>some of its activities c</w:t>
      </w:r>
      <w:r>
        <w:t xml:space="preserve">ould be owned and advanced by </w:t>
      </w:r>
      <w:r w:rsidR="00A91B9C">
        <w:t xml:space="preserve">other </w:t>
      </w:r>
      <w:r>
        <w:t>bodies</w:t>
      </w:r>
      <w:r w:rsidR="003F0112">
        <w:t>, potentially</w:t>
      </w:r>
      <w:r>
        <w:t xml:space="preserve"> including the new Centre for Invasive Species Solutions</w:t>
      </w:r>
      <w:r w:rsidR="00F905CE">
        <w:t xml:space="preserve"> </w:t>
      </w:r>
      <w:r w:rsidR="00475BCA">
        <w:t xml:space="preserve">(CISS) </w:t>
      </w:r>
      <w:r w:rsidR="00F905CE">
        <w:t>(once established in</w:t>
      </w:r>
      <w:r w:rsidR="003F0112">
        <w:t xml:space="preserve"> 2017)</w:t>
      </w:r>
      <w:r>
        <w:t xml:space="preserve">. The animal, plant and environmental sectoral committees of </w:t>
      </w:r>
      <w:r w:rsidR="00807740">
        <w:t xml:space="preserve">the </w:t>
      </w:r>
      <w:r>
        <w:t>NBC should maintain policy responsibility for nationally significant established pests and diseases, where these are linked to major biosecurity risks (</w:t>
      </w:r>
      <w:r w:rsidR="00003A8A">
        <w:t>for example,</w:t>
      </w:r>
      <w:r>
        <w:t xml:space="preserve"> where established species are major vectors for national priority pests and diseases).</w:t>
      </w:r>
    </w:p>
    <w:p w14:paraId="37782B71" w14:textId="666AFE1B" w:rsidR="00A77170" w:rsidRDefault="001617D0" w:rsidP="001617D0">
      <w:r w:rsidRPr="004434CF">
        <w:t>To reflect these changes, and give a deliberate biosecurity focus to the NBC and its sectoral committees, the Panel is suggesting a revised Animal Biosecurity Committee (ABC), renaming the Animal Health Committee, and a revised Plant Biosecurity Committee (PBC), re</w:t>
      </w:r>
      <w:r w:rsidR="004C6E1A">
        <w:t>naming</w:t>
      </w:r>
      <w:r w:rsidRPr="004434CF">
        <w:t xml:space="preserve"> the Plant Health Committee. All </w:t>
      </w:r>
      <w:r w:rsidR="00773D50">
        <w:t xml:space="preserve">production </w:t>
      </w:r>
      <w:r w:rsidRPr="004434CF">
        <w:t>animal biosecurity issues would be handled by the ABC; all</w:t>
      </w:r>
      <w:r w:rsidR="00773D50">
        <w:t xml:space="preserve"> production</w:t>
      </w:r>
      <w:r w:rsidRPr="004434CF">
        <w:t xml:space="preserve"> plant biosecurity issues would be handled by the PBC. This </w:t>
      </w:r>
      <w:r w:rsidRPr="00561FD5">
        <w:t xml:space="preserve">would alter the </w:t>
      </w:r>
      <w:r w:rsidRPr="00561FD5">
        <w:lastRenderedPageBreak/>
        <w:t>responsibilities of the existing committees and the Panel acknowledges that some i</w:t>
      </w:r>
      <w:r w:rsidR="009D1E8D">
        <w:t>ssues would be left unresolved.</w:t>
      </w:r>
    </w:p>
    <w:p w14:paraId="182766B2" w14:textId="0DB19DF0" w:rsidR="00D97D98" w:rsidRPr="00712C1D" w:rsidRDefault="00D97D98" w:rsidP="00712C1D">
      <w:pPr>
        <w:pStyle w:val="BoxHeading"/>
        <w:shd w:val="clear" w:color="auto" w:fill="D9D9D9" w:themeFill="background1" w:themeFillShade="D9"/>
        <w:rPr>
          <w:sz w:val="22"/>
        </w:rPr>
      </w:pPr>
      <w:bookmarkStart w:id="152" w:name="_Toc467231873"/>
      <w:bookmarkStart w:id="153" w:name="Draft_recommendation_20"/>
      <w:r w:rsidRPr="00712C1D">
        <w:rPr>
          <w:sz w:val="22"/>
        </w:rPr>
        <w:t>Draft recommendation</w:t>
      </w:r>
      <w:bookmarkEnd w:id="152"/>
      <w:r w:rsidR="0050175A">
        <w:rPr>
          <w:sz w:val="22"/>
        </w:rPr>
        <w:t xml:space="preserve"> 2</w:t>
      </w:r>
      <w:r w:rsidR="00FE6EEF">
        <w:rPr>
          <w:sz w:val="22"/>
        </w:rPr>
        <w:t>0</w:t>
      </w:r>
      <w:bookmarkEnd w:id="153"/>
      <w:r w:rsidR="00063EB7" w:rsidRPr="00712C1D">
        <w:rPr>
          <w:noProof/>
          <w:sz w:val="22"/>
        </w:rPr>
        <w:t>:</w:t>
      </w:r>
    </w:p>
    <w:p w14:paraId="3A9B6992" w14:textId="0572666E" w:rsidR="00A77170" w:rsidRPr="00712C1D" w:rsidRDefault="001617D0" w:rsidP="00712C1D">
      <w:pPr>
        <w:pStyle w:val="BoxText"/>
        <w:shd w:val="clear" w:color="auto" w:fill="D9D9D9" w:themeFill="background1" w:themeFillShade="D9"/>
        <w:rPr>
          <w:sz w:val="22"/>
        </w:rPr>
      </w:pPr>
      <w:r w:rsidRPr="00712C1D">
        <w:rPr>
          <w:sz w:val="22"/>
        </w:rPr>
        <w:t>The NBC</w:t>
      </w:r>
      <w:r w:rsidR="00E47DD7" w:rsidRPr="00712C1D">
        <w:rPr>
          <w:sz w:val="22"/>
        </w:rPr>
        <w:t xml:space="preserve"> should</w:t>
      </w:r>
      <w:r w:rsidRPr="00712C1D">
        <w:rPr>
          <w:sz w:val="22"/>
        </w:rPr>
        <w:t xml:space="preserve"> adopt a sub-committee structure that aligns with the revised national biosecurity system objectives and national reform priorities in the IGAB. All NBC </w:t>
      </w:r>
      <w:r w:rsidR="007A5B8D" w:rsidRPr="00712C1D">
        <w:rPr>
          <w:sz w:val="22"/>
        </w:rPr>
        <w:t>working groups</w:t>
      </w:r>
      <w:r w:rsidRPr="00712C1D">
        <w:rPr>
          <w:sz w:val="22"/>
        </w:rPr>
        <w:t xml:space="preserve"> and expert groups should be task-specific and, wherever possible, time-limited.</w:t>
      </w:r>
    </w:p>
    <w:p w14:paraId="772DD4A3" w14:textId="77777777" w:rsidR="00A77170" w:rsidRDefault="00A77170" w:rsidP="00FB4E47">
      <w:pPr>
        <w:pStyle w:val="Heading4"/>
        <w:keepNext/>
      </w:pPr>
      <w:r>
        <w:t>Culture and transparency</w:t>
      </w:r>
    </w:p>
    <w:p w14:paraId="34435FCF" w14:textId="20404B75" w:rsidR="00E16052" w:rsidRDefault="00E16052" w:rsidP="00FB4E47">
      <w:pPr>
        <w:keepNext/>
      </w:pPr>
      <w:r>
        <w:t>The Review Panel has had a number of opportunities to engage with members of the NBC during this Review</w:t>
      </w:r>
      <w:r w:rsidR="00F07BFD">
        <w:t xml:space="preserve">, and </w:t>
      </w:r>
      <w:r>
        <w:t>has observed that the culture of the NBC is positive</w:t>
      </w:r>
      <w:r w:rsidR="00F07BFD">
        <w:t xml:space="preserve"> with</w:t>
      </w:r>
      <w:r>
        <w:t xml:space="preserve"> members </w:t>
      </w:r>
      <w:r w:rsidR="00F07BFD">
        <w:t xml:space="preserve">that </w:t>
      </w:r>
      <w:r>
        <w:t>are committed, engaged, and constructive. However, the committee is perhaps overly reliant on key people, goodwill and informal arrangements.</w:t>
      </w:r>
    </w:p>
    <w:p w14:paraId="17BF65F0" w14:textId="5D2A2154" w:rsidR="00E16052" w:rsidRDefault="00E16052" w:rsidP="00E16052">
      <w:r>
        <w:t xml:space="preserve">External stakeholders have commented on the </w:t>
      </w:r>
      <w:r w:rsidR="00CA5498">
        <w:t>levels of change</w:t>
      </w:r>
      <w:r>
        <w:t xml:space="preserve"> </w:t>
      </w:r>
      <w:r w:rsidR="00CA5498">
        <w:t>in</w:t>
      </w:r>
      <w:r>
        <w:t xml:space="preserve"> government ministers and officials involved in the national biosecurity system—pointing out that all agriculture ministers and agency heads have changed during the period cove</w:t>
      </w:r>
      <w:r w:rsidR="00995F28">
        <w:t>re</w:t>
      </w:r>
      <w:r>
        <w:t>d by the current IGAB. Similarly, most NBC members are relatively new. The Panel believes there is scope to codify past and formalise present NBC decision-making processes to ensure that corporate knowledge and positions and decisions reached by the committee endure beyon</w:t>
      </w:r>
      <w:r w:rsidR="009D1E8D">
        <w:t>d the current NBC participants.</w:t>
      </w:r>
    </w:p>
    <w:p w14:paraId="24B66495" w14:textId="4DAEE5F7" w:rsidR="00E16052" w:rsidRDefault="00E16052" w:rsidP="00E16052">
      <w:r>
        <w:t xml:space="preserve">Stakeholders have also been critical that governments, </w:t>
      </w:r>
      <w:r w:rsidR="00807740">
        <w:t xml:space="preserve">the </w:t>
      </w:r>
      <w:r>
        <w:t>NBC and its sub-committees have not been sufficiently open about their activities—and the Panel agrees.</w:t>
      </w:r>
    </w:p>
    <w:p w14:paraId="043D6B0B" w14:textId="77777777" w:rsidR="00E16052" w:rsidRDefault="00E16052" w:rsidP="00E16052">
      <w:pPr>
        <w:pStyle w:val="Quote"/>
      </w:pPr>
      <w:r>
        <w:t>It is very hard for industry to see the outcomes of the IGAB and even industry members who are active in the biosecurity space struggle with the complexity and hierarchy of the various governments committees and bodies that act in this area (Northern Territory Farmers Association submission, p. 4)</w:t>
      </w:r>
    </w:p>
    <w:p w14:paraId="43404057" w14:textId="77777777" w:rsidR="00E16052" w:rsidRDefault="00E16052" w:rsidP="00E16052">
      <w:pPr>
        <w:pStyle w:val="Quote"/>
      </w:pPr>
      <w:r>
        <w:t>The work of the National Biosecurity Committee and its committees is general [sic.] opaque to the public. Recently [the] National Biosecurity Committee has started issuing communiques after their meetings, but the level of detail in the communiques does not allow any meaningful understanding of what was discussed (Invasive Species Council submission, p. 12)</w:t>
      </w:r>
    </w:p>
    <w:p w14:paraId="12F11E0D" w14:textId="57257469" w:rsidR="00E16052" w:rsidRDefault="00E16052" w:rsidP="00E16052">
      <w:r>
        <w:t>The NBC structure and work program lack transparency. Publicly available information on the work of the NBC and its sub-committees is limited and outdated—for example, websites are not always kept up to date, and communiqu</w:t>
      </w:r>
      <w:r w:rsidR="00A03596">
        <w:t>é</w:t>
      </w:r>
      <w:r>
        <w:t xml:space="preserve">s can lack meaningful information. </w:t>
      </w:r>
      <w:r w:rsidR="00C92BA3">
        <w:t>Even taking into account the need to ensure Australia’s trade interests are not compromised, t</w:t>
      </w:r>
      <w:r>
        <w:t xml:space="preserve">here also </w:t>
      </w:r>
      <w:r w:rsidR="00C92BA3">
        <w:t xml:space="preserve">appears to be </w:t>
      </w:r>
      <w:r>
        <w:t>a tendency for the NBC to be overly risk-averse in sharing biosecurity information, data and intelligence.</w:t>
      </w:r>
    </w:p>
    <w:p w14:paraId="489204FB" w14:textId="486AD496" w:rsidR="00A02554" w:rsidRDefault="00E16052" w:rsidP="00E16052">
      <w:r>
        <w:t>The Review Panel has already noted the significant achievements of the IGAB against its priority reform areas, since its introduction in 2012 (</w:t>
      </w:r>
      <w:r w:rsidR="00267795">
        <w:t>refer</w:t>
      </w:r>
      <w:r w:rsidRPr="003B628F">
        <w:t xml:space="preserve"> </w:t>
      </w:r>
      <w:hyperlink w:anchor="_Australia’s_biosecurity_system" w:history="1">
        <w:r w:rsidRPr="0050175A">
          <w:rPr>
            <w:rStyle w:val="Hyperlink"/>
          </w:rPr>
          <w:t>Chapter 1</w:t>
        </w:r>
      </w:hyperlink>
      <w:r w:rsidRPr="00003A8A">
        <w:t>)</w:t>
      </w:r>
      <w:r>
        <w:t>. However, many of these achievements, including key policy frameworks, are not publicly available to inform all system participants.</w:t>
      </w:r>
      <w:r w:rsidR="004A0A12" w:rsidRPr="004A0A12">
        <w:t xml:space="preserve"> </w:t>
      </w:r>
      <w:r w:rsidR="004A0A12">
        <w:t>The Panel considers the NBC could do more to improve its transparency.</w:t>
      </w:r>
    </w:p>
    <w:p w14:paraId="6494C341" w14:textId="3BDA367F" w:rsidR="00D97D98" w:rsidRPr="00D46AC3" w:rsidRDefault="00D97D98" w:rsidP="00D46AC3">
      <w:pPr>
        <w:pStyle w:val="BoxHeading"/>
        <w:shd w:val="clear" w:color="auto" w:fill="D9D9D9" w:themeFill="background1" w:themeFillShade="D9"/>
        <w:rPr>
          <w:sz w:val="22"/>
        </w:rPr>
      </w:pPr>
      <w:bookmarkStart w:id="154" w:name="_Toc467231874"/>
      <w:bookmarkStart w:id="155" w:name="Draft_recommendation_21"/>
      <w:r w:rsidRPr="00D46AC3">
        <w:rPr>
          <w:sz w:val="22"/>
        </w:rPr>
        <w:lastRenderedPageBreak/>
        <w:t>Draft recommendation</w:t>
      </w:r>
      <w:bookmarkEnd w:id="154"/>
      <w:r w:rsidR="0050175A">
        <w:rPr>
          <w:sz w:val="22"/>
        </w:rPr>
        <w:t xml:space="preserve"> 2</w:t>
      </w:r>
      <w:r w:rsidR="00FE6EEF">
        <w:rPr>
          <w:sz w:val="22"/>
        </w:rPr>
        <w:t>1</w:t>
      </w:r>
      <w:bookmarkEnd w:id="155"/>
      <w:r w:rsidR="00063EB7" w:rsidRPr="00D46AC3">
        <w:rPr>
          <w:noProof/>
          <w:sz w:val="22"/>
        </w:rPr>
        <w:t>:</w:t>
      </w:r>
    </w:p>
    <w:p w14:paraId="3A136E3A" w14:textId="4FE42F3B" w:rsidR="00E16052" w:rsidRPr="00D46AC3" w:rsidRDefault="00D75256" w:rsidP="00D46AC3">
      <w:pPr>
        <w:pStyle w:val="BoxText"/>
        <w:shd w:val="clear" w:color="auto" w:fill="D9D9D9" w:themeFill="background1" w:themeFillShade="D9"/>
        <w:rPr>
          <w:sz w:val="22"/>
        </w:rPr>
      </w:pPr>
      <w:r w:rsidRPr="00D46AC3">
        <w:rPr>
          <w:sz w:val="22"/>
        </w:rPr>
        <w:t>The NBC should take steps to increase its public profile and openness, including establishing a stand-alone website. The website could be maintained by, but be separate from, the Australian Government Department of Agriculture and Water Resources, and could accommodate and centralise all information on the NBC, its committees, and their activities. Key policy frameworks, agreements and reports of the NBC should be made publicly available on the site.</w:t>
      </w:r>
    </w:p>
    <w:p w14:paraId="16788A34" w14:textId="77777777" w:rsidR="00A77170" w:rsidRDefault="00A77170" w:rsidP="00A77170">
      <w:pPr>
        <w:pStyle w:val="Heading4"/>
      </w:pPr>
      <w:r>
        <w:t>Commitment and accountability</w:t>
      </w:r>
    </w:p>
    <w:p w14:paraId="295AAC48" w14:textId="26964D85" w:rsidR="00E16052" w:rsidRDefault="00E16052" w:rsidP="00E16052">
      <w:r>
        <w:t xml:space="preserve">The success of the national biosecurity system depends on all governments meeting their ‘core’ or ‘baseline’ commitments under the IGAB and the various emergency response deeds. However, recent reports have indicated that reductions </w:t>
      </w:r>
      <w:r w:rsidRPr="00CA5498">
        <w:t>in</w:t>
      </w:r>
      <w:r w:rsidR="000D4317" w:rsidRPr="00CA5498">
        <w:t xml:space="preserve"> consolidated revenue</w:t>
      </w:r>
      <w:r w:rsidRPr="00CA5498">
        <w:t xml:space="preserve"> budget </w:t>
      </w:r>
      <w:r w:rsidR="001A3C8E" w:rsidRPr="00CA5498">
        <w:t>allocations</w:t>
      </w:r>
      <w:r>
        <w:t xml:space="preserve"> have </w:t>
      </w:r>
      <w:r w:rsidR="0042319E">
        <w:t>compromised</w:t>
      </w:r>
      <w:r>
        <w:t xml:space="preserve"> the ability of some jurisdictions to meet those commitments and to collaborate on significant national biosecurity policy initiatives under the IGAB, which are designed to create a more effective and sustainable system.</w:t>
      </w:r>
    </w:p>
    <w:p w14:paraId="16901343" w14:textId="75F5C23A" w:rsidR="00E16052" w:rsidRDefault="00E16052" w:rsidP="00E16052">
      <w:r>
        <w:t xml:space="preserve">For example, </w:t>
      </w:r>
      <w:r w:rsidR="001A3C8E">
        <w:t>the</w:t>
      </w:r>
      <w:r>
        <w:t xml:space="preserve"> August 2015 report by the Victorian Auditor </w:t>
      </w:r>
      <w:r w:rsidRPr="00150693">
        <w:t>General (</w:t>
      </w:r>
      <w:hyperlink w:anchor="VAGO_2015" w:history="1">
        <w:r w:rsidRPr="0050175A">
          <w:rPr>
            <w:rStyle w:val="Hyperlink"/>
          </w:rPr>
          <w:t>VAGO 2015</w:t>
        </w:r>
      </w:hyperlink>
      <w:r w:rsidRPr="00150693">
        <w:t xml:space="preserve">) found that funding for core livestock biosecurity activities in Victoria </w:t>
      </w:r>
      <w:r w:rsidR="001A3C8E" w:rsidRPr="00150693">
        <w:t>had</w:t>
      </w:r>
      <w:r w:rsidRPr="00150693">
        <w:t xml:space="preserve"> </w:t>
      </w:r>
      <w:r w:rsidR="001A3C8E" w:rsidRPr="00150693">
        <w:t>decreased</w:t>
      </w:r>
      <w:r w:rsidRPr="00150693">
        <w:t xml:space="preserve"> by 49 per cent over the last five years. This has weakened </w:t>
      </w:r>
      <w:r w:rsidR="001A3C8E" w:rsidRPr="00150693">
        <w:t>Victoria’s</w:t>
      </w:r>
      <w:r w:rsidRPr="00150693">
        <w:t xml:space="preserve"> capacity to detect, prepare for and respond to emergency animal disease outbreaks, which can have devastating economic impacts. </w:t>
      </w:r>
      <w:r w:rsidR="001A3C8E" w:rsidRPr="00150693">
        <w:t>The</w:t>
      </w:r>
      <w:r w:rsidRPr="00150693">
        <w:t xml:space="preserve"> 2015 Queensland biosecurity capability review (</w:t>
      </w:r>
      <w:hyperlink w:anchor="Brooks_2015" w:history="1">
        <w:r w:rsidRPr="0050175A">
          <w:rPr>
            <w:rStyle w:val="Hyperlink"/>
          </w:rPr>
          <w:t>Brooks et al. 2015</w:t>
        </w:r>
      </w:hyperlink>
      <w:r w:rsidRPr="00150693">
        <w:t>) found that the increasing number, scale and scope of exotic pests and disease threats would likely exceed</w:t>
      </w:r>
      <w:r>
        <w:t xml:space="preserve"> Biosecurity Queensland’s resources and capacity. Other jurisdictions have reported similar reductions in resourcing and identified associated increases in risk. The Australian Capital Territory has i</w:t>
      </w:r>
      <w:r w:rsidR="006E4533">
        <w:t>n</w:t>
      </w:r>
      <w:r>
        <w:t>d</w:t>
      </w:r>
      <w:r w:rsidR="00773D50">
        <w:t>icated</w:t>
      </w:r>
      <w:r>
        <w:t xml:space="preserve"> that </w:t>
      </w:r>
      <w:r w:rsidR="002A5536">
        <w:t>due to</w:t>
      </w:r>
      <w:r>
        <w:t xml:space="preserve"> its size, location and land tenure</w:t>
      </w:r>
      <w:r w:rsidRPr="00CA5498">
        <w:t>, it work</w:t>
      </w:r>
      <w:r w:rsidR="00CA5498" w:rsidRPr="00CA5498">
        <w:t>s</w:t>
      </w:r>
      <w:r>
        <w:t xml:space="preserve"> closely with New South Wales to assist with delivery of biosecurity related to agricultural production.</w:t>
      </w:r>
    </w:p>
    <w:p w14:paraId="303FA14C" w14:textId="77777777" w:rsidR="00E16052" w:rsidRDefault="006072E1" w:rsidP="00E16052">
      <w:r>
        <w:t xml:space="preserve">The </w:t>
      </w:r>
      <w:r w:rsidR="00E16052">
        <w:t>NBC members are rightly concerned that there is no material reduction in the combined or individual effort of jurisdictions under the IGAB; or for industry under the emergency response deeds. However, there are no national mechanisms in place for ongoing accountability among jurisdictions.</w:t>
      </w:r>
    </w:p>
    <w:p w14:paraId="141B9DAE" w14:textId="3A365DEE" w:rsidR="00E16052" w:rsidRDefault="00E16052" w:rsidP="00E16052">
      <w:r>
        <w:t xml:space="preserve">The Review Panel recommends governments establish an independent IGAB Evaluation Program to provide the Australian community a structured assessment of the performance of each jurisdiction, including the Australian Government, in meeting its commitments under the IGAB. These evaluations would be included in the list of priorities for the next </w:t>
      </w:r>
      <w:r w:rsidR="00D41485">
        <w:t>five</w:t>
      </w:r>
      <w:r>
        <w:t xml:space="preserve"> years under the IGAB. Jurisdictions commitments and other metrics for evaluation would be detailed by the NBC. These commitments and the evaluation process should acknowledge the operational constraints of the smaller jurisdictions. For example, the expectations of the Australian Capital Territory, relative to its neighbour</w:t>
      </w:r>
      <w:r w:rsidR="00D02043">
        <w:t>,</w:t>
      </w:r>
      <w:r>
        <w:t xml:space="preserve"> New South Wales.</w:t>
      </w:r>
    </w:p>
    <w:p w14:paraId="027CD11D" w14:textId="24E85D18" w:rsidR="00E16052" w:rsidRDefault="00E16052" w:rsidP="00E16052">
      <w:r>
        <w:t xml:space="preserve">Such evaluations can provide new insights and an independent or expert </w:t>
      </w:r>
      <w:r w:rsidR="00736F4B">
        <w:t>perspective. T</w:t>
      </w:r>
      <w:r>
        <w:t>h</w:t>
      </w:r>
      <w:r w:rsidR="00736F4B">
        <w:t>ey are not punitive assessments, rather, t</w:t>
      </w:r>
      <w:r>
        <w:t>hey are designed to be facilitative and build capability and help manage risks and, importantly, promulgate the lessons learned among the jurisdictions. Further, they are not intended to replace the periodic capability reviews self-initiated by jurisdictions.</w:t>
      </w:r>
    </w:p>
    <w:p w14:paraId="310B11E0" w14:textId="4A60B319" w:rsidR="00C92BA3" w:rsidRDefault="00E16052" w:rsidP="00E16052">
      <w:r>
        <w:lastRenderedPageBreak/>
        <w:t xml:space="preserve">AGSOC should be the body that establishes and </w:t>
      </w:r>
      <w:r w:rsidR="00F905CE">
        <w:t xml:space="preserve">provides </w:t>
      </w:r>
      <w:r>
        <w:t>overs</w:t>
      </w:r>
      <w:r w:rsidR="00F905CE">
        <w:t xml:space="preserve">ight to </w:t>
      </w:r>
      <w:r>
        <w:t>the independent IGAB Evaluation Program. All jurisdictions should be reviewed within the period of the next IGAB and so the evaluations should be targeted and time-limited. The evaluations should be conducted as an external review by independent assessors.</w:t>
      </w:r>
    </w:p>
    <w:p w14:paraId="096F0228" w14:textId="24816277" w:rsidR="00A77170" w:rsidRDefault="00C92BA3" w:rsidP="00E16052">
      <w:r>
        <w:t>There is significant value in these evaluations being publicly available, however, there are likely to be trade sensitivities, for example, which, if made public, would not be in the national interest. AGSOC should give some consideration to the release of a summary or the full report.</w:t>
      </w:r>
    </w:p>
    <w:p w14:paraId="02B269FE" w14:textId="1228F976" w:rsidR="00D97D98" w:rsidRPr="001558B8" w:rsidRDefault="00D97D98" w:rsidP="001558B8">
      <w:pPr>
        <w:pStyle w:val="BoxHeading"/>
        <w:shd w:val="clear" w:color="auto" w:fill="D9D9D9" w:themeFill="background1" w:themeFillShade="D9"/>
        <w:rPr>
          <w:sz w:val="22"/>
        </w:rPr>
      </w:pPr>
      <w:bookmarkStart w:id="156" w:name="_Toc467231875"/>
      <w:bookmarkStart w:id="157" w:name="Draft_recommendation_22"/>
      <w:r w:rsidRPr="001558B8">
        <w:rPr>
          <w:sz w:val="22"/>
        </w:rPr>
        <w:t>Draft recommendation</w:t>
      </w:r>
      <w:bookmarkEnd w:id="156"/>
      <w:r w:rsidR="0050175A">
        <w:rPr>
          <w:sz w:val="22"/>
        </w:rPr>
        <w:t xml:space="preserve"> 2</w:t>
      </w:r>
      <w:r w:rsidR="00FE6EEF">
        <w:rPr>
          <w:sz w:val="22"/>
        </w:rPr>
        <w:t>2</w:t>
      </w:r>
      <w:bookmarkEnd w:id="157"/>
      <w:r w:rsidR="00424937" w:rsidRPr="001558B8">
        <w:rPr>
          <w:noProof/>
          <w:sz w:val="22"/>
        </w:rPr>
        <w:t>:</w:t>
      </w:r>
    </w:p>
    <w:p w14:paraId="1198D4E3" w14:textId="372EA40D" w:rsidR="00E16052" w:rsidRPr="001558B8" w:rsidRDefault="007E55F4" w:rsidP="001558B8">
      <w:pPr>
        <w:pStyle w:val="BoxText"/>
        <w:shd w:val="clear" w:color="auto" w:fill="D9D9D9" w:themeFill="background1" w:themeFillShade="D9"/>
        <w:rPr>
          <w:sz w:val="22"/>
        </w:rPr>
      </w:pPr>
      <w:r w:rsidRPr="001558B8">
        <w:rPr>
          <w:sz w:val="22"/>
        </w:rPr>
        <w:t>AGSOC should establish and provide oversight to an independent IGAB Evaluation Program to assess and report on implementation of each jurisdictions’ commitments under the IGAB. The evaluations, or a summary of them, should be made publicly available following ministerial consideration.</w:t>
      </w:r>
    </w:p>
    <w:p w14:paraId="2F2BC5B7" w14:textId="44143596" w:rsidR="00D97D98" w:rsidRPr="001558B8" w:rsidRDefault="00D97D98" w:rsidP="001558B8">
      <w:pPr>
        <w:pStyle w:val="BoxHeading"/>
        <w:shd w:val="clear" w:color="auto" w:fill="D9D9D9" w:themeFill="background1" w:themeFillShade="D9"/>
        <w:rPr>
          <w:sz w:val="22"/>
        </w:rPr>
      </w:pPr>
      <w:bookmarkStart w:id="158" w:name="_Toc467231876"/>
      <w:bookmarkStart w:id="159" w:name="Draft_recommendation_23"/>
      <w:r w:rsidRPr="001558B8">
        <w:rPr>
          <w:sz w:val="22"/>
        </w:rPr>
        <w:t>Draft recommendation</w:t>
      </w:r>
      <w:bookmarkEnd w:id="158"/>
      <w:r w:rsidR="0050175A">
        <w:rPr>
          <w:sz w:val="22"/>
        </w:rPr>
        <w:t xml:space="preserve"> 2</w:t>
      </w:r>
      <w:r w:rsidR="00FE6EEF">
        <w:rPr>
          <w:sz w:val="22"/>
        </w:rPr>
        <w:t>3</w:t>
      </w:r>
      <w:bookmarkEnd w:id="159"/>
      <w:r w:rsidR="00424937" w:rsidRPr="001558B8">
        <w:rPr>
          <w:noProof/>
          <w:sz w:val="22"/>
        </w:rPr>
        <w:t>:</w:t>
      </w:r>
    </w:p>
    <w:p w14:paraId="3D4CB85B" w14:textId="12AB343E" w:rsidR="00D97D98" w:rsidRPr="001558B8" w:rsidRDefault="00D97D98" w:rsidP="001558B8">
      <w:pPr>
        <w:pStyle w:val="BoxText"/>
        <w:shd w:val="clear" w:color="auto" w:fill="D9D9D9" w:themeFill="background1" w:themeFillShade="D9"/>
        <w:rPr>
          <w:sz w:val="22"/>
        </w:rPr>
      </w:pPr>
      <w:r w:rsidRPr="001558B8">
        <w:rPr>
          <w:sz w:val="22"/>
        </w:rPr>
        <w:t>The NBC</w:t>
      </w:r>
      <w:r w:rsidR="005F6D56" w:rsidRPr="001558B8">
        <w:rPr>
          <w:sz w:val="22"/>
        </w:rPr>
        <w:t xml:space="preserve"> should</w:t>
      </w:r>
      <w:r w:rsidRPr="001558B8">
        <w:rPr>
          <w:sz w:val="22"/>
        </w:rPr>
        <w:t xml:space="preserve"> clarify core commitments of jurisdictions for use in the independent IGAB Evaluation Program to be documented in a future IGAB.</w:t>
      </w:r>
    </w:p>
    <w:p w14:paraId="434953EC" w14:textId="77777777" w:rsidR="00B91BBF" w:rsidRDefault="00B91BBF" w:rsidP="00B91BBF">
      <w:r>
        <w:t xml:space="preserve">Finally, the Review Panel notes the commitment within the IGAB (Schedule 1, 5.1) that </w:t>
      </w:r>
      <w:r w:rsidR="001859F7">
        <w:t xml:space="preserve">the </w:t>
      </w:r>
      <w:r>
        <w:t>NBC must report annually to ministers responsible for biosecurity on implementation on the activities carried out under the IGAB. The Panel is aware a 2015 report was provided to AGSOC and AGMIN in accordance with the clause but it is not clear whether there have been any other reports.</w:t>
      </w:r>
    </w:p>
    <w:p w14:paraId="6F256EE8" w14:textId="7E1BA8FD" w:rsidR="00A2083D" w:rsidRDefault="00A2083D" w:rsidP="00B91BBF">
      <w:r w:rsidRPr="00A2083D">
        <w:t xml:space="preserve">The Panel re-affirms this important commitment. </w:t>
      </w:r>
      <w:r w:rsidR="00807740">
        <w:t xml:space="preserve">The </w:t>
      </w:r>
      <w:r w:rsidRPr="00A2083D">
        <w:t xml:space="preserve">NBC should report annually to AGMIN about its work program and implementation of the priority reform areas under the IGAB. Such reports should be concise and publicly available. The public report could usefully present national system data and information in the form of a National Biosecurity System at a Glance summary document, including the available data and information listed in </w:t>
      </w:r>
      <w:r w:rsidR="00E356DB">
        <w:t>Appendix F</w:t>
      </w:r>
      <w:r w:rsidRPr="00A2083D">
        <w:t>, and highlight other achievements which may, for example, include efforts to streamline and improve the efficiency of the national arrangements.</w:t>
      </w:r>
    </w:p>
    <w:p w14:paraId="0A1CA2E2" w14:textId="1CCACD8F" w:rsidR="00D97D98" w:rsidRPr="00711972" w:rsidRDefault="00D97D98" w:rsidP="00711972">
      <w:pPr>
        <w:pStyle w:val="BoxHeading"/>
        <w:shd w:val="clear" w:color="auto" w:fill="D9D9D9" w:themeFill="background1" w:themeFillShade="D9"/>
        <w:rPr>
          <w:sz w:val="22"/>
        </w:rPr>
      </w:pPr>
      <w:bookmarkStart w:id="160" w:name="_Toc467231877"/>
      <w:bookmarkStart w:id="161" w:name="_Ref467664434"/>
      <w:bookmarkStart w:id="162" w:name="Draft_recommendation_24"/>
      <w:r w:rsidRPr="00711972">
        <w:rPr>
          <w:sz w:val="22"/>
        </w:rPr>
        <w:t>Draft recommendation</w:t>
      </w:r>
      <w:bookmarkEnd w:id="160"/>
      <w:bookmarkEnd w:id="161"/>
      <w:r w:rsidR="00447677">
        <w:rPr>
          <w:sz w:val="22"/>
        </w:rPr>
        <w:t xml:space="preserve"> 2</w:t>
      </w:r>
      <w:r w:rsidR="00FE6EEF">
        <w:rPr>
          <w:sz w:val="22"/>
        </w:rPr>
        <w:t>4</w:t>
      </w:r>
      <w:bookmarkEnd w:id="162"/>
      <w:r w:rsidR="00424937" w:rsidRPr="00711972">
        <w:rPr>
          <w:noProof/>
          <w:sz w:val="22"/>
        </w:rPr>
        <w:t>:</w:t>
      </w:r>
    </w:p>
    <w:p w14:paraId="07A18176" w14:textId="3C65A7C6" w:rsidR="00B91BBF" w:rsidRPr="00711972" w:rsidRDefault="00B91BBF" w:rsidP="00711972">
      <w:pPr>
        <w:pStyle w:val="BoxText"/>
        <w:shd w:val="clear" w:color="auto" w:fill="D9D9D9" w:themeFill="background1" w:themeFillShade="D9"/>
        <w:rPr>
          <w:sz w:val="22"/>
        </w:rPr>
      </w:pPr>
      <w:r w:rsidRPr="00711972">
        <w:rPr>
          <w:sz w:val="22"/>
        </w:rPr>
        <w:t>The NBC</w:t>
      </w:r>
      <w:r w:rsidR="005F6D56" w:rsidRPr="00711972">
        <w:rPr>
          <w:sz w:val="22"/>
        </w:rPr>
        <w:t xml:space="preserve"> should</w:t>
      </w:r>
      <w:r w:rsidRPr="00711972">
        <w:rPr>
          <w:sz w:val="22"/>
        </w:rPr>
        <w:t xml:space="preserve"> report annually to AGMIN on its progress of priority reform areas</w:t>
      </w:r>
      <w:r w:rsidR="00E63171" w:rsidRPr="00711972">
        <w:rPr>
          <w:sz w:val="22"/>
        </w:rPr>
        <w:t xml:space="preserve">. </w:t>
      </w:r>
      <w:r w:rsidR="00807740" w:rsidRPr="00711972">
        <w:rPr>
          <w:sz w:val="22"/>
        </w:rPr>
        <w:t xml:space="preserve">The </w:t>
      </w:r>
      <w:r w:rsidR="00E63171" w:rsidRPr="00711972">
        <w:rPr>
          <w:sz w:val="22"/>
        </w:rPr>
        <w:t>NBC’s work program and annual report should be made publicly available</w:t>
      </w:r>
      <w:r w:rsidR="003F7B6A" w:rsidRPr="00711972">
        <w:rPr>
          <w:sz w:val="22"/>
        </w:rPr>
        <w:t xml:space="preserve"> upon ministerial consideration</w:t>
      </w:r>
      <w:r w:rsidRPr="00711972">
        <w:rPr>
          <w:sz w:val="22"/>
        </w:rPr>
        <w:t>.</w:t>
      </w:r>
    </w:p>
    <w:p w14:paraId="59F038AC" w14:textId="7DCBBCC3" w:rsidR="00AD25F0" w:rsidRDefault="00AD25F0" w:rsidP="00AD25F0">
      <w:pPr>
        <w:pStyle w:val="Heading3"/>
      </w:pPr>
      <w:bookmarkStart w:id="163" w:name="_Toc469654751"/>
      <w:r>
        <w:t xml:space="preserve">Bringing </w:t>
      </w:r>
      <w:r w:rsidR="003A2D9C">
        <w:t xml:space="preserve">other </w:t>
      </w:r>
      <w:r>
        <w:t>voices into the tent</w:t>
      </w:r>
      <w:bookmarkEnd w:id="163"/>
    </w:p>
    <w:p w14:paraId="6FBB1026" w14:textId="35E072F2" w:rsidR="00B91BBF" w:rsidRDefault="00B91BBF" w:rsidP="00B91BBF">
      <w:r>
        <w:t xml:space="preserve">During consultation for this </w:t>
      </w:r>
      <w:r w:rsidR="0056569E">
        <w:t>R</w:t>
      </w:r>
      <w:r>
        <w:t xml:space="preserve">eview industry and community stakeholders were critical of their lack of involvement in the development </w:t>
      </w:r>
      <w:r w:rsidR="00895F18">
        <w:t>and implementation of the IGAB:</w:t>
      </w:r>
    </w:p>
    <w:p w14:paraId="766770B2" w14:textId="77777777" w:rsidR="00B91BBF" w:rsidRDefault="00B91BBF" w:rsidP="00B91BBF">
      <w:pPr>
        <w:pStyle w:val="Quote"/>
      </w:pPr>
      <w:r>
        <w:t xml:space="preserve">The IGAB construct is still based on the past 200 years of managing biosecurity across Australia with the participants being restricted to government agencies with the exclusion of other stakeholders. This also extends to the various committees, sub-committees and working groups that operate under the remit of </w:t>
      </w:r>
      <w:r>
        <w:lastRenderedPageBreak/>
        <w:t>IGAB</w:t>
      </w:r>
      <w:r w:rsidR="00003A8A">
        <w:t xml:space="preserve"> … </w:t>
      </w:r>
      <w:r>
        <w:t>NGIA does not consider ‘engagement or having input’ as being a part of the decision making apparatus as history has shown this is often ‘process’ driven with decisions still made by government to suit government agendas (Nursery and Garden Industry Australia submission, p. 7)</w:t>
      </w:r>
    </w:p>
    <w:p w14:paraId="795B5645" w14:textId="77777777" w:rsidR="00B91BBF" w:rsidRDefault="00B91BBF" w:rsidP="00B91BBF">
      <w:r>
        <w:t>Jurisdictions acknowledge the desire of peak industry bodies and community groups to be part of the biosecurity decision-making process but defend the need for governments only agreement in the first instance:</w:t>
      </w:r>
    </w:p>
    <w:p w14:paraId="40098DC7" w14:textId="070DDB89" w:rsidR="00B91BBF" w:rsidRDefault="00B91BBF" w:rsidP="00B91BBF">
      <w:pPr>
        <w:pStyle w:val="Quote"/>
      </w:pPr>
      <w:r>
        <w:t xml:space="preserve">The IGAB was developed in order to allow Commonwealth, </w:t>
      </w:r>
      <w:r w:rsidR="00D8123E">
        <w:t>s</w:t>
      </w:r>
      <w:r>
        <w:t>tate and territory government</w:t>
      </w:r>
      <w:r w:rsidR="00D8123E">
        <w:t>s</w:t>
      </w:r>
      <w:r>
        <w:t xml:space="preserve"> to agree on what the national biosecurity system should encompass</w:t>
      </w:r>
      <w:r w:rsidR="00003A8A">
        <w:t xml:space="preserve"> … </w:t>
      </w:r>
      <w:r>
        <w:t>The IGAB was not intended to be the only document or mechanism to underpin the national biosecurity system. It was always envisage that there should be a higher level document outlining the national biosecurity system including stakeholders and partnerships (New South Wales Government Department of Primary Industries submission, p. 1)</w:t>
      </w:r>
    </w:p>
    <w:p w14:paraId="4990D6BF" w14:textId="77777777" w:rsidR="00B91BBF" w:rsidRDefault="00B91BBF" w:rsidP="00B91BBF">
      <w:pPr>
        <w:pStyle w:val="Quote"/>
      </w:pPr>
      <w:r>
        <w:t>The IGAB does not provide a means to adequately address the need to engage with industry and other stakeholders in implementing the national biosecurity system. However, this relationship between government and stakeholders within the national biosecurity system is important and should be captured through other mechanisms, rather than seeking to amend the primary purpose of the IGAB (Australian Government submission, p. 2)</w:t>
      </w:r>
    </w:p>
    <w:p w14:paraId="548B33DA" w14:textId="77777777" w:rsidR="00B91BBF" w:rsidRDefault="00B91BBF" w:rsidP="00B91BBF">
      <w:r>
        <w:t>The IGAB promotes shared responsibility for biosecurity among a diverse range of participants and provides (under clause 2.3) opportunities for governments and other parties to work together to strengthen the</w:t>
      </w:r>
      <w:r w:rsidR="007679F6">
        <w:t xml:space="preserve"> national</w:t>
      </w:r>
      <w:r>
        <w:t xml:space="preserve"> biosecurity system. While jurisdictions have developed a National Biosecurity Engagement and Communications Framework, they recognise this area is significantly underdone and there is considerable room for improvement to more effectively engage with a greater range of stakeholders on biosecurity.</w:t>
      </w:r>
    </w:p>
    <w:p w14:paraId="7B51238F" w14:textId="43FA0CEB" w:rsidR="00B91BBF" w:rsidRDefault="00B91BBF" w:rsidP="00B91BBF">
      <w:r>
        <w:t xml:space="preserve">The Review Panel has strongly supported the development of a </w:t>
      </w:r>
      <w:r w:rsidR="006072E1">
        <w:t>N</w:t>
      </w:r>
      <w:r>
        <w:t xml:space="preserve">ational Statement of Intent for the biosecurity system to be endorsed by major stakeholders in the system. The statement would sit alongside the IGAB, the emergency response deeds and jurisdictional biosecurity strategies as foundations of the national biosecurity system. The </w:t>
      </w:r>
      <w:r w:rsidR="00AD5BA2">
        <w:t xml:space="preserve">National </w:t>
      </w:r>
      <w:r>
        <w:t xml:space="preserve">Statement of Intent is further detailed in </w:t>
      </w:r>
      <w:hyperlink w:anchor="_Knowing_and_owning" w:history="1">
        <w:r w:rsidRPr="00943EBA">
          <w:rPr>
            <w:rStyle w:val="Hyperlink"/>
          </w:rPr>
          <w:t xml:space="preserve">Chapter </w:t>
        </w:r>
        <w:r w:rsidR="00206C86" w:rsidRPr="00943EBA">
          <w:rPr>
            <w:rStyle w:val="Hyperlink"/>
          </w:rPr>
          <w:t>2</w:t>
        </w:r>
      </w:hyperlink>
      <w:r w:rsidRPr="00003A8A">
        <w:t>.</w:t>
      </w:r>
    </w:p>
    <w:p w14:paraId="72CE1E55" w14:textId="469B375D" w:rsidR="00B91BBF" w:rsidRDefault="00B91BBF" w:rsidP="00B91BBF">
      <w:r>
        <w:t>The Panel also recognises the efforts made by governments to engage with non-government stakeholders through the state and national Biosecurity Roundtables. The Panel received consistent comment from non-government stakeholders on the positive nature of these events and the improvements in more recent times to effect genuine consultation through more open and robust discussion.</w:t>
      </w:r>
    </w:p>
    <w:p w14:paraId="686E869B" w14:textId="77777777" w:rsidR="00B91BBF" w:rsidRDefault="00B91BBF" w:rsidP="00B91BBF">
      <w:r>
        <w:t xml:space="preserve">There is, however, scope for non-government stakeholders to be afforded a more direct means of input to the work of </w:t>
      </w:r>
      <w:r w:rsidR="006072E1">
        <w:t xml:space="preserve">the </w:t>
      </w:r>
      <w:r>
        <w:t>NBC.</w:t>
      </w:r>
    </w:p>
    <w:p w14:paraId="732EDF84" w14:textId="40C370E9" w:rsidR="00B91BBF" w:rsidRDefault="00B91BBF" w:rsidP="00B91BBF">
      <w:r>
        <w:t xml:space="preserve">The </w:t>
      </w:r>
      <w:r w:rsidR="007679F6">
        <w:t xml:space="preserve">Review </w:t>
      </w:r>
      <w:r>
        <w:t xml:space="preserve">Panel recommends AGSOC establish </w:t>
      </w:r>
      <w:r w:rsidR="00D465BC">
        <w:t xml:space="preserve">a </w:t>
      </w:r>
      <w:r>
        <w:t>15</w:t>
      </w:r>
      <w:r w:rsidR="00D02043">
        <w:t>-</w:t>
      </w:r>
      <w:r>
        <w:t xml:space="preserve">person </w:t>
      </w:r>
      <w:r w:rsidR="009F22C8">
        <w:t xml:space="preserve">(minimum) </w:t>
      </w:r>
      <w:r w:rsidR="00C803C4">
        <w:t xml:space="preserve">Industry and </w:t>
      </w:r>
      <w:r>
        <w:t>Community Advisory Committee to sit alongside</w:t>
      </w:r>
      <w:r w:rsidR="006072E1">
        <w:t xml:space="preserve"> the</w:t>
      </w:r>
      <w:r>
        <w:t xml:space="preserve"> NBC under the IGAB structure. The advisory committee would provide advice to the NBC on key policies and activities, including </w:t>
      </w:r>
      <w:r>
        <w:lastRenderedPageBreak/>
        <w:t>development of the National Statement of Intent, and meet jointly with</w:t>
      </w:r>
      <w:r w:rsidR="006072E1">
        <w:t xml:space="preserve"> the</w:t>
      </w:r>
      <w:r>
        <w:t xml:space="preserve"> NBC at least twice per year. Membership of the committee should comprise peak industry and community bodies, which should include shipping, tourism, trade, environment and community representatives. Consideration should be given to rotating membership every three years.</w:t>
      </w:r>
      <w:r w:rsidR="003F7B6A">
        <w:t xml:space="preserve"> The </w:t>
      </w:r>
      <w:r w:rsidR="008C59E2">
        <w:t>Australian Government Department of Agriculture and Water Resources could provide the</w:t>
      </w:r>
      <w:r w:rsidR="003F7B6A">
        <w:t xml:space="preserve"> </w:t>
      </w:r>
      <w:r w:rsidR="008C59E2">
        <w:t>s</w:t>
      </w:r>
      <w:r w:rsidR="003F7B6A">
        <w:t>ecretariat.</w:t>
      </w:r>
    </w:p>
    <w:p w14:paraId="6841CAC7" w14:textId="619FC811" w:rsidR="00AD25F0" w:rsidRDefault="00B91BBF" w:rsidP="00B91BBF">
      <w:r>
        <w:t xml:space="preserve">To further strengthen the NBC’s consideration of the views of signatories to the emergency response deeds, the Review Panel recommends an annual national Biosecurity Roundtable open to all AHA and PHA members. Information discussed and received will be compiled and feed directly into the NBC, including the </w:t>
      </w:r>
      <w:r w:rsidR="00C83389">
        <w:t>relevant sectoral committee(s).</w:t>
      </w:r>
    </w:p>
    <w:p w14:paraId="3F0D3000" w14:textId="4E78DF38" w:rsidR="00CD4F11" w:rsidRPr="006B3AF4" w:rsidRDefault="00CD4F11" w:rsidP="006B3AF4">
      <w:pPr>
        <w:pStyle w:val="BoxHeading"/>
        <w:shd w:val="clear" w:color="auto" w:fill="D9D9D9" w:themeFill="background1" w:themeFillShade="D9"/>
        <w:rPr>
          <w:sz w:val="22"/>
        </w:rPr>
      </w:pPr>
      <w:bookmarkStart w:id="164" w:name="_Toc467231878"/>
      <w:bookmarkStart w:id="165" w:name="Draft_recommendation_25"/>
      <w:r w:rsidRPr="006B3AF4">
        <w:rPr>
          <w:sz w:val="22"/>
        </w:rPr>
        <w:t>Draft recommendation</w:t>
      </w:r>
      <w:bookmarkEnd w:id="164"/>
      <w:r w:rsidR="00447677">
        <w:rPr>
          <w:sz w:val="22"/>
        </w:rPr>
        <w:t xml:space="preserve"> 2</w:t>
      </w:r>
      <w:r w:rsidR="00FE6EEF">
        <w:rPr>
          <w:sz w:val="22"/>
        </w:rPr>
        <w:t>5</w:t>
      </w:r>
      <w:bookmarkEnd w:id="165"/>
      <w:r w:rsidR="00C83389" w:rsidRPr="006B3AF4">
        <w:rPr>
          <w:noProof/>
          <w:sz w:val="22"/>
        </w:rPr>
        <w:t>:</w:t>
      </w:r>
    </w:p>
    <w:p w14:paraId="77F74591" w14:textId="22D9CC9D" w:rsidR="00D97D98" w:rsidRPr="006B3AF4" w:rsidRDefault="00D97D98" w:rsidP="006B3AF4">
      <w:pPr>
        <w:pStyle w:val="BoxText"/>
        <w:shd w:val="clear" w:color="auto" w:fill="D9D9D9" w:themeFill="background1" w:themeFillShade="D9"/>
        <w:rPr>
          <w:sz w:val="22"/>
        </w:rPr>
      </w:pPr>
      <w:r w:rsidRPr="006B3AF4">
        <w:rPr>
          <w:sz w:val="22"/>
        </w:rPr>
        <w:t>AGSOC</w:t>
      </w:r>
      <w:r w:rsidR="005F6D56" w:rsidRPr="006B3AF4">
        <w:rPr>
          <w:sz w:val="22"/>
        </w:rPr>
        <w:t xml:space="preserve"> should</w:t>
      </w:r>
      <w:r w:rsidRPr="006B3AF4">
        <w:rPr>
          <w:sz w:val="22"/>
        </w:rPr>
        <w:t xml:space="preserve"> establish, as a priority, a</w:t>
      </w:r>
      <w:r w:rsidR="00C95D14">
        <w:rPr>
          <w:sz w:val="22"/>
        </w:rPr>
        <w:t>n Industry and</w:t>
      </w:r>
      <w:r w:rsidRPr="006B3AF4">
        <w:rPr>
          <w:sz w:val="22"/>
        </w:rPr>
        <w:t xml:space="preserve"> Community</w:t>
      </w:r>
      <w:r w:rsidR="00C95D14">
        <w:rPr>
          <w:sz w:val="22"/>
        </w:rPr>
        <w:t xml:space="preserve"> </w:t>
      </w:r>
      <w:r w:rsidRPr="006B3AF4">
        <w:rPr>
          <w:sz w:val="22"/>
        </w:rPr>
        <w:t>Advisory Committee to provide advice to the NBC on key policies and reforms.</w:t>
      </w:r>
    </w:p>
    <w:p w14:paraId="6434B626" w14:textId="5321FE67" w:rsidR="00D97D98" w:rsidRPr="006B3AF4" w:rsidRDefault="00CD4F11" w:rsidP="006B3AF4">
      <w:pPr>
        <w:pStyle w:val="BoxHeading"/>
        <w:shd w:val="clear" w:color="auto" w:fill="D9D9D9" w:themeFill="background1" w:themeFillShade="D9"/>
        <w:rPr>
          <w:sz w:val="22"/>
        </w:rPr>
      </w:pPr>
      <w:bookmarkStart w:id="166" w:name="_Toc467231879"/>
      <w:bookmarkStart w:id="167" w:name="Draft_recommendation_26"/>
      <w:r w:rsidRPr="006B3AF4">
        <w:rPr>
          <w:sz w:val="22"/>
        </w:rPr>
        <w:t xml:space="preserve">Draft recommendation </w:t>
      </w:r>
      <w:r w:rsidR="00447677">
        <w:rPr>
          <w:sz w:val="22"/>
        </w:rPr>
        <w:t>2</w:t>
      </w:r>
      <w:bookmarkEnd w:id="166"/>
      <w:r w:rsidR="00FE6EEF">
        <w:rPr>
          <w:sz w:val="22"/>
        </w:rPr>
        <w:t>6</w:t>
      </w:r>
      <w:bookmarkEnd w:id="167"/>
      <w:r w:rsidR="00C83389" w:rsidRPr="006B3AF4">
        <w:rPr>
          <w:noProof/>
          <w:sz w:val="22"/>
        </w:rPr>
        <w:t>:</w:t>
      </w:r>
    </w:p>
    <w:p w14:paraId="553CADFD" w14:textId="77777777" w:rsidR="00D97D98" w:rsidRPr="006B3AF4" w:rsidRDefault="005F6D56" w:rsidP="006B3AF4">
      <w:pPr>
        <w:pStyle w:val="BoxText"/>
        <w:shd w:val="clear" w:color="auto" w:fill="D9D9D9" w:themeFill="background1" w:themeFillShade="D9"/>
        <w:rPr>
          <w:sz w:val="22"/>
        </w:rPr>
      </w:pPr>
      <w:r w:rsidRPr="006B3AF4">
        <w:rPr>
          <w:sz w:val="22"/>
        </w:rPr>
        <w:t>The NBC should c</w:t>
      </w:r>
      <w:r w:rsidR="00D97D98" w:rsidRPr="006B3AF4">
        <w:rPr>
          <w:sz w:val="22"/>
        </w:rPr>
        <w:t>onven</w:t>
      </w:r>
      <w:r w:rsidRPr="006B3AF4">
        <w:rPr>
          <w:sz w:val="22"/>
        </w:rPr>
        <w:t>e</w:t>
      </w:r>
      <w:r w:rsidR="00D97D98" w:rsidRPr="006B3AF4">
        <w:rPr>
          <w:sz w:val="22"/>
        </w:rPr>
        <w:t xml:space="preserve"> a dedicated annual national Biosecurity Roundtable for AHA and PHA members to provide direct input to the NBC.</w:t>
      </w:r>
    </w:p>
    <w:p w14:paraId="13EBA91E" w14:textId="77777777" w:rsidR="00AD25F0" w:rsidRDefault="00AD25F0" w:rsidP="00AD25F0">
      <w:pPr>
        <w:pStyle w:val="Heading3"/>
      </w:pPr>
      <w:bookmarkStart w:id="168" w:name="_Toc469654752"/>
      <w:r>
        <w:t>An updated governance structure</w:t>
      </w:r>
      <w:bookmarkEnd w:id="168"/>
    </w:p>
    <w:p w14:paraId="52C38E15" w14:textId="77777777" w:rsidR="000A3EDA" w:rsidRDefault="000A3EDA" w:rsidP="000A3EDA">
      <w:r>
        <w:t>Effective and stronger governance of the national biosecurity system requires a strong mandate, strong leadership, a sound strategy, and a finely tuned and focused set of supporting arrangements.</w:t>
      </w:r>
    </w:p>
    <w:p w14:paraId="332E9F96" w14:textId="77777777" w:rsidR="000A3EDA" w:rsidRDefault="000A3EDA" w:rsidP="000A3EDA">
      <w:r>
        <w:t>This chapter has proposed a number of modifications to the existing governance structure and these are summarised below</w:t>
      </w:r>
      <w:r w:rsidR="007679F6">
        <w:t>,</w:t>
      </w:r>
      <w:r>
        <w:t xml:space="preserve"> and illustrated in </w:t>
      </w:r>
      <w:r>
        <w:fldChar w:fldCharType="begin"/>
      </w:r>
      <w:r>
        <w:instrText xml:space="preserve"> REF _Ref466975685 \h </w:instrText>
      </w:r>
      <w:r>
        <w:fldChar w:fldCharType="separate"/>
      </w:r>
      <w:r w:rsidR="008303E2" w:rsidRPr="00767F57">
        <w:t xml:space="preserve">Figure </w:t>
      </w:r>
      <w:r w:rsidR="008303E2">
        <w:rPr>
          <w:noProof/>
        </w:rPr>
        <w:t>7</w:t>
      </w:r>
      <w:r>
        <w:fldChar w:fldCharType="end"/>
      </w:r>
      <w:r>
        <w:t>:</w:t>
      </w:r>
    </w:p>
    <w:p w14:paraId="1EACFCCF" w14:textId="6DAE6ACA" w:rsidR="000A3EDA" w:rsidRDefault="00895F18" w:rsidP="000A3EDA">
      <w:pPr>
        <w:pStyle w:val="ListBullet"/>
      </w:pPr>
      <w:r>
        <w:t>a</w:t>
      </w:r>
      <w:r w:rsidR="000A3EDA">
        <w:t xml:space="preserve"> new IGAB agreed by First</w:t>
      </w:r>
      <w:r>
        <w:t xml:space="preserve"> Ministers of all jurisdictions</w:t>
      </w:r>
    </w:p>
    <w:p w14:paraId="6D6B5754" w14:textId="5743A771" w:rsidR="000A3EDA" w:rsidRDefault="00895F18" w:rsidP="000A3EDA">
      <w:pPr>
        <w:pStyle w:val="ListBullet"/>
      </w:pPr>
      <w:r>
        <w:t>n</w:t>
      </w:r>
      <w:r w:rsidR="000A3EDA">
        <w:t>omination by First Ministers of a lead biosecurity minister and agency for each jurisdiction, and jurisdictional arrangements that facilitate a whole-of-government view</w:t>
      </w:r>
    </w:p>
    <w:p w14:paraId="4A023251" w14:textId="6F564C4B" w:rsidR="000A3EDA" w:rsidRDefault="000A3EDA" w:rsidP="000A3EDA">
      <w:pPr>
        <w:pStyle w:val="ListBullet"/>
      </w:pPr>
      <w:r>
        <w:t>AGMIN being th</w:t>
      </w:r>
      <w:r w:rsidR="00895F18">
        <w:t>e operational ministerial forum</w:t>
      </w:r>
    </w:p>
    <w:p w14:paraId="5151308E" w14:textId="5CC75157" w:rsidR="000A3EDA" w:rsidRDefault="00895F18" w:rsidP="000A3EDA">
      <w:pPr>
        <w:pStyle w:val="ListBullet"/>
      </w:pPr>
      <w:r>
        <w:t>t</w:t>
      </w:r>
      <w:r w:rsidR="00807740">
        <w:t xml:space="preserve">he </w:t>
      </w:r>
      <w:r w:rsidR="000A3EDA">
        <w:t>NBC with a stronger mandate from First Ministers under the IGAB, including new terms of re</w:t>
      </w:r>
      <w:r>
        <w:t>ference and expanded membership</w:t>
      </w:r>
    </w:p>
    <w:p w14:paraId="32C09D57" w14:textId="6588529E" w:rsidR="000A3EDA" w:rsidRDefault="00895F18" w:rsidP="000A3EDA">
      <w:pPr>
        <w:pStyle w:val="ListBullet"/>
      </w:pPr>
      <w:r>
        <w:t>i</w:t>
      </w:r>
      <w:r w:rsidR="000A3EDA">
        <w:t>ncluding local government membership on the NBC, and inviting the New Zealand Government to have a representative on the NBC</w:t>
      </w:r>
    </w:p>
    <w:p w14:paraId="2260DFB5" w14:textId="470A9F31" w:rsidR="000A3EDA" w:rsidRDefault="00895F18" w:rsidP="000A3EDA">
      <w:pPr>
        <w:pStyle w:val="ListBullet"/>
      </w:pPr>
      <w:r>
        <w:t>t</w:t>
      </w:r>
      <w:r w:rsidR="000A3EDA">
        <w:t xml:space="preserve">he establishment by AGSOC of the </w:t>
      </w:r>
      <w:r w:rsidR="00AE14A0">
        <w:t xml:space="preserve">Industry and </w:t>
      </w:r>
      <w:r w:rsidR="000A3EDA">
        <w:t>Community</w:t>
      </w:r>
      <w:r w:rsidR="00AE14A0">
        <w:t xml:space="preserve"> </w:t>
      </w:r>
      <w:r w:rsidR="000A3EDA">
        <w:t xml:space="preserve">Advisory Committee to sit alongside </w:t>
      </w:r>
      <w:r w:rsidR="00807740">
        <w:t xml:space="preserve">the </w:t>
      </w:r>
      <w:r>
        <w:t>NBC</w:t>
      </w:r>
    </w:p>
    <w:p w14:paraId="7972F911" w14:textId="564AF3B5" w:rsidR="000A3EDA" w:rsidRDefault="00895F18" w:rsidP="00773D50">
      <w:pPr>
        <w:pStyle w:val="ListBullet"/>
      </w:pPr>
      <w:r>
        <w:t>t</w:t>
      </w:r>
      <w:r w:rsidR="000A3EDA">
        <w:t>he new position of Chief Environmental Biosecurity Officer within the Australian Government environment department</w:t>
      </w:r>
      <w:r w:rsidR="00773D50">
        <w:t xml:space="preserve"> </w:t>
      </w:r>
      <w:r w:rsidR="00773D50" w:rsidRPr="00773D50">
        <w:t>or less desirably the agriculture department</w:t>
      </w:r>
    </w:p>
    <w:p w14:paraId="4ACA0AF8" w14:textId="3E04DBBB" w:rsidR="00040C89" w:rsidRPr="004F7364" w:rsidRDefault="00895F18" w:rsidP="00FF0E60">
      <w:pPr>
        <w:pStyle w:val="ListBullet"/>
      </w:pPr>
      <w:r>
        <w:t>r</w:t>
      </w:r>
      <w:r w:rsidR="000A3EDA" w:rsidRPr="004F7364">
        <w:t xml:space="preserve">evised arrangements for sectoral committees: including a new Environmental Biosecurity Committee responsible for terrestrial, aquatic and marine (non-production) </w:t>
      </w:r>
      <w:r w:rsidR="00773D50" w:rsidRPr="004F7364">
        <w:t>environmental</w:t>
      </w:r>
      <w:r w:rsidR="00072461" w:rsidRPr="004F7364">
        <w:t xml:space="preserve"> and social amenity</w:t>
      </w:r>
      <w:r w:rsidR="00773D50" w:rsidRPr="004F7364">
        <w:t xml:space="preserve"> </w:t>
      </w:r>
      <w:r w:rsidR="000A3EDA" w:rsidRPr="004F7364">
        <w:t>biosecurity issues, and some changes in responsibilities for the Animal Biosecurity Committee (ABC) and Pl</w:t>
      </w:r>
      <w:r>
        <w:t>ant Biosecurity Committee (PBC)</w:t>
      </w:r>
    </w:p>
    <w:p w14:paraId="4413A76E" w14:textId="506DE748" w:rsidR="000A3EDA" w:rsidRPr="00EF49AF" w:rsidRDefault="00895F18" w:rsidP="003D6DCA">
      <w:pPr>
        <w:pStyle w:val="ListBullet"/>
      </w:pPr>
      <w:r w:rsidRPr="00EF49AF">
        <w:lastRenderedPageBreak/>
        <w:t>g</w:t>
      </w:r>
      <w:r w:rsidR="000A3EDA" w:rsidRPr="00EF49AF">
        <w:t>reater sharing of responsibility for established pests and weeds among government and non-government parties in the system</w:t>
      </w:r>
      <w:r w:rsidR="003D6DCA" w:rsidRPr="00EF49AF">
        <w:t>. This is consistent with the NBC’s proposed approach to managing established pests and diseases of national significance (</w:t>
      </w:r>
      <w:r w:rsidR="003D6DCA" w:rsidRPr="00EF49AF">
        <w:fldChar w:fldCharType="begin"/>
      </w:r>
      <w:r w:rsidR="003D6DCA" w:rsidRPr="00EF49AF">
        <w:instrText xml:space="preserve"> REF NBC_2015 \h  \* MERGEFORMAT </w:instrText>
      </w:r>
      <w:r w:rsidR="003D6DCA" w:rsidRPr="00EF49AF">
        <w:fldChar w:fldCharType="separate"/>
      </w:r>
      <w:r w:rsidR="008303E2">
        <w:t>NBC 2015</w:t>
      </w:r>
      <w:r w:rsidR="003D6DCA" w:rsidRPr="00EF49AF">
        <w:fldChar w:fldCharType="end"/>
      </w:r>
      <w:r w:rsidR="003D6DCA" w:rsidRPr="00EF49AF">
        <w:t>).</w:t>
      </w:r>
    </w:p>
    <w:p w14:paraId="410B10E9" w14:textId="708CECF3" w:rsidR="000A3EDA" w:rsidRDefault="00895F18" w:rsidP="000A3EDA">
      <w:pPr>
        <w:pStyle w:val="ListBullet"/>
      </w:pPr>
      <w:r>
        <w:t>e</w:t>
      </w:r>
      <w:r w:rsidR="000A3EDA">
        <w:t>nsuring cross-system groups (existing and new) are task-specific and, wherever possible, time-limited</w:t>
      </w:r>
    </w:p>
    <w:p w14:paraId="60948E56" w14:textId="3E4FD94D" w:rsidR="000A3EDA" w:rsidRDefault="00895F18" w:rsidP="000A3EDA">
      <w:pPr>
        <w:pStyle w:val="ListBullet"/>
      </w:pPr>
      <w:r>
        <w:t>b</w:t>
      </w:r>
      <w:r w:rsidR="000A3EDA">
        <w:t>ringing together the National Management Group and the National Biosecurity Management Group as one body given they have identical membership—the Review Panel recognises this is largely a cosmetic change but is required given the Australian Government Organisations Register (Australian Government Department of Finance) formally recognises the two existing bodies</w:t>
      </w:r>
      <w:r w:rsidR="00D02043">
        <w:t>. The upcoming review of NEBRA co</w:t>
      </w:r>
      <w:r w:rsidR="007E1385">
        <w:t>uld effect the required changes</w:t>
      </w:r>
    </w:p>
    <w:p w14:paraId="7FFFC5EB" w14:textId="6B27B254" w:rsidR="005D7B49" w:rsidRDefault="00895F18" w:rsidP="000A3EDA">
      <w:pPr>
        <w:pStyle w:val="ListBullet"/>
        <w:sectPr w:rsidR="005D7B49" w:rsidSect="00635857">
          <w:pgSz w:w="11906" w:h="16838"/>
          <w:pgMar w:top="1418" w:right="1418" w:bottom="1418" w:left="1418" w:header="567" w:footer="283" w:gutter="0"/>
          <w:cols w:space="708"/>
          <w:docGrid w:linePitch="360"/>
        </w:sectPr>
      </w:pPr>
      <w:r>
        <w:t>t</w:t>
      </w:r>
      <w:r w:rsidR="000A3EDA">
        <w:t>he participation of partner agencies (AHA and PHA</w:t>
      </w:r>
      <w:r w:rsidR="002A5536">
        <w:t>) and other bodies (RDCs, CSIRO, Plant Biosecurity CRC</w:t>
      </w:r>
      <w:r w:rsidR="00CA4E1C">
        <w:t xml:space="preserve"> (PB</w:t>
      </w:r>
      <w:r w:rsidR="0028518A">
        <w:t xml:space="preserve"> </w:t>
      </w:r>
      <w:r w:rsidR="00CA4E1C">
        <w:t>CRC)</w:t>
      </w:r>
      <w:r w:rsidR="002A5536">
        <w:t>, Invasive Animals CRC</w:t>
      </w:r>
      <w:r w:rsidR="00CA4E1C">
        <w:t>/</w:t>
      </w:r>
      <w:r w:rsidR="002A5536">
        <w:t>Centre for Invasive Species Solutions</w:t>
      </w:r>
      <w:r w:rsidR="00B801E7">
        <w:t xml:space="preserve"> (CISS)</w:t>
      </w:r>
      <w:r w:rsidR="000A3EDA">
        <w:t>, among others) in sub-committees to be</w:t>
      </w:r>
      <w:r w:rsidR="008913F1">
        <w:t xml:space="preserve"> further considered by the NBC.</w:t>
      </w:r>
    </w:p>
    <w:p w14:paraId="70D75164" w14:textId="4736761A" w:rsidR="00A668B2" w:rsidRDefault="0038666A" w:rsidP="00F077CF">
      <w:pPr>
        <w:pStyle w:val="Picture"/>
        <w:ind w:left="142"/>
      </w:pPr>
      <w:r>
        <w:lastRenderedPageBreak/>
        <w:drawing>
          <wp:inline distT="0" distB="0" distL="0" distR="0" wp14:anchorId="58CB7F80" wp14:editId="39890FA3">
            <wp:extent cx="8137175" cy="5387467"/>
            <wp:effectExtent l="0" t="0" r="0" b="3810"/>
            <wp:docPr id="14" name="Picture 14" descr="Shows a proposed new committee structure for the NBC. Under this structure the chief executive officer of the Australian Local Government Association is a member of the NBC, and the New Zealand government is invited to have a representative; the NBC and its underlying committees have a revised terms of reference and membership to elevate consideration of market access and the environment, and reduce the NBC’s focus on asset-protection and productivity issues; a new industry and community advisory committee is established, to provide input to the work of the NBC; three sectoral sub-committees are established under the NBC, the Animal, Plant and new Environmental biosecurity committees, with the structure below these committees to be determined by the IGAB2 priority areas and NBC directed activities—these are to be outcome-focused and time-limited; the NBC can establish cross-system working groups as determined by the IGAB2 priority areas and NBC directed activities. The NBC's emergency response activities are supported by two groups, activated in the event of a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39713" cy="5389147"/>
                    </a:xfrm>
                    <a:prstGeom prst="rect">
                      <a:avLst/>
                    </a:prstGeom>
                    <a:noFill/>
                  </pic:spPr>
                </pic:pic>
              </a:graphicData>
            </a:graphic>
          </wp:inline>
        </w:drawing>
      </w:r>
    </w:p>
    <w:p w14:paraId="728992E5" w14:textId="4DDCB95D" w:rsidR="005D7B49" w:rsidRPr="00767F57" w:rsidRDefault="00AD25F0" w:rsidP="00C44070">
      <w:pPr>
        <w:pStyle w:val="Caption"/>
        <w:ind w:left="142"/>
        <w:rPr>
          <w:sz w:val="22"/>
          <w:szCs w:val="22"/>
        </w:rPr>
        <w:sectPr w:rsidR="005D7B49" w:rsidRPr="00767F57" w:rsidSect="005D7B49">
          <w:pgSz w:w="16838" w:h="11906" w:orient="landscape"/>
          <w:pgMar w:top="1418" w:right="1418" w:bottom="1418" w:left="1418" w:header="567" w:footer="283" w:gutter="0"/>
          <w:cols w:space="708"/>
          <w:docGrid w:linePitch="360"/>
        </w:sectPr>
      </w:pPr>
      <w:bookmarkStart w:id="169" w:name="_Ref466975685"/>
      <w:bookmarkStart w:id="170" w:name="_Ref467225851"/>
      <w:bookmarkStart w:id="171" w:name="_Toc468176742"/>
      <w:r w:rsidRPr="00767F57">
        <w:rPr>
          <w:sz w:val="22"/>
          <w:szCs w:val="22"/>
        </w:rPr>
        <w:t xml:space="preserve">Figure </w:t>
      </w:r>
      <w:r w:rsidR="00D56373" w:rsidRPr="00767F57">
        <w:rPr>
          <w:sz w:val="22"/>
          <w:szCs w:val="22"/>
        </w:rPr>
        <w:fldChar w:fldCharType="begin"/>
      </w:r>
      <w:r w:rsidR="00D56373" w:rsidRPr="00767F57">
        <w:rPr>
          <w:sz w:val="22"/>
          <w:szCs w:val="22"/>
        </w:rPr>
        <w:instrText xml:space="preserve"> SEQ Figure \* ARABIC </w:instrText>
      </w:r>
      <w:r w:rsidR="00D56373" w:rsidRPr="00767F57">
        <w:rPr>
          <w:sz w:val="22"/>
          <w:szCs w:val="22"/>
        </w:rPr>
        <w:fldChar w:fldCharType="separate"/>
      </w:r>
      <w:r w:rsidR="008303E2">
        <w:rPr>
          <w:noProof/>
          <w:sz w:val="22"/>
          <w:szCs w:val="22"/>
        </w:rPr>
        <w:t>7</w:t>
      </w:r>
      <w:r w:rsidR="00D56373" w:rsidRPr="00767F57">
        <w:rPr>
          <w:noProof/>
          <w:sz w:val="22"/>
          <w:szCs w:val="22"/>
        </w:rPr>
        <w:fldChar w:fldCharType="end"/>
      </w:r>
      <w:bookmarkEnd w:id="169"/>
      <w:r w:rsidR="00081BB4" w:rsidRPr="00767F57">
        <w:rPr>
          <w:sz w:val="22"/>
          <w:szCs w:val="22"/>
        </w:rPr>
        <w:t>:</w:t>
      </w:r>
      <w:r w:rsidRPr="00767F57">
        <w:rPr>
          <w:sz w:val="22"/>
          <w:szCs w:val="22"/>
        </w:rPr>
        <w:t xml:space="preserve"> Proposed </w:t>
      </w:r>
      <w:bookmarkEnd w:id="170"/>
      <w:bookmarkEnd w:id="171"/>
      <w:r w:rsidR="00EB5992">
        <w:rPr>
          <w:sz w:val="22"/>
          <w:szCs w:val="22"/>
        </w:rPr>
        <w:t>governance</w:t>
      </w:r>
    </w:p>
    <w:p w14:paraId="616B7B30" w14:textId="06851CBD" w:rsidR="00596255" w:rsidRDefault="00754BEB" w:rsidP="00596255">
      <w:pPr>
        <w:pStyle w:val="Heading2"/>
      </w:pPr>
      <w:bookmarkStart w:id="172" w:name="_Toc469654753"/>
      <w:r>
        <w:lastRenderedPageBreak/>
        <w:t>Funding our n</w:t>
      </w:r>
      <w:r w:rsidR="00596255">
        <w:t>a</w:t>
      </w:r>
      <w:r>
        <w:t>tional s</w:t>
      </w:r>
      <w:r w:rsidR="00596255">
        <w:t>ystem</w:t>
      </w:r>
      <w:bookmarkEnd w:id="172"/>
    </w:p>
    <w:p w14:paraId="7361CD9B" w14:textId="77777777" w:rsidR="00AD25F0" w:rsidRPr="002F06C5" w:rsidRDefault="00AD25F0" w:rsidP="00AD25F0">
      <w:pPr>
        <w:pStyle w:val="BoxHeading"/>
        <w:rPr>
          <w:sz w:val="22"/>
          <w:lang w:eastAsia="ja-JP"/>
        </w:rPr>
      </w:pPr>
      <w:r w:rsidRPr="002F06C5">
        <w:rPr>
          <w:sz w:val="22"/>
          <w:lang w:eastAsia="ja-JP"/>
        </w:rPr>
        <w:t>Key points</w:t>
      </w:r>
    </w:p>
    <w:p w14:paraId="0A19A61A" w14:textId="77777777" w:rsidR="00726AB4" w:rsidRPr="002F06C5" w:rsidRDefault="00726AB4" w:rsidP="00726AB4">
      <w:pPr>
        <w:pStyle w:val="BoxTextBullet"/>
        <w:rPr>
          <w:sz w:val="22"/>
          <w:lang w:eastAsia="ja-JP"/>
        </w:rPr>
      </w:pPr>
      <w:r w:rsidRPr="002F06C5">
        <w:rPr>
          <w:sz w:val="22"/>
          <w:lang w:eastAsia="ja-JP"/>
        </w:rPr>
        <w:t>The</w:t>
      </w:r>
      <w:r w:rsidR="00CA5498" w:rsidRPr="002F06C5">
        <w:rPr>
          <w:sz w:val="22"/>
          <w:lang w:eastAsia="ja-JP"/>
        </w:rPr>
        <w:t xml:space="preserve"> funding of the</w:t>
      </w:r>
      <w:r w:rsidRPr="002F06C5">
        <w:rPr>
          <w:sz w:val="22"/>
          <w:lang w:eastAsia="ja-JP"/>
        </w:rPr>
        <w:t xml:space="preserve"> national biosecurity system</w:t>
      </w:r>
      <w:r w:rsidR="00CA5498" w:rsidRPr="002F06C5">
        <w:rPr>
          <w:sz w:val="22"/>
          <w:lang w:eastAsia="ja-JP"/>
        </w:rPr>
        <w:t xml:space="preserve"> i</w:t>
      </w:r>
      <w:r w:rsidR="00995F28" w:rsidRPr="002F06C5">
        <w:rPr>
          <w:sz w:val="22"/>
          <w:lang w:eastAsia="ja-JP"/>
        </w:rPr>
        <w:t xml:space="preserve">s </w:t>
      </w:r>
      <w:r w:rsidRPr="002F06C5">
        <w:rPr>
          <w:sz w:val="22"/>
          <w:lang w:eastAsia="ja-JP"/>
        </w:rPr>
        <w:t>complex</w:t>
      </w:r>
      <w:r w:rsidR="00CA5498" w:rsidRPr="002F06C5">
        <w:rPr>
          <w:sz w:val="22"/>
          <w:lang w:eastAsia="ja-JP"/>
        </w:rPr>
        <w:t xml:space="preserve"> and</w:t>
      </w:r>
      <w:r w:rsidRPr="002F06C5">
        <w:rPr>
          <w:sz w:val="22"/>
          <w:lang w:eastAsia="ja-JP"/>
        </w:rPr>
        <w:t xml:space="preserve"> multi-faceted, and in some cases there is a lack of transparency.</w:t>
      </w:r>
    </w:p>
    <w:p w14:paraId="1505F16A" w14:textId="77777777" w:rsidR="00726AB4" w:rsidRPr="002F06C5" w:rsidRDefault="00726AB4" w:rsidP="00726AB4">
      <w:pPr>
        <w:pStyle w:val="BoxTextBullet"/>
        <w:rPr>
          <w:sz w:val="22"/>
          <w:lang w:eastAsia="ja-JP"/>
        </w:rPr>
      </w:pPr>
      <w:r w:rsidRPr="002F06C5">
        <w:rPr>
          <w:sz w:val="22"/>
          <w:lang w:eastAsia="ja-JP"/>
        </w:rPr>
        <w:t>Some aspects continue to be funded through agreed arrangements and long standing commitments, whereas other biosecurity priorities fall short of the appropriate levels of funding</w:t>
      </w:r>
      <w:r w:rsidR="00206C86" w:rsidRPr="002F06C5">
        <w:rPr>
          <w:sz w:val="22"/>
          <w:lang w:eastAsia="ja-JP"/>
        </w:rPr>
        <w:t>.</w:t>
      </w:r>
    </w:p>
    <w:p w14:paraId="200B2B4E" w14:textId="77777777" w:rsidR="00726AB4" w:rsidRPr="002F06C5" w:rsidRDefault="00726AB4" w:rsidP="00726AB4">
      <w:pPr>
        <w:pStyle w:val="BoxTextBullet"/>
        <w:rPr>
          <w:sz w:val="22"/>
          <w:lang w:eastAsia="ja-JP"/>
        </w:rPr>
      </w:pPr>
      <w:r w:rsidRPr="002F06C5">
        <w:rPr>
          <w:sz w:val="22"/>
          <w:lang w:eastAsia="ja-JP"/>
        </w:rPr>
        <w:t>Governments and industry are facing, and will continue to face, ongoing resourcing challenges.</w:t>
      </w:r>
    </w:p>
    <w:p w14:paraId="678900DD" w14:textId="77777777" w:rsidR="00726AB4" w:rsidRPr="002F06C5" w:rsidRDefault="00726AB4" w:rsidP="00726AB4">
      <w:pPr>
        <w:pStyle w:val="BoxTextBullet"/>
        <w:rPr>
          <w:sz w:val="22"/>
          <w:lang w:eastAsia="ja-JP"/>
        </w:rPr>
      </w:pPr>
      <w:r w:rsidRPr="002F06C5">
        <w:rPr>
          <w:sz w:val="22"/>
          <w:lang w:eastAsia="ja-JP"/>
        </w:rPr>
        <w:t>Governments have agreed national investment principles and frameworks under the IGAB. The challenge is building support within governments for implementation.</w:t>
      </w:r>
    </w:p>
    <w:p w14:paraId="0DF2FA9A" w14:textId="279D9C5A" w:rsidR="00726AB4" w:rsidRPr="00D8123E" w:rsidRDefault="00726AB4" w:rsidP="00773D50">
      <w:pPr>
        <w:pStyle w:val="BoxTextBullet"/>
        <w:rPr>
          <w:sz w:val="22"/>
          <w:lang w:eastAsia="ja-JP"/>
        </w:rPr>
      </w:pPr>
      <w:r w:rsidRPr="002F06C5">
        <w:rPr>
          <w:sz w:val="22"/>
          <w:lang w:eastAsia="ja-JP"/>
        </w:rPr>
        <w:t>The appropriate level of funding will be clear</w:t>
      </w:r>
      <w:r w:rsidR="001451D2" w:rsidRPr="002F06C5">
        <w:rPr>
          <w:sz w:val="22"/>
          <w:lang w:eastAsia="ja-JP"/>
        </w:rPr>
        <w:t>er once</w:t>
      </w:r>
      <w:r w:rsidR="00BF7FE5" w:rsidRPr="002F06C5">
        <w:rPr>
          <w:sz w:val="22"/>
          <w:lang w:eastAsia="ja-JP"/>
        </w:rPr>
        <w:t xml:space="preserve"> </w:t>
      </w:r>
      <w:r w:rsidRPr="002F06C5">
        <w:rPr>
          <w:sz w:val="22"/>
          <w:lang w:eastAsia="ja-JP"/>
        </w:rPr>
        <w:t>the suite of high</w:t>
      </w:r>
      <w:r w:rsidR="00995F28" w:rsidRPr="002F06C5">
        <w:rPr>
          <w:sz w:val="22"/>
          <w:lang w:eastAsia="ja-JP"/>
        </w:rPr>
        <w:t>-</w:t>
      </w:r>
      <w:r w:rsidRPr="002F06C5">
        <w:rPr>
          <w:sz w:val="22"/>
          <w:lang w:eastAsia="ja-JP"/>
        </w:rPr>
        <w:t>priority pest</w:t>
      </w:r>
      <w:r w:rsidR="00A4699E" w:rsidRPr="002F06C5">
        <w:rPr>
          <w:sz w:val="22"/>
          <w:lang w:eastAsia="ja-JP"/>
        </w:rPr>
        <w:t>s</w:t>
      </w:r>
      <w:r w:rsidRPr="002F06C5">
        <w:rPr>
          <w:sz w:val="22"/>
          <w:lang w:eastAsia="ja-JP"/>
        </w:rPr>
        <w:t xml:space="preserve"> and diseases</w:t>
      </w:r>
      <w:r w:rsidR="00995F28" w:rsidRPr="002F06C5">
        <w:rPr>
          <w:sz w:val="22"/>
          <w:lang w:eastAsia="ja-JP"/>
        </w:rPr>
        <w:t>,</w:t>
      </w:r>
      <w:r w:rsidRPr="002F06C5">
        <w:rPr>
          <w:sz w:val="22"/>
          <w:lang w:eastAsia="ja-JP"/>
        </w:rPr>
        <w:t xml:space="preserve"> and their biosecurity requirements</w:t>
      </w:r>
      <w:r w:rsidR="00773D50" w:rsidRPr="002F06C5">
        <w:rPr>
          <w:sz w:val="22"/>
          <w:lang w:eastAsia="ja-JP"/>
        </w:rPr>
        <w:t xml:space="preserve"> at the agreed residual level of risk</w:t>
      </w:r>
      <w:r w:rsidR="006843DC" w:rsidRPr="002F06C5">
        <w:rPr>
          <w:sz w:val="22"/>
          <w:lang w:eastAsia="ja-JP"/>
        </w:rPr>
        <w:t xml:space="preserve">, </w:t>
      </w:r>
      <w:r w:rsidRPr="002F06C5">
        <w:rPr>
          <w:sz w:val="22"/>
          <w:lang w:eastAsia="ja-JP"/>
        </w:rPr>
        <w:t xml:space="preserve">have been agreed and </w:t>
      </w:r>
      <w:r w:rsidR="00152724" w:rsidRPr="00D8123E">
        <w:rPr>
          <w:sz w:val="22"/>
          <w:lang w:eastAsia="ja-JP"/>
        </w:rPr>
        <w:t>worked through</w:t>
      </w:r>
      <w:r w:rsidRPr="00D8123E">
        <w:rPr>
          <w:sz w:val="22"/>
          <w:lang w:eastAsia="ja-JP"/>
        </w:rPr>
        <w:t>.</w:t>
      </w:r>
    </w:p>
    <w:p w14:paraId="21BCA465" w14:textId="77777777" w:rsidR="00726AB4" w:rsidRPr="002F06C5" w:rsidRDefault="00726AB4" w:rsidP="00726AB4">
      <w:pPr>
        <w:pStyle w:val="BoxTextBullet"/>
        <w:rPr>
          <w:sz w:val="22"/>
          <w:lang w:eastAsia="ja-JP"/>
        </w:rPr>
      </w:pPr>
      <w:r w:rsidRPr="002F06C5">
        <w:rPr>
          <w:sz w:val="22"/>
          <w:lang w:eastAsia="ja-JP"/>
        </w:rPr>
        <w:t>Investment by industry and contributions from community, especially through rates and levies, warrant greater acknowledgement.</w:t>
      </w:r>
    </w:p>
    <w:p w14:paraId="5CFB6AEA" w14:textId="77777777" w:rsidR="00726AB4" w:rsidRPr="002F06C5" w:rsidRDefault="00726AB4" w:rsidP="00726AB4">
      <w:pPr>
        <w:pStyle w:val="BoxTextBullet"/>
        <w:rPr>
          <w:sz w:val="22"/>
          <w:lang w:eastAsia="ja-JP"/>
        </w:rPr>
      </w:pPr>
      <w:r w:rsidRPr="002F06C5">
        <w:rPr>
          <w:sz w:val="22"/>
          <w:lang w:eastAsia="ja-JP"/>
        </w:rPr>
        <w:t>Industry involvement in investment decision-making is primarily confined to emergency responses.</w:t>
      </w:r>
    </w:p>
    <w:p w14:paraId="5071CA8B" w14:textId="77777777" w:rsidR="00726AB4" w:rsidRPr="002F06C5" w:rsidRDefault="00726AB4" w:rsidP="00726AB4">
      <w:pPr>
        <w:pStyle w:val="BoxTextBullet"/>
        <w:rPr>
          <w:sz w:val="22"/>
          <w:lang w:eastAsia="ja-JP"/>
        </w:rPr>
      </w:pPr>
      <w:r w:rsidRPr="002F06C5">
        <w:rPr>
          <w:sz w:val="22"/>
          <w:lang w:eastAsia="ja-JP"/>
        </w:rPr>
        <w:t>Governments have some options available to support a more sustainable funding base.</w:t>
      </w:r>
    </w:p>
    <w:p w14:paraId="38740878" w14:textId="77777777" w:rsidR="00AD25F0" w:rsidRDefault="00AD25F0" w:rsidP="005B1353">
      <w:pPr>
        <w:pStyle w:val="Heading3"/>
        <w:rPr>
          <w:lang w:eastAsia="ja-JP"/>
        </w:rPr>
      </w:pPr>
      <w:bookmarkStart w:id="173" w:name="_Toc469654754"/>
      <w:r>
        <w:rPr>
          <w:lang w:eastAsia="ja-JP"/>
        </w:rPr>
        <w:t>The shared funding challenge</w:t>
      </w:r>
      <w:bookmarkEnd w:id="173"/>
    </w:p>
    <w:p w14:paraId="5675B27E" w14:textId="195AAE61" w:rsidR="00726AB4" w:rsidRDefault="00726AB4" w:rsidP="00726AB4">
      <w:pPr>
        <w:rPr>
          <w:lang w:eastAsia="ja-JP"/>
        </w:rPr>
      </w:pPr>
      <w:r>
        <w:rPr>
          <w:lang w:eastAsia="ja-JP"/>
        </w:rPr>
        <w:t>The success of the national biosecurity system is reliant on sustained level</w:t>
      </w:r>
      <w:r w:rsidR="001451D2">
        <w:rPr>
          <w:lang w:eastAsia="ja-JP"/>
        </w:rPr>
        <w:t>s</w:t>
      </w:r>
      <w:r>
        <w:rPr>
          <w:lang w:eastAsia="ja-JP"/>
        </w:rPr>
        <w:t xml:space="preserve"> of well-targeted investment over time, underpinned by strong funding principles and arrangements that are nationally coordinated, consistently</w:t>
      </w:r>
      <w:r w:rsidR="009D1E8D">
        <w:rPr>
          <w:lang w:eastAsia="ja-JP"/>
        </w:rPr>
        <w:t xml:space="preserve"> applied and well communicated.</w:t>
      </w:r>
    </w:p>
    <w:p w14:paraId="7C4D6FE0" w14:textId="02614079" w:rsidR="00726AB4" w:rsidRDefault="00726AB4" w:rsidP="00726AB4">
      <w:pPr>
        <w:rPr>
          <w:lang w:eastAsia="ja-JP"/>
        </w:rPr>
      </w:pPr>
      <w:r>
        <w:rPr>
          <w:lang w:eastAsia="ja-JP"/>
        </w:rPr>
        <w:t>There are obvious funding pressures across the</w:t>
      </w:r>
      <w:r w:rsidR="00995F28">
        <w:rPr>
          <w:lang w:eastAsia="ja-JP"/>
        </w:rPr>
        <w:t xml:space="preserve"> </w:t>
      </w:r>
      <w:r w:rsidR="001451D2">
        <w:rPr>
          <w:lang w:eastAsia="ja-JP"/>
        </w:rPr>
        <w:t xml:space="preserve">national </w:t>
      </w:r>
      <w:r>
        <w:rPr>
          <w:lang w:eastAsia="ja-JP"/>
        </w:rPr>
        <w:t>system</w:t>
      </w:r>
      <w:r w:rsidR="001451D2">
        <w:rPr>
          <w:lang w:eastAsia="ja-JP"/>
        </w:rPr>
        <w:t xml:space="preserve">, </w:t>
      </w:r>
      <w:r>
        <w:rPr>
          <w:lang w:eastAsia="ja-JP"/>
        </w:rPr>
        <w:t xml:space="preserve">and </w:t>
      </w:r>
      <w:r w:rsidR="001451D2">
        <w:rPr>
          <w:lang w:eastAsia="ja-JP"/>
        </w:rPr>
        <w:t xml:space="preserve">these are </w:t>
      </w:r>
      <w:r>
        <w:rPr>
          <w:lang w:eastAsia="ja-JP"/>
        </w:rPr>
        <w:t xml:space="preserve">not limited to a particular jurisdiction. Reports from the </w:t>
      </w:r>
      <w:r w:rsidRPr="00150693">
        <w:rPr>
          <w:lang w:eastAsia="ja-JP"/>
        </w:rPr>
        <w:t>Australian</w:t>
      </w:r>
      <w:r w:rsidR="004C5BC3" w:rsidRPr="00150693">
        <w:rPr>
          <w:lang w:eastAsia="ja-JP"/>
        </w:rPr>
        <w:t xml:space="preserve"> (</w:t>
      </w:r>
      <w:hyperlink w:anchor="Commonwealth_of_Australia_2015" w:history="1">
        <w:r w:rsidR="004C5BC3" w:rsidRPr="00447677">
          <w:rPr>
            <w:rStyle w:val="Hyperlink"/>
            <w:lang w:eastAsia="ja-JP"/>
          </w:rPr>
          <w:t>Commonwealth of Australia 2015</w:t>
        </w:r>
      </w:hyperlink>
      <w:r w:rsidR="004C5BC3" w:rsidRPr="00150693">
        <w:rPr>
          <w:lang w:eastAsia="ja-JP"/>
        </w:rPr>
        <w:t>)</w:t>
      </w:r>
      <w:r w:rsidRPr="00150693">
        <w:rPr>
          <w:lang w:eastAsia="ja-JP"/>
        </w:rPr>
        <w:t>, Victorian</w:t>
      </w:r>
      <w:r w:rsidR="00995F28" w:rsidRPr="00150693">
        <w:rPr>
          <w:lang w:eastAsia="ja-JP"/>
        </w:rPr>
        <w:t xml:space="preserve"> (</w:t>
      </w:r>
      <w:hyperlink w:anchor="VAGO_2015" w:history="1">
        <w:r w:rsidR="00995F28" w:rsidRPr="00447677">
          <w:rPr>
            <w:rStyle w:val="Hyperlink"/>
            <w:lang w:eastAsia="ja-JP"/>
          </w:rPr>
          <w:t>VAGO</w:t>
        </w:r>
        <w:r w:rsidR="004C5BC3" w:rsidRPr="00447677">
          <w:rPr>
            <w:rStyle w:val="Hyperlink"/>
            <w:lang w:eastAsia="ja-JP"/>
          </w:rPr>
          <w:t xml:space="preserve"> 2015</w:t>
        </w:r>
      </w:hyperlink>
      <w:r w:rsidR="00995F28" w:rsidRPr="00150693">
        <w:rPr>
          <w:lang w:eastAsia="ja-JP"/>
        </w:rPr>
        <w:t>)</w:t>
      </w:r>
      <w:r w:rsidRPr="00150693">
        <w:rPr>
          <w:lang w:eastAsia="ja-JP"/>
        </w:rPr>
        <w:t xml:space="preserve"> and Queensland</w:t>
      </w:r>
      <w:r w:rsidR="00995F28" w:rsidRPr="00150693">
        <w:rPr>
          <w:lang w:eastAsia="ja-JP"/>
        </w:rPr>
        <w:t xml:space="preserve"> (</w:t>
      </w:r>
      <w:hyperlink w:anchor="Brooks_2015" w:history="1">
        <w:r w:rsidR="00995F28" w:rsidRPr="00447677">
          <w:rPr>
            <w:rStyle w:val="Hyperlink"/>
            <w:lang w:eastAsia="ja-JP"/>
          </w:rPr>
          <w:t>Brooks</w:t>
        </w:r>
        <w:r w:rsidR="004C5BC3" w:rsidRPr="00447677">
          <w:rPr>
            <w:rStyle w:val="Hyperlink"/>
            <w:lang w:eastAsia="ja-JP"/>
          </w:rPr>
          <w:t xml:space="preserve"> et al. 2015</w:t>
        </w:r>
      </w:hyperlink>
      <w:r w:rsidR="00995F28" w:rsidRPr="00150693">
        <w:rPr>
          <w:lang w:eastAsia="ja-JP"/>
        </w:rPr>
        <w:t>)</w:t>
      </w:r>
      <w:r w:rsidRPr="00150693">
        <w:rPr>
          <w:lang w:eastAsia="ja-JP"/>
        </w:rPr>
        <w:t xml:space="preserve"> governments have identified that reductions to core government biosecurity resourcing (</w:t>
      </w:r>
      <w:r w:rsidR="00040C89" w:rsidRPr="00150693">
        <w:rPr>
          <w:lang w:eastAsia="ja-JP"/>
        </w:rPr>
        <w:t>that is,</w:t>
      </w:r>
      <w:r w:rsidRPr="00150693">
        <w:rPr>
          <w:lang w:eastAsia="ja-JP"/>
        </w:rPr>
        <w:t xml:space="preserve"> overall financial</w:t>
      </w:r>
      <w:r>
        <w:rPr>
          <w:lang w:eastAsia="ja-JP"/>
        </w:rPr>
        <w:t xml:space="preserve"> and staffing levels) are placing further pressures on the system to manage biosecurity risks; governments have responded to these reports with additional targeted funding injections.</w:t>
      </w:r>
    </w:p>
    <w:p w14:paraId="41C9D7FD" w14:textId="77777777" w:rsidR="00726AB4" w:rsidRDefault="00726AB4" w:rsidP="00726AB4">
      <w:pPr>
        <w:rPr>
          <w:lang w:eastAsia="ja-JP"/>
        </w:rPr>
      </w:pPr>
      <w:r>
        <w:rPr>
          <w:lang w:eastAsia="ja-JP"/>
        </w:rPr>
        <w:t>From the Review Panel’s perspective, the funding pressures arise primarily from a combination of the following issues:</w:t>
      </w:r>
    </w:p>
    <w:p w14:paraId="776FE93C" w14:textId="2D706114" w:rsidR="00726AB4" w:rsidRDefault="00895F18" w:rsidP="00726AB4">
      <w:pPr>
        <w:pStyle w:val="ListBullet"/>
        <w:rPr>
          <w:lang w:eastAsia="ja-JP"/>
        </w:rPr>
      </w:pPr>
      <w:r>
        <w:rPr>
          <w:lang w:eastAsia="ja-JP"/>
        </w:rPr>
        <w:t>s</w:t>
      </w:r>
      <w:r w:rsidR="00726AB4">
        <w:rPr>
          <w:lang w:eastAsia="ja-JP"/>
        </w:rPr>
        <w:t>tatic or declining government biosecurity budgets, reflecting competing priorities for funding (for</w:t>
      </w:r>
      <w:r>
        <w:rPr>
          <w:lang w:eastAsia="ja-JP"/>
        </w:rPr>
        <w:t xml:space="preserve"> example, health and education)</w:t>
      </w:r>
    </w:p>
    <w:p w14:paraId="1B53AB52" w14:textId="2F11F84E" w:rsidR="00726AB4" w:rsidRDefault="00895F18" w:rsidP="00726AB4">
      <w:pPr>
        <w:pStyle w:val="ListBullet"/>
        <w:rPr>
          <w:lang w:eastAsia="ja-JP"/>
        </w:rPr>
      </w:pPr>
      <w:r>
        <w:rPr>
          <w:lang w:eastAsia="ja-JP"/>
        </w:rPr>
        <w:t>a</w:t>
      </w:r>
      <w:r w:rsidR="00726AB4">
        <w:rPr>
          <w:lang w:eastAsia="ja-JP"/>
        </w:rPr>
        <w:t>bsence of an agreed suite of high priority pests and diseases and</w:t>
      </w:r>
      <w:r>
        <w:rPr>
          <w:lang w:eastAsia="ja-JP"/>
        </w:rPr>
        <w:t xml:space="preserve"> their biosecurity requirements</w:t>
      </w:r>
    </w:p>
    <w:p w14:paraId="73E01A77" w14:textId="52FF311F" w:rsidR="00726AB4" w:rsidRDefault="00895F18" w:rsidP="00726AB4">
      <w:pPr>
        <w:pStyle w:val="ListBullet"/>
        <w:rPr>
          <w:lang w:eastAsia="ja-JP"/>
        </w:rPr>
      </w:pPr>
      <w:r>
        <w:rPr>
          <w:lang w:eastAsia="ja-JP"/>
        </w:rPr>
        <w:t>i</w:t>
      </w:r>
      <w:r w:rsidR="00726AB4">
        <w:rPr>
          <w:lang w:eastAsia="ja-JP"/>
        </w:rPr>
        <w:t xml:space="preserve">nefficient resource allocation </w:t>
      </w:r>
      <w:r>
        <w:rPr>
          <w:lang w:eastAsia="ja-JP"/>
        </w:rPr>
        <w:t>(investments with low returns)</w:t>
      </w:r>
    </w:p>
    <w:p w14:paraId="7764317A" w14:textId="5B26AEE1" w:rsidR="00726AB4" w:rsidRDefault="00895F18" w:rsidP="00726AB4">
      <w:pPr>
        <w:pStyle w:val="ListBullet"/>
        <w:rPr>
          <w:lang w:eastAsia="ja-JP"/>
        </w:rPr>
      </w:pPr>
      <w:r>
        <w:rPr>
          <w:lang w:eastAsia="ja-JP"/>
        </w:rPr>
        <w:lastRenderedPageBreak/>
        <w:t>a</w:t>
      </w:r>
      <w:r w:rsidR="00726AB4">
        <w:rPr>
          <w:lang w:eastAsia="ja-JP"/>
        </w:rPr>
        <w:t>n overdependence on public investment due to imma</w:t>
      </w:r>
      <w:r>
        <w:rPr>
          <w:lang w:eastAsia="ja-JP"/>
        </w:rPr>
        <w:t>ture cost-sharing arrangements</w:t>
      </w:r>
    </w:p>
    <w:p w14:paraId="59CB050A" w14:textId="417F2631" w:rsidR="00726AB4" w:rsidRDefault="00895F18" w:rsidP="00726AB4">
      <w:pPr>
        <w:pStyle w:val="ListBullet"/>
        <w:rPr>
          <w:lang w:eastAsia="ja-JP"/>
        </w:rPr>
      </w:pPr>
      <w:r>
        <w:rPr>
          <w:lang w:eastAsia="ja-JP"/>
        </w:rPr>
        <w:t>i</w:t>
      </w:r>
      <w:r w:rsidR="00726AB4">
        <w:rPr>
          <w:lang w:eastAsia="ja-JP"/>
        </w:rPr>
        <w:t xml:space="preserve">ncreasing biosecurity risks and efforts </w:t>
      </w:r>
      <w:r w:rsidR="00726AB4" w:rsidRPr="00040C89">
        <w:rPr>
          <w:lang w:eastAsia="ja-JP"/>
        </w:rPr>
        <w:t>(</w:t>
      </w:r>
      <w:r w:rsidR="00D43624">
        <w:rPr>
          <w:lang w:eastAsia="ja-JP"/>
        </w:rPr>
        <w:t xml:space="preserve">refer </w:t>
      </w:r>
      <w:hyperlink w:anchor="_Australia’s_biosecurity_system" w:history="1">
        <w:r w:rsidR="00726AB4" w:rsidRPr="00447677">
          <w:rPr>
            <w:rStyle w:val="Hyperlink"/>
            <w:lang w:eastAsia="ja-JP"/>
          </w:rPr>
          <w:t>Chapter 1</w:t>
        </w:r>
      </w:hyperlink>
      <w:r w:rsidR="00726AB4" w:rsidRPr="00040C89">
        <w:rPr>
          <w:lang w:eastAsia="ja-JP"/>
        </w:rPr>
        <w:t>)</w:t>
      </w:r>
    </w:p>
    <w:p w14:paraId="5C8D23E0" w14:textId="2B074E53" w:rsidR="00726AB4" w:rsidRDefault="00895F18" w:rsidP="00726AB4">
      <w:pPr>
        <w:pStyle w:val="ListBullet"/>
        <w:rPr>
          <w:lang w:eastAsia="ja-JP"/>
        </w:rPr>
      </w:pPr>
      <w:r>
        <w:rPr>
          <w:lang w:eastAsia="ja-JP"/>
        </w:rPr>
        <w:t>gr</w:t>
      </w:r>
      <w:r w:rsidR="00726AB4">
        <w:rPr>
          <w:lang w:eastAsia="ja-JP"/>
        </w:rPr>
        <w:t>owing demand for biosecurity services (</w:t>
      </w:r>
      <w:r w:rsidR="00040C89">
        <w:rPr>
          <w:lang w:eastAsia="ja-JP"/>
        </w:rPr>
        <w:t>for example,</w:t>
      </w:r>
      <w:r w:rsidR="00726AB4">
        <w:rPr>
          <w:lang w:eastAsia="ja-JP"/>
        </w:rPr>
        <w:t xml:space="preserve"> export/domestic certification).</w:t>
      </w:r>
    </w:p>
    <w:p w14:paraId="2DA64103" w14:textId="15BFC257" w:rsidR="00726AB4" w:rsidRDefault="00726AB4" w:rsidP="00726AB4">
      <w:pPr>
        <w:rPr>
          <w:lang w:eastAsia="ja-JP"/>
        </w:rPr>
      </w:pPr>
      <w:r>
        <w:rPr>
          <w:lang w:eastAsia="ja-JP"/>
        </w:rPr>
        <w:t xml:space="preserve">Resourcing the national biosecurity system, however, is not the responsibility of governments alone. The Panel recognises the system is funded through a variety of means: government appropriations, fees and charges for services, </w:t>
      </w:r>
      <w:r w:rsidRPr="00CA5498">
        <w:rPr>
          <w:lang w:eastAsia="ja-JP"/>
        </w:rPr>
        <w:t>levies and other financial contributions. There are also noteworthy financial, in-kind and voluntary contributions</w:t>
      </w:r>
      <w:r>
        <w:rPr>
          <w:lang w:eastAsia="ja-JP"/>
        </w:rPr>
        <w:t xml:space="preserve"> made by landholders and other industry participants. Altogether, funding and resourcing the </w:t>
      </w:r>
      <w:r w:rsidR="00B94F1B">
        <w:rPr>
          <w:lang w:eastAsia="ja-JP"/>
        </w:rPr>
        <w:t xml:space="preserve">national </w:t>
      </w:r>
      <w:r>
        <w:rPr>
          <w:lang w:eastAsia="ja-JP"/>
        </w:rPr>
        <w:t>system is a responsibility of all system participants.</w:t>
      </w:r>
    </w:p>
    <w:p w14:paraId="5E18D47F" w14:textId="77777777" w:rsidR="00726AB4" w:rsidRDefault="00726AB4" w:rsidP="00726AB4">
      <w:pPr>
        <w:rPr>
          <w:lang w:eastAsia="ja-JP"/>
        </w:rPr>
      </w:pPr>
      <w:r>
        <w:rPr>
          <w:lang w:eastAsia="ja-JP"/>
        </w:rPr>
        <w:t>The Review Panel received comments</w:t>
      </w:r>
      <w:r w:rsidR="001A3C8E">
        <w:rPr>
          <w:lang w:eastAsia="ja-JP"/>
        </w:rPr>
        <w:t xml:space="preserve"> from</w:t>
      </w:r>
      <w:r>
        <w:rPr>
          <w:lang w:eastAsia="ja-JP"/>
        </w:rPr>
        <w:t xml:space="preserve"> across governments, industry, community organisations and individuals, suggesting broad concern that existing funding and resourcing arrangements are inadequate and </w:t>
      </w:r>
      <w:r w:rsidRPr="001A3C8E">
        <w:rPr>
          <w:i/>
          <w:lang w:eastAsia="ja-JP"/>
        </w:rPr>
        <w:t>ad hoc</w:t>
      </w:r>
      <w:r>
        <w:rPr>
          <w:lang w:eastAsia="ja-JP"/>
        </w:rPr>
        <w:t xml:space="preserve"> and, if continued, will not be able to support the national biosecurity system into the future. Many industry members have commented that reductions in government expenditure correspond to increased ‘cost-shifting’ to industry. They have raised concerns about a decline in the number of specialists (including government veterinarians and plant pathologists). A snapshot of these comments is below:</w:t>
      </w:r>
    </w:p>
    <w:p w14:paraId="799D061E" w14:textId="1DF2C0F2" w:rsidR="00726AB4" w:rsidRDefault="00726AB4" w:rsidP="00854465">
      <w:pPr>
        <w:pStyle w:val="Quote"/>
        <w:rPr>
          <w:lang w:eastAsia="ja-JP"/>
        </w:rPr>
      </w:pPr>
      <w:r>
        <w:rPr>
          <w:lang w:eastAsia="ja-JP"/>
        </w:rPr>
        <w:t>[There is] no overall funding model for a national framework/and system. Individual components maybe funded but how the system should operate and be paid for has not been addressed. Under the current framework, initiatives are funded piecemeal and under ephemeral funding models. These initiatives run the risk of falling by the wayside when the focus turns to other aspects (other ‘hot topics’) of biosecurity. Logically, agreement on operation and funding cannot occur until there is some agreement amongst parties as to what a national framework should be… In many cases we have seen a diminution of capacity as jurisdictions have reduced commitments and funding to biosecurity. Similarly the resources at the Commonwealth level have not kept pace with the increase in risk as trade and passenger movements increase (Voice of Horticulture</w:t>
      </w:r>
      <w:r w:rsidR="00995F28">
        <w:rPr>
          <w:lang w:eastAsia="ja-JP"/>
        </w:rPr>
        <w:t xml:space="preserve"> submission</w:t>
      </w:r>
      <w:r w:rsidR="00040C89">
        <w:rPr>
          <w:lang w:eastAsia="ja-JP"/>
        </w:rPr>
        <w:t>, pp</w:t>
      </w:r>
      <w:r w:rsidR="00995F28">
        <w:rPr>
          <w:lang w:eastAsia="ja-JP"/>
        </w:rPr>
        <w:t>.</w:t>
      </w:r>
      <w:r w:rsidR="00040C89">
        <w:rPr>
          <w:lang w:eastAsia="ja-JP"/>
        </w:rPr>
        <w:t xml:space="preserve"> 3–4</w:t>
      </w:r>
      <w:r>
        <w:rPr>
          <w:lang w:eastAsia="ja-JP"/>
        </w:rPr>
        <w:t>)</w:t>
      </w:r>
    </w:p>
    <w:p w14:paraId="1800A204" w14:textId="53D02CD8" w:rsidR="00726AB4" w:rsidRDefault="00726AB4" w:rsidP="00854465">
      <w:pPr>
        <w:pStyle w:val="Quote"/>
        <w:rPr>
          <w:lang w:eastAsia="ja-JP"/>
        </w:rPr>
      </w:pPr>
      <w:r>
        <w:rPr>
          <w:lang w:eastAsia="ja-JP"/>
        </w:rPr>
        <w:t>Industry has also witnessed the disproportionate reduction in government investment in plant biosecurity across Australia relevant to animal biosecurity which questions state/territory government capacity to meet their obligations. Industry faces significant pressure in sourcing general funding with most relying on industry RD&amp;E levies</w:t>
      </w:r>
      <w:r w:rsidR="00040C89">
        <w:rPr>
          <w:lang w:eastAsia="ja-JP"/>
        </w:rPr>
        <w:t xml:space="preserve"> …</w:t>
      </w:r>
      <w:r>
        <w:rPr>
          <w:lang w:eastAsia="ja-JP"/>
        </w:rPr>
        <w:t xml:space="preserve"> (Nursery and Garden Industry Australia</w:t>
      </w:r>
      <w:r w:rsidR="00995F28">
        <w:rPr>
          <w:lang w:eastAsia="ja-JP"/>
        </w:rPr>
        <w:t>n submission</w:t>
      </w:r>
      <w:r w:rsidR="00A10D16">
        <w:rPr>
          <w:lang w:eastAsia="ja-JP"/>
        </w:rPr>
        <w:t>,</w:t>
      </w:r>
      <w:r w:rsidR="00040C89">
        <w:rPr>
          <w:lang w:eastAsia="ja-JP"/>
        </w:rPr>
        <w:t xml:space="preserve"> </w:t>
      </w:r>
      <w:r w:rsidR="009D1E8D">
        <w:rPr>
          <w:lang w:eastAsia="ja-JP"/>
        </w:rPr>
        <w:br/>
      </w:r>
      <w:r w:rsidR="00040C89">
        <w:rPr>
          <w:lang w:eastAsia="ja-JP"/>
        </w:rPr>
        <w:t>p</w:t>
      </w:r>
      <w:r w:rsidR="00995F28">
        <w:rPr>
          <w:lang w:eastAsia="ja-JP"/>
        </w:rPr>
        <w:t xml:space="preserve">. </w:t>
      </w:r>
      <w:r w:rsidR="00040C89">
        <w:rPr>
          <w:lang w:eastAsia="ja-JP"/>
        </w:rPr>
        <w:t>11</w:t>
      </w:r>
      <w:r>
        <w:rPr>
          <w:lang w:eastAsia="ja-JP"/>
        </w:rPr>
        <w:t>)</w:t>
      </w:r>
    </w:p>
    <w:p w14:paraId="6B542354" w14:textId="728F30B5" w:rsidR="00726AB4" w:rsidRDefault="00726AB4" w:rsidP="00854465">
      <w:pPr>
        <w:pStyle w:val="Quote"/>
        <w:rPr>
          <w:lang w:eastAsia="ja-JP"/>
        </w:rPr>
      </w:pPr>
      <w:r>
        <w:rPr>
          <w:lang w:eastAsia="ja-JP"/>
        </w:rPr>
        <w:t xml:space="preserve">Substantial reductions in State government services and funding now jeopardise our national system of biosecurity. For example, our experts dispute the claim </w:t>
      </w:r>
      <w:r w:rsidR="00681379">
        <w:rPr>
          <w:lang w:eastAsia="ja-JP"/>
        </w:rPr>
        <w:t xml:space="preserve">[from the IGAB Review Discussion Paper] </w:t>
      </w:r>
      <w:r>
        <w:rPr>
          <w:lang w:eastAsia="ja-JP"/>
        </w:rPr>
        <w:t>that Australia enjoys a ‘robust diagnostic systems and capacity’ compared to international benchmarks. The national veterinary diagnostic system has been degraded as a result of State government funding cuts</w:t>
      </w:r>
      <w:r w:rsidR="00060D86">
        <w:rPr>
          <w:lang w:eastAsia="ja-JP"/>
        </w:rPr>
        <w:t xml:space="preserve">…. </w:t>
      </w:r>
      <w:r>
        <w:rPr>
          <w:lang w:eastAsia="ja-JP"/>
        </w:rPr>
        <w:t>(</w:t>
      </w:r>
      <w:r w:rsidR="00060D86">
        <w:rPr>
          <w:lang w:eastAsia="ja-JP"/>
        </w:rPr>
        <w:t xml:space="preserve">The </w:t>
      </w:r>
      <w:r>
        <w:rPr>
          <w:lang w:eastAsia="ja-JP"/>
        </w:rPr>
        <w:t>University of Sydney</w:t>
      </w:r>
      <w:r w:rsidR="00995F28">
        <w:rPr>
          <w:lang w:eastAsia="ja-JP"/>
        </w:rPr>
        <w:t xml:space="preserve"> submission</w:t>
      </w:r>
      <w:r w:rsidR="00040C89">
        <w:rPr>
          <w:lang w:eastAsia="ja-JP"/>
        </w:rPr>
        <w:t>, p</w:t>
      </w:r>
      <w:r w:rsidR="00995F28">
        <w:rPr>
          <w:lang w:eastAsia="ja-JP"/>
        </w:rPr>
        <w:t xml:space="preserve">. </w:t>
      </w:r>
      <w:r w:rsidR="00040C89">
        <w:rPr>
          <w:lang w:eastAsia="ja-JP"/>
        </w:rPr>
        <w:t>3</w:t>
      </w:r>
      <w:r>
        <w:rPr>
          <w:lang w:eastAsia="ja-JP"/>
        </w:rPr>
        <w:t>)</w:t>
      </w:r>
    </w:p>
    <w:p w14:paraId="15DC5058" w14:textId="77777777" w:rsidR="00726AB4" w:rsidRDefault="00726AB4" w:rsidP="00854465">
      <w:pPr>
        <w:pStyle w:val="Quote"/>
        <w:rPr>
          <w:lang w:eastAsia="ja-JP"/>
        </w:rPr>
      </w:pPr>
      <w:r>
        <w:rPr>
          <w:lang w:eastAsia="ja-JP"/>
        </w:rPr>
        <w:t>Without clear, consistent and collaborative approaches to prioritisation it is difficult to ensure investment is going into the best areas (Biosecurity Council</w:t>
      </w:r>
      <w:r w:rsidR="00995F28">
        <w:rPr>
          <w:lang w:eastAsia="ja-JP"/>
        </w:rPr>
        <w:t xml:space="preserve"> of Western Australia submission</w:t>
      </w:r>
      <w:r w:rsidR="00040C89">
        <w:rPr>
          <w:lang w:eastAsia="ja-JP"/>
        </w:rPr>
        <w:t>, p</w:t>
      </w:r>
      <w:r w:rsidR="00995F28">
        <w:rPr>
          <w:lang w:eastAsia="ja-JP"/>
        </w:rPr>
        <w:t xml:space="preserve">. </w:t>
      </w:r>
      <w:r w:rsidR="00040C89">
        <w:rPr>
          <w:lang w:eastAsia="ja-JP"/>
        </w:rPr>
        <w:t>2</w:t>
      </w:r>
      <w:r>
        <w:rPr>
          <w:lang w:eastAsia="ja-JP"/>
        </w:rPr>
        <w:t>)</w:t>
      </w:r>
    </w:p>
    <w:p w14:paraId="4002F924" w14:textId="5254853E" w:rsidR="00726AB4" w:rsidRDefault="00726AB4" w:rsidP="00726AB4">
      <w:pPr>
        <w:rPr>
          <w:lang w:eastAsia="ja-JP"/>
        </w:rPr>
      </w:pPr>
      <w:r>
        <w:rPr>
          <w:lang w:eastAsia="ja-JP"/>
        </w:rPr>
        <w:lastRenderedPageBreak/>
        <w:t>On the other hand, some of the apparent reductions in services to biosecurity by governments across the country have occurred when new systems with built in efficiencies that reduce costs to governments, and at the same time maintain or enhance the service, have been implemented. For example, the reduction in the number of small veterinary laboratories has been addressed by significant capital investments in large centralised and modern facilities with significantly superior diagnostic capacity, utilising modern transport logistics.</w:t>
      </w:r>
    </w:p>
    <w:p w14:paraId="4D1CA442" w14:textId="6790C924" w:rsidR="005B1353" w:rsidRDefault="00726AB4" w:rsidP="00726AB4">
      <w:pPr>
        <w:rPr>
          <w:lang w:eastAsia="ja-JP"/>
        </w:rPr>
      </w:pPr>
      <w:r>
        <w:rPr>
          <w:lang w:eastAsia="ja-JP"/>
        </w:rPr>
        <w:t>As well, state and territory treasuries with competing priorities from the community, rightly look to ensure that all system pa</w:t>
      </w:r>
      <w:r w:rsidR="006A6BA5">
        <w:rPr>
          <w:lang w:eastAsia="ja-JP"/>
        </w:rPr>
        <w:t>rticipants</w:t>
      </w:r>
      <w:r>
        <w:rPr>
          <w:lang w:eastAsia="ja-JP"/>
        </w:rPr>
        <w:t xml:space="preserve"> are sharing in the cost of our national biosecurity system. It is appropriate for governments to continually question whether all participants are pulling their weight, and to be assured that governments are not being used as an automatic default funder</w:t>
      </w:r>
      <w:r w:rsidRPr="006F3835">
        <w:rPr>
          <w:lang w:eastAsia="ja-JP"/>
        </w:rPr>
        <w:t>. If this process is conducted</w:t>
      </w:r>
      <w:r>
        <w:rPr>
          <w:lang w:eastAsia="ja-JP"/>
        </w:rPr>
        <w:t xml:space="preserve"> in partnership with all participants, it should be possible to identify appropriate cost-sharing, vers</w:t>
      </w:r>
      <w:r w:rsidR="00895F18">
        <w:rPr>
          <w:lang w:eastAsia="ja-JP"/>
        </w:rPr>
        <w:t>us inappropriate cost-shifting.</w:t>
      </w:r>
    </w:p>
    <w:p w14:paraId="5ED64B12" w14:textId="77777777" w:rsidR="005B1353" w:rsidRDefault="005B1353" w:rsidP="005B1353">
      <w:pPr>
        <w:pStyle w:val="Heading3"/>
        <w:rPr>
          <w:lang w:eastAsia="ja-JP"/>
        </w:rPr>
      </w:pPr>
      <w:bookmarkStart w:id="174" w:name="_Toc469654755"/>
      <w:r>
        <w:rPr>
          <w:lang w:eastAsia="ja-JP"/>
        </w:rPr>
        <w:t>Guiding principles and frameworks</w:t>
      </w:r>
      <w:bookmarkEnd w:id="174"/>
    </w:p>
    <w:p w14:paraId="5E0ADC3C" w14:textId="743DC855" w:rsidR="005B1353" w:rsidRDefault="00854465" w:rsidP="005B1353">
      <w:pPr>
        <w:rPr>
          <w:lang w:eastAsia="ja-JP"/>
        </w:rPr>
      </w:pPr>
      <w:r w:rsidRPr="00854465">
        <w:rPr>
          <w:lang w:eastAsia="ja-JP"/>
        </w:rPr>
        <w:t>In its deliberations on funding the Review Panel has given consideration to funding principles and frameworks under the IGAB, and has sough</w:t>
      </w:r>
      <w:r w:rsidR="00895F18">
        <w:rPr>
          <w:lang w:eastAsia="ja-JP"/>
        </w:rPr>
        <w:t>t to make some observations.</w:t>
      </w:r>
    </w:p>
    <w:p w14:paraId="61AFDCCF" w14:textId="77777777" w:rsidR="005B1353" w:rsidRDefault="005B1353" w:rsidP="005B1353">
      <w:pPr>
        <w:pStyle w:val="Heading4"/>
        <w:rPr>
          <w:lang w:eastAsia="ja-JP"/>
        </w:rPr>
      </w:pPr>
      <w:r>
        <w:rPr>
          <w:lang w:eastAsia="ja-JP"/>
        </w:rPr>
        <w:t>The IGAB investment principles</w:t>
      </w:r>
    </w:p>
    <w:p w14:paraId="32B6EA6F" w14:textId="77777777" w:rsidR="00854465" w:rsidRDefault="00854465" w:rsidP="00854465">
      <w:pPr>
        <w:rPr>
          <w:lang w:eastAsia="ja-JP"/>
        </w:rPr>
      </w:pPr>
      <w:r>
        <w:rPr>
          <w:lang w:eastAsia="ja-JP"/>
        </w:rPr>
        <w:t>The principles in the IGAB give direction to governments on their investments for biosecurity activities (IGAB, 4.1(v–vii)):</w:t>
      </w:r>
    </w:p>
    <w:p w14:paraId="2E4C7A1E" w14:textId="77777777" w:rsidR="00D05812" w:rsidRDefault="00D05812" w:rsidP="00D05812">
      <w:pPr>
        <w:pStyle w:val="Quote"/>
        <w:rPr>
          <w:lang w:eastAsia="ja-JP"/>
        </w:rPr>
      </w:pPr>
      <w:r>
        <w:rPr>
          <w:lang w:eastAsia="ja-JP"/>
        </w:rPr>
        <w:t>v) Activity is undertaken and investment is allocated according to a cost-effective, science-based and risk-management approach, prioritising the allocation of resources to the areas of greatest return.</w:t>
      </w:r>
    </w:p>
    <w:p w14:paraId="46F5A9EA" w14:textId="77777777" w:rsidR="00D05812" w:rsidRDefault="00D05812" w:rsidP="00D05812">
      <w:pPr>
        <w:pStyle w:val="Quote"/>
        <w:rPr>
          <w:lang w:eastAsia="ja-JP"/>
        </w:rPr>
      </w:pPr>
      <w:r>
        <w:rPr>
          <w:lang w:eastAsia="ja-JP"/>
        </w:rPr>
        <w:t>vi) Relevant parties contribute to the cost of biosecurity activities:</w:t>
      </w:r>
    </w:p>
    <w:p w14:paraId="598447C1" w14:textId="77777777" w:rsidR="00D05812" w:rsidRDefault="00D05812" w:rsidP="004434CF">
      <w:pPr>
        <w:pStyle w:val="Quote"/>
        <w:ind w:left="1440"/>
        <w:rPr>
          <w:lang w:eastAsia="ja-JP"/>
        </w:rPr>
      </w:pPr>
      <w:r>
        <w:rPr>
          <w:lang w:eastAsia="ja-JP"/>
        </w:rPr>
        <w:t>a) Risk creators and risk beneficiaries contribute to the cost of risk management measures in proportion to the risks created and/or benefits gained (subject to the efficiency of doing so), and</w:t>
      </w:r>
    </w:p>
    <w:p w14:paraId="42C19779" w14:textId="77777777" w:rsidR="00D05812" w:rsidRDefault="00D05812" w:rsidP="004434CF">
      <w:pPr>
        <w:pStyle w:val="Quote"/>
        <w:ind w:left="1440"/>
        <w:rPr>
          <w:lang w:eastAsia="ja-JP"/>
        </w:rPr>
      </w:pPr>
      <w:r>
        <w:rPr>
          <w:lang w:eastAsia="ja-JP"/>
        </w:rPr>
        <w:t>b) Governments contribute to the cost of risk management measures in proportion to the public good accruing from them.</w:t>
      </w:r>
    </w:p>
    <w:p w14:paraId="17DCC710" w14:textId="77777777" w:rsidR="00D05812" w:rsidRDefault="00D05812" w:rsidP="00D05812">
      <w:pPr>
        <w:pStyle w:val="Quote"/>
        <w:rPr>
          <w:lang w:eastAsia="ja-JP"/>
        </w:rPr>
      </w:pPr>
      <w:r>
        <w:rPr>
          <w:lang w:eastAsia="ja-JP"/>
        </w:rPr>
        <w:t>vii) Governments, industry and other relevant parties are involved in decision making, according to their roles, responsibilities and contributions.</w:t>
      </w:r>
    </w:p>
    <w:p w14:paraId="0BCD7CF1" w14:textId="6564797A" w:rsidR="005B1353" w:rsidRDefault="00854465" w:rsidP="00854465">
      <w:pPr>
        <w:rPr>
          <w:lang w:eastAsia="ja-JP"/>
        </w:rPr>
      </w:pPr>
      <w:r>
        <w:rPr>
          <w:lang w:eastAsia="ja-JP"/>
        </w:rPr>
        <w:t>The investment principles are sound and throughout th</w:t>
      </w:r>
      <w:r w:rsidR="00351534">
        <w:rPr>
          <w:lang w:eastAsia="ja-JP"/>
        </w:rPr>
        <w:t>is</w:t>
      </w:r>
      <w:r>
        <w:rPr>
          <w:lang w:eastAsia="ja-JP"/>
        </w:rPr>
        <w:t xml:space="preserve"> </w:t>
      </w:r>
      <w:r w:rsidR="00351534">
        <w:rPr>
          <w:lang w:eastAsia="ja-JP"/>
        </w:rPr>
        <w:t>R</w:t>
      </w:r>
      <w:r>
        <w:rPr>
          <w:lang w:eastAsia="ja-JP"/>
        </w:rPr>
        <w:t xml:space="preserve">eview, there has been wide support for maintaining them in a future IGAB and as part of a future system. However, many stakeholders identified the difficulty of seeing the impact these principles have made (and are making) to the </w:t>
      </w:r>
      <w:r w:rsidR="006A6BA5">
        <w:rPr>
          <w:lang w:eastAsia="ja-JP"/>
        </w:rPr>
        <w:t xml:space="preserve">national </w:t>
      </w:r>
      <w:r>
        <w:rPr>
          <w:lang w:eastAsia="ja-JP"/>
        </w:rPr>
        <w:t xml:space="preserve">system, particularly on the allocation of funding and processes for decision making. The Review Panel supports this assessment, noting that there is limited evidence of practical implementation of these principles by jurisdictions, </w:t>
      </w:r>
      <w:r w:rsidR="003031D3">
        <w:rPr>
          <w:lang w:eastAsia="ja-JP"/>
        </w:rPr>
        <w:t xml:space="preserve">which </w:t>
      </w:r>
      <w:r>
        <w:rPr>
          <w:lang w:eastAsia="ja-JP"/>
        </w:rPr>
        <w:t>are yet t</w:t>
      </w:r>
      <w:r w:rsidR="00895F18">
        <w:rPr>
          <w:lang w:eastAsia="ja-JP"/>
        </w:rPr>
        <w:t>o fully address this challenge.</w:t>
      </w:r>
    </w:p>
    <w:p w14:paraId="653EF201" w14:textId="77777777" w:rsidR="005B1353" w:rsidRDefault="005B1353" w:rsidP="00FB4E47">
      <w:pPr>
        <w:pStyle w:val="Heading4"/>
        <w:keepNext/>
        <w:rPr>
          <w:lang w:eastAsia="ja-JP"/>
        </w:rPr>
      </w:pPr>
      <w:r>
        <w:rPr>
          <w:lang w:eastAsia="ja-JP"/>
        </w:rPr>
        <w:t>The National framework for Cost Sharing Biosecurity Activities</w:t>
      </w:r>
    </w:p>
    <w:p w14:paraId="3AD70301" w14:textId="22CD04A3" w:rsidR="00854465" w:rsidRDefault="00854465" w:rsidP="00FB4E47">
      <w:pPr>
        <w:keepNext/>
        <w:rPr>
          <w:lang w:eastAsia="ja-JP"/>
        </w:rPr>
      </w:pPr>
      <w:r>
        <w:rPr>
          <w:lang w:eastAsia="ja-JP"/>
        </w:rPr>
        <w:t>Th</w:t>
      </w:r>
      <w:r w:rsidR="00DB270B">
        <w:rPr>
          <w:lang w:eastAsia="ja-JP"/>
        </w:rPr>
        <w:t xml:space="preserve">e </w:t>
      </w:r>
      <w:r w:rsidR="00DB270B" w:rsidRPr="00DB270B">
        <w:rPr>
          <w:lang w:eastAsia="ja-JP"/>
        </w:rPr>
        <w:t>National framework for Cost Sharing Biosecurity Activities</w:t>
      </w:r>
      <w:r>
        <w:rPr>
          <w:lang w:eastAsia="ja-JP"/>
        </w:rPr>
        <w:t xml:space="preserve">, agreed by the NBC, establishes for governments the key principles underpinning a cost-sharing model for biosecurity activities, </w:t>
      </w:r>
      <w:r>
        <w:rPr>
          <w:lang w:eastAsia="ja-JP"/>
        </w:rPr>
        <w:lastRenderedPageBreak/>
        <w:t>including detailing the available funding mechanisms. The framework is consistent with the objectives and principles of the system as outlined in the IGAB and is a valuable statement of principles.</w:t>
      </w:r>
    </w:p>
    <w:p w14:paraId="659B13C1" w14:textId="27CB365C" w:rsidR="00854465" w:rsidRDefault="00854465" w:rsidP="00854465">
      <w:pPr>
        <w:rPr>
          <w:lang w:eastAsia="ja-JP"/>
        </w:rPr>
      </w:pPr>
      <w:r>
        <w:rPr>
          <w:lang w:eastAsia="ja-JP"/>
        </w:rPr>
        <w:t xml:space="preserve">The Review Panel </w:t>
      </w:r>
      <w:r w:rsidR="001A3C8E">
        <w:rPr>
          <w:lang w:eastAsia="ja-JP"/>
        </w:rPr>
        <w:t>recognises that</w:t>
      </w:r>
      <w:r>
        <w:rPr>
          <w:lang w:eastAsia="ja-JP"/>
        </w:rPr>
        <w:t xml:space="preserve"> there is a need for an agreed framework or model to guide the application of cost sharing arrangements to biosecurity activities by all parties. However, the framework does not provide sufficient guidance to facilitate practical implementation by system participants; is somewhat arbitrary on potential funding mechanisms (</w:t>
      </w:r>
      <w:r w:rsidR="001C722B">
        <w:rPr>
          <w:lang w:eastAsia="ja-JP"/>
        </w:rPr>
        <w:t>for example,</w:t>
      </w:r>
      <w:r>
        <w:rPr>
          <w:lang w:eastAsia="ja-JP"/>
        </w:rPr>
        <w:t xml:space="preserve"> a national biosecurity levy); and, to date, reflects a government-only view of cost sharing. There would be benefit in</w:t>
      </w:r>
      <w:r w:rsidR="001C722B">
        <w:rPr>
          <w:lang w:eastAsia="ja-JP"/>
        </w:rPr>
        <w:t xml:space="preserve"> the</w:t>
      </w:r>
      <w:r>
        <w:rPr>
          <w:lang w:eastAsia="ja-JP"/>
        </w:rPr>
        <w:t xml:space="preserve"> NBC and the </w:t>
      </w:r>
      <w:r w:rsidR="00CD4F11">
        <w:rPr>
          <w:lang w:eastAsia="ja-JP"/>
        </w:rPr>
        <w:t xml:space="preserve">proposed </w:t>
      </w:r>
      <w:r>
        <w:rPr>
          <w:lang w:eastAsia="ja-JP"/>
        </w:rPr>
        <w:t xml:space="preserve">new Industry and Community Advisory </w:t>
      </w:r>
      <w:r w:rsidR="00200679">
        <w:rPr>
          <w:lang w:eastAsia="ja-JP"/>
        </w:rPr>
        <w:t>Committee</w:t>
      </w:r>
      <w:r>
        <w:rPr>
          <w:lang w:eastAsia="ja-JP"/>
        </w:rPr>
        <w:t xml:space="preserve"> revising the framework, in consultation with key stakeholders, with a view to its practical appl</w:t>
      </w:r>
      <w:r w:rsidR="00895F18">
        <w:rPr>
          <w:lang w:eastAsia="ja-JP"/>
        </w:rPr>
        <w:t>ication to system participants.</w:t>
      </w:r>
    </w:p>
    <w:p w14:paraId="0951BD84" w14:textId="6BFA47B9" w:rsidR="00854465" w:rsidRDefault="00854465" w:rsidP="00854465">
      <w:pPr>
        <w:rPr>
          <w:lang w:eastAsia="ja-JP"/>
        </w:rPr>
      </w:pPr>
      <w:r>
        <w:rPr>
          <w:lang w:eastAsia="ja-JP"/>
        </w:rPr>
        <w:t>In arriving at this view, the</w:t>
      </w:r>
      <w:r w:rsidR="00B94F1B">
        <w:rPr>
          <w:lang w:eastAsia="ja-JP"/>
        </w:rPr>
        <w:t xml:space="preserve"> </w:t>
      </w:r>
      <w:r>
        <w:rPr>
          <w:lang w:eastAsia="ja-JP"/>
        </w:rPr>
        <w:t xml:space="preserve">Panel was aware of other funding frameworks similarly aimed at guiding funding, cost-recovery and investment such as those covered in the 2013 Review of funding framework for </w:t>
      </w:r>
      <w:r w:rsidR="00595669">
        <w:rPr>
          <w:lang w:eastAsia="ja-JP"/>
        </w:rPr>
        <w:t xml:space="preserve">NSW </w:t>
      </w:r>
      <w:r>
        <w:rPr>
          <w:lang w:eastAsia="ja-JP"/>
        </w:rPr>
        <w:t>Local Land Services conducted by the Independent Pricing and Regulatory Tribunal (</w:t>
      </w:r>
      <w:hyperlink w:anchor="IPART_2013" w:history="1">
        <w:r w:rsidRPr="00447677">
          <w:rPr>
            <w:rStyle w:val="Hyperlink"/>
            <w:lang w:eastAsia="ja-JP"/>
          </w:rPr>
          <w:t>IPART</w:t>
        </w:r>
        <w:r w:rsidR="0017332F" w:rsidRPr="00447677">
          <w:rPr>
            <w:rStyle w:val="Hyperlink"/>
            <w:lang w:eastAsia="ja-JP"/>
          </w:rPr>
          <w:t xml:space="preserve"> 2013</w:t>
        </w:r>
      </w:hyperlink>
      <w:r w:rsidR="00792473">
        <w:rPr>
          <w:lang w:eastAsia="ja-JP"/>
        </w:rPr>
        <w:t xml:space="preserve">). </w:t>
      </w:r>
      <w:r>
        <w:rPr>
          <w:lang w:eastAsia="ja-JP"/>
        </w:rPr>
        <w:t xml:space="preserve">In its review, IPART outlined a </w:t>
      </w:r>
      <w:r w:rsidR="001171FF">
        <w:rPr>
          <w:lang w:eastAsia="ja-JP"/>
        </w:rPr>
        <w:t xml:space="preserve">hierarchy </w:t>
      </w:r>
      <w:r w:rsidR="002149CD">
        <w:rPr>
          <w:lang w:eastAsia="ja-JP"/>
        </w:rPr>
        <w:t xml:space="preserve">of funding mechanisms for </w:t>
      </w:r>
      <w:r>
        <w:rPr>
          <w:lang w:eastAsia="ja-JP"/>
        </w:rPr>
        <w:t xml:space="preserve">regulatory and non-regulatory </w:t>
      </w:r>
      <w:r w:rsidR="002149CD">
        <w:rPr>
          <w:lang w:eastAsia="ja-JP"/>
        </w:rPr>
        <w:t>activities</w:t>
      </w:r>
      <w:r>
        <w:rPr>
          <w:lang w:eastAsia="ja-JP"/>
        </w:rPr>
        <w:t xml:space="preserve">. In </w:t>
      </w:r>
      <w:r w:rsidR="00792473">
        <w:rPr>
          <w:lang w:eastAsia="ja-JP"/>
        </w:rPr>
        <w:t>summary:</w:t>
      </w:r>
    </w:p>
    <w:p w14:paraId="1FE021BC" w14:textId="77777777" w:rsidR="00854465" w:rsidRDefault="00854465" w:rsidP="00854465">
      <w:pPr>
        <w:pStyle w:val="ListBullet"/>
        <w:rPr>
          <w:lang w:eastAsia="ja-JP"/>
        </w:rPr>
      </w:pPr>
      <w:r>
        <w:rPr>
          <w:lang w:eastAsia="ja-JP"/>
        </w:rPr>
        <w:t>A direct fee-for-service should be the default funding mechanism and is preferable to a rate or levy in principle because it provides as close as possible a link between the activity and the charge. Fees are likely to be most appropriate where there are clear private benefits to an identifiable party (such as an individual landholder).</w:t>
      </w:r>
    </w:p>
    <w:p w14:paraId="747AE649" w14:textId="77777777" w:rsidR="00854465" w:rsidRDefault="00854465" w:rsidP="00854465">
      <w:pPr>
        <w:pStyle w:val="ListBullet"/>
        <w:rPr>
          <w:lang w:eastAsia="ja-JP"/>
        </w:rPr>
      </w:pPr>
      <w:r>
        <w:rPr>
          <w:lang w:eastAsia="ja-JP"/>
        </w:rPr>
        <w:t>If a fee-for-service is ruled out because it is not efficient, effective or feasible, then the use</w:t>
      </w:r>
      <w:r w:rsidR="00CD4F11">
        <w:rPr>
          <w:lang w:eastAsia="ja-JP"/>
        </w:rPr>
        <w:t xml:space="preserve"> of</w:t>
      </w:r>
      <w:r>
        <w:rPr>
          <w:lang w:eastAsia="ja-JP"/>
        </w:rPr>
        <w:t xml:space="preserve"> a rate or levy might be appropriate where:</w:t>
      </w:r>
    </w:p>
    <w:p w14:paraId="29E1792E" w14:textId="77777777" w:rsidR="00854465" w:rsidRDefault="00854465" w:rsidP="00854465">
      <w:pPr>
        <w:pStyle w:val="ListBullet2"/>
        <w:rPr>
          <w:lang w:eastAsia="ja-JP"/>
        </w:rPr>
      </w:pPr>
      <w:r>
        <w:rPr>
          <w:lang w:eastAsia="ja-JP"/>
        </w:rPr>
        <w:t>the activity is of a general industry nature rather than of immediate application to one identifiable firm (or person)</w:t>
      </w:r>
    </w:p>
    <w:p w14:paraId="49F29A86" w14:textId="77777777" w:rsidR="00854465" w:rsidRDefault="00854465" w:rsidP="00854465">
      <w:pPr>
        <w:pStyle w:val="ListBullet2"/>
        <w:rPr>
          <w:lang w:eastAsia="ja-JP"/>
        </w:rPr>
      </w:pPr>
      <w:r>
        <w:rPr>
          <w:lang w:eastAsia="ja-JP"/>
        </w:rPr>
        <w:t>it is difficult or impossible to identify the users of a particular service or the extent of their use</w:t>
      </w:r>
    </w:p>
    <w:p w14:paraId="7B1EE516" w14:textId="77777777" w:rsidR="00854465" w:rsidRDefault="00854465" w:rsidP="00854465">
      <w:pPr>
        <w:pStyle w:val="ListBullet2"/>
        <w:rPr>
          <w:lang w:eastAsia="ja-JP"/>
        </w:rPr>
      </w:pPr>
      <w:r>
        <w:rPr>
          <w:lang w:eastAsia="ja-JP"/>
        </w:rPr>
        <w:t>although the users can be identified, charging a direct fee would impede the objectives of the activity, for example, by creating a perverse incentive</w:t>
      </w:r>
    </w:p>
    <w:p w14:paraId="6B477819" w14:textId="77777777" w:rsidR="00854465" w:rsidRDefault="00854465" w:rsidP="00854465">
      <w:pPr>
        <w:pStyle w:val="ListBullet2"/>
        <w:rPr>
          <w:lang w:eastAsia="ja-JP"/>
        </w:rPr>
      </w:pPr>
      <w:r>
        <w:rPr>
          <w:lang w:eastAsia="ja-JP"/>
        </w:rPr>
        <w:t>administrative complexity means that it is simpler and cheaper to recover regulatory costs for a defined industry through a single industry levy rather than by collecting a large number of smaller fees.</w:t>
      </w:r>
    </w:p>
    <w:p w14:paraId="2FD741B5" w14:textId="77777777" w:rsidR="00854465" w:rsidRDefault="00854465" w:rsidP="00854465">
      <w:pPr>
        <w:pStyle w:val="ListBullet"/>
        <w:rPr>
          <w:lang w:eastAsia="ja-JP"/>
        </w:rPr>
      </w:pPr>
      <w:r>
        <w:rPr>
          <w:lang w:eastAsia="ja-JP"/>
        </w:rPr>
        <w:t>In some cases, administration, transaction and compliance costs may mean that even an industry levy is impractical or too expensive. In such cases, taxpayer funding may be preferable (though a last resort).</w:t>
      </w:r>
    </w:p>
    <w:p w14:paraId="70008282" w14:textId="12974EF5" w:rsidR="005B1353" w:rsidRDefault="00854465" w:rsidP="00854465">
      <w:pPr>
        <w:rPr>
          <w:lang w:eastAsia="ja-JP"/>
        </w:rPr>
      </w:pPr>
      <w:r w:rsidRPr="004F7364">
        <w:rPr>
          <w:lang w:eastAsia="ja-JP"/>
        </w:rPr>
        <w:t>The Productivity Commission</w:t>
      </w:r>
      <w:r w:rsidR="00F02FF3" w:rsidRPr="004F7364">
        <w:rPr>
          <w:lang w:eastAsia="ja-JP"/>
        </w:rPr>
        <w:t xml:space="preserve"> </w:t>
      </w:r>
      <w:r w:rsidR="00B94F1B" w:rsidRPr="004F7364">
        <w:rPr>
          <w:lang w:eastAsia="ja-JP"/>
        </w:rPr>
        <w:t>(</w:t>
      </w:r>
      <w:hyperlink w:anchor="PC_2001" w:history="1">
        <w:r w:rsidR="00BB1307" w:rsidRPr="00447677">
          <w:rPr>
            <w:rStyle w:val="Hyperlink"/>
            <w:lang w:eastAsia="ja-JP"/>
          </w:rPr>
          <w:t>PC 2001</w:t>
        </w:r>
      </w:hyperlink>
      <w:r w:rsidR="00B94F1B" w:rsidRPr="004F7364">
        <w:rPr>
          <w:lang w:eastAsia="ja-JP"/>
        </w:rPr>
        <w:t xml:space="preserve">) </w:t>
      </w:r>
      <w:r w:rsidRPr="004F7364">
        <w:rPr>
          <w:lang w:eastAsia="ja-JP"/>
        </w:rPr>
        <w:t>has also provided considerable advice on the application of cost</w:t>
      </w:r>
      <w:r w:rsidR="00F02FF3" w:rsidRPr="004F7364">
        <w:rPr>
          <w:lang w:eastAsia="ja-JP"/>
        </w:rPr>
        <w:t>-</w:t>
      </w:r>
      <w:r w:rsidRPr="004F7364">
        <w:rPr>
          <w:lang w:eastAsia="ja-JP"/>
        </w:rPr>
        <w:t>recovery mechanisms.</w:t>
      </w:r>
    </w:p>
    <w:p w14:paraId="5E9BB98C" w14:textId="0694F239" w:rsidR="00CD4F11" w:rsidRPr="00865C35" w:rsidRDefault="00CD4F11" w:rsidP="00865C35">
      <w:pPr>
        <w:pStyle w:val="BoxHeading"/>
        <w:keepNext/>
        <w:shd w:val="clear" w:color="auto" w:fill="D9D9D9" w:themeFill="background1" w:themeFillShade="D9"/>
        <w:rPr>
          <w:sz w:val="22"/>
          <w:lang w:eastAsia="ja-JP"/>
        </w:rPr>
      </w:pPr>
      <w:bookmarkStart w:id="175" w:name="_Toc467231880"/>
      <w:bookmarkStart w:id="176" w:name="Draft_recommendation_27"/>
      <w:r w:rsidRPr="00865C35">
        <w:rPr>
          <w:sz w:val="22"/>
        </w:rPr>
        <w:t>Draft recommendation</w:t>
      </w:r>
      <w:bookmarkEnd w:id="175"/>
      <w:r w:rsidR="00447677">
        <w:rPr>
          <w:sz w:val="22"/>
        </w:rPr>
        <w:t xml:space="preserve"> 2</w:t>
      </w:r>
      <w:r w:rsidR="00FE6EEF">
        <w:rPr>
          <w:sz w:val="22"/>
        </w:rPr>
        <w:t>7</w:t>
      </w:r>
      <w:bookmarkEnd w:id="176"/>
      <w:r w:rsidR="00425E7D" w:rsidRPr="00865C35">
        <w:rPr>
          <w:noProof/>
          <w:sz w:val="22"/>
        </w:rPr>
        <w:t>:</w:t>
      </w:r>
    </w:p>
    <w:p w14:paraId="172A27AC" w14:textId="475D3773" w:rsidR="00854465" w:rsidRPr="00865C35" w:rsidRDefault="00854465" w:rsidP="00865C35">
      <w:pPr>
        <w:pStyle w:val="BoxText"/>
        <w:shd w:val="clear" w:color="auto" w:fill="D9D9D9" w:themeFill="background1" w:themeFillShade="D9"/>
        <w:rPr>
          <w:sz w:val="22"/>
          <w:lang w:eastAsia="ja-JP"/>
        </w:rPr>
      </w:pPr>
      <w:r w:rsidRPr="00865C35">
        <w:rPr>
          <w:sz w:val="22"/>
          <w:lang w:eastAsia="ja-JP"/>
        </w:rPr>
        <w:t xml:space="preserve">The NBC and the Industry and Community Advisory </w:t>
      </w:r>
      <w:r w:rsidR="00200679">
        <w:rPr>
          <w:sz w:val="22"/>
          <w:lang w:eastAsia="ja-JP"/>
        </w:rPr>
        <w:t>Committee</w:t>
      </w:r>
      <w:r w:rsidRPr="00865C35">
        <w:rPr>
          <w:sz w:val="22"/>
          <w:lang w:eastAsia="ja-JP"/>
        </w:rPr>
        <w:t>, in consultation with other key stakeholders,</w:t>
      </w:r>
      <w:r w:rsidR="005F6D56" w:rsidRPr="00865C35">
        <w:rPr>
          <w:sz w:val="22"/>
          <w:lang w:eastAsia="ja-JP"/>
        </w:rPr>
        <w:t xml:space="preserve"> should</w:t>
      </w:r>
      <w:r w:rsidRPr="00865C35">
        <w:rPr>
          <w:sz w:val="22"/>
          <w:lang w:eastAsia="ja-JP"/>
        </w:rPr>
        <w:t xml:space="preserve"> revise the National Framework for Cost Sharing Biosecurity Activities to enable its practical application.</w:t>
      </w:r>
    </w:p>
    <w:p w14:paraId="4740B5F8" w14:textId="77777777" w:rsidR="005B1353" w:rsidRDefault="005B1353" w:rsidP="005B1353">
      <w:pPr>
        <w:pStyle w:val="Heading4"/>
        <w:rPr>
          <w:lang w:eastAsia="ja-JP"/>
        </w:rPr>
      </w:pPr>
      <w:r>
        <w:rPr>
          <w:lang w:eastAsia="ja-JP"/>
        </w:rPr>
        <w:lastRenderedPageBreak/>
        <w:t>The national portfolio investment optimisation model</w:t>
      </w:r>
    </w:p>
    <w:p w14:paraId="1891C5AF" w14:textId="15E6DC1B" w:rsidR="00976451" w:rsidRDefault="00E212C8" w:rsidP="005B1353">
      <w:pPr>
        <w:rPr>
          <w:lang w:eastAsia="ja-JP"/>
        </w:rPr>
      </w:pPr>
      <w:r w:rsidRPr="00E212C8">
        <w:rPr>
          <w:lang w:eastAsia="ja-JP"/>
        </w:rPr>
        <w:t>The NBC’s national portfolio investment optimisation model categorises government investments across the range of biosecurity activities. The model seeks to provide a considered and holistic approach to investment to help understand investment returns. The model provides five investment categories (IC)</w:t>
      </w:r>
      <w:r w:rsidR="00976451">
        <w:rPr>
          <w:lang w:eastAsia="ja-JP"/>
        </w:rPr>
        <w:t xml:space="preserve"> (</w:t>
      </w:r>
      <w:r w:rsidR="00976451">
        <w:rPr>
          <w:lang w:eastAsia="ja-JP"/>
        </w:rPr>
        <w:fldChar w:fldCharType="begin"/>
      </w:r>
      <w:r w:rsidR="00976451">
        <w:rPr>
          <w:lang w:eastAsia="ja-JP"/>
        </w:rPr>
        <w:instrText xml:space="preserve"> REF _Ref467244878 \h </w:instrText>
      </w:r>
      <w:r w:rsidR="00976451">
        <w:rPr>
          <w:lang w:eastAsia="ja-JP"/>
        </w:rPr>
      </w:r>
      <w:r w:rsidR="00976451">
        <w:rPr>
          <w:lang w:eastAsia="ja-JP"/>
        </w:rPr>
        <w:fldChar w:fldCharType="separate"/>
      </w:r>
      <w:r w:rsidR="008303E2">
        <w:t xml:space="preserve">Table </w:t>
      </w:r>
      <w:r w:rsidR="008303E2">
        <w:rPr>
          <w:noProof/>
        </w:rPr>
        <w:t>7</w:t>
      </w:r>
      <w:r w:rsidR="00976451">
        <w:rPr>
          <w:lang w:eastAsia="ja-JP"/>
        </w:rPr>
        <w:fldChar w:fldCharType="end"/>
      </w:r>
      <w:r w:rsidR="00976451">
        <w:rPr>
          <w:lang w:eastAsia="ja-JP"/>
        </w:rPr>
        <w:t>)</w:t>
      </w:r>
      <w:r w:rsidRPr="00E212C8">
        <w:rPr>
          <w:lang w:eastAsia="ja-JP"/>
        </w:rPr>
        <w:t>, which reflect the suite of biosecurity activities across the system</w:t>
      </w:r>
      <w:r w:rsidR="001C722B">
        <w:rPr>
          <w:lang w:eastAsia="ja-JP"/>
        </w:rPr>
        <w:t>.</w:t>
      </w:r>
      <w:r w:rsidR="00CA5498">
        <w:rPr>
          <w:lang w:eastAsia="ja-JP"/>
        </w:rPr>
        <w:t xml:space="preserve"> The Australian Government also reports on a sixth category (export facilitation).</w:t>
      </w:r>
    </w:p>
    <w:p w14:paraId="2B599534" w14:textId="77777777" w:rsidR="005B1353" w:rsidRDefault="00976451" w:rsidP="00976451">
      <w:pPr>
        <w:pStyle w:val="Caption"/>
        <w:rPr>
          <w:lang w:eastAsia="ja-JP"/>
        </w:rPr>
      </w:pPr>
      <w:bookmarkStart w:id="177" w:name="_Ref467244878"/>
      <w:bookmarkStart w:id="178" w:name="_Ref467244872"/>
      <w:bookmarkStart w:id="179" w:name="_Toc468176728"/>
      <w:r>
        <w:t xml:space="preserve">Table </w:t>
      </w:r>
      <w:r w:rsidR="008303E2">
        <w:fldChar w:fldCharType="begin"/>
      </w:r>
      <w:r w:rsidR="008303E2">
        <w:instrText xml:space="preserve"> SEQ Table \* ARABIC </w:instrText>
      </w:r>
      <w:r w:rsidR="008303E2">
        <w:fldChar w:fldCharType="separate"/>
      </w:r>
      <w:r w:rsidR="008303E2">
        <w:rPr>
          <w:noProof/>
        </w:rPr>
        <w:t>7</w:t>
      </w:r>
      <w:r w:rsidR="008303E2">
        <w:rPr>
          <w:noProof/>
        </w:rPr>
        <w:fldChar w:fldCharType="end"/>
      </w:r>
      <w:bookmarkEnd w:id="177"/>
      <w:r>
        <w:t>: The national portfolio investment optimisation model categories</w:t>
      </w:r>
      <w:bookmarkEnd w:id="178"/>
      <w:bookmarkEnd w:id="179"/>
      <w:r w:rsidR="00E212C8" w:rsidRPr="00E212C8">
        <w:rPr>
          <w:lang w:eastAsia="ja-JP"/>
        </w:rPr>
        <w:t xml:space="preserve"> </w:t>
      </w:r>
    </w:p>
    <w:tbl>
      <w:tblPr>
        <w:tblStyle w:val="TableGrid"/>
        <w:tblW w:w="0" w:type="auto"/>
        <w:tblInd w:w="42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8"/>
        <w:gridCol w:w="6638"/>
      </w:tblGrid>
      <w:tr w:rsidR="00976451" w:rsidRPr="00976451" w14:paraId="153AA883" w14:textId="77777777" w:rsidTr="00976451">
        <w:trPr>
          <w:tblHeader/>
        </w:trPr>
        <w:tc>
          <w:tcPr>
            <w:tcW w:w="1158" w:type="dxa"/>
          </w:tcPr>
          <w:p w14:paraId="26BDC26F" w14:textId="77777777" w:rsidR="00976451" w:rsidRPr="00976451" w:rsidRDefault="00976451" w:rsidP="00976451">
            <w:pPr>
              <w:pStyle w:val="TableHeading"/>
              <w:rPr>
                <w:lang w:eastAsia="ja-JP"/>
              </w:rPr>
            </w:pPr>
            <w:r>
              <w:rPr>
                <w:lang w:eastAsia="ja-JP"/>
              </w:rPr>
              <w:t>Investment category</w:t>
            </w:r>
          </w:p>
        </w:tc>
        <w:tc>
          <w:tcPr>
            <w:tcW w:w="6638" w:type="dxa"/>
          </w:tcPr>
          <w:p w14:paraId="58D8EE4B" w14:textId="77777777" w:rsidR="00976451" w:rsidRPr="00976451" w:rsidRDefault="00976451" w:rsidP="00976451">
            <w:pPr>
              <w:pStyle w:val="TableHeading"/>
              <w:rPr>
                <w:lang w:eastAsia="ja-JP"/>
              </w:rPr>
            </w:pPr>
            <w:r>
              <w:rPr>
                <w:lang w:eastAsia="ja-JP"/>
              </w:rPr>
              <w:t>Description</w:t>
            </w:r>
          </w:p>
        </w:tc>
      </w:tr>
      <w:tr w:rsidR="00976451" w:rsidRPr="00976451" w14:paraId="06C7D73F" w14:textId="77777777" w:rsidTr="00976451">
        <w:tc>
          <w:tcPr>
            <w:tcW w:w="1158" w:type="dxa"/>
          </w:tcPr>
          <w:p w14:paraId="065F6756" w14:textId="77777777" w:rsidR="00976451" w:rsidRPr="00976451" w:rsidRDefault="00976451" w:rsidP="00976451">
            <w:pPr>
              <w:pStyle w:val="TableText"/>
              <w:rPr>
                <w:lang w:eastAsia="ja-JP"/>
              </w:rPr>
            </w:pPr>
            <w:r>
              <w:rPr>
                <w:lang w:eastAsia="ja-JP"/>
              </w:rPr>
              <w:t>IC1</w:t>
            </w:r>
          </w:p>
        </w:tc>
        <w:tc>
          <w:tcPr>
            <w:tcW w:w="6638" w:type="dxa"/>
          </w:tcPr>
          <w:p w14:paraId="150BF522" w14:textId="77777777" w:rsidR="00976451" w:rsidRPr="00976451" w:rsidRDefault="00976451" w:rsidP="00976451">
            <w:pPr>
              <w:pStyle w:val="TableText"/>
              <w:rPr>
                <w:lang w:eastAsia="ja-JP"/>
              </w:rPr>
            </w:pPr>
            <w:r w:rsidRPr="00976451">
              <w:rPr>
                <w:lang w:eastAsia="ja-JP"/>
              </w:rPr>
              <w:t>Prevention of exotic/emergency pests and diseases (pre-border and border)</w:t>
            </w:r>
          </w:p>
        </w:tc>
      </w:tr>
      <w:tr w:rsidR="00976451" w:rsidRPr="00976451" w14:paraId="1D4567EE" w14:textId="77777777" w:rsidTr="00976451">
        <w:tc>
          <w:tcPr>
            <w:tcW w:w="1158" w:type="dxa"/>
          </w:tcPr>
          <w:p w14:paraId="3B9940B6" w14:textId="77777777" w:rsidR="00976451" w:rsidRPr="00976451" w:rsidRDefault="00976451" w:rsidP="00976451">
            <w:pPr>
              <w:pStyle w:val="TableText"/>
              <w:rPr>
                <w:lang w:eastAsia="ja-JP"/>
              </w:rPr>
            </w:pPr>
            <w:r>
              <w:rPr>
                <w:lang w:eastAsia="ja-JP"/>
              </w:rPr>
              <w:t>IC2</w:t>
            </w:r>
          </w:p>
        </w:tc>
        <w:tc>
          <w:tcPr>
            <w:tcW w:w="6638" w:type="dxa"/>
          </w:tcPr>
          <w:p w14:paraId="01546222" w14:textId="77777777" w:rsidR="00976451" w:rsidRPr="00976451" w:rsidRDefault="00976451" w:rsidP="00976451">
            <w:pPr>
              <w:pStyle w:val="TableText"/>
              <w:rPr>
                <w:lang w:eastAsia="ja-JP"/>
              </w:rPr>
            </w:pPr>
            <w:r>
              <w:rPr>
                <w:lang w:eastAsia="ja-JP"/>
              </w:rPr>
              <w:t>P</w:t>
            </w:r>
            <w:r w:rsidRPr="00976451">
              <w:rPr>
                <w:lang w:eastAsia="ja-JP"/>
              </w:rPr>
              <w:t>reparedness for exotic or emergency pests and diseases, including early detection (surveillance)</w:t>
            </w:r>
          </w:p>
        </w:tc>
      </w:tr>
      <w:tr w:rsidR="00976451" w:rsidRPr="00976451" w14:paraId="5BE3DA91" w14:textId="77777777" w:rsidTr="00976451">
        <w:tc>
          <w:tcPr>
            <w:tcW w:w="1158" w:type="dxa"/>
          </w:tcPr>
          <w:p w14:paraId="0AB0C412" w14:textId="77777777" w:rsidR="00976451" w:rsidRPr="00976451" w:rsidRDefault="00976451" w:rsidP="00976451">
            <w:pPr>
              <w:pStyle w:val="TableText"/>
              <w:rPr>
                <w:lang w:eastAsia="ja-JP"/>
              </w:rPr>
            </w:pPr>
            <w:r w:rsidRPr="00976451">
              <w:rPr>
                <w:lang w:eastAsia="ja-JP"/>
              </w:rPr>
              <w:t>IC</w:t>
            </w:r>
            <w:r>
              <w:rPr>
                <w:lang w:eastAsia="ja-JP"/>
              </w:rPr>
              <w:t>3</w:t>
            </w:r>
            <w:r w:rsidRPr="00976451">
              <w:rPr>
                <w:lang w:eastAsia="ja-JP"/>
              </w:rPr>
              <w:t xml:space="preserve"> </w:t>
            </w:r>
          </w:p>
        </w:tc>
        <w:tc>
          <w:tcPr>
            <w:tcW w:w="6638" w:type="dxa"/>
          </w:tcPr>
          <w:p w14:paraId="3A5EA4C5" w14:textId="77777777" w:rsidR="00976451" w:rsidRPr="00976451" w:rsidRDefault="00976451" w:rsidP="00976451">
            <w:pPr>
              <w:pStyle w:val="TableText"/>
              <w:rPr>
                <w:lang w:eastAsia="ja-JP"/>
              </w:rPr>
            </w:pPr>
            <w:r w:rsidRPr="00976451">
              <w:rPr>
                <w:lang w:eastAsia="ja-JP"/>
              </w:rPr>
              <w:t>National eradication/containment programs (cost-shared national programs)</w:t>
            </w:r>
          </w:p>
        </w:tc>
      </w:tr>
      <w:tr w:rsidR="00976451" w:rsidRPr="00976451" w14:paraId="7A0D2C77" w14:textId="77777777" w:rsidTr="00976451">
        <w:tc>
          <w:tcPr>
            <w:tcW w:w="1158" w:type="dxa"/>
          </w:tcPr>
          <w:p w14:paraId="4F44C949" w14:textId="77777777" w:rsidR="00976451" w:rsidRPr="00976451" w:rsidRDefault="00976451" w:rsidP="00976451">
            <w:pPr>
              <w:pStyle w:val="TableText"/>
              <w:rPr>
                <w:lang w:eastAsia="ja-JP"/>
              </w:rPr>
            </w:pPr>
            <w:r>
              <w:rPr>
                <w:lang w:eastAsia="ja-JP"/>
              </w:rPr>
              <w:t>IC4</w:t>
            </w:r>
          </w:p>
        </w:tc>
        <w:tc>
          <w:tcPr>
            <w:tcW w:w="6638" w:type="dxa"/>
          </w:tcPr>
          <w:p w14:paraId="1CEAE2D8" w14:textId="77777777" w:rsidR="00976451" w:rsidRPr="00976451" w:rsidRDefault="00976451" w:rsidP="00976451">
            <w:pPr>
              <w:pStyle w:val="TableText"/>
              <w:rPr>
                <w:lang w:eastAsia="ja-JP"/>
              </w:rPr>
            </w:pPr>
            <w:r w:rsidRPr="00976451">
              <w:rPr>
                <w:lang w:eastAsia="ja-JP"/>
              </w:rPr>
              <w:t>Management of established pests and diseases of national significance</w:t>
            </w:r>
          </w:p>
        </w:tc>
      </w:tr>
      <w:tr w:rsidR="00976451" w:rsidRPr="00976451" w14:paraId="2A53389E" w14:textId="77777777" w:rsidTr="00976451">
        <w:tc>
          <w:tcPr>
            <w:tcW w:w="1158" w:type="dxa"/>
          </w:tcPr>
          <w:p w14:paraId="666FD3AE" w14:textId="77777777" w:rsidR="00976451" w:rsidRPr="00976451" w:rsidRDefault="00976451" w:rsidP="00976451">
            <w:pPr>
              <w:pStyle w:val="TableText"/>
              <w:rPr>
                <w:lang w:eastAsia="ja-JP"/>
              </w:rPr>
            </w:pPr>
            <w:r>
              <w:rPr>
                <w:lang w:eastAsia="ja-JP"/>
              </w:rPr>
              <w:t>IC5</w:t>
            </w:r>
          </w:p>
        </w:tc>
        <w:tc>
          <w:tcPr>
            <w:tcW w:w="6638" w:type="dxa"/>
          </w:tcPr>
          <w:p w14:paraId="6B189D30" w14:textId="77777777" w:rsidR="00976451" w:rsidRPr="00976451" w:rsidRDefault="00976451" w:rsidP="00976451">
            <w:pPr>
              <w:pStyle w:val="TableText"/>
              <w:rPr>
                <w:lang w:eastAsia="ja-JP"/>
              </w:rPr>
            </w:pPr>
            <w:r w:rsidRPr="00976451">
              <w:rPr>
                <w:lang w:eastAsia="ja-JP"/>
              </w:rPr>
              <w:t>Management of other established pests and diseases</w:t>
            </w:r>
          </w:p>
        </w:tc>
      </w:tr>
      <w:tr w:rsidR="00976451" w:rsidRPr="00976451" w14:paraId="5BBD0B54" w14:textId="77777777" w:rsidTr="00976451">
        <w:tc>
          <w:tcPr>
            <w:tcW w:w="1158" w:type="dxa"/>
          </w:tcPr>
          <w:p w14:paraId="55AFDABE" w14:textId="77777777" w:rsidR="00976451" w:rsidRPr="00CA5498" w:rsidRDefault="00976451" w:rsidP="00976451">
            <w:pPr>
              <w:pStyle w:val="TableText"/>
              <w:rPr>
                <w:lang w:eastAsia="ja-JP"/>
              </w:rPr>
            </w:pPr>
            <w:r w:rsidRPr="00CA5498">
              <w:rPr>
                <w:lang w:eastAsia="ja-JP"/>
              </w:rPr>
              <w:t>IC6</w:t>
            </w:r>
          </w:p>
        </w:tc>
        <w:tc>
          <w:tcPr>
            <w:tcW w:w="6638" w:type="dxa"/>
          </w:tcPr>
          <w:p w14:paraId="56678097" w14:textId="77777777" w:rsidR="00976451" w:rsidRPr="00CA5498" w:rsidRDefault="00976451" w:rsidP="00CA5498">
            <w:pPr>
              <w:pStyle w:val="TableText"/>
              <w:rPr>
                <w:lang w:eastAsia="ja-JP"/>
              </w:rPr>
            </w:pPr>
            <w:r w:rsidRPr="00CA5498">
              <w:rPr>
                <w:lang w:eastAsia="ja-JP"/>
              </w:rPr>
              <w:t>Export facilitation (Australian Government</w:t>
            </w:r>
            <w:r w:rsidR="00CA5498" w:rsidRPr="00CA5498">
              <w:rPr>
                <w:lang w:eastAsia="ja-JP"/>
              </w:rPr>
              <w:t xml:space="preserve"> only</w:t>
            </w:r>
            <w:r w:rsidRPr="00CA5498">
              <w:rPr>
                <w:lang w:eastAsia="ja-JP"/>
              </w:rPr>
              <w:t>)</w:t>
            </w:r>
          </w:p>
        </w:tc>
      </w:tr>
    </w:tbl>
    <w:p w14:paraId="0828A05D" w14:textId="7AC96ED8" w:rsidR="00E212C8" w:rsidRDefault="00E212C8" w:rsidP="009D1E8D">
      <w:pPr>
        <w:spacing w:before="120"/>
        <w:rPr>
          <w:lang w:eastAsia="ja-JP"/>
        </w:rPr>
      </w:pPr>
      <w:r>
        <w:rPr>
          <w:lang w:eastAsia="ja-JP"/>
        </w:rPr>
        <w:t xml:space="preserve">The foundation for the investment model is </w:t>
      </w:r>
      <w:r w:rsidRPr="00CA5498">
        <w:rPr>
          <w:lang w:eastAsia="ja-JP"/>
        </w:rPr>
        <w:t>the 200</w:t>
      </w:r>
      <w:r w:rsidR="00976451" w:rsidRPr="00CA5498">
        <w:rPr>
          <w:lang w:eastAsia="ja-JP"/>
        </w:rPr>
        <w:t>8</w:t>
      </w:r>
      <w:r w:rsidRPr="00CA5498">
        <w:rPr>
          <w:lang w:eastAsia="ja-JP"/>
        </w:rPr>
        <w:t xml:space="preserve"> generalised</w:t>
      </w:r>
      <w:r>
        <w:rPr>
          <w:lang w:eastAsia="ja-JP"/>
        </w:rPr>
        <w:t xml:space="preserve"> invasion curve </w:t>
      </w:r>
      <w:r w:rsidR="00DB270B">
        <w:rPr>
          <w:lang w:eastAsia="ja-JP"/>
        </w:rPr>
        <w:t xml:space="preserve">(invasion curve) </w:t>
      </w:r>
      <w:r>
        <w:rPr>
          <w:lang w:eastAsia="ja-JP"/>
        </w:rPr>
        <w:t xml:space="preserve">developed by the Victorian Government, as detailed in the Discussion Paper for the IGAB Review. The invasion curve includes indicative economic returns, with the return on investment higher for prevention than for ongoing management of established pests and diseases. For the latter, return on governments’ investment is improved when their investment supports collective industry and/or community action (compared to government as sole investor). </w:t>
      </w:r>
      <w:r w:rsidR="00CA5498">
        <w:rPr>
          <w:lang w:eastAsia="ja-JP"/>
        </w:rPr>
        <w:t>The sixth investment category, and its return on investment, does not feature in the invasion curve.</w:t>
      </w:r>
    </w:p>
    <w:p w14:paraId="199CBE2B" w14:textId="7A15E5BF" w:rsidR="00E212C8" w:rsidRDefault="00E212C8" w:rsidP="00E212C8">
      <w:pPr>
        <w:rPr>
          <w:lang w:eastAsia="ja-JP"/>
        </w:rPr>
      </w:pPr>
      <w:r>
        <w:rPr>
          <w:lang w:eastAsia="ja-JP"/>
        </w:rPr>
        <w:t>The invasion curve has been useful in demonstrating the correlation of activity, area occupied and time, and has helped system participants further the maturity of the</w:t>
      </w:r>
      <w:r w:rsidR="00B94F1B">
        <w:rPr>
          <w:lang w:eastAsia="ja-JP"/>
        </w:rPr>
        <w:t xml:space="preserve"> </w:t>
      </w:r>
      <w:r w:rsidR="00CA5498">
        <w:rPr>
          <w:lang w:eastAsia="ja-JP"/>
        </w:rPr>
        <w:t>national</w:t>
      </w:r>
      <w:r>
        <w:rPr>
          <w:lang w:eastAsia="ja-JP"/>
        </w:rPr>
        <w:t xml:space="preserve"> biosecurity system. However, given the complexity of the </w:t>
      </w:r>
      <w:r w:rsidR="00DB270B">
        <w:rPr>
          <w:lang w:eastAsia="ja-JP"/>
        </w:rPr>
        <w:t xml:space="preserve">national </w:t>
      </w:r>
      <w:r>
        <w:rPr>
          <w:lang w:eastAsia="ja-JP"/>
        </w:rPr>
        <w:t>system and further development of national arrangements, jurisdictions have seen a need to adapt the invasion curve. The NBC’s agreed categories of investment reflect ‘the curve’s’ next evolution, though there will be an ongoing need to validate returns on government investment across the system for the model to remain valid.</w:t>
      </w:r>
    </w:p>
    <w:p w14:paraId="2D383BCF" w14:textId="77777777" w:rsidR="005B1353" w:rsidRDefault="005B1353" w:rsidP="005B1353">
      <w:pPr>
        <w:pStyle w:val="Heading4"/>
        <w:rPr>
          <w:lang w:eastAsia="ja-JP"/>
        </w:rPr>
      </w:pPr>
      <w:bookmarkStart w:id="180" w:name="_Categorising_activities_of"/>
      <w:bookmarkEnd w:id="180"/>
      <w:r>
        <w:rPr>
          <w:lang w:eastAsia="ja-JP"/>
        </w:rPr>
        <w:t>Categorising activities of the system</w:t>
      </w:r>
    </w:p>
    <w:p w14:paraId="615B32EA" w14:textId="77777777" w:rsidR="00E212C8" w:rsidRDefault="00E212C8" w:rsidP="00E212C8">
      <w:pPr>
        <w:rPr>
          <w:lang w:eastAsia="ja-JP"/>
        </w:rPr>
      </w:pPr>
      <w:r>
        <w:rPr>
          <w:lang w:eastAsia="ja-JP"/>
        </w:rPr>
        <w:t>While the Review Panel supports the steps taken to establish new investment categories and recognises their value for decision-making purposes, these should have utility beyond funding and investment. Uniform categories for the national biosecurity system should reflect the full suite of activities for all system participants and support a range of analyses. All system participants should be encouraged to publicly report their activities, including investments, on a consistent basis to build a better understanding of the system’s efficiency and performance.</w:t>
      </w:r>
    </w:p>
    <w:p w14:paraId="02BD1620" w14:textId="4FB9FFEB" w:rsidR="00E212C8" w:rsidRDefault="00E212C8" w:rsidP="00E212C8">
      <w:pPr>
        <w:rPr>
          <w:lang w:eastAsia="ja-JP"/>
        </w:rPr>
      </w:pPr>
      <w:r>
        <w:rPr>
          <w:lang w:eastAsia="ja-JP"/>
        </w:rPr>
        <w:t xml:space="preserve">At present, there is limited ability for </w:t>
      </w:r>
      <w:r w:rsidR="00DB270B">
        <w:rPr>
          <w:lang w:eastAsia="ja-JP"/>
        </w:rPr>
        <w:t xml:space="preserve">system </w:t>
      </w:r>
      <w:r>
        <w:rPr>
          <w:lang w:eastAsia="ja-JP"/>
        </w:rPr>
        <w:t>participants beyond jurisdictions to categorise their contributions to and participation in the system. This includes capturing the activity relevant to the IGAB priorities, as well as the acti</w:t>
      </w:r>
      <w:r w:rsidR="00DB270B">
        <w:rPr>
          <w:lang w:eastAsia="ja-JP"/>
        </w:rPr>
        <w:t>vities and funding of AHA, PHA</w:t>
      </w:r>
      <w:r>
        <w:rPr>
          <w:lang w:eastAsia="ja-JP"/>
        </w:rPr>
        <w:t xml:space="preserve">, </w:t>
      </w:r>
      <w:r w:rsidR="00B94F1B">
        <w:rPr>
          <w:lang w:eastAsia="ja-JP"/>
        </w:rPr>
        <w:t>RDCs</w:t>
      </w:r>
      <w:r>
        <w:rPr>
          <w:lang w:eastAsia="ja-JP"/>
        </w:rPr>
        <w:t>, CSIRO, and any st</w:t>
      </w:r>
      <w:r w:rsidR="00623260">
        <w:rPr>
          <w:lang w:eastAsia="ja-JP"/>
        </w:rPr>
        <w:t>ate and territory-level bodies.</w:t>
      </w:r>
    </w:p>
    <w:p w14:paraId="2B06784F" w14:textId="15E0D985" w:rsidR="005B1353" w:rsidRDefault="00E212C8" w:rsidP="00E212C8">
      <w:pPr>
        <w:rPr>
          <w:lang w:eastAsia="ja-JP"/>
        </w:rPr>
      </w:pPr>
      <w:r>
        <w:rPr>
          <w:lang w:eastAsia="ja-JP"/>
        </w:rPr>
        <w:lastRenderedPageBreak/>
        <w:t>The Review Panel recommends a single categorisation of system activities be agreed by jurisdictions, in collaboration with key industry members and non-government partners. As part of this reconsideration, attention should be given to categories of the national priority planning process and the subsequent activity planning. System categories must be clear to avoid confusi</w:t>
      </w:r>
      <w:r w:rsidR="00895F18">
        <w:rPr>
          <w:lang w:eastAsia="ja-JP"/>
        </w:rPr>
        <w:t>on, distortion or manipulation.</w:t>
      </w:r>
    </w:p>
    <w:p w14:paraId="32422866" w14:textId="483F68E2" w:rsidR="00CD4F11" w:rsidRPr="000301D3" w:rsidRDefault="00CD4F11" w:rsidP="000301D3">
      <w:pPr>
        <w:pStyle w:val="BoxHeading"/>
        <w:shd w:val="clear" w:color="auto" w:fill="D9D9D9" w:themeFill="background1" w:themeFillShade="D9"/>
        <w:rPr>
          <w:sz w:val="22"/>
          <w:lang w:eastAsia="ja-JP"/>
        </w:rPr>
      </w:pPr>
      <w:bookmarkStart w:id="181" w:name="_Toc467231881"/>
      <w:bookmarkStart w:id="182" w:name="Draft_recommendation_28"/>
      <w:r w:rsidRPr="000301D3">
        <w:rPr>
          <w:sz w:val="22"/>
        </w:rPr>
        <w:t xml:space="preserve">Draft recommendation </w:t>
      </w:r>
      <w:r w:rsidR="00447677">
        <w:rPr>
          <w:sz w:val="22"/>
        </w:rPr>
        <w:t>2</w:t>
      </w:r>
      <w:bookmarkEnd w:id="181"/>
      <w:r w:rsidR="00FE6EEF">
        <w:rPr>
          <w:sz w:val="22"/>
        </w:rPr>
        <w:t>8</w:t>
      </w:r>
      <w:bookmarkEnd w:id="182"/>
      <w:r w:rsidR="00545AC5" w:rsidRPr="000301D3">
        <w:rPr>
          <w:noProof/>
          <w:sz w:val="22"/>
        </w:rPr>
        <w:t>:</w:t>
      </w:r>
    </w:p>
    <w:p w14:paraId="2F14964A" w14:textId="77777777" w:rsidR="005B1353" w:rsidRPr="000301D3" w:rsidRDefault="005B1353" w:rsidP="000301D3">
      <w:pPr>
        <w:pStyle w:val="BoxText"/>
        <w:shd w:val="clear" w:color="auto" w:fill="D9D9D9" w:themeFill="background1" w:themeFillShade="D9"/>
        <w:rPr>
          <w:sz w:val="22"/>
          <w:lang w:eastAsia="ja-JP"/>
        </w:rPr>
      </w:pPr>
      <w:r w:rsidRPr="000301D3">
        <w:rPr>
          <w:sz w:val="22"/>
          <w:lang w:eastAsia="ja-JP"/>
        </w:rPr>
        <w:t xml:space="preserve">The NBC, with key industry and non-government partners, </w:t>
      </w:r>
      <w:r w:rsidR="005F6D56" w:rsidRPr="000301D3">
        <w:rPr>
          <w:sz w:val="22"/>
          <w:lang w:eastAsia="ja-JP"/>
        </w:rPr>
        <w:t xml:space="preserve">should </w:t>
      </w:r>
      <w:r w:rsidRPr="000301D3">
        <w:rPr>
          <w:sz w:val="22"/>
          <w:lang w:eastAsia="ja-JP"/>
        </w:rPr>
        <w:t>agree uniform</w:t>
      </w:r>
      <w:r w:rsidR="00E212C8" w:rsidRPr="000301D3">
        <w:rPr>
          <w:sz w:val="22"/>
          <w:lang w:eastAsia="ja-JP"/>
        </w:rPr>
        <w:t xml:space="preserve"> and fully inclusive </w:t>
      </w:r>
      <w:r w:rsidRPr="000301D3">
        <w:rPr>
          <w:sz w:val="22"/>
          <w:lang w:eastAsia="ja-JP"/>
        </w:rPr>
        <w:t>categories of</w:t>
      </w:r>
      <w:r w:rsidR="005F6D56" w:rsidRPr="000301D3">
        <w:rPr>
          <w:sz w:val="22"/>
          <w:lang w:eastAsia="ja-JP"/>
        </w:rPr>
        <w:t xml:space="preserve"> funding</w:t>
      </w:r>
      <w:r w:rsidRPr="000301D3">
        <w:rPr>
          <w:sz w:val="22"/>
          <w:lang w:eastAsia="ja-JP"/>
        </w:rPr>
        <w:t xml:space="preserve"> activity for the national biosecurity system.</w:t>
      </w:r>
    </w:p>
    <w:p w14:paraId="43D6686E" w14:textId="77777777" w:rsidR="005B1353" w:rsidRDefault="005B1353" w:rsidP="005B1353">
      <w:pPr>
        <w:pStyle w:val="Heading3"/>
        <w:rPr>
          <w:lang w:eastAsia="ja-JP"/>
        </w:rPr>
      </w:pPr>
      <w:bookmarkStart w:id="183" w:name="_Toc469654756"/>
      <w:r>
        <w:rPr>
          <w:lang w:eastAsia="ja-JP"/>
        </w:rPr>
        <w:t>How much is enough?</w:t>
      </w:r>
      <w:bookmarkEnd w:id="183"/>
    </w:p>
    <w:p w14:paraId="13710BBF" w14:textId="3787C1B4" w:rsidR="005B1353" w:rsidRDefault="00D80661" w:rsidP="005B1353">
      <w:pPr>
        <w:rPr>
          <w:lang w:eastAsia="ja-JP"/>
        </w:rPr>
      </w:pPr>
      <w:r w:rsidRPr="00D80661">
        <w:rPr>
          <w:lang w:eastAsia="ja-JP"/>
        </w:rPr>
        <w:t>The overall funding situation of the</w:t>
      </w:r>
      <w:r w:rsidR="00B94F1B">
        <w:rPr>
          <w:lang w:eastAsia="ja-JP"/>
        </w:rPr>
        <w:t xml:space="preserve"> </w:t>
      </w:r>
      <w:r w:rsidR="00B801E7">
        <w:rPr>
          <w:lang w:eastAsia="ja-JP"/>
        </w:rPr>
        <w:t>national</w:t>
      </w:r>
      <w:r w:rsidRPr="00D80661">
        <w:rPr>
          <w:lang w:eastAsia="ja-JP"/>
        </w:rPr>
        <w:t xml:space="preserve"> biosecurity system is complex, multi-faceted and </w:t>
      </w:r>
      <w:r w:rsidRPr="003031D3">
        <w:rPr>
          <w:lang w:eastAsia="ja-JP"/>
        </w:rPr>
        <w:t>unclear</w:t>
      </w:r>
      <w:r w:rsidR="00B801E7" w:rsidRPr="003031D3">
        <w:rPr>
          <w:lang w:eastAsia="ja-JP"/>
        </w:rPr>
        <w:t>, meaning t</w:t>
      </w:r>
      <w:r w:rsidRPr="003031D3">
        <w:rPr>
          <w:lang w:eastAsia="ja-JP"/>
        </w:rPr>
        <w:t>here is no</w:t>
      </w:r>
      <w:r w:rsidRPr="00D80661">
        <w:rPr>
          <w:lang w:eastAsia="ja-JP"/>
        </w:rPr>
        <w:t xml:space="preserve"> picture of total investment in the </w:t>
      </w:r>
      <w:r w:rsidR="00DB270B">
        <w:rPr>
          <w:lang w:eastAsia="ja-JP"/>
        </w:rPr>
        <w:t xml:space="preserve">national </w:t>
      </w:r>
      <w:r w:rsidRPr="00D80661">
        <w:rPr>
          <w:lang w:eastAsia="ja-JP"/>
        </w:rPr>
        <w:t>system. This is primarily because the range of investments and contributions by key parties is not routinely captured, reviewed or invested on a national basis. Governments have sought to address this in recent years for public investment but there is much work still to be done, including by non-government parties, before questions of ‘how much (fundi</w:t>
      </w:r>
      <w:r w:rsidR="00046BCB">
        <w:rPr>
          <w:lang w:eastAsia="ja-JP"/>
        </w:rPr>
        <w:t>ng) is enough’ can be answered.</w:t>
      </w:r>
    </w:p>
    <w:p w14:paraId="72DC524F" w14:textId="77777777" w:rsidR="005B1353" w:rsidRDefault="005B1353" w:rsidP="005B1353">
      <w:pPr>
        <w:pStyle w:val="Heading4"/>
        <w:rPr>
          <w:lang w:eastAsia="ja-JP"/>
        </w:rPr>
      </w:pPr>
      <w:r>
        <w:rPr>
          <w:lang w:eastAsia="ja-JP"/>
        </w:rPr>
        <w:t>Jurisdictions: The national stocktake of biosecurity investment</w:t>
      </w:r>
    </w:p>
    <w:p w14:paraId="094E9C2F" w14:textId="77777777" w:rsidR="008241EF" w:rsidRDefault="008241EF" w:rsidP="008241EF">
      <w:pPr>
        <w:rPr>
          <w:lang w:eastAsia="ja-JP"/>
        </w:rPr>
      </w:pPr>
      <w:r>
        <w:rPr>
          <w:lang w:eastAsia="ja-JP"/>
        </w:rPr>
        <w:t>The national stocktake of biosecurity investment uses the national portfolio investment optimisation model’s six investment categories to provide a structured assessment of how all Australian governments are investing in biosecurity.</w:t>
      </w:r>
    </w:p>
    <w:p w14:paraId="27CA77BD" w14:textId="77777777" w:rsidR="008241EF" w:rsidRDefault="008241EF" w:rsidP="008241EF">
      <w:pPr>
        <w:rPr>
          <w:lang w:eastAsia="ja-JP"/>
        </w:rPr>
      </w:pPr>
      <w:r>
        <w:rPr>
          <w:lang w:eastAsia="ja-JP"/>
        </w:rPr>
        <w:t>Reported through the NBC, the stocktake captures estimates of jurisdictions’ overall investment in biosecurity with results available for total state and territory investment and total Commonwealth investment. The stocktake has been completed for the 2013–14 and 2014–15 financial years; the stocktake for 2015–16 is underway.</w:t>
      </w:r>
    </w:p>
    <w:p w14:paraId="1D605E23" w14:textId="66EF6A46" w:rsidR="005B1353" w:rsidRDefault="008241EF" w:rsidP="008241EF">
      <w:pPr>
        <w:rPr>
          <w:lang w:eastAsia="ja-JP"/>
        </w:rPr>
      </w:pPr>
      <w:r>
        <w:rPr>
          <w:lang w:eastAsia="ja-JP"/>
        </w:rPr>
        <w:t>The Review Panel considers that the National Stocktake should continue to be undertaken each year, and included as a commitment in a future IGAB. The results of the stocktake should also be publicly reported, including the over</w:t>
      </w:r>
      <w:r w:rsidR="00895F18">
        <w:rPr>
          <w:lang w:eastAsia="ja-JP"/>
        </w:rPr>
        <w:t>all jurisdictional expenditure.</w:t>
      </w:r>
    </w:p>
    <w:p w14:paraId="15081B57" w14:textId="13064F83" w:rsidR="00CD4F11" w:rsidRPr="007B48E0" w:rsidRDefault="00CD4F11" w:rsidP="007B48E0">
      <w:pPr>
        <w:pStyle w:val="BoxHeading"/>
        <w:shd w:val="clear" w:color="auto" w:fill="D9D9D9" w:themeFill="background1" w:themeFillShade="D9"/>
        <w:rPr>
          <w:sz w:val="22"/>
          <w:lang w:eastAsia="ja-JP"/>
        </w:rPr>
      </w:pPr>
      <w:bookmarkStart w:id="184" w:name="_Toc467231882"/>
      <w:bookmarkStart w:id="185" w:name="Draft_recommendation_29"/>
      <w:r w:rsidRPr="007B48E0">
        <w:rPr>
          <w:sz w:val="22"/>
        </w:rPr>
        <w:t xml:space="preserve">Draft recommendation </w:t>
      </w:r>
      <w:r w:rsidR="00FE6EEF">
        <w:rPr>
          <w:sz w:val="22"/>
        </w:rPr>
        <w:t>29</w:t>
      </w:r>
      <w:bookmarkEnd w:id="184"/>
      <w:bookmarkEnd w:id="185"/>
      <w:r w:rsidR="00545AC5" w:rsidRPr="007B48E0">
        <w:rPr>
          <w:noProof/>
          <w:sz w:val="22"/>
        </w:rPr>
        <w:t>:</w:t>
      </w:r>
    </w:p>
    <w:p w14:paraId="730D9C0A" w14:textId="77777777" w:rsidR="00683BE0" w:rsidRPr="007B48E0" w:rsidRDefault="00683BE0" w:rsidP="007B48E0">
      <w:pPr>
        <w:pStyle w:val="BoxText"/>
        <w:shd w:val="clear" w:color="auto" w:fill="D9D9D9" w:themeFill="background1" w:themeFillShade="D9"/>
        <w:rPr>
          <w:sz w:val="22"/>
          <w:lang w:eastAsia="ja-JP"/>
        </w:rPr>
      </w:pPr>
      <w:r w:rsidRPr="007B48E0">
        <w:rPr>
          <w:sz w:val="22"/>
          <w:lang w:eastAsia="ja-JP"/>
        </w:rPr>
        <w:t>The IGAB should include an ongoing commitment to the funding stocktake, with governments publicly reporting their expenditure and the high-level stocktake results under uniform and fully inclusive categories.</w:t>
      </w:r>
    </w:p>
    <w:p w14:paraId="6C2817C1" w14:textId="629E8E41" w:rsidR="008241EF" w:rsidRDefault="008241EF" w:rsidP="008241EF">
      <w:pPr>
        <w:rPr>
          <w:lang w:eastAsia="ja-JP"/>
        </w:rPr>
      </w:pPr>
      <w:r>
        <w:rPr>
          <w:lang w:eastAsia="ja-JP"/>
        </w:rPr>
        <w:t>The stocktake estimates total biosecurity investment by jurisdictions in 2014–15 to be around $650 million (excluding the cost of the export facilitation function performed by the Australian Government—IC6). This includes a total of $300 million in cost recovered funds, collected by governments for the delivery of biosecurity services to industry. Of note, approximately 63 per cent of state and territory investment is directed at areas where th</w:t>
      </w:r>
      <w:r w:rsidR="00DB270B">
        <w:rPr>
          <w:lang w:eastAsia="ja-JP"/>
        </w:rPr>
        <w:t xml:space="preserve">e return is </w:t>
      </w:r>
      <w:r w:rsidR="00B23457">
        <w:rPr>
          <w:lang w:eastAsia="ja-JP"/>
        </w:rPr>
        <w:t xml:space="preserve">generally </w:t>
      </w:r>
      <w:r w:rsidR="00DB270B">
        <w:rPr>
          <w:lang w:eastAsia="ja-JP"/>
        </w:rPr>
        <w:t>lowe</w:t>
      </w:r>
      <w:r w:rsidR="00B23457">
        <w:rPr>
          <w:lang w:eastAsia="ja-JP"/>
        </w:rPr>
        <w:t>r</w:t>
      </w:r>
      <w:r w:rsidR="00DB270B">
        <w:rPr>
          <w:lang w:eastAsia="ja-JP"/>
        </w:rPr>
        <w:t xml:space="preserve">, that is </w:t>
      </w:r>
      <w:r>
        <w:rPr>
          <w:lang w:eastAsia="ja-JP"/>
        </w:rPr>
        <w:t>established pests and diseases</w:t>
      </w:r>
      <w:r w:rsidR="00DB270B">
        <w:rPr>
          <w:lang w:eastAsia="ja-JP"/>
        </w:rPr>
        <w:t xml:space="preserve"> (</w:t>
      </w:r>
      <w:r w:rsidR="00DB270B">
        <w:rPr>
          <w:lang w:eastAsia="ja-JP"/>
        </w:rPr>
        <w:fldChar w:fldCharType="begin"/>
      </w:r>
      <w:r w:rsidR="00DB270B">
        <w:rPr>
          <w:lang w:eastAsia="ja-JP"/>
        </w:rPr>
        <w:instrText xml:space="preserve"> REF _Ref467164171 \h </w:instrText>
      </w:r>
      <w:r w:rsidR="00DB270B">
        <w:rPr>
          <w:lang w:eastAsia="ja-JP"/>
        </w:rPr>
      </w:r>
      <w:r w:rsidR="00DB270B">
        <w:rPr>
          <w:lang w:eastAsia="ja-JP"/>
        </w:rPr>
        <w:fldChar w:fldCharType="separate"/>
      </w:r>
      <w:r w:rsidR="008303E2" w:rsidRPr="00952B15">
        <w:t xml:space="preserve">Figure </w:t>
      </w:r>
      <w:r w:rsidR="008303E2">
        <w:rPr>
          <w:noProof/>
        </w:rPr>
        <w:t>8</w:t>
      </w:r>
      <w:r w:rsidR="00DB270B">
        <w:rPr>
          <w:lang w:eastAsia="ja-JP"/>
        </w:rPr>
        <w:fldChar w:fldCharType="end"/>
      </w:r>
      <w:r w:rsidR="00DB270B">
        <w:rPr>
          <w:lang w:eastAsia="ja-JP"/>
        </w:rPr>
        <w:t>)</w:t>
      </w:r>
      <w:r>
        <w:rPr>
          <w:lang w:eastAsia="ja-JP"/>
        </w:rPr>
        <w:t>. Individually, states and territories spend between 49 and 72 per cent of their biosecurity funds on established pests</w:t>
      </w:r>
      <w:r w:rsidR="00DB270B">
        <w:rPr>
          <w:lang w:eastAsia="ja-JP"/>
        </w:rPr>
        <w:t xml:space="preserve"> and </w:t>
      </w:r>
      <w:r>
        <w:rPr>
          <w:lang w:eastAsia="ja-JP"/>
        </w:rPr>
        <w:t>diseases.</w:t>
      </w:r>
    </w:p>
    <w:p w14:paraId="59242526" w14:textId="13B4F25C" w:rsidR="005B1353" w:rsidRDefault="008241EF" w:rsidP="008241EF">
      <w:pPr>
        <w:rPr>
          <w:lang w:eastAsia="ja-JP"/>
        </w:rPr>
      </w:pPr>
      <w:r>
        <w:rPr>
          <w:lang w:eastAsia="ja-JP"/>
        </w:rPr>
        <w:lastRenderedPageBreak/>
        <w:t>Benefits to farmers, industry and the community would flow if the current expenditure profile of the state and territory jurisdictions could be reformed to align more closely with agreed n</w:t>
      </w:r>
      <w:r w:rsidR="00895F18">
        <w:rPr>
          <w:lang w:eastAsia="ja-JP"/>
        </w:rPr>
        <w:t>ational biosecurity priorities.</w:t>
      </w:r>
    </w:p>
    <w:p w14:paraId="5AB1FB25" w14:textId="77777777" w:rsidR="00A351A9" w:rsidRDefault="00A7212D" w:rsidP="00C44070">
      <w:pPr>
        <w:pStyle w:val="Picture"/>
        <w:rPr>
          <w:lang w:eastAsia="ja-JP"/>
        </w:rPr>
      </w:pPr>
      <w:r>
        <w:drawing>
          <wp:inline distT="0" distB="0" distL="0" distR="0" wp14:anchorId="04DC7A20" wp14:editId="4F74688C">
            <wp:extent cx="5730240" cy="4213860"/>
            <wp:effectExtent l="0" t="0" r="3810" b="0"/>
            <wp:docPr id="11" name="Picture 11" descr="Shows the investments made by state and territory governments in the 2014–15 financial year as reported in the national stocktake of biosecurity investment against the generalised biosecurity invasion curve (the invasion curve). The invasion curve outlines the changing role (including funding) of governments and stakeholders as actions to respond to a pest or disease change from prevention, eradication, containment to asset-based protection. The return on investment generally reduces when progressing along the invasion curve. Approximately 30 per cent of state and territory investments spent on prevention, 7 per cent on eradication and containment, and 63 per cent is directed at areas where the return is generally lower, that is established pests and dis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0240" cy="4213860"/>
                    </a:xfrm>
                    <a:prstGeom prst="rect">
                      <a:avLst/>
                    </a:prstGeom>
                    <a:noFill/>
                  </pic:spPr>
                </pic:pic>
              </a:graphicData>
            </a:graphic>
          </wp:inline>
        </w:drawing>
      </w:r>
    </w:p>
    <w:p w14:paraId="78FC9A32" w14:textId="77777777" w:rsidR="00A7212D" w:rsidRPr="00952B15" w:rsidRDefault="00A351A9" w:rsidP="00A351A9">
      <w:pPr>
        <w:pStyle w:val="Caption"/>
        <w:rPr>
          <w:sz w:val="22"/>
          <w:szCs w:val="22"/>
        </w:rPr>
      </w:pPr>
      <w:bookmarkStart w:id="186" w:name="_Ref467164171"/>
      <w:bookmarkStart w:id="187" w:name="_Toc468176743"/>
      <w:bookmarkStart w:id="188" w:name="_Ref467164144"/>
      <w:r w:rsidRPr="00952B15">
        <w:rPr>
          <w:sz w:val="22"/>
          <w:szCs w:val="22"/>
        </w:rPr>
        <w:t xml:space="preserve">Figure </w:t>
      </w:r>
      <w:r w:rsidR="00D56373" w:rsidRPr="00952B15">
        <w:rPr>
          <w:sz w:val="22"/>
          <w:szCs w:val="22"/>
        </w:rPr>
        <w:fldChar w:fldCharType="begin"/>
      </w:r>
      <w:r w:rsidR="00D56373" w:rsidRPr="00952B15">
        <w:rPr>
          <w:sz w:val="22"/>
          <w:szCs w:val="22"/>
        </w:rPr>
        <w:instrText xml:space="preserve"> SEQ Figure \* ARABIC </w:instrText>
      </w:r>
      <w:r w:rsidR="00D56373" w:rsidRPr="00952B15">
        <w:rPr>
          <w:sz w:val="22"/>
          <w:szCs w:val="22"/>
        </w:rPr>
        <w:fldChar w:fldCharType="separate"/>
      </w:r>
      <w:r w:rsidR="008303E2">
        <w:rPr>
          <w:noProof/>
          <w:sz w:val="22"/>
          <w:szCs w:val="22"/>
        </w:rPr>
        <w:t>8</w:t>
      </w:r>
      <w:r w:rsidR="00D56373" w:rsidRPr="00952B15">
        <w:rPr>
          <w:noProof/>
          <w:sz w:val="22"/>
          <w:szCs w:val="22"/>
        </w:rPr>
        <w:fldChar w:fldCharType="end"/>
      </w:r>
      <w:bookmarkEnd w:id="186"/>
      <w:r w:rsidR="00081BB4" w:rsidRPr="00952B15">
        <w:rPr>
          <w:sz w:val="22"/>
          <w:szCs w:val="22"/>
        </w:rPr>
        <w:t>:</w:t>
      </w:r>
      <w:r w:rsidRPr="00952B15">
        <w:rPr>
          <w:sz w:val="22"/>
          <w:szCs w:val="22"/>
        </w:rPr>
        <w:t xml:space="preserve"> State and territory government biosecurity investment in 2014–15</w:t>
      </w:r>
      <w:bookmarkEnd w:id="187"/>
      <w:r w:rsidRPr="00952B15">
        <w:rPr>
          <w:sz w:val="22"/>
          <w:szCs w:val="22"/>
        </w:rPr>
        <w:t xml:space="preserve"> </w:t>
      </w:r>
    </w:p>
    <w:p w14:paraId="0DB4759D" w14:textId="2A1504F9" w:rsidR="00A351A9" w:rsidRDefault="00A7212D" w:rsidP="00A7212D">
      <w:pPr>
        <w:pStyle w:val="FigureTableNoteSource"/>
      </w:pPr>
      <w:r>
        <w:t xml:space="preserve">Source: </w:t>
      </w:r>
      <w:r w:rsidR="00F077CF">
        <w:t xml:space="preserve">2014–15 </w:t>
      </w:r>
      <w:r w:rsidR="00A351A9">
        <w:t>national stocktake of biosecurity investment</w:t>
      </w:r>
      <w:bookmarkEnd w:id="188"/>
      <w:r w:rsidR="00F077CF">
        <w:t>.</w:t>
      </w:r>
    </w:p>
    <w:p w14:paraId="5F10CED7" w14:textId="716E028C" w:rsidR="008241EF" w:rsidRDefault="008241EF" w:rsidP="008241EF">
      <w:r>
        <w:t>For several years now, governments have acknowledged the superior return on investment at the prevention and early detection (left-hand) side of the invasion curve. However, governments appear hamstrung in redirecting investments there. The Australian Government submission to th</w:t>
      </w:r>
      <w:r w:rsidR="00B94F1B">
        <w:t>is</w:t>
      </w:r>
      <w:r>
        <w:t xml:space="preserve"> </w:t>
      </w:r>
      <w:r w:rsidR="00B94F1B">
        <w:t>R</w:t>
      </w:r>
      <w:r>
        <w:t xml:space="preserve">eview highlighted the need to reconsider allocation of resources in light of the results of the biosecurity stocktake, but emphasised it would be difficult to generate support for directing funding away </w:t>
      </w:r>
      <w:r w:rsidR="00A4463E">
        <w:t xml:space="preserve">from </w:t>
      </w:r>
      <w:r>
        <w:t>th</w:t>
      </w:r>
      <w:r w:rsidR="00842CCB">
        <w:t>e right-hand side of the curve.</w:t>
      </w:r>
    </w:p>
    <w:p w14:paraId="22DC00E6" w14:textId="4AB965EB" w:rsidR="008241EF" w:rsidRDefault="008241EF" w:rsidP="008241EF">
      <w:r>
        <w:t>The Review Panel acknowledges that some traditional patterns of investment can be driven by industry and political imperatives. However, the Panel hopes that the recommendations here will assist jurisdictio</w:t>
      </w:r>
      <w:r w:rsidR="000C2C15">
        <w:t>ns, and facilitate the decision-</w:t>
      </w:r>
      <w:r>
        <w:t>making process as to where to invest their limited taxpayer funds. Hopefully this will be into areas where the returns to producers, the indus</w:t>
      </w:r>
      <w:r w:rsidR="00895F18">
        <w:t>try and community are greatest.</w:t>
      </w:r>
    </w:p>
    <w:p w14:paraId="6D1B3585" w14:textId="4F455CB9" w:rsidR="00B94F1B" w:rsidRPr="007C63FA" w:rsidRDefault="00B94F1B" w:rsidP="00C44070">
      <w:pPr>
        <w:pStyle w:val="BoxHeading"/>
        <w:keepNext/>
        <w:shd w:val="clear" w:color="auto" w:fill="D9D9D9" w:themeFill="background1" w:themeFillShade="D9"/>
        <w:rPr>
          <w:sz w:val="22"/>
          <w:lang w:eastAsia="ja-JP"/>
        </w:rPr>
      </w:pPr>
      <w:bookmarkStart w:id="189" w:name="_Toc467231883"/>
      <w:bookmarkStart w:id="190" w:name="Draft_recommendation_30"/>
      <w:r w:rsidRPr="007C63FA">
        <w:rPr>
          <w:sz w:val="22"/>
        </w:rPr>
        <w:lastRenderedPageBreak/>
        <w:t xml:space="preserve">Draft recommendation </w:t>
      </w:r>
      <w:r w:rsidR="00447677">
        <w:rPr>
          <w:sz w:val="22"/>
        </w:rPr>
        <w:t>3</w:t>
      </w:r>
      <w:bookmarkEnd w:id="189"/>
      <w:r w:rsidR="00FE6EEF">
        <w:rPr>
          <w:sz w:val="22"/>
        </w:rPr>
        <w:t>0</w:t>
      </w:r>
      <w:bookmarkEnd w:id="190"/>
      <w:r w:rsidR="00E331A0" w:rsidRPr="007C63FA">
        <w:rPr>
          <w:noProof/>
          <w:sz w:val="22"/>
        </w:rPr>
        <w:t>:</w:t>
      </w:r>
    </w:p>
    <w:p w14:paraId="47E11179" w14:textId="77777777" w:rsidR="00B94F1B" w:rsidRPr="007C63FA" w:rsidRDefault="00B94F1B" w:rsidP="00C44070">
      <w:pPr>
        <w:pStyle w:val="BoxText"/>
        <w:keepNext/>
        <w:shd w:val="clear" w:color="auto" w:fill="D9D9D9" w:themeFill="background1" w:themeFillShade="D9"/>
        <w:rPr>
          <w:sz w:val="22"/>
        </w:rPr>
      </w:pPr>
      <w:r w:rsidRPr="007C63FA">
        <w:rPr>
          <w:sz w:val="22"/>
          <w:lang w:eastAsia="ja-JP"/>
        </w:rPr>
        <w:t>All governments</w:t>
      </w:r>
      <w:r w:rsidR="005F6D56" w:rsidRPr="007C63FA">
        <w:rPr>
          <w:sz w:val="22"/>
          <w:lang w:eastAsia="ja-JP"/>
        </w:rPr>
        <w:t xml:space="preserve"> should</w:t>
      </w:r>
      <w:r w:rsidRPr="007C63FA">
        <w:rPr>
          <w:sz w:val="22"/>
          <w:lang w:eastAsia="ja-JP"/>
        </w:rPr>
        <w:t xml:space="preserve"> review their current biosecurity expenditure, with a view to redirecting funding into areas that return the highest yields to farmers, industry and the community. This approach will require a planned and coordinated strategy of engagement and communication.</w:t>
      </w:r>
    </w:p>
    <w:p w14:paraId="20682700" w14:textId="70C54BB0" w:rsidR="00A351A9" w:rsidRDefault="008241EF" w:rsidP="008241EF">
      <w:r>
        <w:t xml:space="preserve">Jurisdictions need to do more to demonstrate and communicate ‘the case’ for particular investment approaches. Use of tools like the Australian Government’s Risk Return Resource Allocation </w:t>
      </w:r>
      <w:r w:rsidR="00774D1E">
        <w:t xml:space="preserve">(RRRA) </w:t>
      </w:r>
      <w:r>
        <w:t>mod</w:t>
      </w:r>
      <w:r w:rsidR="00E331A0">
        <w:t>el will assist in this process.</w:t>
      </w:r>
    </w:p>
    <w:p w14:paraId="56ACEEE2" w14:textId="77777777" w:rsidR="001A3C8E" w:rsidRDefault="001A3C8E" w:rsidP="008241EF">
      <w:r w:rsidRPr="00CA5498">
        <w:t>Furthermore, all industry and farm lobby organisations also have a responsibility to inform themselves, and their constituents</w:t>
      </w:r>
      <w:r w:rsidR="00CA5498" w:rsidRPr="00CA5498">
        <w:t>,</w:t>
      </w:r>
      <w:r w:rsidRPr="00CA5498">
        <w:t xml:space="preserve"> of where the real return on investment to farmers is. Issues that are often short term, local, and sometimes high profile and media susceptible, can readily draw funds away from those biosecurity challenges that need to be addressed, and will have a superior financial benefit to farmers.</w:t>
      </w:r>
    </w:p>
    <w:p w14:paraId="435543AB" w14:textId="56766757" w:rsidR="00A351A9" w:rsidRDefault="00A351A9" w:rsidP="00A351A9">
      <w:pPr>
        <w:pStyle w:val="Heading4"/>
      </w:pPr>
      <w:r>
        <w:t>R</w:t>
      </w:r>
      <w:r w:rsidR="00F82D83">
        <w:t>isk Return Resource Allocation m</w:t>
      </w:r>
      <w:r>
        <w:t>odel</w:t>
      </w:r>
    </w:p>
    <w:p w14:paraId="3911E2B8" w14:textId="366B31F2" w:rsidR="00A351A9" w:rsidRDefault="008241EF" w:rsidP="00A351A9">
      <w:r w:rsidRPr="008241EF">
        <w:t>The Australian Government’s RRRA</w:t>
      </w:r>
      <w:r w:rsidR="004013C2">
        <w:t xml:space="preserve"> model</w:t>
      </w:r>
      <w:r w:rsidRPr="008241EF">
        <w:t xml:space="preserve"> can be used to inform advice on the return (in terms of reduced risk) for investments to manage biosecurity risk and improve confidence that resources are allocated to areas of greatest risk reduction</w:t>
      </w:r>
      <w:r w:rsidR="00E67FDA">
        <w:t xml:space="preserve"> (</w:t>
      </w:r>
      <w:r w:rsidR="00E67FDA">
        <w:fldChar w:fldCharType="begin"/>
      </w:r>
      <w:r w:rsidR="00E67FDA">
        <w:instrText xml:space="preserve"> REF _Ref467659516 \h </w:instrText>
      </w:r>
      <w:r w:rsidR="00E67FDA">
        <w:fldChar w:fldCharType="separate"/>
      </w:r>
      <w:r w:rsidR="008303E2">
        <w:t xml:space="preserve">Box </w:t>
      </w:r>
      <w:r w:rsidR="008303E2">
        <w:rPr>
          <w:noProof/>
        </w:rPr>
        <w:t>10</w:t>
      </w:r>
      <w:r w:rsidR="00E67FDA">
        <w:fldChar w:fldCharType="end"/>
      </w:r>
      <w:r w:rsidR="00E67FDA">
        <w:t>).</w:t>
      </w:r>
      <w:r w:rsidRPr="008241EF">
        <w:t xml:space="preserve"> </w:t>
      </w:r>
      <w:r w:rsidR="00BC0A55">
        <w:t xml:space="preserve">A full explanation of the model is at </w:t>
      </w:r>
      <w:hyperlink w:anchor="_Appendix_D:_Risk" w:history="1">
        <w:r w:rsidRPr="00943EBA">
          <w:rPr>
            <w:rStyle w:val="Hyperlink"/>
          </w:rPr>
          <w:t xml:space="preserve">Appendix </w:t>
        </w:r>
        <w:r w:rsidR="00B7175A" w:rsidRPr="00943EBA">
          <w:rPr>
            <w:rStyle w:val="Hyperlink"/>
          </w:rPr>
          <w:t>D</w:t>
        </w:r>
      </w:hyperlink>
      <w:r w:rsidR="00895F18">
        <w:t>.</w:t>
      </w:r>
    </w:p>
    <w:p w14:paraId="7E338063" w14:textId="77777777" w:rsidR="00411935" w:rsidRDefault="00411935" w:rsidP="007C63FA">
      <w:pPr>
        <w:pStyle w:val="BoxHeading"/>
      </w:pPr>
      <w:bookmarkStart w:id="191" w:name="_Ref467659516"/>
      <w:bookmarkStart w:id="192" w:name="_Toc468176753"/>
      <w:bookmarkStart w:id="193" w:name="_Toc468444403"/>
      <w:r>
        <w:t xml:space="preserve">Box </w:t>
      </w:r>
      <w:r w:rsidR="008303E2">
        <w:fldChar w:fldCharType="begin"/>
      </w:r>
      <w:r w:rsidR="008303E2">
        <w:instrText xml:space="preserve"> SEQ Box</w:instrText>
      </w:r>
      <w:r w:rsidR="008303E2">
        <w:instrText xml:space="preserve"> \* ARABIC </w:instrText>
      </w:r>
      <w:r w:rsidR="008303E2">
        <w:fldChar w:fldCharType="separate"/>
      </w:r>
      <w:r w:rsidR="008303E2">
        <w:rPr>
          <w:noProof/>
        </w:rPr>
        <w:t>10</w:t>
      </w:r>
      <w:r w:rsidR="008303E2">
        <w:rPr>
          <w:noProof/>
        </w:rPr>
        <w:fldChar w:fldCharType="end"/>
      </w:r>
      <w:bookmarkEnd w:id="191"/>
      <w:r w:rsidR="00081BB4">
        <w:t>:</w:t>
      </w:r>
      <w:r>
        <w:t xml:space="preserve"> </w:t>
      </w:r>
      <w:bookmarkStart w:id="194" w:name="_Ref467659491"/>
      <w:r>
        <w:t>Risk reduction from Commonwealth investments</w:t>
      </w:r>
      <w:bookmarkEnd w:id="194"/>
      <w:bookmarkEnd w:id="192"/>
      <w:bookmarkEnd w:id="193"/>
    </w:p>
    <w:p w14:paraId="18D1441D" w14:textId="77777777" w:rsidR="005673BB" w:rsidRPr="009D1E8D" w:rsidRDefault="005673BB" w:rsidP="009D1E8D">
      <w:pPr>
        <w:pStyle w:val="BoxText"/>
      </w:pPr>
      <w:r>
        <w:t>The RRRA model estimate</w:t>
      </w:r>
      <w:r w:rsidR="00677DC2">
        <w:t>d</w:t>
      </w:r>
      <w:r>
        <w:t xml:space="preserve"> the contribution</w:t>
      </w:r>
      <w:r w:rsidR="00D82B90">
        <w:t>,</w:t>
      </w:r>
      <w:r w:rsidR="004013C2">
        <w:t xml:space="preserve"> through</w:t>
      </w:r>
      <w:r>
        <w:t xml:space="preserve"> pre</w:t>
      </w:r>
      <w:r w:rsidR="004013C2">
        <w:t>-</w:t>
      </w:r>
      <w:r>
        <w:t>, at and post-border investments</w:t>
      </w:r>
      <w:r w:rsidR="00D82B90">
        <w:t>,</w:t>
      </w:r>
      <w:r w:rsidR="004013C2">
        <w:t xml:space="preserve"> by</w:t>
      </w:r>
      <w:r>
        <w:t xml:space="preserve"> the </w:t>
      </w:r>
      <w:r w:rsidR="004013C2">
        <w:t xml:space="preserve">Australian Government </w:t>
      </w:r>
      <w:r>
        <w:t xml:space="preserve">Department of Agriculture and Water Resources to reducing biosecurity risk. Post-border investments by the states and territories are not captured by the model and were, therefore, not considered as part </w:t>
      </w:r>
      <w:r w:rsidRPr="009D1E8D">
        <w:t>of the analysis.</w:t>
      </w:r>
    </w:p>
    <w:p w14:paraId="2F2EC09D" w14:textId="36D3D5AB" w:rsidR="005673BB" w:rsidRPr="009D1E8D" w:rsidRDefault="005673BB" w:rsidP="009D1E8D">
      <w:pPr>
        <w:pStyle w:val="BoxText"/>
      </w:pPr>
      <w:r w:rsidRPr="009D1E8D">
        <w:t xml:space="preserve">The RRRA model estimates risk reduction due to the effect of biosecurity controls in reducing the approach rate of organisms of biosecurity concern </w:t>
      </w:r>
      <w:r w:rsidR="004013C2" w:rsidRPr="009D1E8D">
        <w:t xml:space="preserve">via goods, conveyances, people and natural means </w:t>
      </w:r>
      <w:r w:rsidRPr="009D1E8D">
        <w:t xml:space="preserve">(influence), reducing the number of organisms that are released from biosecurity control </w:t>
      </w:r>
      <w:r w:rsidR="004013C2" w:rsidRPr="009D1E8D">
        <w:t xml:space="preserve">and enter Australian territory </w:t>
      </w:r>
      <w:r w:rsidRPr="009D1E8D">
        <w:t>(physical intervention at border)</w:t>
      </w:r>
      <w:r w:rsidR="004013C2" w:rsidRPr="009D1E8D">
        <w:t>,</w:t>
      </w:r>
      <w:r w:rsidRPr="009D1E8D">
        <w:t xml:space="preserve"> and reducing the number of those organisms that establish an</w:t>
      </w:r>
      <w:r w:rsidR="009D1E8D" w:rsidRPr="009D1E8D">
        <w:t>d spread (post-entry controls).</w:t>
      </w:r>
    </w:p>
    <w:p w14:paraId="2FA003BA" w14:textId="0639C922" w:rsidR="005673BB" w:rsidRPr="009D1E8D" w:rsidRDefault="005673BB" w:rsidP="009D1E8D">
      <w:pPr>
        <w:pStyle w:val="BoxText"/>
      </w:pPr>
      <w:r w:rsidRPr="009D1E8D">
        <w:t xml:space="preserve">About two thirds of the overall risk reduction is the result of biosecurity controls that influence the approach rate for organisms of biosecurity concern (pests, diseases and weeds). </w:t>
      </w:r>
      <w:r w:rsidR="004013C2" w:rsidRPr="009D1E8D">
        <w:t xml:space="preserve">This includes the influence border processes have on passengers and importers to reduce the approach rate. </w:t>
      </w:r>
      <w:r w:rsidRPr="009D1E8D">
        <w:t xml:space="preserve">The corresponding </w:t>
      </w:r>
      <w:r w:rsidR="004013C2" w:rsidRPr="009D1E8D">
        <w:t>return on investment (</w:t>
      </w:r>
      <w:r w:rsidRPr="009D1E8D">
        <w:t>ROI</w:t>
      </w:r>
      <w:r w:rsidR="004013C2" w:rsidRPr="009D1E8D">
        <w:t>)</w:t>
      </w:r>
      <w:r w:rsidRPr="009D1E8D">
        <w:t xml:space="preserve"> is very high (128) compared to the ROI for </w:t>
      </w:r>
      <w:r w:rsidR="004013C2" w:rsidRPr="009D1E8D">
        <w:t xml:space="preserve">the direct effect of </w:t>
      </w:r>
      <w:r w:rsidR="009D1E8D" w:rsidRPr="009D1E8D">
        <w:t>at border interventions (20).</w:t>
      </w:r>
    </w:p>
    <w:p w14:paraId="28BBD55B" w14:textId="77777777" w:rsidR="005673BB" w:rsidRPr="009D1E8D" w:rsidRDefault="005673BB" w:rsidP="009D1E8D">
      <w:pPr>
        <w:pStyle w:val="BoxText"/>
      </w:pPr>
      <w:r w:rsidRPr="009D1E8D">
        <w:t>The study found that with the modelled $34</w:t>
      </w:r>
      <w:r w:rsidR="004013C2" w:rsidRPr="009D1E8D">
        <w:t>0</w:t>
      </w:r>
      <w:r w:rsidRPr="009D1E8D">
        <w:t xml:space="preserve"> million investment </w:t>
      </w:r>
      <w:r w:rsidR="004013C2" w:rsidRPr="009D1E8D">
        <w:t xml:space="preserve">in </w:t>
      </w:r>
      <w:r w:rsidRPr="009D1E8D">
        <w:t>biosecurity controls by the department</w:t>
      </w:r>
      <w:r w:rsidR="001D02CF" w:rsidRPr="009D1E8D">
        <w:t>,</w:t>
      </w:r>
      <w:r w:rsidRPr="009D1E8D">
        <w:t xml:space="preserve"> Australia avoids a $24 billion long-term cost to the economy.</w:t>
      </w:r>
    </w:p>
    <w:p w14:paraId="48F4D548" w14:textId="77777777" w:rsidR="00411935" w:rsidRDefault="00411935" w:rsidP="00C44070">
      <w:pPr>
        <w:pStyle w:val="BoxText"/>
      </w:pPr>
      <w:r>
        <w:rPr>
          <w:noProof/>
          <w:lang w:eastAsia="en-AU"/>
        </w:rPr>
        <w:lastRenderedPageBreak/>
        <w:drawing>
          <wp:inline distT="0" distB="0" distL="0" distR="0" wp14:anchorId="28033225" wp14:editId="2EBD81E7">
            <wp:extent cx="5387340" cy="2575560"/>
            <wp:effectExtent l="0" t="0" r="3810" b="0"/>
            <wp:docPr id="13" name="Picture 13" descr="The results from a study of an investment of $340 million in biosecurity controls by the Australian Government Department of Agriculture and Water Resources. The study showed that about two-thirds of the overall risk reduction is the result of biosecurity controls that influence the approach rate for organisms of biosecurity concern (pests, diseases and weeds). This includes the influence border processes have on passengers and impo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87340" cy="2575560"/>
                    </a:xfrm>
                    <a:prstGeom prst="rect">
                      <a:avLst/>
                    </a:prstGeom>
                    <a:noFill/>
                  </pic:spPr>
                </pic:pic>
              </a:graphicData>
            </a:graphic>
          </wp:inline>
        </w:drawing>
      </w:r>
    </w:p>
    <w:p w14:paraId="73A70119" w14:textId="77777777" w:rsidR="005673BB" w:rsidRDefault="005673BB" w:rsidP="00411935">
      <w:pPr>
        <w:pStyle w:val="BoxText"/>
      </w:pPr>
      <w:r w:rsidRPr="005673BB">
        <w:t xml:space="preserve">Contributions to overall reduction in risk across continuum for each risk category. Influence refers to </w:t>
      </w:r>
      <w:r w:rsidR="00677F51">
        <w:t xml:space="preserve">anything that effects </w:t>
      </w:r>
      <w:r w:rsidRPr="005673BB">
        <w:t>the</w:t>
      </w:r>
      <w:r w:rsidR="00677F51">
        <w:t xml:space="preserve"> </w:t>
      </w:r>
      <w:r w:rsidRPr="005673BB">
        <w:t xml:space="preserve">approach rate, intervention refers to border activities and post-entry refers to </w:t>
      </w:r>
      <w:r w:rsidR="00677F51">
        <w:t xml:space="preserve">the direct effects of </w:t>
      </w:r>
      <w:r w:rsidRPr="005673BB">
        <w:t>surveillance, preparedness and response activities.</w:t>
      </w:r>
    </w:p>
    <w:p w14:paraId="68E20308" w14:textId="2CF908C4" w:rsidR="00411935" w:rsidRPr="00411935" w:rsidRDefault="00411935" w:rsidP="00411935">
      <w:pPr>
        <w:pStyle w:val="BoxSource"/>
      </w:pPr>
      <w:r w:rsidRPr="00411935">
        <w:t xml:space="preserve">Source: </w:t>
      </w:r>
      <w:r w:rsidR="00F077CF">
        <w:t xml:space="preserve">Australian Government </w:t>
      </w:r>
      <w:r w:rsidRPr="00411935">
        <w:t xml:space="preserve">Department of </w:t>
      </w:r>
      <w:r w:rsidR="00E97929">
        <w:t>Agriculture and Water Resources.</w:t>
      </w:r>
    </w:p>
    <w:p w14:paraId="419B39ED" w14:textId="77777777" w:rsidR="005673BB" w:rsidRDefault="005673BB" w:rsidP="005673BB">
      <w:pPr>
        <w:tabs>
          <w:tab w:val="left" w:pos="2970"/>
        </w:tabs>
        <w:rPr>
          <w:lang w:eastAsia="ja-JP"/>
        </w:rPr>
      </w:pPr>
      <w:r>
        <w:rPr>
          <w:lang w:eastAsia="ja-JP"/>
        </w:rPr>
        <w:t>The national bio</w:t>
      </w:r>
      <w:r w:rsidR="001A6FEB">
        <w:rPr>
          <w:lang w:eastAsia="ja-JP"/>
        </w:rPr>
        <w:t>security system and its particip</w:t>
      </w:r>
      <w:r>
        <w:rPr>
          <w:lang w:eastAsia="ja-JP"/>
        </w:rPr>
        <w:t xml:space="preserve">ants need tools like the RRRA </w:t>
      </w:r>
      <w:r w:rsidR="00677F51">
        <w:rPr>
          <w:lang w:eastAsia="ja-JP"/>
        </w:rPr>
        <w:t xml:space="preserve">model </w:t>
      </w:r>
      <w:r w:rsidR="001A6FEB">
        <w:rPr>
          <w:lang w:eastAsia="ja-JP"/>
        </w:rPr>
        <w:t>to guide</w:t>
      </w:r>
      <w:r>
        <w:rPr>
          <w:lang w:eastAsia="ja-JP"/>
        </w:rPr>
        <w:t xml:space="preserve"> investment decisions and help ensure the greatest return on investments.</w:t>
      </w:r>
    </w:p>
    <w:p w14:paraId="7B0A01C6" w14:textId="5F203498" w:rsidR="00411935" w:rsidRDefault="005673BB" w:rsidP="005673BB">
      <w:pPr>
        <w:tabs>
          <w:tab w:val="left" w:pos="2970"/>
        </w:tabs>
        <w:rPr>
          <w:lang w:eastAsia="ja-JP"/>
        </w:rPr>
      </w:pPr>
      <w:r>
        <w:rPr>
          <w:lang w:eastAsia="ja-JP"/>
        </w:rPr>
        <w:t xml:space="preserve">The Review Panel considers that the RRRA </w:t>
      </w:r>
      <w:r w:rsidR="00677F51">
        <w:rPr>
          <w:lang w:eastAsia="ja-JP"/>
        </w:rPr>
        <w:t xml:space="preserve">model </w:t>
      </w:r>
      <w:r>
        <w:rPr>
          <w:lang w:eastAsia="ja-JP"/>
        </w:rPr>
        <w:t>should be extended to all biosecurity investments. In the first instance, the model should be extended to investments from all jurisdictions. The Australian Government should provide the necessary assistance and technical expertise to all jurisdictions to build this capacity across the national system and ensu</w:t>
      </w:r>
      <w:r w:rsidR="00895F18">
        <w:rPr>
          <w:lang w:eastAsia="ja-JP"/>
        </w:rPr>
        <w:t>re national consistency of use.</w:t>
      </w:r>
    </w:p>
    <w:p w14:paraId="49F3107A" w14:textId="14024C6A" w:rsidR="00CD4F11" w:rsidRPr="007C63FA" w:rsidRDefault="00CD4F11" w:rsidP="007C63FA">
      <w:pPr>
        <w:pStyle w:val="BoxHeading"/>
        <w:shd w:val="clear" w:color="auto" w:fill="D9D9D9" w:themeFill="background1" w:themeFillShade="D9"/>
        <w:rPr>
          <w:sz w:val="22"/>
          <w:lang w:eastAsia="ja-JP"/>
        </w:rPr>
      </w:pPr>
      <w:bookmarkStart w:id="195" w:name="_Toc467231884"/>
      <w:bookmarkStart w:id="196" w:name="Draft_recommendation_31"/>
      <w:r w:rsidRPr="007C63FA">
        <w:rPr>
          <w:sz w:val="22"/>
        </w:rPr>
        <w:t xml:space="preserve">Draft recommendation </w:t>
      </w:r>
      <w:r w:rsidR="00447677">
        <w:rPr>
          <w:sz w:val="22"/>
        </w:rPr>
        <w:t>3</w:t>
      </w:r>
      <w:r w:rsidR="00FE6EEF">
        <w:rPr>
          <w:sz w:val="22"/>
        </w:rPr>
        <w:t>1</w:t>
      </w:r>
      <w:bookmarkEnd w:id="195"/>
      <w:bookmarkEnd w:id="196"/>
      <w:r w:rsidR="00E331A0" w:rsidRPr="007C63FA">
        <w:rPr>
          <w:noProof/>
          <w:sz w:val="22"/>
        </w:rPr>
        <w:t>:</w:t>
      </w:r>
    </w:p>
    <w:p w14:paraId="0CCBE26E" w14:textId="7AED3DD9" w:rsidR="00CD4F11" w:rsidRPr="007C63FA" w:rsidRDefault="00CD4F11" w:rsidP="00E331A0">
      <w:pPr>
        <w:pStyle w:val="BoxText"/>
        <w:shd w:val="clear" w:color="auto" w:fill="D9D9D9" w:themeFill="background1" w:themeFillShade="D9"/>
        <w:rPr>
          <w:sz w:val="22"/>
          <w:lang w:eastAsia="ja-JP"/>
        </w:rPr>
      </w:pPr>
      <w:r w:rsidRPr="007C63FA">
        <w:rPr>
          <w:sz w:val="22"/>
          <w:lang w:eastAsia="ja-JP"/>
        </w:rPr>
        <w:t>The R</w:t>
      </w:r>
      <w:r w:rsidR="00EE1338">
        <w:rPr>
          <w:sz w:val="22"/>
          <w:lang w:eastAsia="ja-JP"/>
        </w:rPr>
        <w:t xml:space="preserve">isk </w:t>
      </w:r>
      <w:r w:rsidRPr="007C63FA">
        <w:rPr>
          <w:sz w:val="22"/>
          <w:lang w:eastAsia="ja-JP"/>
        </w:rPr>
        <w:t>R</w:t>
      </w:r>
      <w:r w:rsidR="00EE1338">
        <w:rPr>
          <w:sz w:val="22"/>
          <w:lang w:eastAsia="ja-JP"/>
        </w:rPr>
        <w:t xml:space="preserve">eturn </w:t>
      </w:r>
      <w:r w:rsidRPr="007C63FA">
        <w:rPr>
          <w:sz w:val="22"/>
          <w:lang w:eastAsia="ja-JP"/>
        </w:rPr>
        <w:t>R</w:t>
      </w:r>
      <w:r w:rsidR="00EE1338">
        <w:rPr>
          <w:sz w:val="22"/>
          <w:lang w:eastAsia="ja-JP"/>
        </w:rPr>
        <w:t xml:space="preserve">esource </w:t>
      </w:r>
      <w:r w:rsidRPr="007C63FA">
        <w:rPr>
          <w:sz w:val="22"/>
          <w:lang w:eastAsia="ja-JP"/>
        </w:rPr>
        <w:t>A</w:t>
      </w:r>
      <w:r w:rsidR="00EE1338">
        <w:rPr>
          <w:sz w:val="22"/>
          <w:lang w:eastAsia="ja-JP"/>
        </w:rPr>
        <w:t>llocation</w:t>
      </w:r>
      <w:r w:rsidRPr="007C63FA">
        <w:rPr>
          <w:sz w:val="22"/>
          <w:lang w:eastAsia="ja-JP"/>
        </w:rPr>
        <w:t xml:space="preserve"> model</w:t>
      </w:r>
      <w:r w:rsidR="005F6D56" w:rsidRPr="007C63FA">
        <w:rPr>
          <w:sz w:val="22"/>
          <w:lang w:eastAsia="ja-JP"/>
        </w:rPr>
        <w:t xml:space="preserve"> should </w:t>
      </w:r>
      <w:r w:rsidRPr="007C63FA">
        <w:rPr>
          <w:sz w:val="22"/>
          <w:lang w:eastAsia="ja-JP"/>
        </w:rPr>
        <w:t xml:space="preserve">be </w:t>
      </w:r>
      <w:r w:rsidR="005F6D56" w:rsidRPr="007C63FA">
        <w:rPr>
          <w:sz w:val="22"/>
          <w:lang w:eastAsia="ja-JP"/>
        </w:rPr>
        <w:t>extended</w:t>
      </w:r>
      <w:r w:rsidRPr="007C63FA">
        <w:rPr>
          <w:sz w:val="22"/>
          <w:lang w:eastAsia="ja-JP"/>
        </w:rPr>
        <w:t xml:space="preserve"> </w:t>
      </w:r>
      <w:r w:rsidR="005F6D56" w:rsidRPr="007C63FA">
        <w:rPr>
          <w:sz w:val="22"/>
          <w:lang w:eastAsia="ja-JP"/>
        </w:rPr>
        <w:t>to</w:t>
      </w:r>
      <w:r w:rsidRPr="007C63FA">
        <w:rPr>
          <w:sz w:val="22"/>
          <w:lang w:eastAsia="ja-JP"/>
        </w:rPr>
        <w:t xml:space="preserve"> </w:t>
      </w:r>
      <w:r w:rsidR="00AD410C" w:rsidRPr="007C63FA">
        <w:rPr>
          <w:sz w:val="22"/>
          <w:lang w:eastAsia="ja-JP"/>
        </w:rPr>
        <w:t xml:space="preserve">include </w:t>
      </w:r>
      <w:r w:rsidRPr="007C63FA">
        <w:rPr>
          <w:sz w:val="22"/>
          <w:lang w:eastAsia="ja-JP"/>
        </w:rPr>
        <w:t xml:space="preserve">all jurisdictions </w:t>
      </w:r>
      <w:r w:rsidR="005F6D56" w:rsidRPr="007C63FA">
        <w:rPr>
          <w:sz w:val="22"/>
          <w:lang w:eastAsia="ja-JP"/>
        </w:rPr>
        <w:t xml:space="preserve">and </w:t>
      </w:r>
      <w:r w:rsidRPr="007C63FA">
        <w:rPr>
          <w:sz w:val="22"/>
          <w:lang w:eastAsia="ja-JP"/>
        </w:rPr>
        <w:t>their</w:t>
      </w:r>
      <w:r w:rsidR="00677F51" w:rsidRPr="007C63FA">
        <w:rPr>
          <w:sz w:val="22"/>
          <w:lang w:eastAsia="ja-JP"/>
        </w:rPr>
        <w:t xml:space="preserve"> </w:t>
      </w:r>
      <w:r w:rsidRPr="007C63FA">
        <w:rPr>
          <w:sz w:val="22"/>
          <w:lang w:eastAsia="ja-JP"/>
        </w:rPr>
        <w:t>investments, with the Australian Government providing assistance to jurisdictions to build national capacity.</w:t>
      </w:r>
    </w:p>
    <w:p w14:paraId="04BA3BBB" w14:textId="77777777" w:rsidR="006258A0" w:rsidRDefault="006258A0" w:rsidP="006258A0">
      <w:pPr>
        <w:pStyle w:val="Heading4"/>
        <w:rPr>
          <w:lang w:eastAsia="ja-JP"/>
        </w:rPr>
      </w:pPr>
      <w:r>
        <w:rPr>
          <w:lang w:eastAsia="ja-JP"/>
        </w:rPr>
        <w:t>Industry investment</w:t>
      </w:r>
    </w:p>
    <w:p w14:paraId="77921706" w14:textId="095A45A3" w:rsidR="006258A0" w:rsidRDefault="005673BB" w:rsidP="006258A0">
      <w:pPr>
        <w:rPr>
          <w:lang w:eastAsia="ja-JP"/>
        </w:rPr>
      </w:pPr>
      <w:r w:rsidRPr="005673BB">
        <w:rPr>
          <w:lang w:eastAsia="ja-JP"/>
        </w:rPr>
        <w:t xml:space="preserve">Under present reporting arrangements, it is not possible to establish the total investment (financial or in-kind) by industry in the national biosecurity system. Industry contributions are not captured in the national stocktake other than levies or fees-for-service which pass through government </w:t>
      </w:r>
      <w:r w:rsidR="009C388A" w:rsidRPr="00CA5498">
        <w:rPr>
          <w:lang w:eastAsia="ja-JP"/>
        </w:rPr>
        <w:t>account</w:t>
      </w:r>
      <w:r w:rsidR="00CA5498" w:rsidRPr="00CA5498">
        <w:rPr>
          <w:lang w:eastAsia="ja-JP"/>
        </w:rPr>
        <w:t>s</w:t>
      </w:r>
      <w:r w:rsidRPr="00CA5498">
        <w:rPr>
          <w:lang w:eastAsia="ja-JP"/>
        </w:rPr>
        <w:t>.</w:t>
      </w:r>
      <w:r w:rsidRPr="005673BB">
        <w:rPr>
          <w:lang w:eastAsia="ja-JP"/>
        </w:rPr>
        <w:t xml:space="preserve"> Overall, the feedback from industry indicates that industry contributions are significant and increasing. </w:t>
      </w:r>
      <w:r w:rsidR="001A6FEB">
        <w:rPr>
          <w:lang w:eastAsia="ja-JP"/>
        </w:rPr>
        <w:t xml:space="preserve">It is </w:t>
      </w:r>
      <w:r w:rsidR="001A6FEB" w:rsidRPr="001A6FEB">
        <w:rPr>
          <w:lang w:eastAsia="ja-JP"/>
        </w:rPr>
        <w:t>t</w:t>
      </w:r>
      <w:r w:rsidR="00E67FDA" w:rsidRPr="001A6FEB">
        <w:rPr>
          <w:lang w:eastAsia="ja-JP"/>
        </w:rPr>
        <w:t>he Review</w:t>
      </w:r>
      <w:r w:rsidRPr="001A6FEB">
        <w:rPr>
          <w:lang w:eastAsia="ja-JP"/>
        </w:rPr>
        <w:t xml:space="preserve"> Panel</w:t>
      </w:r>
      <w:r w:rsidR="00687A37">
        <w:rPr>
          <w:lang w:eastAsia="ja-JP"/>
        </w:rPr>
        <w:t>’s</w:t>
      </w:r>
      <w:r w:rsidRPr="001A6FEB">
        <w:rPr>
          <w:lang w:eastAsia="ja-JP"/>
        </w:rPr>
        <w:t xml:space="preserve"> </w:t>
      </w:r>
      <w:r w:rsidR="001A6FEB" w:rsidRPr="001A6FEB">
        <w:rPr>
          <w:lang w:eastAsia="ja-JP"/>
        </w:rPr>
        <w:t>view that</w:t>
      </w:r>
      <w:r w:rsidR="001A6FEB">
        <w:rPr>
          <w:lang w:eastAsia="ja-JP"/>
        </w:rPr>
        <w:t xml:space="preserve"> </w:t>
      </w:r>
      <w:r w:rsidRPr="005673BB">
        <w:rPr>
          <w:lang w:eastAsia="ja-JP"/>
        </w:rPr>
        <w:t>industry should give greater recognition to its significant investments by undertaking its own investment stocktake based upon future agreed categories of activity for the system (</w:t>
      </w:r>
      <w:r w:rsidRPr="001D02CF">
        <w:rPr>
          <w:lang w:eastAsia="ja-JP"/>
        </w:rPr>
        <w:t xml:space="preserve">as described </w:t>
      </w:r>
      <w:r w:rsidRPr="008946B4">
        <w:rPr>
          <w:lang w:eastAsia="ja-JP"/>
        </w:rPr>
        <w:t xml:space="preserve">in </w:t>
      </w:r>
      <w:r w:rsidRPr="003B628F">
        <w:rPr>
          <w:lang w:eastAsia="ja-JP"/>
        </w:rPr>
        <w:t>section 8.2.4</w:t>
      </w:r>
      <w:r w:rsidRPr="0082450A">
        <w:rPr>
          <w:lang w:eastAsia="ja-JP"/>
        </w:rPr>
        <w:t>).</w:t>
      </w:r>
      <w:r w:rsidRPr="005673BB">
        <w:rPr>
          <w:lang w:eastAsia="ja-JP"/>
        </w:rPr>
        <w:t xml:space="preserve"> </w:t>
      </w:r>
      <w:r w:rsidR="00CD4F11" w:rsidRPr="00CD4F11">
        <w:rPr>
          <w:lang w:eastAsia="ja-JP"/>
        </w:rPr>
        <w:t>The Panel considers that AHA and PHA would be best placed to coordinate this task, with guidance from</w:t>
      </w:r>
      <w:r w:rsidR="001D02CF">
        <w:rPr>
          <w:lang w:eastAsia="ja-JP"/>
        </w:rPr>
        <w:t xml:space="preserve"> the</w:t>
      </w:r>
      <w:r w:rsidR="00CD4F11" w:rsidRPr="00CD4F11">
        <w:rPr>
          <w:lang w:eastAsia="ja-JP"/>
        </w:rPr>
        <w:t xml:space="preserve"> NBC, to ensure data integrity and compatibility with government stocktake results.</w:t>
      </w:r>
    </w:p>
    <w:p w14:paraId="3A8A33D2" w14:textId="512604FE" w:rsidR="00CD4F11" w:rsidRPr="003505E4" w:rsidRDefault="00CD4F11" w:rsidP="007C63FA">
      <w:pPr>
        <w:pStyle w:val="BoxHeading"/>
        <w:keepNext/>
        <w:shd w:val="clear" w:color="auto" w:fill="D9D9D9" w:themeFill="background1" w:themeFillShade="D9"/>
        <w:rPr>
          <w:sz w:val="22"/>
          <w:lang w:eastAsia="ja-JP"/>
        </w:rPr>
      </w:pPr>
      <w:bookmarkStart w:id="197" w:name="_Toc467231885"/>
      <w:bookmarkStart w:id="198" w:name="Draft_recommendation_32"/>
      <w:r w:rsidRPr="003505E4">
        <w:rPr>
          <w:sz w:val="22"/>
        </w:rPr>
        <w:lastRenderedPageBreak/>
        <w:t xml:space="preserve">Draft recommendation </w:t>
      </w:r>
      <w:r w:rsidR="00447677">
        <w:rPr>
          <w:sz w:val="22"/>
        </w:rPr>
        <w:t>3</w:t>
      </w:r>
      <w:bookmarkEnd w:id="197"/>
      <w:r w:rsidR="00FE6EEF">
        <w:rPr>
          <w:sz w:val="22"/>
        </w:rPr>
        <w:t>2</w:t>
      </w:r>
      <w:bookmarkEnd w:id="198"/>
      <w:r w:rsidR="00300371" w:rsidRPr="003505E4">
        <w:rPr>
          <w:noProof/>
          <w:sz w:val="22"/>
        </w:rPr>
        <w:t>:</w:t>
      </w:r>
    </w:p>
    <w:p w14:paraId="62F2D5D4" w14:textId="77777777" w:rsidR="00386F86" w:rsidRPr="003505E4" w:rsidRDefault="00386F86" w:rsidP="00300371">
      <w:pPr>
        <w:pStyle w:val="BoxText"/>
        <w:shd w:val="clear" w:color="auto" w:fill="D9D9D9" w:themeFill="background1" w:themeFillShade="D9"/>
        <w:rPr>
          <w:sz w:val="22"/>
          <w:lang w:eastAsia="ja-JP"/>
        </w:rPr>
      </w:pPr>
      <w:r w:rsidRPr="003505E4">
        <w:rPr>
          <w:sz w:val="22"/>
          <w:lang w:eastAsia="ja-JP"/>
        </w:rPr>
        <w:t>AHA and PHA</w:t>
      </w:r>
      <w:r w:rsidR="004D3597" w:rsidRPr="003505E4">
        <w:rPr>
          <w:sz w:val="22"/>
          <w:lang w:eastAsia="ja-JP"/>
        </w:rPr>
        <w:t xml:space="preserve"> should</w:t>
      </w:r>
      <w:r w:rsidRPr="003505E4">
        <w:rPr>
          <w:sz w:val="22"/>
          <w:lang w:eastAsia="ja-JP"/>
        </w:rPr>
        <w:t xml:space="preserve"> coordinate an industry stocktake of national biosecurity system investments, making the results publicly available.</w:t>
      </w:r>
    </w:p>
    <w:p w14:paraId="19021E5A" w14:textId="2102F150" w:rsidR="00395878" w:rsidRDefault="00395878" w:rsidP="00395878">
      <w:pPr>
        <w:rPr>
          <w:lang w:eastAsia="ja-JP"/>
        </w:rPr>
      </w:pPr>
      <w:r w:rsidRPr="00041399">
        <w:rPr>
          <w:lang w:eastAsia="ja-JP"/>
        </w:rPr>
        <w:t xml:space="preserve">Throughout </w:t>
      </w:r>
      <w:r w:rsidR="00041399" w:rsidRPr="00041399">
        <w:rPr>
          <w:lang w:eastAsia="ja-JP"/>
        </w:rPr>
        <w:t>the Panel’s consultation</w:t>
      </w:r>
      <w:r w:rsidR="00E67FDA" w:rsidRPr="00041399">
        <w:rPr>
          <w:lang w:eastAsia="ja-JP"/>
        </w:rPr>
        <w:t>, many</w:t>
      </w:r>
      <w:r w:rsidRPr="00041399">
        <w:rPr>
          <w:lang w:eastAsia="ja-JP"/>
        </w:rPr>
        <w:t xml:space="preserve"> stakeholders</w:t>
      </w:r>
      <w:r w:rsidR="00E67FDA" w:rsidRPr="00041399">
        <w:rPr>
          <w:lang w:eastAsia="ja-JP"/>
        </w:rPr>
        <w:t xml:space="preserve"> </w:t>
      </w:r>
      <w:r w:rsidR="00041399" w:rsidRPr="00041399">
        <w:rPr>
          <w:lang w:eastAsia="ja-JP"/>
        </w:rPr>
        <w:t>commented</w:t>
      </w:r>
      <w:r w:rsidR="00041399">
        <w:rPr>
          <w:lang w:eastAsia="ja-JP"/>
        </w:rPr>
        <w:t xml:space="preserve"> </w:t>
      </w:r>
      <w:r>
        <w:rPr>
          <w:lang w:eastAsia="ja-JP"/>
        </w:rPr>
        <w:t>that the present funding arrangements did not accurately cover all system participants. Concerns were raised that some primary industry sectors stood to benefit from, but did not contribute to, national e</w:t>
      </w:r>
      <w:r w:rsidR="00895F18">
        <w:rPr>
          <w:lang w:eastAsia="ja-JP"/>
        </w:rPr>
        <w:t>mergency response arrangements.</w:t>
      </w:r>
    </w:p>
    <w:p w14:paraId="01533199" w14:textId="1633CCE4" w:rsidR="006258A0" w:rsidRDefault="00395878" w:rsidP="00395878">
      <w:pPr>
        <w:rPr>
          <w:lang w:eastAsia="ja-JP"/>
        </w:rPr>
      </w:pPr>
      <w:r>
        <w:rPr>
          <w:lang w:eastAsia="ja-JP"/>
        </w:rPr>
        <w:t>While there is a perception of multiple ‘free riders’, this is not the case. Analysis undertaken for this</w:t>
      </w:r>
      <w:r w:rsidR="00AD38F7">
        <w:rPr>
          <w:lang w:eastAsia="ja-JP"/>
        </w:rPr>
        <w:t xml:space="preserve"> </w:t>
      </w:r>
      <w:r w:rsidR="00AD38F7" w:rsidRPr="00AD38F7">
        <w:rPr>
          <w:lang w:eastAsia="ja-JP"/>
        </w:rPr>
        <w:t xml:space="preserve">Review by ABARES has shown that for 2014–15 approximately $51.4 billion (or 95 per cent) of Australia’s total Gross Value of Production </w:t>
      </w:r>
      <w:r w:rsidR="00807740">
        <w:rPr>
          <w:lang w:eastAsia="ja-JP"/>
        </w:rPr>
        <w:t xml:space="preserve">(GVP) </w:t>
      </w:r>
      <w:r w:rsidR="00AD38F7" w:rsidRPr="00AD38F7">
        <w:rPr>
          <w:lang w:eastAsia="ja-JP"/>
        </w:rPr>
        <w:t>of $54.3 billion (excluding forestry and horse production) is covered by signatories to the emergency response deeds.</w:t>
      </w:r>
      <w:r>
        <w:rPr>
          <w:lang w:eastAsia="ja-JP"/>
        </w:rPr>
        <w:t xml:space="preserve"> This is a considerable contribution from industry and demonstrates the overwhelming partnership between industry and government in emergency responses. Of the </w:t>
      </w:r>
      <w:r w:rsidR="00BC0A55">
        <w:rPr>
          <w:lang w:eastAsia="ja-JP"/>
        </w:rPr>
        <w:t>five</w:t>
      </w:r>
      <w:r>
        <w:rPr>
          <w:lang w:eastAsia="ja-JP"/>
        </w:rPr>
        <w:t xml:space="preserve"> per</w:t>
      </w:r>
      <w:r w:rsidR="001D02CF">
        <w:rPr>
          <w:lang w:eastAsia="ja-JP"/>
        </w:rPr>
        <w:t xml:space="preserve"> </w:t>
      </w:r>
      <w:r>
        <w:rPr>
          <w:lang w:eastAsia="ja-JP"/>
        </w:rPr>
        <w:t xml:space="preserve">cent </w:t>
      </w:r>
      <w:r w:rsidR="007938B9">
        <w:rPr>
          <w:lang w:eastAsia="ja-JP"/>
        </w:rPr>
        <w:t xml:space="preserve">not covered, </w:t>
      </w:r>
      <w:r>
        <w:rPr>
          <w:lang w:eastAsia="ja-JP"/>
        </w:rPr>
        <w:t xml:space="preserve">(approximately $2.8 billion), the products (or categories of product) with a production value of </w:t>
      </w:r>
      <w:r w:rsidR="00AD5BA2">
        <w:rPr>
          <w:lang w:eastAsia="ja-JP"/>
        </w:rPr>
        <w:t xml:space="preserve">more than </w:t>
      </w:r>
      <w:r>
        <w:rPr>
          <w:lang w:eastAsia="ja-JP"/>
        </w:rPr>
        <w:t>$100 million are listed in</w:t>
      </w:r>
      <w:r w:rsidR="00073516">
        <w:rPr>
          <w:lang w:eastAsia="ja-JP"/>
        </w:rPr>
        <w:t xml:space="preserve"> </w:t>
      </w:r>
      <w:r w:rsidR="00073516">
        <w:rPr>
          <w:lang w:eastAsia="ja-JP"/>
        </w:rPr>
        <w:fldChar w:fldCharType="begin"/>
      </w:r>
      <w:r w:rsidR="00073516">
        <w:rPr>
          <w:lang w:eastAsia="ja-JP"/>
        </w:rPr>
        <w:instrText xml:space="preserve"> REF _Ref469556978 \h </w:instrText>
      </w:r>
      <w:r w:rsidR="00073516">
        <w:rPr>
          <w:lang w:eastAsia="ja-JP"/>
        </w:rPr>
      </w:r>
      <w:r w:rsidR="00073516">
        <w:rPr>
          <w:lang w:eastAsia="ja-JP"/>
        </w:rPr>
        <w:fldChar w:fldCharType="separate"/>
      </w:r>
      <w:r w:rsidR="008303E2" w:rsidRPr="00956DA9">
        <w:t xml:space="preserve">Table </w:t>
      </w:r>
      <w:r w:rsidR="008303E2">
        <w:rPr>
          <w:noProof/>
        </w:rPr>
        <w:t>8</w:t>
      </w:r>
      <w:r w:rsidR="00073516">
        <w:rPr>
          <w:lang w:eastAsia="ja-JP"/>
        </w:rPr>
        <w:fldChar w:fldCharType="end"/>
      </w:r>
      <w:r w:rsidR="00073516">
        <w:rPr>
          <w:lang w:eastAsia="ja-JP"/>
        </w:rPr>
        <w:t>.</w:t>
      </w:r>
    </w:p>
    <w:p w14:paraId="6FA27852" w14:textId="4586D046" w:rsidR="00AC10BB" w:rsidRPr="00956DA9" w:rsidRDefault="00AC10BB" w:rsidP="00AC10BB">
      <w:pPr>
        <w:pStyle w:val="Caption"/>
        <w:rPr>
          <w:sz w:val="22"/>
          <w:szCs w:val="22"/>
          <w:lang w:eastAsia="ja-JP"/>
        </w:rPr>
      </w:pPr>
      <w:bookmarkStart w:id="199" w:name="_Ref469556978"/>
      <w:bookmarkStart w:id="200" w:name="_Toc468176729"/>
      <w:r w:rsidRPr="00956DA9">
        <w:rPr>
          <w:sz w:val="22"/>
          <w:szCs w:val="22"/>
        </w:rPr>
        <w:t xml:space="preserve">Table </w:t>
      </w:r>
      <w:r w:rsidR="00D56373" w:rsidRPr="00956DA9">
        <w:rPr>
          <w:sz w:val="22"/>
          <w:szCs w:val="22"/>
        </w:rPr>
        <w:fldChar w:fldCharType="begin"/>
      </w:r>
      <w:r w:rsidR="00D56373" w:rsidRPr="00956DA9">
        <w:rPr>
          <w:sz w:val="22"/>
          <w:szCs w:val="22"/>
        </w:rPr>
        <w:instrText xml:space="preserve"> SEQ Table \* ARABIC </w:instrText>
      </w:r>
      <w:r w:rsidR="00D56373" w:rsidRPr="00956DA9">
        <w:rPr>
          <w:sz w:val="22"/>
          <w:szCs w:val="22"/>
        </w:rPr>
        <w:fldChar w:fldCharType="separate"/>
      </w:r>
      <w:r w:rsidR="008303E2">
        <w:rPr>
          <w:noProof/>
          <w:sz w:val="22"/>
          <w:szCs w:val="22"/>
        </w:rPr>
        <w:t>8</w:t>
      </w:r>
      <w:r w:rsidR="00D56373" w:rsidRPr="00956DA9">
        <w:rPr>
          <w:noProof/>
          <w:sz w:val="22"/>
          <w:szCs w:val="22"/>
        </w:rPr>
        <w:fldChar w:fldCharType="end"/>
      </w:r>
      <w:bookmarkEnd w:id="199"/>
      <w:r w:rsidR="007C1C69" w:rsidRPr="00956DA9">
        <w:rPr>
          <w:sz w:val="22"/>
          <w:szCs w:val="22"/>
        </w:rPr>
        <w:t>:</w:t>
      </w:r>
      <w:r w:rsidRPr="00956DA9">
        <w:rPr>
          <w:sz w:val="22"/>
          <w:szCs w:val="22"/>
        </w:rPr>
        <w:t xml:space="preserve"> </w:t>
      </w:r>
      <w:r w:rsidR="00A77515" w:rsidRPr="00956DA9">
        <w:rPr>
          <w:sz w:val="22"/>
          <w:szCs w:val="22"/>
        </w:rPr>
        <w:t>Commodities with a production value of more than $100 million not covered under existing emergency response deeds</w:t>
      </w:r>
      <w:bookmarkEnd w:id="20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AC10BB" w:rsidRPr="006258A0" w14:paraId="1A4691A1" w14:textId="77777777" w:rsidTr="00BE42A6">
        <w:trPr>
          <w:tblHeader/>
        </w:trPr>
        <w:tc>
          <w:tcPr>
            <w:tcW w:w="4530" w:type="dxa"/>
          </w:tcPr>
          <w:p w14:paraId="46EED568" w14:textId="77777777" w:rsidR="00AC10BB" w:rsidRPr="006258A0" w:rsidRDefault="00AC10BB" w:rsidP="00BE42A6">
            <w:pPr>
              <w:pStyle w:val="TableHeading"/>
              <w:rPr>
                <w:lang w:eastAsia="ja-JP"/>
              </w:rPr>
            </w:pPr>
            <w:r w:rsidRPr="006258A0">
              <w:rPr>
                <w:lang w:eastAsia="ja-JP"/>
              </w:rPr>
              <w:t>Product</w:t>
            </w:r>
          </w:p>
        </w:tc>
        <w:tc>
          <w:tcPr>
            <w:tcW w:w="4530" w:type="dxa"/>
          </w:tcPr>
          <w:p w14:paraId="537DC049" w14:textId="77777777" w:rsidR="00AC10BB" w:rsidRPr="006258A0" w:rsidRDefault="00AC10BB" w:rsidP="00BE42A6">
            <w:pPr>
              <w:pStyle w:val="TableHeading"/>
              <w:jc w:val="right"/>
              <w:rPr>
                <w:lang w:eastAsia="ja-JP"/>
              </w:rPr>
            </w:pPr>
            <w:r w:rsidRPr="006258A0">
              <w:rPr>
                <w:lang w:eastAsia="ja-JP"/>
              </w:rPr>
              <w:t>Production in 2014–15 ($m)</w:t>
            </w:r>
          </w:p>
        </w:tc>
      </w:tr>
      <w:tr w:rsidR="00AC10BB" w:rsidRPr="006258A0" w14:paraId="0F643312" w14:textId="77777777" w:rsidTr="00BE42A6">
        <w:tc>
          <w:tcPr>
            <w:tcW w:w="4530" w:type="dxa"/>
          </w:tcPr>
          <w:p w14:paraId="204D908D" w14:textId="77777777" w:rsidR="00AC10BB" w:rsidRPr="006258A0" w:rsidRDefault="00AC10BB" w:rsidP="00BE42A6">
            <w:pPr>
              <w:pStyle w:val="TableText"/>
              <w:rPr>
                <w:lang w:eastAsia="ja-JP"/>
              </w:rPr>
            </w:pPr>
            <w:r w:rsidRPr="006258A0">
              <w:rPr>
                <w:lang w:eastAsia="ja-JP"/>
              </w:rPr>
              <w:t>Hay and silage</w:t>
            </w:r>
          </w:p>
        </w:tc>
        <w:tc>
          <w:tcPr>
            <w:tcW w:w="4530" w:type="dxa"/>
          </w:tcPr>
          <w:p w14:paraId="5AAF3A80" w14:textId="674EEDA1" w:rsidR="00AC10BB" w:rsidRPr="006258A0" w:rsidRDefault="00642E5B" w:rsidP="00BE42A6">
            <w:pPr>
              <w:pStyle w:val="TableText"/>
              <w:jc w:val="right"/>
              <w:rPr>
                <w:lang w:eastAsia="ja-JP"/>
              </w:rPr>
            </w:pPr>
            <w:r>
              <w:rPr>
                <w:lang w:eastAsia="ja-JP"/>
              </w:rPr>
              <w:t>1 </w:t>
            </w:r>
            <w:r w:rsidR="00AC10BB" w:rsidRPr="006258A0">
              <w:rPr>
                <w:lang w:eastAsia="ja-JP"/>
              </w:rPr>
              <w:t>402.6</w:t>
            </w:r>
          </w:p>
        </w:tc>
      </w:tr>
      <w:tr w:rsidR="00AC10BB" w:rsidRPr="006258A0" w14:paraId="61CA1A36" w14:textId="77777777" w:rsidTr="00BE42A6">
        <w:tc>
          <w:tcPr>
            <w:tcW w:w="4530" w:type="dxa"/>
          </w:tcPr>
          <w:p w14:paraId="1207E29A" w14:textId="77777777" w:rsidR="00AC10BB" w:rsidRPr="006258A0" w:rsidRDefault="00AC10BB" w:rsidP="00BE42A6">
            <w:pPr>
              <w:pStyle w:val="TableText"/>
              <w:rPr>
                <w:lang w:eastAsia="ja-JP"/>
              </w:rPr>
            </w:pPr>
            <w:r w:rsidRPr="006258A0">
              <w:rPr>
                <w:lang w:eastAsia="ja-JP"/>
              </w:rPr>
              <w:t>Cut flowers</w:t>
            </w:r>
          </w:p>
        </w:tc>
        <w:tc>
          <w:tcPr>
            <w:tcW w:w="4530" w:type="dxa"/>
          </w:tcPr>
          <w:p w14:paraId="538CF61A" w14:textId="77777777" w:rsidR="00AC10BB" w:rsidRPr="006258A0" w:rsidRDefault="00AC10BB" w:rsidP="00BE42A6">
            <w:pPr>
              <w:pStyle w:val="TableText"/>
              <w:jc w:val="right"/>
              <w:rPr>
                <w:lang w:eastAsia="ja-JP"/>
              </w:rPr>
            </w:pPr>
            <w:r w:rsidRPr="006258A0">
              <w:rPr>
                <w:lang w:eastAsia="ja-JP"/>
              </w:rPr>
              <w:t>296.2</w:t>
            </w:r>
          </w:p>
        </w:tc>
      </w:tr>
      <w:tr w:rsidR="00AC10BB" w:rsidRPr="006258A0" w14:paraId="2DF2FDB7" w14:textId="77777777" w:rsidTr="00BE42A6">
        <w:tc>
          <w:tcPr>
            <w:tcW w:w="4530" w:type="dxa"/>
          </w:tcPr>
          <w:p w14:paraId="215C707F" w14:textId="77777777" w:rsidR="00AC10BB" w:rsidRPr="006258A0" w:rsidRDefault="00AC10BB" w:rsidP="00BE42A6">
            <w:pPr>
              <w:pStyle w:val="TableText"/>
              <w:rPr>
                <w:lang w:eastAsia="ja-JP"/>
              </w:rPr>
            </w:pPr>
            <w:r w:rsidRPr="006258A0">
              <w:rPr>
                <w:lang w:eastAsia="ja-JP"/>
              </w:rPr>
              <w:t>Fresh tomatoes</w:t>
            </w:r>
          </w:p>
        </w:tc>
        <w:tc>
          <w:tcPr>
            <w:tcW w:w="4530" w:type="dxa"/>
          </w:tcPr>
          <w:p w14:paraId="72547AAC" w14:textId="77777777" w:rsidR="00AC10BB" w:rsidRPr="006258A0" w:rsidRDefault="00AC10BB" w:rsidP="00BE42A6">
            <w:pPr>
              <w:pStyle w:val="TableText"/>
              <w:jc w:val="right"/>
              <w:rPr>
                <w:lang w:eastAsia="ja-JP"/>
              </w:rPr>
            </w:pPr>
            <w:r w:rsidRPr="006258A0">
              <w:rPr>
                <w:lang w:eastAsia="ja-JP"/>
              </w:rPr>
              <w:t>285.4</w:t>
            </w:r>
          </w:p>
        </w:tc>
      </w:tr>
      <w:tr w:rsidR="00AC10BB" w:rsidRPr="006258A0" w14:paraId="0B3BD7F0" w14:textId="77777777" w:rsidTr="00BE42A6">
        <w:tc>
          <w:tcPr>
            <w:tcW w:w="4530" w:type="dxa"/>
          </w:tcPr>
          <w:p w14:paraId="5DFC183D" w14:textId="77777777" w:rsidR="00AC10BB" w:rsidRPr="006258A0" w:rsidRDefault="00AC10BB" w:rsidP="00BE42A6">
            <w:pPr>
              <w:pStyle w:val="TableText"/>
              <w:rPr>
                <w:lang w:eastAsia="ja-JP"/>
              </w:rPr>
            </w:pPr>
            <w:r w:rsidRPr="006258A0">
              <w:rPr>
                <w:lang w:eastAsia="ja-JP"/>
              </w:rPr>
              <w:t>Mushrooms</w:t>
            </w:r>
          </w:p>
        </w:tc>
        <w:tc>
          <w:tcPr>
            <w:tcW w:w="4530" w:type="dxa"/>
          </w:tcPr>
          <w:p w14:paraId="2B3AD64B" w14:textId="77777777" w:rsidR="00AC10BB" w:rsidRPr="006258A0" w:rsidRDefault="00AC10BB" w:rsidP="00BE42A6">
            <w:pPr>
              <w:pStyle w:val="TableText"/>
              <w:jc w:val="right"/>
              <w:rPr>
                <w:lang w:eastAsia="ja-JP"/>
              </w:rPr>
            </w:pPr>
            <w:r w:rsidRPr="006258A0">
              <w:rPr>
                <w:lang w:eastAsia="ja-JP"/>
              </w:rPr>
              <w:t>273.6</w:t>
            </w:r>
          </w:p>
        </w:tc>
      </w:tr>
      <w:tr w:rsidR="00AC10BB" w:rsidRPr="006258A0" w14:paraId="73477CBB" w14:textId="77777777" w:rsidTr="00BE42A6">
        <w:tc>
          <w:tcPr>
            <w:tcW w:w="4530" w:type="dxa"/>
          </w:tcPr>
          <w:p w14:paraId="11D7B9C1" w14:textId="77777777" w:rsidR="00AC10BB" w:rsidRPr="006258A0" w:rsidRDefault="00AC10BB" w:rsidP="00BE42A6">
            <w:pPr>
              <w:pStyle w:val="TableText"/>
              <w:rPr>
                <w:lang w:eastAsia="ja-JP"/>
              </w:rPr>
            </w:pPr>
            <w:r w:rsidRPr="006258A0">
              <w:rPr>
                <w:lang w:eastAsia="ja-JP"/>
              </w:rPr>
              <w:t>Cultivated turf</w:t>
            </w:r>
          </w:p>
        </w:tc>
        <w:tc>
          <w:tcPr>
            <w:tcW w:w="4530" w:type="dxa"/>
          </w:tcPr>
          <w:p w14:paraId="1BFDD0FF" w14:textId="77777777" w:rsidR="00AC10BB" w:rsidRPr="006258A0" w:rsidRDefault="00AC10BB" w:rsidP="00BE42A6">
            <w:pPr>
              <w:pStyle w:val="TableText"/>
              <w:jc w:val="right"/>
              <w:rPr>
                <w:lang w:eastAsia="ja-JP"/>
              </w:rPr>
            </w:pPr>
            <w:r w:rsidRPr="006258A0">
              <w:rPr>
                <w:lang w:eastAsia="ja-JP"/>
              </w:rPr>
              <w:t>217.3</w:t>
            </w:r>
          </w:p>
        </w:tc>
      </w:tr>
      <w:tr w:rsidR="00AC10BB" w:rsidRPr="006258A0" w14:paraId="63521D22" w14:textId="77777777" w:rsidTr="00BE42A6">
        <w:tc>
          <w:tcPr>
            <w:tcW w:w="4530" w:type="dxa"/>
          </w:tcPr>
          <w:p w14:paraId="188917AF" w14:textId="77777777" w:rsidR="00AC10BB" w:rsidRPr="006258A0" w:rsidRDefault="00AC10BB" w:rsidP="00BE42A6">
            <w:pPr>
              <w:pStyle w:val="TableText"/>
              <w:rPr>
                <w:lang w:eastAsia="ja-JP"/>
              </w:rPr>
            </w:pPr>
            <w:r w:rsidRPr="006258A0">
              <w:rPr>
                <w:lang w:eastAsia="ja-JP"/>
              </w:rPr>
              <w:t>Livestock slaughter and other disposals, other NEC</w:t>
            </w:r>
          </w:p>
        </w:tc>
        <w:tc>
          <w:tcPr>
            <w:tcW w:w="4530" w:type="dxa"/>
          </w:tcPr>
          <w:p w14:paraId="5E5E50E4" w14:textId="77777777" w:rsidR="00AC10BB" w:rsidRPr="006258A0" w:rsidRDefault="00AC10BB" w:rsidP="00BE42A6">
            <w:pPr>
              <w:pStyle w:val="TableText"/>
              <w:jc w:val="right"/>
              <w:rPr>
                <w:lang w:eastAsia="ja-JP"/>
              </w:rPr>
            </w:pPr>
            <w:r w:rsidRPr="006258A0">
              <w:rPr>
                <w:lang w:eastAsia="ja-JP"/>
              </w:rPr>
              <w:t>154.3</w:t>
            </w:r>
          </w:p>
        </w:tc>
      </w:tr>
      <w:tr w:rsidR="00AC10BB" w:rsidRPr="006258A0" w14:paraId="688DA1DA" w14:textId="77777777" w:rsidTr="00BE42A6">
        <w:tc>
          <w:tcPr>
            <w:tcW w:w="4530" w:type="dxa"/>
          </w:tcPr>
          <w:p w14:paraId="6034872D" w14:textId="77777777" w:rsidR="00AC10BB" w:rsidRPr="006258A0" w:rsidRDefault="00AC10BB" w:rsidP="00BE42A6">
            <w:pPr>
              <w:pStyle w:val="TableText"/>
              <w:rPr>
                <w:lang w:eastAsia="ja-JP"/>
              </w:rPr>
            </w:pPr>
            <w:r w:rsidRPr="006258A0">
              <w:rPr>
                <w:lang w:eastAsia="ja-JP"/>
              </w:rPr>
              <w:t>Other fruit NEC</w:t>
            </w:r>
          </w:p>
        </w:tc>
        <w:tc>
          <w:tcPr>
            <w:tcW w:w="4530" w:type="dxa"/>
          </w:tcPr>
          <w:p w14:paraId="5A32C3C7" w14:textId="77777777" w:rsidR="00AC10BB" w:rsidRPr="006258A0" w:rsidRDefault="00AC10BB" w:rsidP="00BE42A6">
            <w:pPr>
              <w:pStyle w:val="TableText"/>
              <w:jc w:val="right"/>
              <w:rPr>
                <w:lang w:eastAsia="ja-JP"/>
              </w:rPr>
            </w:pPr>
            <w:r w:rsidRPr="006258A0">
              <w:rPr>
                <w:lang w:eastAsia="ja-JP"/>
              </w:rPr>
              <w:t>141.0</w:t>
            </w:r>
          </w:p>
        </w:tc>
      </w:tr>
    </w:tbl>
    <w:p w14:paraId="1C870C01" w14:textId="23B39C12" w:rsidR="007C1C69" w:rsidRDefault="00996D64" w:rsidP="007C1C69">
      <w:pPr>
        <w:pStyle w:val="FigureTableNoteSource"/>
        <w:rPr>
          <w:lang w:eastAsia="ja-JP"/>
        </w:rPr>
      </w:pPr>
      <w:r>
        <w:rPr>
          <w:lang w:eastAsia="ja-JP"/>
        </w:rPr>
        <w:t xml:space="preserve">Note: </w:t>
      </w:r>
      <w:r w:rsidR="004A45D9">
        <w:rPr>
          <w:lang w:eastAsia="ja-JP"/>
        </w:rPr>
        <w:t>NEC=</w:t>
      </w:r>
      <w:r w:rsidR="007C1C69">
        <w:rPr>
          <w:lang w:eastAsia="ja-JP"/>
        </w:rPr>
        <w:t>Not elsewhere classified</w:t>
      </w:r>
      <w:r w:rsidR="004A45D9">
        <w:rPr>
          <w:lang w:eastAsia="ja-JP"/>
        </w:rPr>
        <w:t>.</w:t>
      </w:r>
    </w:p>
    <w:p w14:paraId="03E433BF" w14:textId="77777777" w:rsidR="00996D64" w:rsidRDefault="00996D64" w:rsidP="00996D64">
      <w:pPr>
        <w:rPr>
          <w:lang w:eastAsia="ja-JP"/>
        </w:rPr>
      </w:pPr>
      <w:r>
        <w:rPr>
          <w:lang w:eastAsia="ja-JP"/>
        </w:rPr>
        <w:t>ABARES analysis of Australia’s total exports against the signatories to the</w:t>
      </w:r>
      <w:r w:rsidR="00182DCB">
        <w:rPr>
          <w:lang w:eastAsia="ja-JP"/>
        </w:rPr>
        <w:t xml:space="preserve"> emergency response</w:t>
      </w:r>
      <w:r>
        <w:rPr>
          <w:lang w:eastAsia="ja-JP"/>
        </w:rPr>
        <w:t xml:space="preserve"> deeds tells a similar story. The proportion of </w:t>
      </w:r>
      <w:r w:rsidR="006843DC">
        <w:rPr>
          <w:lang w:eastAsia="ja-JP"/>
        </w:rPr>
        <w:t xml:space="preserve">farm and forestry </w:t>
      </w:r>
      <w:r>
        <w:rPr>
          <w:lang w:eastAsia="ja-JP"/>
        </w:rPr>
        <w:t>exports</w:t>
      </w:r>
      <w:r w:rsidR="00386F86">
        <w:rPr>
          <w:lang w:eastAsia="ja-JP"/>
        </w:rPr>
        <w:t xml:space="preserve"> (excluding horses</w:t>
      </w:r>
      <w:r w:rsidR="00E44163">
        <w:rPr>
          <w:lang w:eastAsia="ja-JP"/>
        </w:rPr>
        <w:t xml:space="preserve"> temporarily exported for racing</w:t>
      </w:r>
      <w:r w:rsidR="00386F86">
        <w:rPr>
          <w:lang w:eastAsia="ja-JP"/>
        </w:rPr>
        <w:t>)</w:t>
      </w:r>
      <w:r>
        <w:rPr>
          <w:lang w:eastAsia="ja-JP"/>
        </w:rPr>
        <w:t xml:space="preserve"> covered by signatories to the emergency respon</w:t>
      </w:r>
      <w:r w:rsidR="006843DC">
        <w:rPr>
          <w:lang w:eastAsia="ja-JP"/>
        </w:rPr>
        <w:t>se deeds is around 87 per cent.</w:t>
      </w:r>
    </w:p>
    <w:p w14:paraId="64A1CE66" w14:textId="77777777" w:rsidR="00996D64" w:rsidRDefault="00996D64" w:rsidP="00996D64">
      <w:pPr>
        <w:rPr>
          <w:lang w:eastAsia="ja-JP"/>
        </w:rPr>
      </w:pPr>
      <w:r>
        <w:rPr>
          <w:lang w:eastAsia="ja-JP"/>
        </w:rPr>
        <w:t>Encouraging the above remaining industries</w:t>
      </w:r>
      <w:r w:rsidR="00182DCB">
        <w:rPr>
          <w:lang w:eastAsia="ja-JP"/>
        </w:rPr>
        <w:t xml:space="preserve"> to</w:t>
      </w:r>
      <w:r>
        <w:rPr>
          <w:lang w:eastAsia="ja-JP"/>
        </w:rPr>
        <w:t xml:space="preserve"> sign up to the emergency response deeds would strengthen the national partnership, and the national system.</w:t>
      </w:r>
    </w:p>
    <w:p w14:paraId="2E77F8BF" w14:textId="22FB3927" w:rsidR="00996D64" w:rsidRDefault="00996D64" w:rsidP="00996D64">
      <w:pPr>
        <w:rPr>
          <w:lang w:eastAsia="ja-JP"/>
        </w:rPr>
      </w:pPr>
      <w:r>
        <w:rPr>
          <w:lang w:eastAsia="ja-JP"/>
        </w:rPr>
        <w:t>Also</w:t>
      </w:r>
      <w:r w:rsidR="001D02CF">
        <w:rPr>
          <w:lang w:eastAsia="ja-JP"/>
        </w:rPr>
        <w:t>,</w:t>
      </w:r>
      <w:r>
        <w:rPr>
          <w:lang w:eastAsia="ja-JP"/>
        </w:rPr>
        <w:t xml:space="preserve"> it needs to be remembered that while there is significant industry involvement with respect to emergency responses, for other aspects of the national biosecurity system, industry input</w:t>
      </w:r>
      <w:r w:rsidR="008C44A3">
        <w:rPr>
          <w:lang w:eastAsia="ja-JP"/>
        </w:rPr>
        <w:t xml:space="preserve"> </w:t>
      </w:r>
      <w:r w:rsidR="008C44A3" w:rsidRPr="008C44A3">
        <w:rPr>
          <w:lang w:eastAsia="ja-JP"/>
        </w:rPr>
        <w:t>is less well understood</w:t>
      </w:r>
      <w:r w:rsidR="006843DC">
        <w:rPr>
          <w:lang w:eastAsia="ja-JP"/>
        </w:rPr>
        <w:t>,</w:t>
      </w:r>
      <w:r w:rsidR="008C44A3" w:rsidRPr="008C44A3">
        <w:rPr>
          <w:lang w:eastAsia="ja-JP"/>
        </w:rPr>
        <w:t xml:space="preserve"> though believed to be less than</w:t>
      </w:r>
      <w:r w:rsidR="008C44A3">
        <w:rPr>
          <w:lang w:eastAsia="ja-JP"/>
        </w:rPr>
        <w:t xml:space="preserve"> </w:t>
      </w:r>
      <w:r>
        <w:rPr>
          <w:lang w:eastAsia="ja-JP"/>
        </w:rPr>
        <w:t>government</w:t>
      </w:r>
      <w:r w:rsidRPr="000A1812">
        <w:rPr>
          <w:lang w:eastAsia="ja-JP"/>
        </w:rPr>
        <w:t>.</w:t>
      </w:r>
      <w:r w:rsidR="00543031" w:rsidRPr="000A1812">
        <w:t xml:space="preserve"> </w:t>
      </w:r>
      <w:r w:rsidR="00543031" w:rsidRPr="000A1812">
        <w:rPr>
          <w:lang w:eastAsia="ja-JP"/>
        </w:rPr>
        <w:t>A</w:t>
      </w:r>
      <w:r w:rsidR="006374E5">
        <w:rPr>
          <w:lang w:eastAsia="ja-JP"/>
        </w:rPr>
        <w:t xml:space="preserve">s noted in </w:t>
      </w:r>
      <w:hyperlink w:anchor="_Knowing_and_owning" w:history="1">
        <w:r w:rsidR="006374E5" w:rsidRPr="00943EBA">
          <w:rPr>
            <w:rStyle w:val="Hyperlink"/>
            <w:lang w:eastAsia="ja-JP"/>
          </w:rPr>
          <w:t>Chapter 2</w:t>
        </w:r>
      </w:hyperlink>
      <w:r w:rsidR="000A1812" w:rsidRPr="000A1812">
        <w:rPr>
          <w:lang w:eastAsia="ja-JP"/>
        </w:rPr>
        <w:t>,</w:t>
      </w:r>
      <w:r w:rsidR="00543031" w:rsidRPr="000A1812">
        <w:rPr>
          <w:lang w:eastAsia="ja-JP"/>
        </w:rPr>
        <w:t xml:space="preserve"> there are currently 136 industry surveillance programs in place in the grains and horticulture industries</w:t>
      </w:r>
      <w:r w:rsidR="000A1812" w:rsidRPr="000A1812">
        <w:rPr>
          <w:lang w:eastAsia="ja-JP"/>
        </w:rPr>
        <w:t xml:space="preserve">, with </w:t>
      </w:r>
      <w:r w:rsidR="00543031" w:rsidRPr="000A1812">
        <w:rPr>
          <w:lang w:eastAsia="ja-JP"/>
        </w:rPr>
        <w:t>most of these programs run by the industry groups</w:t>
      </w:r>
      <w:r w:rsidR="00EC5D5C">
        <w:rPr>
          <w:lang w:eastAsia="ja-JP"/>
        </w:rPr>
        <w:t xml:space="preserve">. </w:t>
      </w:r>
      <w:r w:rsidR="00FA32F7">
        <w:rPr>
          <w:lang w:eastAsia="ja-JP"/>
        </w:rPr>
        <w:t>S</w:t>
      </w:r>
      <w:r w:rsidR="00543031" w:rsidRPr="000A1812">
        <w:rPr>
          <w:lang w:eastAsia="ja-JP"/>
        </w:rPr>
        <w:t>ome industries also invest with state governments in delivering their surveillance programs.</w:t>
      </w:r>
      <w:r>
        <w:rPr>
          <w:lang w:eastAsia="ja-JP"/>
        </w:rPr>
        <w:t xml:space="preserve"> Opportunities exist </w:t>
      </w:r>
      <w:r w:rsidRPr="00CA5498">
        <w:rPr>
          <w:lang w:eastAsia="ja-JP"/>
        </w:rPr>
        <w:t xml:space="preserve">for </w:t>
      </w:r>
      <w:r w:rsidR="009C388A" w:rsidRPr="00CA5498">
        <w:rPr>
          <w:lang w:eastAsia="ja-JP"/>
        </w:rPr>
        <w:t>producers</w:t>
      </w:r>
      <w:r w:rsidRPr="00CA5498">
        <w:rPr>
          <w:lang w:eastAsia="ja-JP"/>
        </w:rPr>
        <w:t>, industry and the</w:t>
      </w:r>
      <w:r>
        <w:rPr>
          <w:lang w:eastAsia="ja-JP"/>
        </w:rPr>
        <w:t xml:space="preserve"> community to play a greater role in pest and disease monitoring and surveillance, for example, with new in-crop/in-herd diagnostics, drone sampling technology and </w:t>
      </w:r>
      <w:r w:rsidR="001A3C8E">
        <w:rPr>
          <w:lang w:eastAsia="ja-JP"/>
        </w:rPr>
        <w:lastRenderedPageBreak/>
        <w:t>direct</w:t>
      </w:r>
      <w:r>
        <w:rPr>
          <w:lang w:eastAsia="ja-JP"/>
        </w:rPr>
        <w:t xml:space="preserve"> communication to sophisticated </w:t>
      </w:r>
      <w:r w:rsidRPr="00CA5498">
        <w:rPr>
          <w:lang w:eastAsia="ja-JP"/>
        </w:rPr>
        <w:t>data retrieval</w:t>
      </w:r>
      <w:r w:rsidR="001A3C8E" w:rsidRPr="00CA5498">
        <w:rPr>
          <w:lang w:eastAsia="ja-JP"/>
        </w:rPr>
        <w:t>,</w:t>
      </w:r>
      <w:r w:rsidRPr="00CA5498">
        <w:rPr>
          <w:lang w:eastAsia="ja-JP"/>
        </w:rPr>
        <w:t xml:space="preserve"> storage</w:t>
      </w:r>
      <w:r w:rsidR="001A3C8E" w:rsidRPr="00CA5498">
        <w:rPr>
          <w:lang w:eastAsia="ja-JP"/>
        </w:rPr>
        <w:t xml:space="preserve"> and analysis</w:t>
      </w:r>
      <w:r w:rsidRPr="00CA5498">
        <w:rPr>
          <w:lang w:eastAsia="ja-JP"/>
        </w:rPr>
        <w:t xml:space="preserve"> systems.</w:t>
      </w:r>
      <w:r>
        <w:rPr>
          <w:lang w:eastAsia="ja-JP"/>
        </w:rPr>
        <w:t xml:space="preserve"> Development of improved monitoring, surveillance and diagnostics will be central to ensuring market access to our export oriented agricultural industries.</w:t>
      </w:r>
    </w:p>
    <w:p w14:paraId="4B8E7B1F" w14:textId="77777777" w:rsidR="00996D64" w:rsidRDefault="00996D64" w:rsidP="00996D64">
      <w:pPr>
        <w:rPr>
          <w:lang w:eastAsia="ja-JP"/>
        </w:rPr>
      </w:pPr>
      <w:r>
        <w:rPr>
          <w:lang w:eastAsia="ja-JP"/>
        </w:rPr>
        <w:t>Beyond agriculture, the Australian Government</w:t>
      </w:r>
      <w:r w:rsidR="00182DCB">
        <w:rPr>
          <w:lang w:eastAsia="ja-JP"/>
        </w:rPr>
        <w:t xml:space="preserve"> submission (p. 12)</w:t>
      </w:r>
      <w:r>
        <w:rPr>
          <w:lang w:eastAsia="ja-JP"/>
        </w:rPr>
        <w:t xml:space="preserve"> highlighted implementation of the shared responsibility principle would need to take account of sectors other than agriculture that could be ‘beneficiaries or risk creators’ (system participants), including mining; tourism; infrastructure, building and construction; transport (shipping, ports, road and rail); environment (exotic plant or animal collectors, national parks, zoos and aquaria); and defence (movement of personnel and equipment in and out of Australia).</w:t>
      </w:r>
    </w:p>
    <w:p w14:paraId="341635E5" w14:textId="77777777" w:rsidR="0082450A" w:rsidRDefault="00996D64" w:rsidP="00996D64">
      <w:pPr>
        <w:rPr>
          <w:lang w:eastAsia="ja-JP"/>
        </w:rPr>
      </w:pPr>
      <w:r>
        <w:rPr>
          <w:lang w:eastAsia="ja-JP"/>
        </w:rPr>
        <w:t>The Review Panel considers significant scope</w:t>
      </w:r>
      <w:r w:rsidR="00182DCB">
        <w:rPr>
          <w:lang w:eastAsia="ja-JP"/>
        </w:rPr>
        <w:t xml:space="preserve"> exists</w:t>
      </w:r>
      <w:r>
        <w:rPr>
          <w:lang w:eastAsia="ja-JP"/>
        </w:rPr>
        <w:t xml:space="preserve"> to involve identified sectors and industries in funding decisions and implementation of frameworks that will apply to them—to date this does not appear to have occurred, despite the clear commitment of governments to do so in the IGAB. Governments and industry have collaborated well in discussions and decisions on funding for emergency responses but there remain ample opportunities to rectify this for situations outside of a crisis</w:t>
      </w:r>
      <w:r w:rsidR="0082450A">
        <w:rPr>
          <w:lang w:eastAsia="ja-JP"/>
        </w:rPr>
        <w:t>.</w:t>
      </w:r>
    </w:p>
    <w:p w14:paraId="531E5FAB" w14:textId="23F549E7" w:rsidR="00AC10BB" w:rsidRDefault="00996D64" w:rsidP="00996D64">
      <w:pPr>
        <w:rPr>
          <w:lang w:eastAsia="ja-JP"/>
        </w:rPr>
      </w:pPr>
      <w:r>
        <w:rPr>
          <w:lang w:eastAsia="ja-JP"/>
        </w:rPr>
        <w:t>Governments engaging with</w:t>
      </w:r>
      <w:r w:rsidR="00182DCB">
        <w:rPr>
          <w:lang w:eastAsia="ja-JP"/>
        </w:rPr>
        <w:t xml:space="preserve"> the national biosecurity</w:t>
      </w:r>
      <w:r>
        <w:rPr>
          <w:lang w:eastAsia="ja-JP"/>
        </w:rPr>
        <w:t xml:space="preserve"> system participants is also a significant issue for the funding-relevant work of the NBC. Three key projects of the NBC to help direct investm</w:t>
      </w:r>
      <w:r w:rsidR="00397CBF">
        <w:rPr>
          <w:lang w:eastAsia="ja-JP"/>
        </w:rPr>
        <w:t>ent, which were listed in this R</w:t>
      </w:r>
      <w:r>
        <w:rPr>
          <w:lang w:eastAsia="ja-JP"/>
        </w:rPr>
        <w:t>eview’s terms of reference, are not yet public documents. This makes any assessment of their value or use impossible for those outside of government, including use to direct their own activities and investment. Transparency between all s</w:t>
      </w:r>
      <w:r w:rsidR="00895F18">
        <w:rPr>
          <w:lang w:eastAsia="ja-JP"/>
        </w:rPr>
        <w:t>ystem participants is critical.</w:t>
      </w:r>
    </w:p>
    <w:p w14:paraId="4F48F5EB" w14:textId="77777777" w:rsidR="00AC10BB" w:rsidRDefault="00AC10BB" w:rsidP="00AC10BB">
      <w:pPr>
        <w:pStyle w:val="Heading4"/>
        <w:rPr>
          <w:lang w:eastAsia="ja-JP"/>
        </w:rPr>
      </w:pPr>
      <w:r>
        <w:rPr>
          <w:lang w:eastAsia="ja-JP"/>
        </w:rPr>
        <w:t>National priorities and activity planning</w:t>
      </w:r>
    </w:p>
    <w:p w14:paraId="3D0F0732" w14:textId="4C69F532" w:rsidR="00996D64" w:rsidRDefault="00996D64" w:rsidP="00996D64">
      <w:pPr>
        <w:rPr>
          <w:lang w:eastAsia="ja-JP"/>
        </w:rPr>
      </w:pPr>
      <w:r>
        <w:rPr>
          <w:lang w:eastAsia="ja-JP"/>
        </w:rPr>
        <w:t xml:space="preserve">The Review Panel does not believe that it is possible to determine the funding required for the </w:t>
      </w:r>
      <w:r w:rsidR="00D60A31">
        <w:rPr>
          <w:lang w:eastAsia="ja-JP"/>
        </w:rPr>
        <w:t xml:space="preserve">national </w:t>
      </w:r>
      <w:r>
        <w:rPr>
          <w:lang w:eastAsia="ja-JP"/>
        </w:rPr>
        <w:t>biosecurity system unless there is clarity in the funding required for addressing national priority pest</w:t>
      </w:r>
      <w:r w:rsidR="00D6565C">
        <w:rPr>
          <w:lang w:eastAsia="ja-JP"/>
        </w:rPr>
        <w:t>s</w:t>
      </w:r>
      <w:r>
        <w:rPr>
          <w:lang w:eastAsia="ja-JP"/>
        </w:rPr>
        <w:t xml:space="preserve"> and diseases</w:t>
      </w:r>
      <w:r w:rsidR="0082450A">
        <w:rPr>
          <w:lang w:eastAsia="ja-JP"/>
        </w:rPr>
        <w:t>.</w:t>
      </w:r>
    </w:p>
    <w:p w14:paraId="0493E64E" w14:textId="3201911E" w:rsidR="00996D64" w:rsidRDefault="00996D64" w:rsidP="00996D64">
      <w:pPr>
        <w:rPr>
          <w:lang w:eastAsia="ja-JP"/>
        </w:rPr>
      </w:pPr>
      <w:r>
        <w:rPr>
          <w:lang w:eastAsia="ja-JP"/>
        </w:rPr>
        <w:t xml:space="preserve">The Panel’s proposed approach to national priority pests and diseases </w:t>
      </w:r>
      <w:r w:rsidRPr="0082450A">
        <w:rPr>
          <w:lang w:eastAsia="ja-JP"/>
        </w:rPr>
        <w:t>(</w:t>
      </w:r>
      <w:hyperlink w:anchor="_Building_the_national" w:history="1">
        <w:r w:rsidRPr="00447677">
          <w:rPr>
            <w:rStyle w:val="Hyperlink"/>
            <w:lang w:eastAsia="ja-JP"/>
          </w:rPr>
          <w:t>Chapter 5</w:t>
        </w:r>
      </w:hyperlink>
      <w:r>
        <w:rPr>
          <w:lang w:eastAsia="ja-JP"/>
        </w:rPr>
        <w:t xml:space="preserve">) will allow a ‘rolling-up’ of the funding required to give a more informed picture </w:t>
      </w:r>
      <w:r w:rsidR="008C44A3">
        <w:rPr>
          <w:lang w:eastAsia="ja-JP"/>
        </w:rPr>
        <w:t xml:space="preserve">of </w:t>
      </w:r>
      <w:r>
        <w:rPr>
          <w:lang w:eastAsia="ja-JP"/>
        </w:rPr>
        <w:t xml:space="preserve">the total cost of the </w:t>
      </w:r>
      <w:r w:rsidR="00642E5B">
        <w:rPr>
          <w:lang w:eastAsia="ja-JP"/>
        </w:rPr>
        <w:t xml:space="preserve">national </w:t>
      </w:r>
      <w:r>
        <w:rPr>
          <w:lang w:eastAsia="ja-JP"/>
        </w:rPr>
        <w:t>system. Importantly, the proposed approach should also help all system participants understand their responsibilities, and required contributions and investment (financial and in-kind contributions and must be appropriately recognised) in addressin</w:t>
      </w:r>
      <w:r w:rsidR="00895F18">
        <w:rPr>
          <w:lang w:eastAsia="ja-JP"/>
        </w:rPr>
        <w:t>g the priority pest or disease.</w:t>
      </w:r>
    </w:p>
    <w:p w14:paraId="38F6E958" w14:textId="34ABFDD5" w:rsidR="00CA5498" w:rsidRDefault="00996D64" w:rsidP="00996D64">
      <w:pPr>
        <w:rPr>
          <w:lang w:eastAsia="ja-JP"/>
        </w:rPr>
      </w:pPr>
      <w:r>
        <w:rPr>
          <w:lang w:eastAsia="ja-JP"/>
        </w:rPr>
        <w:t xml:space="preserve">Addressing all biosecurity activities (for example, pre-border, surveillance and diagnostics) through this process would identify any gaps, including activities not or underfunded, and substantially increase the attention given to any static or declining investments in these areas. The proposed approach can establish a total cost of each </w:t>
      </w:r>
      <w:r w:rsidRPr="00CA5498">
        <w:rPr>
          <w:lang w:eastAsia="ja-JP"/>
        </w:rPr>
        <w:t xml:space="preserve">activity, </w:t>
      </w:r>
      <w:r w:rsidR="00CA5498" w:rsidRPr="00CA5498">
        <w:rPr>
          <w:lang w:eastAsia="ja-JP"/>
        </w:rPr>
        <w:t>such as</w:t>
      </w:r>
      <w:r w:rsidR="008C44A3" w:rsidRPr="00CA5498">
        <w:rPr>
          <w:lang w:eastAsia="ja-JP"/>
        </w:rPr>
        <w:t xml:space="preserve"> </w:t>
      </w:r>
      <w:r w:rsidRPr="00CA5498">
        <w:rPr>
          <w:lang w:eastAsia="ja-JP"/>
        </w:rPr>
        <w:t>pre-border, surveillance or diagnostic</w:t>
      </w:r>
      <w:r w:rsidR="00CA5498" w:rsidRPr="00CA5498">
        <w:rPr>
          <w:lang w:eastAsia="ja-JP"/>
        </w:rPr>
        <w:t xml:space="preserve"> activities</w:t>
      </w:r>
      <w:r w:rsidRPr="00CA5498">
        <w:rPr>
          <w:lang w:eastAsia="ja-JP"/>
        </w:rPr>
        <w:t>.</w:t>
      </w:r>
      <w:r w:rsidR="00CA5498" w:rsidRPr="00CA5498">
        <w:t xml:space="preserve"> </w:t>
      </w:r>
      <w:r w:rsidR="00CA5498" w:rsidRPr="00CA5498">
        <w:rPr>
          <w:lang w:eastAsia="ja-JP"/>
        </w:rPr>
        <w:t>It will also enable application of the acceptable residu</w:t>
      </w:r>
      <w:r w:rsidR="00895F18">
        <w:rPr>
          <w:lang w:eastAsia="ja-JP"/>
        </w:rPr>
        <w:t>al level of risk to be decided.</w:t>
      </w:r>
    </w:p>
    <w:p w14:paraId="7362B8D8" w14:textId="37A2E96E" w:rsidR="00AC10BB" w:rsidRDefault="00996D64" w:rsidP="00996D64">
      <w:pPr>
        <w:rPr>
          <w:lang w:eastAsia="ja-JP"/>
        </w:rPr>
      </w:pPr>
      <w:r w:rsidRPr="00CA5498">
        <w:rPr>
          <w:lang w:eastAsia="ja-JP"/>
        </w:rPr>
        <w:t>Importantly, the approach also recognises the imperative for ongoing funding for capability, cov</w:t>
      </w:r>
      <w:r>
        <w:rPr>
          <w:lang w:eastAsia="ja-JP"/>
        </w:rPr>
        <w:t>ering qualified staff, specialist positions and specific skills, and the efficiencies gained from partnerships be</w:t>
      </w:r>
      <w:r w:rsidR="00895F18">
        <w:rPr>
          <w:lang w:eastAsia="ja-JP"/>
        </w:rPr>
        <w:t>tween researchers and industry.</w:t>
      </w:r>
    </w:p>
    <w:p w14:paraId="2D5A3B8B" w14:textId="77777777" w:rsidR="00AC10BB" w:rsidRDefault="00AC10BB" w:rsidP="007C63FA">
      <w:pPr>
        <w:pStyle w:val="Heading4"/>
        <w:keepNext/>
        <w:rPr>
          <w:lang w:eastAsia="ja-JP"/>
        </w:rPr>
      </w:pPr>
      <w:r>
        <w:rPr>
          <w:lang w:eastAsia="ja-JP"/>
        </w:rPr>
        <w:lastRenderedPageBreak/>
        <w:t>Rapid (emergency) response capacity</w:t>
      </w:r>
    </w:p>
    <w:p w14:paraId="79AB0DBF" w14:textId="18B741A7" w:rsidR="00996D64" w:rsidRDefault="00996D64" w:rsidP="00996D64">
      <w:pPr>
        <w:rPr>
          <w:lang w:eastAsia="ja-JP"/>
        </w:rPr>
      </w:pPr>
      <w:r>
        <w:rPr>
          <w:lang w:eastAsia="ja-JP"/>
        </w:rPr>
        <w:t xml:space="preserve">The </w:t>
      </w:r>
      <w:r w:rsidR="005557BE">
        <w:rPr>
          <w:lang w:eastAsia="ja-JP"/>
        </w:rPr>
        <w:t>EPPRD</w:t>
      </w:r>
      <w:r>
        <w:rPr>
          <w:lang w:eastAsia="ja-JP"/>
        </w:rPr>
        <w:t>,</w:t>
      </w:r>
      <w:r w:rsidR="005557BE">
        <w:rPr>
          <w:lang w:eastAsia="ja-JP"/>
        </w:rPr>
        <w:t xml:space="preserve"> Emergency Animal Disease Response Agreement</w:t>
      </w:r>
      <w:r>
        <w:rPr>
          <w:lang w:eastAsia="ja-JP"/>
        </w:rPr>
        <w:t xml:space="preserve"> (EAD</w:t>
      </w:r>
      <w:r w:rsidR="00386F86">
        <w:rPr>
          <w:lang w:eastAsia="ja-JP"/>
        </w:rPr>
        <w:t>R</w:t>
      </w:r>
      <w:r>
        <w:rPr>
          <w:lang w:eastAsia="ja-JP"/>
        </w:rPr>
        <w:t>A) and NEBRA contain provisions for managing an emergency response to an incursion, including details on the resourcing. The Review Panel received several comments from stakeholders during consultation about instances of funding and resource pressures at the time of an exotic</w:t>
      </w:r>
      <w:r w:rsidR="001D63E5">
        <w:rPr>
          <w:lang w:eastAsia="ja-JP"/>
        </w:rPr>
        <w:t xml:space="preserve"> </w:t>
      </w:r>
      <w:r>
        <w:rPr>
          <w:lang w:eastAsia="ja-JP"/>
        </w:rPr>
        <w:t>pest or disease detection/incursion. Being able to respond and eradicate or contain quickly must be a key capacity of t</w:t>
      </w:r>
      <w:r w:rsidR="005557BE">
        <w:rPr>
          <w:lang w:eastAsia="ja-JP"/>
        </w:rPr>
        <w:t>he national biosecurity system.</w:t>
      </w:r>
    </w:p>
    <w:p w14:paraId="323B58D1" w14:textId="54BAC1D4" w:rsidR="00996D64" w:rsidRDefault="00996D64" w:rsidP="00996D64">
      <w:pPr>
        <w:rPr>
          <w:lang w:eastAsia="ja-JP"/>
        </w:rPr>
      </w:pPr>
      <w:r>
        <w:rPr>
          <w:lang w:eastAsia="ja-JP"/>
        </w:rPr>
        <w:t xml:space="preserve">Among others, the </w:t>
      </w:r>
      <w:r w:rsidR="00631C92">
        <w:t>Queensland Government Department of Agriculture and Fisheries</w:t>
      </w:r>
      <w:r w:rsidR="00631C92">
        <w:rPr>
          <w:lang w:eastAsia="ja-JP"/>
        </w:rPr>
        <w:t xml:space="preserve"> </w:t>
      </w:r>
      <w:r>
        <w:rPr>
          <w:lang w:eastAsia="ja-JP"/>
        </w:rPr>
        <w:t>has highlighted the problem:</w:t>
      </w:r>
    </w:p>
    <w:p w14:paraId="29CB0A4A" w14:textId="624E7EA3" w:rsidR="00996D64" w:rsidRDefault="00996D64" w:rsidP="00996D64">
      <w:pPr>
        <w:pStyle w:val="Quote"/>
        <w:rPr>
          <w:lang w:eastAsia="ja-JP"/>
        </w:rPr>
      </w:pPr>
      <w:r>
        <w:rPr>
          <w:lang w:eastAsia="ja-JP"/>
        </w:rPr>
        <w:t>Both the EADRA and the EPPRD set out clear expectation and rules for funding that recognise the public and commercial benefits of biosecurity risk management. However, in practice, technical requirements around feasibility of eradication and the delay between the Incident Definition phase and agreement to a response plan leave state governments bearing costs and risks. A second challenge associated with the present cost sharing deeds are the term of funding and reporting requirements</w:t>
      </w:r>
      <w:r w:rsidR="0082450A">
        <w:rPr>
          <w:lang w:eastAsia="ja-JP"/>
        </w:rPr>
        <w:t xml:space="preserve"> … </w:t>
      </w:r>
      <w:r>
        <w:rPr>
          <w:lang w:eastAsia="ja-JP"/>
        </w:rPr>
        <w:t>[For] incidents which fall outside the current deed arrangements, [they] require collective agreement between national partners to navigate a cost sharing approach</w:t>
      </w:r>
      <w:r w:rsidR="0082450A">
        <w:rPr>
          <w:lang w:eastAsia="ja-JP"/>
        </w:rPr>
        <w:t xml:space="preserve"> …</w:t>
      </w:r>
      <w:r>
        <w:rPr>
          <w:lang w:eastAsia="ja-JP"/>
        </w:rPr>
        <w:t xml:space="preserve"> The absence of an agreed process to triage and rapidly resolve such incidents is again a concern for state governments, and has been raised in response to previous reviews of these deeds (</w:t>
      </w:r>
      <w:r w:rsidR="0082450A">
        <w:rPr>
          <w:lang w:eastAsia="ja-JP"/>
        </w:rPr>
        <w:t>p</w:t>
      </w:r>
      <w:r w:rsidR="00D60A31">
        <w:rPr>
          <w:lang w:eastAsia="ja-JP"/>
        </w:rPr>
        <w:t xml:space="preserve">. </w:t>
      </w:r>
      <w:r w:rsidR="0082450A">
        <w:rPr>
          <w:lang w:eastAsia="ja-JP"/>
        </w:rPr>
        <w:t>4</w:t>
      </w:r>
      <w:r>
        <w:rPr>
          <w:lang w:eastAsia="ja-JP"/>
        </w:rPr>
        <w:t>)</w:t>
      </w:r>
    </w:p>
    <w:p w14:paraId="6D5693D8" w14:textId="1A73A6C0" w:rsidR="00996D64" w:rsidRDefault="00996D64" w:rsidP="00996D64">
      <w:pPr>
        <w:rPr>
          <w:lang w:eastAsia="ja-JP"/>
        </w:rPr>
      </w:pPr>
      <w:r>
        <w:rPr>
          <w:lang w:eastAsia="ja-JP"/>
        </w:rPr>
        <w:t>Whether an incursion is managed under a deed or off-deed, making available money and resources immediately at the time of an incursion should allow a more efficient response</w:t>
      </w:r>
      <w:r w:rsidR="00D60A31">
        <w:rPr>
          <w:lang w:eastAsia="ja-JP"/>
        </w:rPr>
        <w:t xml:space="preserve">; </w:t>
      </w:r>
      <w:r>
        <w:rPr>
          <w:lang w:eastAsia="ja-JP"/>
        </w:rPr>
        <w:t>rather than allowing a pest or disease to spread further while decisions about eradication feasibility and who will pay for the response are made. There must be an ability to rapidly access ‘no-regrets’ funds for ra</w:t>
      </w:r>
      <w:r w:rsidR="00895F18">
        <w:rPr>
          <w:lang w:eastAsia="ja-JP"/>
        </w:rPr>
        <w:t>pid responses.</w:t>
      </w:r>
    </w:p>
    <w:p w14:paraId="2D72B2F1" w14:textId="750F4FF6" w:rsidR="00AC10BB" w:rsidRDefault="00996D64" w:rsidP="00996D64">
      <w:pPr>
        <w:rPr>
          <w:lang w:eastAsia="ja-JP"/>
        </w:rPr>
      </w:pPr>
      <w:r>
        <w:rPr>
          <w:lang w:eastAsia="ja-JP"/>
        </w:rPr>
        <w:t>The Review Panel recognises there are provisions within the existing emergency response deeds but it appears that they are not working effectively. The Panel is seeking feedback from stakeholders to clarify this issue and provided two options to strengthen jurisdictions’ ability to respond, and calls f</w:t>
      </w:r>
      <w:r w:rsidR="00895F18">
        <w:rPr>
          <w:lang w:eastAsia="ja-JP"/>
        </w:rPr>
        <w:t>or feedback on the suggestions.</w:t>
      </w:r>
    </w:p>
    <w:p w14:paraId="24478991" w14:textId="2E694BE2" w:rsidR="00AC10BB" w:rsidRPr="007C63FA" w:rsidRDefault="00AC10BB" w:rsidP="007C63FA">
      <w:pPr>
        <w:pStyle w:val="BoxHeading"/>
        <w:shd w:val="clear" w:color="auto" w:fill="D9D9D9" w:themeFill="background1" w:themeFillShade="D9"/>
        <w:rPr>
          <w:sz w:val="22"/>
        </w:rPr>
      </w:pPr>
      <w:bookmarkStart w:id="201" w:name="Request_for_feedback_5"/>
      <w:r w:rsidRPr="007C63FA">
        <w:rPr>
          <w:sz w:val="22"/>
        </w:rPr>
        <w:t>Request for feedback</w:t>
      </w:r>
      <w:r w:rsidR="00D60A31" w:rsidRPr="007C63FA">
        <w:rPr>
          <w:sz w:val="22"/>
        </w:rPr>
        <w:t xml:space="preserve"> </w:t>
      </w:r>
      <w:r w:rsidR="00E61E5A" w:rsidRPr="007C63FA">
        <w:rPr>
          <w:sz w:val="22"/>
        </w:rPr>
        <w:t>5</w:t>
      </w:r>
      <w:bookmarkEnd w:id="201"/>
      <w:r w:rsidRPr="007C63FA">
        <w:rPr>
          <w:sz w:val="22"/>
        </w:rPr>
        <w:t>:</w:t>
      </w:r>
    </w:p>
    <w:p w14:paraId="7A988C96" w14:textId="7B1B87C0" w:rsidR="001257EA" w:rsidRPr="007C63FA" w:rsidRDefault="001257EA" w:rsidP="00E50944">
      <w:pPr>
        <w:pStyle w:val="BoxText"/>
        <w:shd w:val="clear" w:color="auto" w:fill="D9D9D9" w:themeFill="background1" w:themeFillShade="D9"/>
        <w:rPr>
          <w:sz w:val="22"/>
        </w:rPr>
      </w:pPr>
      <w:r w:rsidRPr="007C63FA">
        <w:rPr>
          <w:sz w:val="22"/>
        </w:rPr>
        <w:t>The Review Panel seeks feedback on the following options to ensure a more rapid-response to an exotic pest or disease incursion:</w:t>
      </w:r>
    </w:p>
    <w:p w14:paraId="67753420" w14:textId="34F141DA" w:rsidR="00AC10BB" w:rsidRPr="007C63FA" w:rsidRDefault="00AC10BB" w:rsidP="00E50944">
      <w:pPr>
        <w:pStyle w:val="BoxText"/>
        <w:shd w:val="clear" w:color="auto" w:fill="D9D9D9" w:themeFill="background1" w:themeFillShade="D9"/>
        <w:rPr>
          <w:sz w:val="22"/>
        </w:rPr>
      </w:pPr>
      <w:r w:rsidRPr="00DA67D5">
        <w:rPr>
          <w:sz w:val="22"/>
        </w:rPr>
        <w:t>Option 1</w:t>
      </w:r>
      <w:r w:rsidR="009C388A" w:rsidRPr="00DA67D5">
        <w:rPr>
          <w:sz w:val="22"/>
        </w:rPr>
        <w:t>:</w:t>
      </w:r>
      <w:r w:rsidR="00EE1338">
        <w:rPr>
          <w:sz w:val="22"/>
        </w:rPr>
        <w:t xml:space="preserve"> C</w:t>
      </w:r>
      <w:r w:rsidRPr="007C63FA">
        <w:rPr>
          <w:sz w:val="22"/>
        </w:rPr>
        <w:t xml:space="preserve">ost-sharing arrangements should provide for </w:t>
      </w:r>
      <w:r w:rsidR="000206CF" w:rsidRPr="007C63FA">
        <w:rPr>
          <w:sz w:val="22"/>
        </w:rPr>
        <w:t>four</w:t>
      </w:r>
      <w:r w:rsidRPr="007C63FA">
        <w:rPr>
          <w:sz w:val="22"/>
        </w:rPr>
        <w:t xml:space="preserve"> weeks of monitoring, assessment and preliminary control strategies, while an overall assessment is conducted on the possibility of successful eradication.</w:t>
      </w:r>
    </w:p>
    <w:p w14:paraId="165D8F29" w14:textId="6582D5B2" w:rsidR="00AC10BB" w:rsidRPr="007C63FA" w:rsidRDefault="00AC10BB" w:rsidP="00E50944">
      <w:pPr>
        <w:pStyle w:val="BoxText"/>
        <w:shd w:val="clear" w:color="auto" w:fill="D9D9D9" w:themeFill="background1" w:themeFillShade="D9"/>
        <w:rPr>
          <w:sz w:val="22"/>
        </w:rPr>
      </w:pPr>
      <w:r w:rsidRPr="00DA67D5">
        <w:rPr>
          <w:sz w:val="22"/>
        </w:rPr>
        <w:t>Option 2</w:t>
      </w:r>
      <w:r w:rsidR="009C388A" w:rsidRPr="00DA67D5">
        <w:rPr>
          <w:sz w:val="22"/>
        </w:rPr>
        <w:t>:</w:t>
      </w:r>
      <w:r w:rsidR="00DB72E6" w:rsidRPr="007C63FA">
        <w:rPr>
          <w:sz w:val="22"/>
        </w:rPr>
        <w:t xml:space="preserve"> </w:t>
      </w:r>
      <w:r w:rsidR="00EE1338">
        <w:rPr>
          <w:sz w:val="22"/>
        </w:rPr>
        <w:t>C</w:t>
      </w:r>
      <w:r w:rsidRPr="007C63FA">
        <w:rPr>
          <w:sz w:val="22"/>
        </w:rPr>
        <w:t>ost-sharing arrangements should include a default funding arrangement for when decisions cannot be quickly reached about the success or otherwise of an eradication program.</w:t>
      </w:r>
    </w:p>
    <w:p w14:paraId="1E49E213" w14:textId="0E0DEF5E" w:rsidR="00AC10BB" w:rsidRDefault="00996D64" w:rsidP="00AC10BB">
      <w:pPr>
        <w:rPr>
          <w:lang w:eastAsia="ja-JP"/>
        </w:rPr>
      </w:pPr>
      <w:r w:rsidRPr="00996D64">
        <w:rPr>
          <w:lang w:eastAsia="ja-JP"/>
        </w:rPr>
        <w:t xml:space="preserve">The Panel has observed the progress on the development of emergency response deeds for aquatic animals (aquaculture and wild) and exotic </w:t>
      </w:r>
      <w:r w:rsidR="002D0810">
        <w:rPr>
          <w:lang w:eastAsia="ja-JP"/>
        </w:rPr>
        <w:t xml:space="preserve">production </w:t>
      </w:r>
      <w:r w:rsidRPr="00996D64">
        <w:rPr>
          <w:lang w:eastAsia="ja-JP"/>
        </w:rPr>
        <w:t>weeds. The</w:t>
      </w:r>
      <w:r w:rsidR="00197E36">
        <w:rPr>
          <w:lang w:eastAsia="ja-JP"/>
        </w:rPr>
        <w:t>se</w:t>
      </w:r>
      <w:r w:rsidRPr="00996D64">
        <w:rPr>
          <w:lang w:eastAsia="ja-JP"/>
        </w:rPr>
        <w:t xml:space="preserve"> deeds will address key gaps in the national emergency management arrangements and should help minimise the </w:t>
      </w:r>
      <w:r w:rsidRPr="00996D64">
        <w:rPr>
          <w:lang w:eastAsia="ja-JP"/>
        </w:rPr>
        <w:lastRenderedPageBreak/>
        <w:t xml:space="preserve">number and need for negotiation of special off-deed arrangements. While there are a range of discussions underway, the </w:t>
      </w:r>
      <w:r w:rsidR="00D60A31">
        <w:rPr>
          <w:lang w:eastAsia="ja-JP"/>
        </w:rPr>
        <w:t>P</w:t>
      </w:r>
      <w:r w:rsidRPr="00996D64">
        <w:rPr>
          <w:lang w:eastAsia="ja-JP"/>
        </w:rPr>
        <w:t xml:space="preserve">anel recommends jurisdictions, relevant industries and community groups facilitate the prompt conclusion to these discussions to ensure the aquatic and </w:t>
      </w:r>
      <w:r w:rsidR="002D0810">
        <w:rPr>
          <w:lang w:eastAsia="ja-JP"/>
        </w:rPr>
        <w:t xml:space="preserve">exotic production </w:t>
      </w:r>
      <w:r w:rsidRPr="00996D64">
        <w:rPr>
          <w:lang w:eastAsia="ja-JP"/>
        </w:rPr>
        <w:t>weed de</w:t>
      </w:r>
      <w:r w:rsidR="00895F18">
        <w:rPr>
          <w:lang w:eastAsia="ja-JP"/>
        </w:rPr>
        <w:t>eds are prepared without delay.</w:t>
      </w:r>
    </w:p>
    <w:p w14:paraId="1372C600" w14:textId="4D6FE359" w:rsidR="00386F86" w:rsidRPr="007C63FA" w:rsidRDefault="00386F86" w:rsidP="007C63FA">
      <w:pPr>
        <w:pStyle w:val="BoxHeading"/>
        <w:shd w:val="clear" w:color="auto" w:fill="D9D9D9" w:themeFill="background1" w:themeFillShade="D9"/>
        <w:rPr>
          <w:sz w:val="22"/>
          <w:lang w:eastAsia="ja-JP"/>
        </w:rPr>
      </w:pPr>
      <w:bookmarkStart w:id="202" w:name="_Toc467231886"/>
      <w:bookmarkStart w:id="203" w:name="Draft_recommendation_33"/>
      <w:r w:rsidRPr="007C63FA">
        <w:rPr>
          <w:sz w:val="22"/>
        </w:rPr>
        <w:t xml:space="preserve">Draft recommendation </w:t>
      </w:r>
      <w:r w:rsidR="00447677">
        <w:rPr>
          <w:sz w:val="22"/>
        </w:rPr>
        <w:t>3</w:t>
      </w:r>
      <w:bookmarkEnd w:id="202"/>
      <w:r w:rsidR="00FE6EEF">
        <w:rPr>
          <w:sz w:val="22"/>
        </w:rPr>
        <w:t>3</w:t>
      </w:r>
      <w:bookmarkEnd w:id="203"/>
      <w:r w:rsidR="00E50944" w:rsidRPr="007C63FA">
        <w:rPr>
          <w:noProof/>
          <w:sz w:val="22"/>
        </w:rPr>
        <w:t>:</w:t>
      </w:r>
    </w:p>
    <w:p w14:paraId="3522B256" w14:textId="1A3CD61B" w:rsidR="00AC10BB" w:rsidRPr="007C63FA" w:rsidRDefault="00AC10BB" w:rsidP="007C63FA">
      <w:pPr>
        <w:pStyle w:val="BoxText"/>
        <w:shd w:val="clear" w:color="auto" w:fill="D9D9D9" w:themeFill="background1" w:themeFillShade="D9"/>
        <w:rPr>
          <w:sz w:val="22"/>
          <w:lang w:eastAsia="ja-JP"/>
        </w:rPr>
      </w:pPr>
      <w:r w:rsidRPr="007C63FA">
        <w:rPr>
          <w:sz w:val="22"/>
          <w:lang w:eastAsia="ja-JP"/>
        </w:rPr>
        <w:t xml:space="preserve">The emergency response deeds </w:t>
      </w:r>
      <w:r w:rsidR="001D63E5" w:rsidRPr="007C63FA">
        <w:rPr>
          <w:sz w:val="22"/>
          <w:lang w:eastAsia="ja-JP"/>
        </w:rPr>
        <w:t>for</w:t>
      </w:r>
      <w:r w:rsidRPr="007C63FA">
        <w:rPr>
          <w:sz w:val="22"/>
          <w:lang w:eastAsia="ja-JP"/>
        </w:rPr>
        <w:t xml:space="preserve"> aqua</w:t>
      </w:r>
      <w:r w:rsidR="001D63E5" w:rsidRPr="007C63FA">
        <w:rPr>
          <w:sz w:val="22"/>
          <w:lang w:eastAsia="ja-JP"/>
        </w:rPr>
        <w:t>tic animals</w:t>
      </w:r>
      <w:r w:rsidRPr="007C63FA">
        <w:rPr>
          <w:sz w:val="22"/>
          <w:lang w:eastAsia="ja-JP"/>
        </w:rPr>
        <w:t xml:space="preserve"> and exotic </w:t>
      </w:r>
      <w:r w:rsidR="00A035CC">
        <w:rPr>
          <w:sz w:val="22"/>
          <w:lang w:eastAsia="ja-JP"/>
        </w:rPr>
        <w:t xml:space="preserve">production </w:t>
      </w:r>
      <w:r w:rsidRPr="007C63FA">
        <w:rPr>
          <w:sz w:val="22"/>
          <w:lang w:eastAsia="ja-JP"/>
        </w:rPr>
        <w:t>weeds</w:t>
      </w:r>
      <w:r w:rsidR="004D3597" w:rsidRPr="007C63FA">
        <w:rPr>
          <w:sz w:val="22"/>
          <w:lang w:eastAsia="ja-JP"/>
        </w:rPr>
        <w:t xml:space="preserve"> should be finalised </w:t>
      </w:r>
      <w:r w:rsidR="002A6F78" w:rsidRPr="007C63FA">
        <w:rPr>
          <w:sz w:val="22"/>
          <w:lang w:eastAsia="ja-JP"/>
        </w:rPr>
        <w:t>within 12 months</w:t>
      </w:r>
      <w:r w:rsidRPr="007C63FA">
        <w:rPr>
          <w:sz w:val="22"/>
          <w:lang w:eastAsia="ja-JP"/>
        </w:rPr>
        <w:t>.</w:t>
      </w:r>
    </w:p>
    <w:p w14:paraId="0F2059E6" w14:textId="77777777" w:rsidR="00AC10BB" w:rsidRDefault="00AC10BB" w:rsidP="00AC10BB">
      <w:pPr>
        <w:pStyle w:val="Heading3"/>
        <w:rPr>
          <w:lang w:eastAsia="ja-JP"/>
        </w:rPr>
      </w:pPr>
      <w:bookmarkStart w:id="204" w:name="_Toc469654757"/>
      <w:r>
        <w:rPr>
          <w:lang w:eastAsia="ja-JP"/>
        </w:rPr>
        <w:t>Sustainable funding</w:t>
      </w:r>
      <w:bookmarkEnd w:id="204"/>
    </w:p>
    <w:p w14:paraId="6725790F" w14:textId="77777777" w:rsidR="00AC10BB" w:rsidRDefault="00B0518A" w:rsidP="00AC10BB">
      <w:pPr>
        <w:rPr>
          <w:lang w:eastAsia="ja-JP"/>
        </w:rPr>
      </w:pPr>
      <w:r w:rsidRPr="00B0518A">
        <w:rPr>
          <w:lang w:eastAsia="ja-JP"/>
        </w:rPr>
        <w:t xml:space="preserve">The Review Panel has given consideration to areas that may help ensure sustainable biosecurity funding into the future, with application to individual jurisdictions and the national biosecurity system. </w:t>
      </w:r>
      <w:r w:rsidRPr="00561FD5">
        <w:rPr>
          <w:lang w:eastAsia="ja-JP"/>
        </w:rPr>
        <w:t xml:space="preserve">The </w:t>
      </w:r>
      <w:r w:rsidR="00D60A31" w:rsidRPr="00561FD5">
        <w:rPr>
          <w:lang w:eastAsia="ja-JP"/>
        </w:rPr>
        <w:t>P</w:t>
      </w:r>
      <w:r w:rsidRPr="00561FD5">
        <w:rPr>
          <w:lang w:eastAsia="ja-JP"/>
        </w:rPr>
        <w:t>anel has, for the draft report, not made any firm recommendations for jurisdictions and system participants. Rather, the following options are provided for stakeholder discussion and feedback</w:t>
      </w:r>
      <w:r w:rsidR="00C23344" w:rsidRPr="00561FD5">
        <w:rPr>
          <w:lang w:eastAsia="ja-JP"/>
        </w:rPr>
        <w:t>.</w:t>
      </w:r>
    </w:p>
    <w:p w14:paraId="23A2309C" w14:textId="77777777" w:rsidR="00AC10BB" w:rsidRDefault="00AC10BB" w:rsidP="00AC10BB">
      <w:pPr>
        <w:pStyle w:val="Heading4"/>
        <w:rPr>
          <w:lang w:eastAsia="ja-JP"/>
        </w:rPr>
      </w:pPr>
      <w:r>
        <w:rPr>
          <w:lang w:eastAsia="ja-JP"/>
        </w:rPr>
        <w:t>A national investment strategy</w:t>
      </w:r>
    </w:p>
    <w:p w14:paraId="202F8353" w14:textId="63EB5664" w:rsidR="00C23344" w:rsidRDefault="00C23344" w:rsidP="00C23344">
      <w:pPr>
        <w:rPr>
          <w:lang w:eastAsia="ja-JP"/>
        </w:rPr>
      </w:pPr>
      <w:r>
        <w:rPr>
          <w:lang w:eastAsia="ja-JP"/>
        </w:rPr>
        <w:t xml:space="preserve">At present, there </w:t>
      </w:r>
      <w:r w:rsidR="00A762D8">
        <w:rPr>
          <w:lang w:eastAsia="ja-JP"/>
        </w:rPr>
        <w:t>is</w:t>
      </w:r>
      <w:r>
        <w:rPr>
          <w:lang w:eastAsia="ja-JP"/>
        </w:rPr>
        <w:t xml:space="preserve"> a range of </w:t>
      </w:r>
      <w:r w:rsidRPr="001A3C8E">
        <w:rPr>
          <w:i/>
          <w:lang w:eastAsia="ja-JP"/>
        </w:rPr>
        <w:t>ad</w:t>
      </w:r>
      <w:r w:rsidR="00681379">
        <w:rPr>
          <w:i/>
          <w:lang w:eastAsia="ja-JP"/>
        </w:rPr>
        <w:t xml:space="preserve"> </w:t>
      </w:r>
      <w:r w:rsidRPr="001A3C8E">
        <w:rPr>
          <w:i/>
          <w:lang w:eastAsia="ja-JP"/>
        </w:rPr>
        <w:t>hoc</w:t>
      </w:r>
      <w:r>
        <w:rPr>
          <w:lang w:eastAsia="ja-JP"/>
        </w:rPr>
        <w:t xml:space="preserve"> approaches to funding biosecurity activities in the national </w:t>
      </w:r>
      <w:r w:rsidR="00D60A31">
        <w:rPr>
          <w:lang w:eastAsia="ja-JP"/>
        </w:rPr>
        <w:t xml:space="preserve">biosecurity </w:t>
      </w:r>
      <w:r>
        <w:rPr>
          <w:lang w:eastAsia="ja-JP"/>
        </w:rPr>
        <w:t>system—by governments and industry. A national investment strategy, as proposed by the Australian Government, would give greater structure and a more strategic focus to investment across the system and would increase the transparency of investment decisions. A strategy would be publicly available and connect a range of tools, frameworks and principles that support and guide national biosecurity investment decision making. Tools and frameworks could include the approach to determining the national priority pests and diseases, the RRRA Model (</w:t>
      </w:r>
      <w:r w:rsidR="00597662">
        <w:rPr>
          <w:highlight w:val="red"/>
          <w:lang w:eastAsia="ja-JP"/>
        </w:rPr>
        <w:fldChar w:fldCharType="begin"/>
      </w:r>
      <w:r w:rsidR="00597662">
        <w:rPr>
          <w:lang w:eastAsia="ja-JP"/>
        </w:rPr>
        <w:instrText xml:space="preserve"> REF _Ref467233446 \h </w:instrText>
      </w:r>
      <w:r w:rsidR="00597662">
        <w:rPr>
          <w:highlight w:val="red"/>
          <w:lang w:eastAsia="ja-JP"/>
        </w:rPr>
      </w:r>
      <w:r w:rsidR="00597662">
        <w:rPr>
          <w:highlight w:val="red"/>
          <w:lang w:eastAsia="ja-JP"/>
        </w:rPr>
        <w:fldChar w:fldCharType="separate"/>
      </w:r>
      <w:r w:rsidR="008303E2">
        <w:t xml:space="preserve">Box </w:t>
      </w:r>
      <w:r w:rsidR="008303E2">
        <w:rPr>
          <w:noProof/>
        </w:rPr>
        <w:t>11</w:t>
      </w:r>
      <w:r w:rsidR="00597662">
        <w:rPr>
          <w:highlight w:val="red"/>
          <w:lang w:eastAsia="ja-JP"/>
        </w:rPr>
        <w:fldChar w:fldCharType="end"/>
      </w:r>
      <w:r>
        <w:rPr>
          <w:lang w:eastAsia="ja-JP"/>
        </w:rPr>
        <w:t>), and the national stocktake.</w:t>
      </w:r>
    </w:p>
    <w:p w14:paraId="59CDD8E6" w14:textId="77777777" w:rsidR="00D60A31" w:rsidRDefault="00D60A31" w:rsidP="007C63FA">
      <w:pPr>
        <w:pStyle w:val="BoxHeading"/>
        <w:rPr>
          <w:lang w:eastAsia="ja-JP"/>
        </w:rPr>
      </w:pPr>
      <w:bookmarkStart w:id="205" w:name="_Ref467233446"/>
      <w:bookmarkStart w:id="206" w:name="_Toc468176754"/>
      <w:bookmarkStart w:id="207" w:name="_Toc468444404"/>
      <w:r>
        <w:t xml:space="preserve">Box </w:t>
      </w:r>
      <w:r w:rsidR="008303E2">
        <w:fldChar w:fldCharType="begin"/>
      </w:r>
      <w:r w:rsidR="008303E2">
        <w:instrText xml:space="preserve"> SEQ Box \* ARABIC </w:instrText>
      </w:r>
      <w:r w:rsidR="008303E2">
        <w:fldChar w:fldCharType="separate"/>
      </w:r>
      <w:r w:rsidR="008303E2">
        <w:rPr>
          <w:noProof/>
        </w:rPr>
        <w:t>11</w:t>
      </w:r>
      <w:r w:rsidR="008303E2">
        <w:rPr>
          <w:noProof/>
        </w:rPr>
        <w:fldChar w:fldCharType="end"/>
      </w:r>
      <w:bookmarkEnd w:id="205"/>
      <w:r>
        <w:t>: Change in trade and patterns and exposure to biosecurity risk</w:t>
      </w:r>
      <w:bookmarkEnd w:id="206"/>
      <w:bookmarkEnd w:id="207"/>
    </w:p>
    <w:p w14:paraId="4906CFEA" w14:textId="1A32938D" w:rsidR="00677DC2" w:rsidRDefault="00D60A31" w:rsidP="00D60A31">
      <w:pPr>
        <w:pStyle w:val="BoxText"/>
        <w:rPr>
          <w:lang w:eastAsia="ja-JP"/>
        </w:rPr>
      </w:pPr>
      <w:r>
        <w:rPr>
          <w:lang w:eastAsia="ja-JP"/>
        </w:rPr>
        <w:t xml:space="preserve">The number of passengers, shipping and containerised cargo arrivals </w:t>
      </w:r>
      <w:r w:rsidR="00677DC2">
        <w:rPr>
          <w:lang w:eastAsia="ja-JP"/>
        </w:rPr>
        <w:t>are</w:t>
      </w:r>
      <w:r>
        <w:rPr>
          <w:lang w:eastAsia="ja-JP"/>
        </w:rPr>
        <w:t xml:space="preserve"> forecast to nearly </w:t>
      </w:r>
      <w:r w:rsidR="00677DC2">
        <w:rPr>
          <w:lang w:eastAsia="ja-JP"/>
        </w:rPr>
        <w:t>double</w:t>
      </w:r>
      <w:r>
        <w:rPr>
          <w:lang w:eastAsia="ja-JP"/>
        </w:rPr>
        <w:t xml:space="preserve"> by 2025 </w:t>
      </w:r>
      <w:r w:rsidRPr="00634D2B">
        <w:rPr>
          <w:lang w:eastAsia="ja-JP"/>
        </w:rPr>
        <w:t>(</w:t>
      </w:r>
      <w:hyperlink w:anchor="DIRD_2014" w:history="1">
        <w:r w:rsidRPr="00447677">
          <w:rPr>
            <w:rStyle w:val="Hyperlink"/>
            <w:lang w:eastAsia="ja-JP"/>
          </w:rPr>
          <w:t>D</w:t>
        </w:r>
        <w:r w:rsidR="00677DC2" w:rsidRPr="00447677">
          <w:rPr>
            <w:rStyle w:val="Hyperlink"/>
            <w:lang w:eastAsia="ja-JP"/>
          </w:rPr>
          <w:t>IRD 2014</w:t>
        </w:r>
      </w:hyperlink>
      <w:r w:rsidR="00677DC2" w:rsidRPr="00634D2B">
        <w:rPr>
          <w:lang w:eastAsia="ja-JP"/>
        </w:rPr>
        <w:t>)</w:t>
      </w:r>
      <w:r w:rsidRPr="00634D2B">
        <w:rPr>
          <w:lang w:eastAsia="ja-JP"/>
        </w:rPr>
        <w:t>. The</w:t>
      </w:r>
      <w:r>
        <w:rPr>
          <w:lang w:eastAsia="ja-JP"/>
        </w:rPr>
        <w:t xml:space="preserve"> possible effect of this increase on biosecurity risk to Australia, and its management by the </w:t>
      </w:r>
      <w:r w:rsidR="00677DC2">
        <w:rPr>
          <w:lang w:eastAsia="ja-JP"/>
        </w:rPr>
        <w:t>Australian Government Department of Agriculture and Water Resources</w:t>
      </w:r>
      <w:r>
        <w:rPr>
          <w:lang w:eastAsia="ja-JP"/>
        </w:rPr>
        <w:t>, was</w:t>
      </w:r>
      <w:r w:rsidR="009D1E8D">
        <w:rPr>
          <w:lang w:eastAsia="ja-JP"/>
        </w:rPr>
        <w:t xml:space="preserve"> explored using the RRRA model.</w:t>
      </w:r>
    </w:p>
    <w:p w14:paraId="25630E1D" w14:textId="77777777" w:rsidR="00677F51" w:rsidRDefault="00D60A31" w:rsidP="00D60A31">
      <w:pPr>
        <w:pStyle w:val="BoxText"/>
        <w:rPr>
          <w:lang w:eastAsia="ja-JP"/>
        </w:rPr>
      </w:pPr>
      <w:r>
        <w:rPr>
          <w:lang w:eastAsia="ja-JP"/>
        </w:rPr>
        <w:t>Four RRRA model entry pathways were examined: passengers (via air and sea), vessels greater than 25 metres, sea containers (</w:t>
      </w:r>
      <w:r w:rsidR="009E64DB">
        <w:rPr>
          <w:lang w:eastAsia="ja-JP"/>
        </w:rPr>
        <w:t xml:space="preserve">external </w:t>
      </w:r>
      <w:r>
        <w:rPr>
          <w:lang w:eastAsia="ja-JP"/>
        </w:rPr>
        <w:t xml:space="preserve">surfaces only) and timber (bulk timber and wooden manufactured articles). The RRRA model </w:t>
      </w:r>
      <w:r w:rsidR="009E64DB">
        <w:rPr>
          <w:lang w:eastAsia="ja-JP"/>
        </w:rPr>
        <w:t>result</w:t>
      </w:r>
      <w:r>
        <w:rPr>
          <w:lang w:eastAsia="ja-JP"/>
        </w:rPr>
        <w:t>s for the management of biosecurity risk</w:t>
      </w:r>
      <w:r w:rsidR="00677DC2">
        <w:rPr>
          <w:lang w:eastAsia="ja-JP"/>
        </w:rPr>
        <w:t xml:space="preserve"> used</w:t>
      </w:r>
      <w:r w:rsidR="009E64DB">
        <w:rPr>
          <w:lang w:eastAsia="ja-JP"/>
        </w:rPr>
        <w:t xml:space="preserve"> 2014–15</w:t>
      </w:r>
      <w:r w:rsidR="00677DC2">
        <w:rPr>
          <w:lang w:eastAsia="ja-JP"/>
        </w:rPr>
        <w:t xml:space="preserve"> trade data and costs (Australian Government only) as</w:t>
      </w:r>
      <w:r>
        <w:rPr>
          <w:lang w:eastAsia="ja-JP"/>
        </w:rPr>
        <w:t xml:space="preserve"> a baseline for three 2025 management scenarios:</w:t>
      </w:r>
    </w:p>
    <w:p w14:paraId="64213AA9" w14:textId="77777777" w:rsidR="00D60A31" w:rsidRDefault="00D60A31" w:rsidP="00677F51">
      <w:pPr>
        <w:pStyle w:val="BoxTextBullet"/>
        <w:rPr>
          <w:lang w:eastAsia="ja-JP"/>
        </w:rPr>
      </w:pPr>
      <w:r w:rsidRPr="00677F51">
        <w:rPr>
          <w:rStyle w:val="Strong"/>
        </w:rPr>
        <w:t>Scenario 1</w:t>
      </w:r>
      <w:r w:rsidR="00677DC2">
        <w:rPr>
          <w:rStyle w:val="Strong"/>
        </w:rPr>
        <w:t xml:space="preserve"> (Fixed investment)</w:t>
      </w:r>
      <w:r>
        <w:rPr>
          <w:lang w:eastAsia="ja-JP"/>
        </w:rPr>
        <w:t>:</w:t>
      </w:r>
      <w:r w:rsidR="00677F51">
        <w:rPr>
          <w:lang w:eastAsia="ja-JP"/>
        </w:rPr>
        <w:t xml:space="preserve"> </w:t>
      </w:r>
      <w:r>
        <w:rPr>
          <w:lang w:eastAsia="ja-JP"/>
        </w:rPr>
        <w:t>Border clearance costs are maintained at the current level.</w:t>
      </w:r>
    </w:p>
    <w:p w14:paraId="69D45436" w14:textId="77777777" w:rsidR="00D60A31" w:rsidRDefault="00D60A31" w:rsidP="00677F51">
      <w:pPr>
        <w:pStyle w:val="BoxTextBullet"/>
        <w:rPr>
          <w:lang w:eastAsia="ja-JP"/>
        </w:rPr>
      </w:pPr>
      <w:r w:rsidRPr="00677F51">
        <w:rPr>
          <w:rStyle w:val="Strong"/>
        </w:rPr>
        <w:t>Scenario 2</w:t>
      </w:r>
      <w:r w:rsidR="00677DC2">
        <w:rPr>
          <w:rStyle w:val="Strong"/>
        </w:rPr>
        <w:t xml:space="preserve"> (Fixed intervention rate)</w:t>
      </w:r>
      <w:r>
        <w:rPr>
          <w:lang w:eastAsia="ja-JP"/>
        </w:rPr>
        <w:t>:</w:t>
      </w:r>
      <w:r w:rsidR="00677F51">
        <w:rPr>
          <w:lang w:eastAsia="ja-JP"/>
        </w:rPr>
        <w:t xml:space="preserve"> </w:t>
      </w:r>
      <w:r>
        <w:rPr>
          <w:lang w:eastAsia="ja-JP"/>
        </w:rPr>
        <w:t>Border clearance processes adjust to changing volume (document processing and intervention rates).</w:t>
      </w:r>
    </w:p>
    <w:p w14:paraId="11AF8E43" w14:textId="77777777" w:rsidR="00D60A31" w:rsidRDefault="00D60A31" w:rsidP="00677F51">
      <w:pPr>
        <w:pStyle w:val="BoxTextBullet"/>
        <w:rPr>
          <w:lang w:eastAsia="ja-JP"/>
        </w:rPr>
      </w:pPr>
      <w:r w:rsidRPr="00677F51">
        <w:rPr>
          <w:rStyle w:val="Strong"/>
        </w:rPr>
        <w:t>Scenario 3</w:t>
      </w:r>
      <w:r w:rsidR="00677DC2">
        <w:rPr>
          <w:rStyle w:val="Strong"/>
        </w:rPr>
        <w:t xml:space="preserve"> (Fixed residual risk)</w:t>
      </w:r>
      <w:r>
        <w:rPr>
          <w:lang w:eastAsia="ja-JP"/>
        </w:rPr>
        <w:t>:</w:t>
      </w:r>
      <w:r w:rsidR="00677F51">
        <w:rPr>
          <w:lang w:eastAsia="ja-JP"/>
        </w:rPr>
        <w:t xml:space="preserve"> </w:t>
      </w:r>
      <w:r>
        <w:rPr>
          <w:lang w:eastAsia="ja-JP"/>
        </w:rPr>
        <w:t>Border clearance processes (in</w:t>
      </w:r>
      <w:r w:rsidR="00677F51">
        <w:rPr>
          <w:lang w:eastAsia="ja-JP"/>
        </w:rPr>
        <w:t>tervention</w:t>
      </w:r>
      <w:r>
        <w:rPr>
          <w:lang w:eastAsia="ja-JP"/>
        </w:rPr>
        <w:t xml:space="preserve"> rates and effort) are increased</w:t>
      </w:r>
      <w:r w:rsidR="00677F51">
        <w:rPr>
          <w:lang w:eastAsia="ja-JP"/>
        </w:rPr>
        <w:t xml:space="preserve"> in an attempt</w:t>
      </w:r>
      <w:r>
        <w:rPr>
          <w:lang w:eastAsia="ja-JP"/>
        </w:rPr>
        <w:t xml:space="preserve"> to maintain residual risk at the </w:t>
      </w:r>
      <w:r w:rsidR="00677DC2">
        <w:rPr>
          <w:lang w:eastAsia="ja-JP"/>
        </w:rPr>
        <w:t>2014–15</w:t>
      </w:r>
      <w:r>
        <w:rPr>
          <w:lang w:eastAsia="ja-JP"/>
        </w:rPr>
        <w:t xml:space="preserve"> levels.</w:t>
      </w:r>
    </w:p>
    <w:p w14:paraId="16F1505F" w14:textId="44599F87" w:rsidR="00677DC2" w:rsidRDefault="00677DC2" w:rsidP="00677DC2">
      <w:pPr>
        <w:pStyle w:val="BoxText"/>
        <w:rPr>
          <w:lang w:eastAsia="ja-JP"/>
        </w:rPr>
      </w:pPr>
      <w:r>
        <w:rPr>
          <w:lang w:eastAsia="ja-JP"/>
        </w:rPr>
        <w:t xml:space="preserve">The biosecurity system in 2014–15 spent $0.09 </w:t>
      </w:r>
      <w:r w:rsidR="00AF0717">
        <w:rPr>
          <w:lang w:eastAsia="ja-JP"/>
        </w:rPr>
        <w:t>b</w:t>
      </w:r>
      <w:r>
        <w:rPr>
          <w:lang w:eastAsia="ja-JP"/>
        </w:rPr>
        <w:t>illion in managing</w:t>
      </w:r>
      <w:r w:rsidR="00734682">
        <w:rPr>
          <w:lang w:eastAsia="ja-JP"/>
        </w:rPr>
        <w:t xml:space="preserve"> the risks for the four entry pathways (passengers, vessels&gt;25m, containers and timber), which the RRRA model calculates benefited Australia by $2.4 </w:t>
      </w:r>
      <w:r w:rsidR="00AF0717">
        <w:rPr>
          <w:lang w:eastAsia="ja-JP"/>
        </w:rPr>
        <w:t>b</w:t>
      </w:r>
      <w:r w:rsidR="00895F18">
        <w:rPr>
          <w:lang w:eastAsia="ja-JP"/>
        </w:rPr>
        <w:t>illion.</w:t>
      </w:r>
    </w:p>
    <w:p w14:paraId="42A5108C" w14:textId="77777777" w:rsidR="00734682" w:rsidRPr="003505E4" w:rsidRDefault="00734682" w:rsidP="003505E4">
      <w:pPr>
        <w:pStyle w:val="BoxText"/>
      </w:pPr>
      <w:r w:rsidRPr="003505E4">
        <w:lastRenderedPageBreak/>
        <w:t>The analysis shown in the table below assumes no other adjustments, pre- or post-border</w:t>
      </w:r>
      <w:r w:rsidR="000B2960" w:rsidRPr="003505E4">
        <w:t>,</w:t>
      </w:r>
      <w:r w:rsidRPr="003505E4">
        <w:t xml:space="preserve"> are made to manage risk.</w:t>
      </w:r>
    </w:p>
    <w:p w14:paraId="5178A200" w14:textId="77777777" w:rsidR="00D60A31" w:rsidRDefault="000B2960" w:rsidP="00D60A31">
      <w:pPr>
        <w:pStyle w:val="BoxText"/>
        <w:rPr>
          <w:lang w:eastAsia="ja-JP"/>
        </w:rPr>
      </w:pPr>
      <w:r>
        <w:rPr>
          <w:noProof/>
          <w:lang w:eastAsia="en-AU"/>
        </w:rPr>
        <w:drawing>
          <wp:inline distT="0" distB="0" distL="0" distR="0" wp14:anchorId="3AC42D4B" wp14:editId="66149C56">
            <wp:extent cx="5760720" cy="2491740"/>
            <wp:effectExtent l="0" t="0" r="0" b="3810"/>
            <wp:docPr id="17" name="Picture 17" descr="Output from a RRRA analysis of increased passengers, shipping and containerised arrivals to 2025. The analysis shows, based on estimated volume for the four entry pathways for 2025, that while increasing the investment in biosecurity interventions at the border provides a benefit, it would not be sufficient to keeping residual biosecurity risk at the 2014–15 level of $1.7 billion. Indeed, even tripling the investment in interventions to $0.25 billion, while providing a benefit of $4.7 billion, only manages to reduce the residual risk to $2.1 billion. This highlights the importance of seeking innovative approaches, not just border interventions, to biosecurity risk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2491740"/>
                    </a:xfrm>
                    <a:prstGeom prst="rect">
                      <a:avLst/>
                    </a:prstGeom>
                    <a:noFill/>
                  </pic:spPr>
                </pic:pic>
              </a:graphicData>
            </a:graphic>
          </wp:inline>
        </w:drawing>
      </w:r>
    </w:p>
    <w:p w14:paraId="1BEBBD5C" w14:textId="77777777" w:rsidR="00AF0717" w:rsidRDefault="00AF0717" w:rsidP="00D60A31">
      <w:pPr>
        <w:pStyle w:val="BoxSource"/>
        <w:rPr>
          <w:lang w:eastAsia="ja-JP"/>
        </w:rPr>
      </w:pPr>
      <w:r>
        <w:rPr>
          <w:lang w:eastAsia="ja-JP"/>
        </w:rPr>
        <w:t xml:space="preserve">Note 1 </w:t>
      </w:r>
      <w:r w:rsidR="00AD38F7" w:rsidRPr="00AD38F7">
        <w:rPr>
          <w:lang w:eastAsia="ja-JP"/>
        </w:rPr>
        <w:t>Risk reduction is the estimated reduction in exposure to biosecurity risk as a result of having biosecurity controls in plac</w:t>
      </w:r>
      <w:r w:rsidR="00AD38F7">
        <w:rPr>
          <w:lang w:eastAsia="ja-JP"/>
        </w:rPr>
        <w:t xml:space="preserve">e. </w:t>
      </w:r>
    </w:p>
    <w:p w14:paraId="3DCC205A" w14:textId="3D49DBEE" w:rsidR="0003694B" w:rsidRDefault="00D60A31" w:rsidP="00D60A31">
      <w:pPr>
        <w:pStyle w:val="BoxSource"/>
        <w:rPr>
          <w:lang w:eastAsia="ja-JP"/>
        </w:rPr>
      </w:pPr>
      <w:r>
        <w:rPr>
          <w:lang w:eastAsia="ja-JP"/>
        </w:rPr>
        <w:t xml:space="preserve">Note </w:t>
      </w:r>
      <w:r w:rsidR="00AF0717">
        <w:rPr>
          <w:lang w:eastAsia="ja-JP"/>
        </w:rPr>
        <w:t>2</w:t>
      </w:r>
      <w:r>
        <w:rPr>
          <w:lang w:eastAsia="ja-JP"/>
        </w:rPr>
        <w:t xml:space="preserve"> Marginal </w:t>
      </w:r>
      <w:r w:rsidR="00AF0717">
        <w:rPr>
          <w:lang w:eastAsia="ja-JP"/>
        </w:rPr>
        <w:t>ROI (</w:t>
      </w:r>
      <w:r>
        <w:rPr>
          <w:lang w:eastAsia="ja-JP"/>
        </w:rPr>
        <w:t xml:space="preserve">in </w:t>
      </w:r>
      <w:r w:rsidR="00AF0717">
        <w:rPr>
          <w:lang w:eastAsia="ja-JP"/>
        </w:rPr>
        <w:t>brackets)</w:t>
      </w:r>
      <w:r>
        <w:rPr>
          <w:lang w:eastAsia="ja-JP"/>
        </w:rPr>
        <w:t xml:space="preserve"> is the return on the additional investment needed to maintain current policy settings for border interventions or to </w:t>
      </w:r>
      <w:r w:rsidR="000B2960">
        <w:rPr>
          <w:lang w:eastAsia="ja-JP"/>
        </w:rPr>
        <w:t xml:space="preserve">attempt to </w:t>
      </w:r>
      <w:r>
        <w:rPr>
          <w:lang w:eastAsia="ja-JP"/>
        </w:rPr>
        <w:t>maintain residual risk at current levels.</w:t>
      </w:r>
    </w:p>
    <w:p w14:paraId="5B0203CC" w14:textId="55870F41" w:rsidR="00790410" w:rsidRDefault="00D60A31" w:rsidP="00D60A31">
      <w:pPr>
        <w:pStyle w:val="BoxText"/>
        <w:rPr>
          <w:lang w:eastAsia="ja-JP"/>
        </w:rPr>
      </w:pPr>
      <w:r>
        <w:rPr>
          <w:lang w:eastAsia="ja-JP"/>
        </w:rPr>
        <w:t xml:space="preserve">The </w:t>
      </w:r>
      <w:r w:rsidR="00AF0717">
        <w:rPr>
          <w:lang w:eastAsia="ja-JP"/>
        </w:rPr>
        <w:t>analysis</w:t>
      </w:r>
      <w:r>
        <w:rPr>
          <w:lang w:eastAsia="ja-JP"/>
        </w:rPr>
        <w:t xml:space="preserve"> shows</w:t>
      </w:r>
      <w:r w:rsidR="009E64DB">
        <w:rPr>
          <w:lang w:eastAsia="ja-JP"/>
        </w:rPr>
        <w:t>,</w:t>
      </w:r>
      <w:r w:rsidR="00790410" w:rsidRPr="00790410">
        <w:t xml:space="preserve"> </w:t>
      </w:r>
      <w:r w:rsidR="00790410" w:rsidRPr="00790410">
        <w:rPr>
          <w:lang w:eastAsia="ja-JP"/>
        </w:rPr>
        <w:t>based on estimated volume for the four entry pathways for 2025, that while increasing</w:t>
      </w:r>
      <w:r w:rsidR="00790410">
        <w:rPr>
          <w:lang w:eastAsia="ja-JP"/>
        </w:rPr>
        <w:t xml:space="preserve"> </w:t>
      </w:r>
      <w:r>
        <w:rPr>
          <w:lang w:eastAsia="ja-JP"/>
        </w:rPr>
        <w:t>the</w:t>
      </w:r>
      <w:r w:rsidR="000B2960">
        <w:rPr>
          <w:lang w:eastAsia="ja-JP"/>
        </w:rPr>
        <w:t xml:space="preserve"> investment in</w:t>
      </w:r>
      <w:r>
        <w:rPr>
          <w:lang w:eastAsia="ja-JP"/>
        </w:rPr>
        <w:t xml:space="preserve"> biosecurity interventions at the border </w:t>
      </w:r>
      <w:r w:rsidR="00790410" w:rsidRPr="00790410">
        <w:rPr>
          <w:lang w:eastAsia="ja-JP"/>
        </w:rPr>
        <w:t xml:space="preserve">provides a benefit (refer to Risk Reduction column), it would not be sufficient </w:t>
      </w:r>
      <w:r>
        <w:rPr>
          <w:lang w:eastAsia="ja-JP"/>
        </w:rPr>
        <w:t>to keep</w:t>
      </w:r>
      <w:r w:rsidR="00790410">
        <w:rPr>
          <w:lang w:eastAsia="ja-JP"/>
        </w:rPr>
        <w:t>ing</w:t>
      </w:r>
      <w:r>
        <w:rPr>
          <w:lang w:eastAsia="ja-JP"/>
        </w:rPr>
        <w:t xml:space="preserve"> residual biosecurity risk at the </w:t>
      </w:r>
      <w:r w:rsidR="00790410">
        <w:rPr>
          <w:lang w:eastAsia="ja-JP"/>
        </w:rPr>
        <w:t>2014–15</w:t>
      </w:r>
      <w:r>
        <w:rPr>
          <w:lang w:eastAsia="ja-JP"/>
        </w:rPr>
        <w:t xml:space="preserve"> level</w:t>
      </w:r>
      <w:r w:rsidR="00790410">
        <w:rPr>
          <w:lang w:eastAsia="ja-JP"/>
        </w:rPr>
        <w:t xml:space="preserve"> </w:t>
      </w:r>
      <w:r w:rsidR="00790410" w:rsidRPr="00790410">
        <w:rPr>
          <w:lang w:eastAsia="ja-JP"/>
        </w:rPr>
        <w:t xml:space="preserve">of $1.7 billion. Indeed, even tripling the </w:t>
      </w:r>
      <w:r w:rsidR="000B2960">
        <w:rPr>
          <w:lang w:eastAsia="ja-JP"/>
        </w:rPr>
        <w:t>investment in</w:t>
      </w:r>
      <w:r w:rsidR="00790410" w:rsidRPr="00790410">
        <w:rPr>
          <w:lang w:eastAsia="ja-JP"/>
        </w:rPr>
        <w:t xml:space="preserve"> intervention</w:t>
      </w:r>
      <w:r w:rsidR="000B2960">
        <w:rPr>
          <w:lang w:eastAsia="ja-JP"/>
        </w:rPr>
        <w:t>s</w:t>
      </w:r>
      <w:r w:rsidR="00790410" w:rsidRPr="00790410">
        <w:rPr>
          <w:lang w:eastAsia="ja-JP"/>
        </w:rPr>
        <w:t xml:space="preserve"> to $0.25 billion (Scenario 3), while providing a benefit of $4.7 billion, only manages to reduce the</w:t>
      </w:r>
      <w:r w:rsidR="000B2960">
        <w:rPr>
          <w:lang w:eastAsia="ja-JP"/>
        </w:rPr>
        <w:t xml:space="preserve"> residual</w:t>
      </w:r>
      <w:r w:rsidR="00790410" w:rsidRPr="00790410">
        <w:rPr>
          <w:lang w:eastAsia="ja-JP"/>
        </w:rPr>
        <w:t xml:space="preserve"> risk to $2.1 billion. This highlights the importance of seeking innovative approaches, not just </w:t>
      </w:r>
      <w:r w:rsidR="000B2960">
        <w:rPr>
          <w:lang w:eastAsia="ja-JP"/>
        </w:rPr>
        <w:t>border</w:t>
      </w:r>
      <w:r w:rsidR="00790410" w:rsidRPr="00790410">
        <w:rPr>
          <w:lang w:eastAsia="ja-JP"/>
        </w:rPr>
        <w:t xml:space="preserve"> interventions, to biosecurity risk management.</w:t>
      </w:r>
    </w:p>
    <w:p w14:paraId="7758808C" w14:textId="122CF606" w:rsidR="00D60A31" w:rsidRDefault="00790410" w:rsidP="00D60A31">
      <w:pPr>
        <w:pStyle w:val="BoxText"/>
        <w:rPr>
          <w:lang w:eastAsia="ja-JP"/>
        </w:rPr>
      </w:pPr>
      <w:r w:rsidRPr="00790410">
        <w:rPr>
          <w:lang w:eastAsia="ja-JP"/>
        </w:rPr>
        <w:t xml:space="preserve">This finding is reinforced by the </w:t>
      </w:r>
      <w:r w:rsidR="0040608F">
        <w:rPr>
          <w:lang w:eastAsia="ja-JP"/>
        </w:rPr>
        <w:t>return on investment (</w:t>
      </w:r>
      <w:r w:rsidRPr="00790410">
        <w:rPr>
          <w:lang w:eastAsia="ja-JP"/>
        </w:rPr>
        <w:t>ROI</w:t>
      </w:r>
      <w:r w:rsidR="0040608F">
        <w:rPr>
          <w:lang w:eastAsia="ja-JP"/>
        </w:rPr>
        <w:t>)</w:t>
      </w:r>
      <w:r w:rsidRPr="00790410">
        <w:rPr>
          <w:lang w:eastAsia="ja-JP"/>
        </w:rPr>
        <w:t xml:space="preserve"> analysis </w:t>
      </w:r>
      <w:r w:rsidR="00D60A31">
        <w:rPr>
          <w:lang w:eastAsia="ja-JP"/>
        </w:rPr>
        <w:t>for</w:t>
      </w:r>
      <w:r>
        <w:rPr>
          <w:lang w:eastAsia="ja-JP"/>
        </w:rPr>
        <w:t xml:space="preserve"> the</w:t>
      </w:r>
      <w:r w:rsidR="00D60A31">
        <w:rPr>
          <w:lang w:eastAsia="ja-JP"/>
        </w:rPr>
        <w:t xml:space="preserve"> four pathways. In the fixed intervention rate and fixed residual risk scenarios</w:t>
      </w:r>
      <w:r>
        <w:rPr>
          <w:lang w:eastAsia="ja-JP"/>
        </w:rPr>
        <w:t xml:space="preserve"> </w:t>
      </w:r>
      <w:r w:rsidRPr="00790410">
        <w:rPr>
          <w:lang w:eastAsia="ja-JP"/>
        </w:rPr>
        <w:t>(Scenarios 2 and 3), although</w:t>
      </w:r>
      <w:r w:rsidR="00D60A31">
        <w:rPr>
          <w:lang w:eastAsia="ja-JP"/>
        </w:rPr>
        <w:t xml:space="preserve"> investment has increased</w:t>
      </w:r>
      <w:r>
        <w:rPr>
          <w:lang w:eastAsia="ja-JP"/>
        </w:rPr>
        <w:t xml:space="preserve"> </w:t>
      </w:r>
      <w:r w:rsidRPr="00790410">
        <w:rPr>
          <w:lang w:eastAsia="ja-JP"/>
        </w:rPr>
        <w:t>(to $0.13 billion and $0.25 billion respectively)</w:t>
      </w:r>
      <w:r w:rsidR="00D60A31">
        <w:rPr>
          <w:lang w:eastAsia="ja-JP"/>
        </w:rPr>
        <w:t xml:space="preserve">, the overall ROI </w:t>
      </w:r>
      <w:r>
        <w:rPr>
          <w:lang w:eastAsia="ja-JP"/>
        </w:rPr>
        <w:t>ha</w:t>
      </w:r>
      <w:r w:rsidR="00D60A31">
        <w:rPr>
          <w:lang w:eastAsia="ja-JP"/>
        </w:rPr>
        <w:t xml:space="preserve">s reduced </w:t>
      </w:r>
      <w:r w:rsidRPr="00790410">
        <w:rPr>
          <w:lang w:eastAsia="ja-JP"/>
        </w:rPr>
        <w:t xml:space="preserve">(29 and 19 respectively) </w:t>
      </w:r>
      <w:r w:rsidR="00D60A31">
        <w:rPr>
          <w:lang w:eastAsia="ja-JP"/>
        </w:rPr>
        <w:t>and the marginal return on the additional investment is about half (12) or a quarter (7), respectively, of the baseline ROI (27).</w:t>
      </w:r>
    </w:p>
    <w:p w14:paraId="19487A17" w14:textId="73ADE990" w:rsidR="00D60A31" w:rsidRDefault="00D60A31" w:rsidP="00D60A31">
      <w:pPr>
        <w:pStyle w:val="BoxSource"/>
        <w:rPr>
          <w:lang w:eastAsia="ja-JP"/>
        </w:rPr>
      </w:pPr>
      <w:r>
        <w:rPr>
          <w:lang w:eastAsia="ja-JP"/>
        </w:rPr>
        <w:t>Source:</w:t>
      </w:r>
      <w:r w:rsidR="003505E4">
        <w:rPr>
          <w:lang w:eastAsia="ja-JP"/>
        </w:rPr>
        <w:t xml:space="preserve"> Australian Government</w:t>
      </w:r>
      <w:r>
        <w:rPr>
          <w:lang w:eastAsia="ja-JP"/>
        </w:rPr>
        <w:t xml:space="preserve"> Department of Agriculture and Water Resources</w:t>
      </w:r>
      <w:r w:rsidR="003505E4">
        <w:rPr>
          <w:lang w:eastAsia="ja-JP"/>
        </w:rPr>
        <w:t>.</w:t>
      </w:r>
    </w:p>
    <w:p w14:paraId="0C808852" w14:textId="5ABB373C" w:rsidR="00AC10BB" w:rsidRDefault="00C23344" w:rsidP="00C23344">
      <w:pPr>
        <w:rPr>
          <w:lang w:eastAsia="ja-JP"/>
        </w:rPr>
      </w:pPr>
      <w:r>
        <w:rPr>
          <w:lang w:eastAsia="ja-JP"/>
        </w:rPr>
        <w:t>The strategy might initially focus on government investment of public funds and externally sourced funds (which are co-invested by governments alongside the public funds) in biosecurity activities. It should set out a long-term direction for governments to improve the returns on their investment and ensure their funding is sustainable into the future, and include commitments to regular review and assessment of governments’ achievements and improvements in these areas. The strategy could be expanded to include investments by industry on completion of their national bios</w:t>
      </w:r>
      <w:r w:rsidR="00895F18">
        <w:rPr>
          <w:lang w:eastAsia="ja-JP"/>
        </w:rPr>
        <w:t>ecurity investment stocktake.</w:t>
      </w:r>
    </w:p>
    <w:p w14:paraId="39FA5B9A" w14:textId="77777777" w:rsidR="00AC10BB" w:rsidRDefault="00AC10BB" w:rsidP="00AC10BB">
      <w:pPr>
        <w:pStyle w:val="Heading4"/>
        <w:rPr>
          <w:lang w:eastAsia="ja-JP"/>
        </w:rPr>
      </w:pPr>
      <w:r>
        <w:rPr>
          <w:lang w:eastAsia="ja-JP"/>
        </w:rPr>
        <w:t>Cost recovery in focus</w:t>
      </w:r>
    </w:p>
    <w:p w14:paraId="5498E40F" w14:textId="482E319F" w:rsidR="003A6CD7" w:rsidRDefault="003A6CD7" w:rsidP="003A6CD7">
      <w:pPr>
        <w:rPr>
          <w:lang w:eastAsia="ja-JP"/>
        </w:rPr>
      </w:pPr>
      <w:r>
        <w:rPr>
          <w:lang w:eastAsia="ja-JP"/>
        </w:rPr>
        <w:t xml:space="preserve">All jurisdictions recover some of the costs of services they provide to </w:t>
      </w:r>
      <w:r w:rsidR="007B033A">
        <w:rPr>
          <w:lang w:eastAsia="ja-JP"/>
        </w:rPr>
        <w:t xml:space="preserve">national </w:t>
      </w:r>
      <w:r>
        <w:rPr>
          <w:lang w:eastAsia="ja-JP"/>
        </w:rPr>
        <w:t xml:space="preserve">biosecurity system participants (for example, importers, exporters and producers). These are not costs shifted to industry arbitrarily. Industries paying for these services generally recognise the </w:t>
      </w:r>
      <w:r>
        <w:rPr>
          <w:lang w:eastAsia="ja-JP"/>
        </w:rPr>
        <w:lastRenderedPageBreak/>
        <w:t xml:space="preserve">benefits to them and the nation more generally, and acknowledge this as an appropriate means of their taking responsibility in biosecurity risk management. For governments, recovering the cost of these services is vital for the financial viability of the </w:t>
      </w:r>
      <w:r w:rsidR="007B033A">
        <w:rPr>
          <w:lang w:eastAsia="ja-JP"/>
        </w:rPr>
        <w:t xml:space="preserve">national </w:t>
      </w:r>
      <w:r>
        <w:rPr>
          <w:lang w:eastAsia="ja-JP"/>
        </w:rPr>
        <w:t>system.</w:t>
      </w:r>
    </w:p>
    <w:p w14:paraId="0871E75F" w14:textId="27CB9B3E" w:rsidR="00EC5A67" w:rsidRDefault="00EC5A67" w:rsidP="003A6CD7">
      <w:pPr>
        <w:rPr>
          <w:lang w:eastAsia="ja-JP"/>
        </w:rPr>
      </w:pPr>
      <w:r w:rsidRPr="004F7364">
        <w:rPr>
          <w:lang w:eastAsia="ja-JP"/>
        </w:rPr>
        <w:t>The Review Panel notes the Productivity Commission’s report on cost recovery by government agencies (</w:t>
      </w:r>
      <w:hyperlink w:anchor="PC_2001" w:history="1">
        <w:r w:rsidRPr="00447677">
          <w:rPr>
            <w:rStyle w:val="Hyperlink"/>
            <w:lang w:eastAsia="ja-JP"/>
          </w:rPr>
          <w:t>PC 2001</w:t>
        </w:r>
      </w:hyperlink>
      <w:r w:rsidRPr="004F7364">
        <w:rPr>
          <w:lang w:eastAsia="ja-JP"/>
        </w:rPr>
        <w:t>), which, among other conclusions, observed that well designed cost-recovery arrangements can promote economic efficiency and equity.</w:t>
      </w:r>
    </w:p>
    <w:p w14:paraId="14C5EBC6" w14:textId="77777777" w:rsidR="003A6CD7" w:rsidRDefault="003A6CD7" w:rsidP="003A6CD7">
      <w:pPr>
        <w:rPr>
          <w:lang w:eastAsia="ja-JP"/>
        </w:rPr>
      </w:pPr>
      <w:r>
        <w:rPr>
          <w:lang w:eastAsia="ja-JP"/>
        </w:rPr>
        <w:t xml:space="preserve">In 2015, the Australian Government Department of Agriculture and Water Resources substantially reformed </w:t>
      </w:r>
      <w:r w:rsidR="00D60A31">
        <w:rPr>
          <w:lang w:eastAsia="ja-JP"/>
        </w:rPr>
        <w:t>its</w:t>
      </w:r>
      <w:r>
        <w:rPr>
          <w:lang w:eastAsia="ja-JP"/>
        </w:rPr>
        <w:t xml:space="preserve"> cost recovery arrangements as part of a strategy to provide long</w:t>
      </w:r>
      <w:r w:rsidRPr="00D60A31">
        <w:rPr>
          <w:lang w:eastAsia="ja-JP"/>
        </w:rPr>
        <w:t>-term funding stability. Some</w:t>
      </w:r>
      <w:r>
        <w:rPr>
          <w:lang w:eastAsia="ja-JP"/>
        </w:rPr>
        <w:t xml:space="preserve"> previous cost-recovery arrangements had not kept pace with changes to import and export certification systems and adjustments in the department’s operations. Further, the arrangements had been developed in isolation, which had led to inconsistent approaches to costing similar activities. There were problems relating to the equity, efficiency and sustainability of these cost recovery arrangements.</w:t>
      </w:r>
    </w:p>
    <w:p w14:paraId="07F2D09E" w14:textId="638A03EE" w:rsidR="00AC10BB" w:rsidRDefault="003A6CD7" w:rsidP="003A6CD7">
      <w:pPr>
        <w:rPr>
          <w:lang w:eastAsia="ja-JP"/>
        </w:rPr>
      </w:pPr>
      <w:r>
        <w:rPr>
          <w:lang w:eastAsia="ja-JP"/>
        </w:rPr>
        <w:t>For biosecurity services, six existing arrangements were consolidated into one, fees were streamlined and standardised, and a new cost-recovery model was implemented that divided the 17 biosecurity activities into four cost groups. The revised arrangements, now in place, have ensured an equitable contribution to all users of the Australian Government’s services, a reduced number of fees and charges and, importantly, improved transparency for the department’s clients. For the Australian Government</w:t>
      </w:r>
      <w:r w:rsidR="00D60A31">
        <w:rPr>
          <w:lang w:eastAsia="ja-JP"/>
        </w:rPr>
        <w:t xml:space="preserve"> Department of Agriculture and Water Resources</w:t>
      </w:r>
      <w:r>
        <w:rPr>
          <w:lang w:eastAsia="ja-JP"/>
        </w:rPr>
        <w:t xml:space="preserve">, </w:t>
      </w:r>
      <w:r w:rsidR="00AD5BA2">
        <w:rPr>
          <w:lang w:eastAsia="ja-JP"/>
        </w:rPr>
        <w:t xml:space="preserve">in excess of </w:t>
      </w:r>
      <w:r>
        <w:rPr>
          <w:lang w:eastAsia="ja-JP"/>
        </w:rPr>
        <w:t>$330 million is recovered annually, representing more than 68 per cent of the costs of its biosecurity activities; the remaining portion comes from general government</w:t>
      </w:r>
      <w:r w:rsidR="00895F18">
        <w:rPr>
          <w:lang w:eastAsia="ja-JP"/>
        </w:rPr>
        <w:t xml:space="preserve"> appropriations from taxpayers.</w:t>
      </w:r>
    </w:p>
    <w:p w14:paraId="0939EE08" w14:textId="77777777" w:rsidR="00F639F9" w:rsidRDefault="00F639F9" w:rsidP="00F639F9">
      <w:pPr>
        <w:rPr>
          <w:lang w:eastAsia="ja-JP"/>
        </w:rPr>
      </w:pPr>
      <w:r>
        <w:rPr>
          <w:lang w:eastAsia="ja-JP"/>
        </w:rPr>
        <w:t>There are significant advantages to stronger cost-recovery arrangements. Importantly, determining the areas of improvement will</w:t>
      </w:r>
      <w:r w:rsidR="00386F86">
        <w:rPr>
          <w:lang w:eastAsia="ja-JP"/>
        </w:rPr>
        <w:t xml:space="preserve"> </w:t>
      </w:r>
      <w:r>
        <w:rPr>
          <w:lang w:eastAsia="ja-JP"/>
        </w:rPr>
        <w:t xml:space="preserve">require </w:t>
      </w:r>
      <w:r w:rsidR="00386F86">
        <w:rPr>
          <w:lang w:eastAsia="ja-JP"/>
        </w:rPr>
        <w:t>the</w:t>
      </w:r>
      <w:r>
        <w:rPr>
          <w:lang w:eastAsia="ja-JP"/>
        </w:rPr>
        <w:t xml:space="preserve"> jurisdictions to more comprehensively understand their actual costs of delivering services, including those benefiting from the service that may not have yet been identified as well as the costs of staff and resources directly and indirectly involved.</w:t>
      </w:r>
    </w:p>
    <w:p w14:paraId="0E6D57F7" w14:textId="3252F26D" w:rsidR="00BE42A6" w:rsidRDefault="00F639F9" w:rsidP="00F639F9">
      <w:pPr>
        <w:rPr>
          <w:lang w:eastAsia="ja-JP"/>
        </w:rPr>
      </w:pPr>
      <w:r>
        <w:rPr>
          <w:lang w:eastAsia="ja-JP"/>
        </w:rPr>
        <w:t>The Australian Government has clearly benefited from its 2015 review, and not only through the increased recovery of funds. The Review Panel supports the Australian Government’s suggestion that all states and territories review the delivery of their biosecurity services and cost-recovery arrangements, and seek guidance from the Austra</w:t>
      </w:r>
      <w:r w:rsidR="00895F18">
        <w:rPr>
          <w:lang w:eastAsia="ja-JP"/>
        </w:rPr>
        <w:t>lian Government on the process.</w:t>
      </w:r>
    </w:p>
    <w:p w14:paraId="13D454E8" w14:textId="1A805C29" w:rsidR="00386F86" w:rsidRPr="00661CF0" w:rsidRDefault="00386F86" w:rsidP="00661CF0">
      <w:pPr>
        <w:pStyle w:val="BoxHeading"/>
        <w:shd w:val="clear" w:color="auto" w:fill="D9D9D9" w:themeFill="background1" w:themeFillShade="D9"/>
        <w:rPr>
          <w:sz w:val="22"/>
          <w:lang w:eastAsia="ja-JP"/>
        </w:rPr>
      </w:pPr>
      <w:bookmarkStart w:id="208" w:name="_Toc467231887"/>
      <w:bookmarkStart w:id="209" w:name="Draft_recommendation_34"/>
      <w:r w:rsidRPr="00661CF0">
        <w:rPr>
          <w:sz w:val="22"/>
        </w:rPr>
        <w:t xml:space="preserve">Draft recommendation </w:t>
      </w:r>
      <w:r w:rsidR="00447677">
        <w:rPr>
          <w:sz w:val="22"/>
        </w:rPr>
        <w:t>3</w:t>
      </w:r>
      <w:bookmarkEnd w:id="208"/>
      <w:r w:rsidR="00FE6EEF">
        <w:rPr>
          <w:sz w:val="22"/>
        </w:rPr>
        <w:t>4</w:t>
      </w:r>
      <w:bookmarkEnd w:id="209"/>
      <w:r w:rsidR="00AC7EA2" w:rsidRPr="00661CF0">
        <w:rPr>
          <w:noProof/>
          <w:sz w:val="22"/>
        </w:rPr>
        <w:t>:</w:t>
      </w:r>
    </w:p>
    <w:p w14:paraId="53CA0845" w14:textId="3AF95BFE" w:rsidR="00BE42A6" w:rsidRPr="00661CF0" w:rsidRDefault="00F1159B" w:rsidP="00661CF0">
      <w:pPr>
        <w:pStyle w:val="BoxText"/>
        <w:shd w:val="clear" w:color="auto" w:fill="D9D9D9" w:themeFill="background1" w:themeFillShade="D9"/>
        <w:rPr>
          <w:sz w:val="22"/>
          <w:lang w:eastAsia="ja-JP"/>
        </w:rPr>
      </w:pPr>
      <w:r w:rsidRPr="00661CF0">
        <w:rPr>
          <w:sz w:val="22"/>
          <w:lang w:eastAsia="ja-JP"/>
        </w:rPr>
        <w:t>S</w:t>
      </w:r>
      <w:r w:rsidR="00F639F9" w:rsidRPr="00661CF0">
        <w:rPr>
          <w:sz w:val="22"/>
          <w:lang w:eastAsia="ja-JP"/>
        </w:rPr>
        <w:t xml:space="preserve">tate and territory governments </w:t>
      </w:r>
      <w:r w:rsidR="004D3597" w:rsidRPr="00661CF0">
        <w:rPr>
          <w:sz w:val="22"/>
          <w:lang w:eastAsia="ja-JP"/>
        </w:rPr>
        <w:t xml:space="preserve">should </w:t>
      </w:r>
      <w:r w:rsidR="00F639F9" w:rsidRPr="00661CF0">
        <w:rPr>
          <w:sz w:val="22"/>
          <w:lang w:eastAsia="ja-JP"/>
        </w:rPr>
        <w:t>review their biosecurity cost-recovery arrangements to ensure they are consistent, appropriate and transparent</w:t>
      </w:r>
      <w:r w:rsidR="00BE42A6" w:rsidRPr="00661CF0">
        <w:rPr>
          <w:sz w:val="22"/>
          <w:lang w:eastAsia="ja-JP"/>
        </w:rPr>
        <w:t>.</w:t>
      </w:r>
    </w:p>
    <w:p w14:paraId="08AC1D8E" w14:textId="77777777" w:rsidR="00BE42A6" w:rsidRDefault="00F639F9" w:rsidP="00BE42A6">
      <w:pPr>
        <w:pStyle w:val="Heading4"/>
        <w:rPr>
          <w:lang w:eastAsia="ja-JP"/>
        </w:rPr>
      </w:pPr>
      <w:r>
        <w:rPr>
          <w:lang w:eastAsia="ja-JP"/>
        </w:rPr>
        <w:t>Property-based rates and levies</w:t>
      </w:r>
    </w:p>
    <w:p w14:paraId="4DF685EF" w14:textId="406AB4B1" w:rsidR="00BE42A6" w:rsidRDefault="00F639F9" w:rsidP="00BE42A6">
      <w:pPr>
        <w:rPr>
          <w:lang w:eastAsia="ja-JP"/>
        </w:rPr>
      </w:pPr>
      <w:r w:rsidRPr="00F639F9">
        <w:rPr>
          <w:lang w:eastAsia="ja-JP"/>
        </w:rPr>
        <w:t>The Review Panel notes the trend towards property–based levies being implemented by governments around Australia, particularly for contributions to emergency services (</w:t>
      </w:r>
      <w:r>
        <w:rPr>
          <w:lang w:eastAsia="ja-JP"/>
        </w:rPr>
        <w:fldChar w:fldCharType="begin"/>
      </w:r>
      <w:r>
        <w:rPr>
          <w:lang w:eastAsia="ja-JP"/>
        </w:rPr>
        <w:instrText xml:space="preserve"> REF _Ref467222821 \h </w:instrText>
      </w:r>
      <w:r>
        <w:rPr>
          <w:lang w:eastAsia="ja-JP"/>
        </w:rPr>
      </w:r>
      <w:r>
        <w:rPr>
          <w:lang w:eastAsia="ja-JP"/>
        </w:rPr>
        <w:fldChar w:fldCharType="separate"/>
      </w:r>
      <w:r w:rsidR="008303E2">
        <w:t xml:space="preserve">Box </w:t>
      </w:r>
      <w:r w:rsidR="008303E2">
        <w:rPr>
          <w:noProof/>
        </w:rPr>
        <w:t>12</w:t>
      </w:r>
      <w:r>
        <w:rPr>
          <w:lang w:eastAsia="ja-JP"/>
        </w:rPr>
        <w:fldChar w:fldCharType="end"/>
      </w:r>
      <w:r>
        <w:rPr>
          <w:lang w:eastAsia="ja-JP"/>
        </w:rPr>
        <w:t>)</w:t>
      </w:r>
      <w:r w:rsidRPr="00F639F9">
        <w:rPr>
          <w:lang w:eastAsia="ja-JP"/>
        </w:rPr>
        <w:t>. Of note to the biosecurity community is that the Queensland emergency service agency received $457.4 million in levies in 201</w:t>
      </w:r>
      <w:r w:rsidR="00B34EB0">
        <w:rPr>
          <w:lang w:eastAsia="ja-JP"/>
        </w:rPr>
        <w:t>5</w:t>
      </w:r>
      <w:r w:rsidRPr="00F639F9">
        <w:rPr>
          <w:lang w:eastAsia="ja-JP"/>
        </w:rPr>
        <w:t>–16 and Victoria is forecast to raise revenue of $674 million in 2016</w:t>
      </w:r>
      <w:r w:rsidR="0082450A">
        <w:rPr>
          <w:lang w:eastAsia="ja-JP"/>
        </w:rPr>
        <w:t>–</w:t>
      </w:r>
      <w:r w:rsidRPr="00F639F9">
        <w:rPr>
          <w:lang w:eastAsia="ja-JP"/>
        </w:rPr>
        <w:t>17 from i</w:t>
      </w:r>
      <w:r w:rsidR="00895F18">
        <w:rPr>
          <w:lang w:eastAsia="ja-JP"/>
        </w:rPr>
        <w:t>ts fire services property levy.</w:t>
      </w:r>
    </w:p>
    <w:p w14:paraId="057D0841" w14:textId="675D17E1" w:rsidR="00BE42A6" w:rsidRDefault="00BE42A6" w:rsidP="00894775">
      <w:pPr>
        <w:pStyle w:val="BoxHeading"/>
        <w:rPr>
          <w:lang w:eastAsia="ja-JP"/>
        </w:rPr>
      </w:pPr>
      <w:bookmarkStart w:id="210" w:name="_Ref467222821"/>
      <w:bookmarkStart w:id="211" w:name="_Toc468176755"/>
      <w:bookmarkStart w:id="212" w:name="_Toc468444405"/>
      <w:r>
        <w:lastRenderedPageBreak/>
        <w:t xml:space="preserve">Box </w:t>
      </w:r>
      <w:r w:rsidR="008303E2">
        <w:fldChar w:fldCharType="begin"/>
      </w:r>
      <w:r w:rsidR="008303E2">
        <w:instrText xml:space="preserve"> SEQ Box \* ARABIC </w:instrText>
      </w:r>
      <w:r w:rsidR="008303E2">
        <w:fldChar w:fldCharType="separate"/>
      </w:r>
      <w:r w:rsidR="008303E2">
        <w:rPr>
          <w:noProof/>
        </w:rPr>
        <w:t>12</w:t>
      </w:r>
      <w:r w:rsidR="008303E2">
        <w:rPr>
          <w:noProof/>
        </w:rPr>
        <w:fldChar w:fldCharType="end"/>
      </w:r>
      <w:bookmarkEnd w:id="210"/>
      <w:r w:rsidR="007C1C69">
        <w:t>:</w:t>
      </w:r>
      <w:r>
        <w:t xml:space="preserve"> Property-based levies for emergency services</w:t>
      </w:r>
      <w:bookmarkEnd w:id="211"/>
      <w:bookmarkEnd w:id="212"/>
    </w:p>
    <w:p w14:paraId="28B264B4" w14:textId="77777777" w:rsidR="00BE42A6" w:rsidRDefault="00BE42A6" w:rsidP="00BE42A6">
      <w:pPr>
        <w:pStyle w:val="BoxHeading"/>
        <w:rPr>
          <w:lang w:eastAsia="ja-JP"/>
        </w:rPr>
      </w:pPr>
      <w:r>
        <w:rPr>
          <w:lang w:eastAsia="ja-JP"/>
        </w:rPr>
        <w:t>Victorian Fire Services Property Levy</w:t>
      </w:r>
      <w:r w:rsidR="009C388A">
        <w:rPr>
          <w:lang w:eastAsia="ja-JP"/>
        </w:rPr>
        <w:t xml:space="preserve"> (FSPL)</w:t>
      </w:r>
    </w:p>
    <w:p w14:paraId="5ECE24FB" w14:textId="515DC7D4" w:rsidR="00BE42A6" w:rsidRPr="00894775" w:rsidRDefault="00BE42A6" w:rsidP="00894775">
      <w:pPr>
        <w:pStyle w:val="BoxText"/>
      </w:pPr>
      <w:r>
        <w:rPr>
          <w:lang w:eastAsia="ja-JP"/>
        </w:rPr>
        <w:t xml:space="preserve">From 1 July 2013, the Victorian Government replaced the insurance-based fire services levy, as recommended by the Victorian Bushfires Royal Commission. The FSPL is collected in accordance with the </w:t>
      </w:r>
      <w:r w:rsidRPr="00106BDF">
        <w:rPr>
          <w:i/>
        </w:rPr>
        <w:t>Fire Services Property Levy Act 2012</w:t>
      </w:r>
      <w:r w:rsidR="00CA0938" w:rsidRPr="00894775">
        <w:t xml:space="preserve"> </w:t>
      </w:r>
      <w:r w:rsidR="009C388A" w:rsidRPr="00894775">
        <w:t>(</w:t>
      </w:r>
      <w:r w:rsidR="00106BDF">
        <w:t>V</w:t>
      </w:r>
      <w:r w:rsidR="00C51121">
        <w:t>ic</w:t>
      </w:r>
      <w:r w:rsidR="005F2590">
        <w:t>.</w:t>
      </w:r>
      <w:r w:rsidR="009C388A" w:rsidRPr="00894775">
        <w:t>)</w:t>
      </w:r>
      <w:r w:rsidRPr="00894775">
        <w:t xml:space="preserve">, which legislates that all Victorian property owners are liable for a financial contribution (via the FSPL included on their annual council rates notice charge) to </w:t>
      </w:r>
      <w:r w:rsidR="0016559F" w:rsidRPr="00894775">
        <w:t>Victoria</w:t>
      </w:r>
      <w:r w:rsidR="00895F18" w:rsidRPr="00894775">
        <w:t>’s fire services.</w:t>
      </w:r>
    </w:p>
    <w:p w14:paraId="256D97FD" w14:textId="6CC373A0" w:rsidR="00BE42A6" w:rsidRDefault="00BE42A6" w:rsidP="00894775">
      <w:pPr>
        <w:pStyle w:val="BoxText"/>
        <w:rPr>
          <w:lang w:eastAsia="ja-JP"/>
        </w:rPr>
      </w:pPr>
      <w:r w:rsidRPr="00894775">
        <w:t xml:space="preserve">The Metropolitan Fire and Emergency Services Board and the Country Fire Authority are largely funded by the </w:t>
      </w:r>
      <w:r w:rsidR="00CA0938" w:rsidRPr="00894775">
        <w:t xml:space="preserve">FSPL </w:t>
      </w:r>
      <w:r w:rsidRPr="00894775">
        <w:t xml:space="preserve">which is collected by councils, and the </w:t>
      </w:r>
      <w:r w:rsidR="0016559F" w:rsidRPr="00894775">
        <w:t xml:space="preserve">Victorian </w:t>
      </w:r>
      <w:r w:rsidRPr="00894775">
        <w:t>Government. Councils collect 87.5 per cent of MFB budget and 77.5 per cent</w:t>
      </w:r>
      <w:r>
        <w:rPr>
          <w:lang w:eastAsia="ja-JP"/>
        </w:rPr>
        <w:t xml:space="preserve"> of CFA budget from Victorian property owners. The </w:t>
      </w:r>
      <w:r w:rsidR="0016559F">
        <w:rPr>
          <w:lang w:eastAsia="ja-JP"/>
        </w:rPr>
        <w:t xml:space="preserve">Victorian </w:t>
      </w:r>
      <w:r>
        <w:rPr>
          <w:lang w:eastAsia="ja-JP"/>
        </w:rPr>
        <w:t>Government contributes the remaining 12.5 per cent of the MFB budget and 2</w:t>
      </w:r>
      <w:r w:rsidR="00895F18">
        <w:rPr>
          <w:lang w:eastAsia="ja-JP"/>
        </w:rPr>
        <w:t>2.5 per cent of the CFA budget.</w:t>
      </w:r>
    </w:p>
    <w:p w14:paraId="786C807A" w14:textId="5B8D3245" w:rsidR="00BE42A6" w:rsidRDefault="00BE42A6" w:rsidP="00BE42A6">
      <w:pPr>
        <w:pStyle w:val="BoxText"/>
        <w:rPr>
          <w:lang w:eastAsia="ja-JP"/>
        </w:rPr>
      </w:pPr>
      <w:r>
        <w:rPr>
          <w:lang w:eastAsia="ja-JP"/>
        </w:rPr>
        <w:t>The Victorian Department of Treasury and Finance 2016</w:t>
      </w:r>
      <w:r w:rsidR="00B34EB0">
        <w:rPr>
          <w:lang w:eastAsia="ja-JP"/>
        </w:rPr>
        <w:t>–</w:t>
      </w:r>
      <w:r>
        <w:rPr>
          <w:lang w:eastAsia="ja-JP"/>
        </w:rPr>
        <w:t xml:space="preserve">17 Budget forecasts revenue of $674 million from the </w:t>
      </w:r>
      <w:r w:rsidR="0016559F">
        <w:rPr>
          <w:lang w:eastAsia="ja-JP"/>
        </w:rPr>
        <w:t>FSPL</w:t>
      </w:r>
      <w:r>
        <w:rPr>
          <w:lang w:eastAsia="ja-JP"/>
        </w:rPr>
        <w:t>.</w:t>
      </w:r>
    </w:p>
    <w:p w14:paraId="7589B1AB" w14:textId="5F9607EA" w:rsidR="00BE42A6" w:rsidRDefault="00BE42A6" w:rsidP="00BE42A6">
      <w:pPr>
        <w:pStyle w:val="BoxSource"/>
        <w:rPr>
          <w:lang w:eastAsia="ja-JP"/>
        </w:rPr>
      </w:pPr>
      <w:r>
        <w:rPr>
          <w:lang w:eastAsia="ja-JP"/>
        </w:rPr>
        <w:t xml:space="preserve">Source: </w:t>
      </w:r>
      <w:r w:rsidR="0082450A">
        <w:rPr>
          <w:lang w:eastAsia="ja-JP"/>
        </w:rPr>
        <w:t>Victorian Gov</w:t>
      </w:r>
      <w:r w:rsidR="00CF2A35">
        <w:rPr>
          <w:lang w:eastAsia="ja-JP"/>
        </w:rPr>
        <w:t xml:space="preserve">ernment </w:t>
      </w:r>
      <w:hyperlink r:id="rId44" w:history="1">
        <w:r w:rsidR="00C541EF">
          <w:rPr>
            <w:rStyle w:val="Hyperlink"/>
            <w:lang w:eastAsia="ja-JP"/>
          </w:rPr>
          <w:t>Fire Services Property Levy</w:t>
        </w:r>
      </w:hyperlink>
      <w:r w:rsidR="00CF2A35" w:rsidRPr="00CF2A35">
        <w:t xml:space="preserve"> website.</w:t>
      </w:r>
    </w:p>
    <w:p w14:paraId="3E71D5F2" w14:textId="77777777" w:rsidR="00BE42A6" w:rsidRDefault="00BE42A6" w:rsidP="00BE42A6">
      <w:pPr>
        <w:pStyle w:val="BoxHeading"/>
        <w:rPr>
          <w:lang w:eastAsia="ja-JP"/>
        </w:rPr>
      </w:pPr>
      <w:r>
        <w:rPr>
          <w:lang w:eastAsia="ja-JP"/>
        </w:rPr>
        <w:t>The NSW Emergency Services Levy</w:t>
      </w:r>
    </w:p>
    <w:p w14:paraId="30298340" w14:textId="141E8C7A" w:rsidR="00BE42A6" w:rsidRPr="00894775" w:rsidRDefault="00BE42A6" w:rsidP="00894775">
      <w:pPr>
        <w:pStyle w:val="BoxText"/>
      </w:pPr>
      <w:r w:rsidRPr="00894775">
        <w:t>The majority of the funding for the NSW State Emergency Services, NSW Rural Fire Service and Fire and Rescue NSW currently comes from a</w:t>
      </w:r>
      <w:r w:rsidR="00CF2A35" w:rsidRPr="00894775">
        <w:t>n</w:t>
      </w:r>
      <w:r w:rsidR="00CA0938" w:rsidRPr="00894775">
        <w:t xml:space="preserve"> Emergency Services</w:t>
      </w:r>
      <w:r w:rsidRPr="00894775">
        <w:t xml:space="preserve"> </w:t>
      </w:r>
      <w:r w:rsidR="00CA0938" w:rsidRPr="00894775">
        <w:t>L</w:t>
      </w:r>
      <w:r w:rsidRPr="00894775">
        <w:t>evy</w:t>
      </w:r>
      <w:r w:rsidR="00CA0938" w:rsidRPr="00894775">
        <w:t xml:space="preserve"> (ESL)</w:t>
      </w:r>
      <w:r w:rsidRPr="00894775">
        <w:t xml:space="preserve"> imposed on property insurance policy holders. The levy funds these services, supporting the work they do to help NSW residents protect their properties from fire, flood, storms and other natural disasters.</w:t>
      </w:r>
    </w:p>
    <w:p w14:paraId="439CFC07" w14:textId="2B4A5B23" w:rsidR="00BE42A6" w:rsidRPr="00894775" w:rsidRDefault="00BE42A6" w:rsidP="00894775">
      <w:pPr>
        <w:pStyle w:val="BoxText"/>
      </w:pPr>
      <w:r w:rsidRPr="00894775">
        <w:t>The NSW Government determines the total budget for the emergency services authorities and requires insurance companies to contribute 73.7 per cent of the total. The balance is provided by th</w:t>
      </w:r>
      <w:r w:rsidR="0016559F" w:rsidRPr="00894775">
        <w:t>e Treasury (14.6 per cent) and l</w:t>
      </w:r>
      <w:r w:rsidRPr="00894775">
        <w:t xml:space="preserve">ocal </w:t>
      </w:r>
      <w:r w:rsidR="0016559F" w:rsidRPr="00894775">
        <w:t>c</w:t>
      </w:r>
      <w:r w:rsidRPr="00894775">
        <w:t>ouncils (11.7 per cent).</w:t>
      </w:r>
    </w:p>
    <w:p w14:paraId="787D60D8" w14:textId="77777777" w:rsidR="00BE42A6" w:rsidRPr="00894775" w:rsidRDefault="00BE42A6" w:rsidP="00894775">
      <w:pPr>
        <w:pStyle w:val="BoxText"/>
      </w:pPr>
      <w:r w:rsidRPr="00894775">
        <w:t xml:space="preserve"> In December 2015, the NSW Government announced its intention to reform the way the emergency services funding operates by moving away from the insurance-based ESL model to a new property-based model, called the Emergency Services Property Levy (ESPL). The rationale for the change is to create a fairer system, where the funding for the emergency services will be shared by all property owners who may need to use the services, not just those who elect to take out property insurance.</w:t>
      </w:r>
    </w:p>
    <w:p w14:paraId="7CF94988" w14:textId="2771DC7C" w:rsidR="00BE42A6" w:rsidRDefault="00BE42A6" w:rsidP="00894775">
      <w:pPr>
        <w:pStyle w:val="BoxText"/>
        <w:rPr>
          <w:lang w:eastAsia="ja-JP"/>
        </w:rPr>
      </w:pPr>
      <w:r w:rsidRPr="00894775">
        <w:t>The 2016</w:t>
      </w:r>
      <w:r w:rsidR="00B34EB0" w:rsidRPr="00894775">
        <w:t>–</w:t>
      </w:r>
      <w:r w:rsidRPr="00894775">
        <w:t xml:space="preserve">17 financial year is the last year in which the ESL will be charged by insurance companies, with the ESPL coming into </w:t>
      </w:r>
      <w:r w:rsidR="0016559F" w:rsidRPr="00894775">
        <w:t>effect on</w:t>
      </w:r>
      <w:r w:rsidR="0016559F">
        <w:rPr>
          <w:lang w:eastAsia="ja-JP"/>
        </w:rPr>
        <w:t xml:space="preserve"> 1 July 2017. The NSW G</w:t>
      </w:r>
      <w:r>
        <w:rPr>
          <w:lang w:eastAsia="ja-JP"/>
        </w:rPr>
        <w:t>overnment expects the change to result in a reduction in the cost of property insurance and encourage more people to insure their properties. The new ESPL will be collected by on behalf of the NSW government, alongside council rates.</w:t>
      </w:r>
    </w:p>
    <w:p w14:paraId="0286EB68" w14:textId="51852029" w:rsidR="00BE42A6" w:rsidRDefault="00BE42A6" w:rsidP="00BE42A6">
      <w:pPr>
        <w:pStyle w:val="BoxSource"/>
        <w:rPr>
          <w:lang w:eastAsia="ja-JP"/>
        </w:rPr>
      </w:pPr>
      <w:r>
        <w:rPr>
          <w:lang w:eastAsia="ja-JP"/>
        </w:rPr>
        <w:t>Source:</w:t>
      </w:r>
      <w:r w:rsidR="00CF2A35">
        <w:rPr>
          <w:lang w:eastAsia="ja-JP"/>
        </w:rPr>
        <w:t xml:space="preserve"> </w:t>
      </w:r>
      <w:r w:rsidR="00F916E8">
        <w:rPr>
          <w:lang w:eastAsia="ja-JP"/>
        </w:rPr>
        <w:t>NSW Government</w:t>
      </w:r>
      <w:r>
        <w:rPr>
          <w:lang w:eastAsia="ja-JP"/>
        </w:rPr>
        <w:t xml:space="preserve"> </w:t>
      </w:r>
      <w:hyperlink r:id="rId45" w:history="1">
        <w:r w:rsidR="00C541EF">
          <w:rPr>
            <w:rStyle w:val="Hyperlink"/>
            <w:lang w:eastAsia="ja-JP"/>
          </w:rPr>
          <w:t>Insurance Monitor</w:t>
        </w:r>
      </w:hyperlink>
      <w:r w:rsidR="00CF2A35" w:rsidRPr="00CF2A35">
        <w:t xml:space="preserve"> websit</w:t>
      </w:r>
      <w:r w:rsidR="00CF2A35">
        <w:t>e.</w:t>
      </w:r>
    </w:p>
    <w:p w14:paraId="0D01B825" w14:textId="77777777" w:rsidR="00BE42A6" w:rsidRDefault="00BE42A6" w:rsidP="00BE42A6">
      <w:pPr>
        <w:pStyle w:val="BoxHeading"/>
        <w:rPr>
          <w:lang w:eastAsia="ja-JP"/>
        </w:rPr>
      </w:pPr>
      <w:r>
        <w:rPr>
          <w:lang w:eastAsia="ja-JP"/>
        </w:rPr>
        <w:t>Queensland Government Emergency Management Levy</w:t>
      </w:r>
    </w:p>
    <w:p w14:paraId="1602223D" w14:textId="77777777" w:rsidR="00BE42A6" w:rsidRDefault="00CA0938" w:rsidP="00BE42A6">
      <w:pPr>
        <w:pStyle w:val="BoxText"/>
        <w:rPr>
          <w:lang w:eastAsia="ja-JP"/>
        </w:rPr>
      </w:pPr>
      <w:r>
        <w:rPr>
          <w:lang w:eastAsia="ja-JP"/>
        </w:rPr>
        <w:t>Queensland Fire Emergency Services (</w:t>
      </w:r>
      <w:r w:rsidR="00BE42A6">
        <w:rPr>
          <w:lang w:eastAsia="ja-JP"/>
        </w:rPr>
        <w:t>QFES</w:t>
      </w:r>
      <w:r>
        <w:rPr>
          <w:lang w:eastAsia="ja-JP"/>
        </w:rPr>
        <w:t>)</w:t>
      </w:r>
      <w:r w:rsidR="00BE42A6">
        <w:rPr>
          <w:lang w:eastAsia="ja-JP"/>
        </w:rPr>
        <w:t xml:space="preserve"> is funded to deliver a wide range of fire and emergency management and recovery services through emergency management levies paid by prescribed property owners across the state.</w:t>
      </w:r>
    </w:p>
    <w:p w14:paraId="6AE82A82" w14:textId="72F80F69" w:rsidR="00BE42A6" w:rsidRDefault="00BE42A6" w:rsidP="00BE42A6">
      <w:pPr>
        <w:pStyle w:val="BoxText"/>
        <w:rPr>
          <w:lang w:eastAsia="ja-JP"/>
        </w:rPr>
      </w:pPr>
      <w:r>
        <w:rPr>
          <w:lang w:eastAsia="ja-JP"/>
        </w:rPr>
        <w:t xml:space="preserve">The </w:t>
      </w:r>
      <w:r w:rsidR="00CF2A35">
        <w:rPr>
          <w:lang w:eastAsia="ja-JP"/>
        </w:rPr>
        <w:t>emergency management l</w:t>
      </w:r>
      <w:r>
        <w:rPr>
          <w:lang w:eastAsia="ja-JP"/>
        </w:rPr>
        <w:t xml:space="preserve">evy is established </w:t>
      </w:r>
      <w:r w:rsidR="00CF2A35">
        <w:rPr>
          <w:lang w:eastAsia="ja-JP"/>
        </w:rPr>
        <w:t>by</w:t>
      </w:r>
      <w:r>
        <w:rPr>
          <w:lang w:eastAsia="ja-JP"/>
        </w:rPr>
        <w:t xml:space="preserve"> the </w:t>
      </w:r>
      <w:r w:rsidRPr="00CA0938">
        <w:rPr>
          <w:i/>
          <w:lang w:eastAsia="ja-JP"/>
        </w:rPr>
        <w:t>Fire and Emergency Services Act 1990</w:t>
      </w:r>
      <w:r w:rsidR="00CA0938">
        <w:rPr>
          <w:lang w:eastAsia="ja-JP"/>
        </w:rPr>
        <w:t xml:space="preserve"> (Qld)</w:t>
      </w:r>
      <w:r>
        <w:rPr>
          <w:lang w:eastAsia="ja-JP"/>
        </w:rPr>
        <w:t xml:space="preserve"> (the Act) which applies a levy on properties within levy districts. The Act places a legal obligation on local governments to administer the levy, which is collected through local government rate notices.</w:t>
      </w:r>
    </w:p>
    <w:p w14:paraId="67B39C32" w14:textId="31742562" w:rsidR="00BE42A6" w:rsidRDefault="00CF2A35" w:rsidP="00BE42A6">
      <w:pPr>
        <w:pStyle w:val="BoxText"/>
        <w:rPr>
          <w:lang w:eastAsia="ja-JP"/>
        </w:rPr>
      </w:pPr>
      <w:r>
        <w:rPr>
          <w:lang w:eastAsia="ja-JP"/>
        </w:rPr>
        <w:t>The l</w:t>
      </w:r>
      <w:r w:rsidR="00BE42A6">
        <w:rPr>
          <w:lang w:eastAsia="ja-JP"/>
        </w:rPr>
        <w:t>evy is applied to all Queensland property to ensure there is a sustainable funding base for fire and emergency services and recognises that all Queenslanders are at risk from a wide range of emergencies including floods, cyclones, storms as well as fire and accidents.</w:t>
      </w:r>
    </w:p>
    <w:p w14:paraId="707C2006" w14:textId="3C11DB80" w:rsidR="00BE42A6" w:rsidRPr="00894775" w:rsidRDefault="00CF2A35" w:rsidP="00BE42A6">
      <w:pPr>
        <w:pStyle w:val="BoxText"/>
      </w:pPr>
      <w:r>
        <w:rPr>
          <w:lang w:eastAsia="ja-JP"/>
        </w:rPr>
        <w:lastRenderedPageBreak/>
        <w:t>The</w:t>
      </w:r>
      <w:r w:rsidR="00BE42A6">
        <w:rPr>
          <w:lang w:eastAsia="ja-JP"/>
        </w:rPr>
        <w:t xml:space="preserve"> </w:t>
      </w:r>
      <w:r>
        <w:rPr>
          <w:lang w:eastAsia="ja-JP"/>
        </w:rPr>
        <w:t>l</w:t>
      </w:r>
      <w:r w:rsidR="00BE42A6">
        <w:rPr>
          <w:lang w:eastAsia="ja-JP"/>
        </w:rPr>
        <w:t xml:space="preserve">evy remains </w:t>
      </w:r>
      <w:r>
        <w:rPr>
          <w:lang w:eastAsia="ja-JP"/>
        </w:rPr>
        <w:t xml:space="preserve">the </w:t>
      </w:r>
      <w:r w:rsidR="00BE42A6">
        <w:rPr>
          <w:lang w:eastAsia="ja-JP"/>
        </w:rPr>
        <w:t>primary source of funding for QFES. In 2015</w:t>
      </w:r>
      <w:r w:rsidR="00B34EB0">
        <w:rPr>
          <w:lang w:eastAsia="ja-JP"/>
        </w:rPr>
        <w:t>–</w:t>
      </w:r>
      <w:r w:rsidR="00BE42A6">
        <w:rPr>
          <w:lang w:eastAsia="ja-JP"/>
        </w:rPr>
        <w:t xml:space="preserve">16, QFES received income from </w:t>
      </w:r>
      <w:r w:rsidR="00BE42A6" w:rsidRPr="00894775">
        <w:t>continuing operations totalling $622.2 million, of which 74</w:t>
      </w:r>
      <w:r w:rsidR="00CA0938" w:rsidRPr="00894775">
        <w:t xml:space="preserve"> per cent </w:t>
      </w:r>
      <w:r w:rsidR="00BE42A6" w:rsidRPr="00894775">
        <w:t>(or a total of $457.4 million) came from emergency management levies</w:t>
      </w:r>
      <w:r w:rsidR="00CA0938" w:rsidRPr="00894775">
        <w:t>.</w:t>
      </w:r>
    </w:p>
    <w:p w14:paraId="64E57BAA" w14:textId="6936E781" w:rsidR="00BE42A6" w:rsidRDefault="00BE42A6" w:rsidP="00BE42A6">
      <w:pPr>
        <w:pStyle w:val="BoxSource"/>
        <w:rPr>
          <w:lang w:eastAsia="ja-JP"/>
        </w:rPr>
      </w:pPr>
      <w:r>
        <w:rPr>
          <w:lang w:eastAsia="ja-JP"/>
        </w:rPr>
        <w:t xml:space="preserve">Source: </w:t>
      </w:r>
      <w:r w:rsidR="00F916E8">
        <w:rPr>
          <w:lang w:eastAsia="ja-JP"/>
        </w:rPr>
        <w:t xml:space="preserve">Queensland Government </w:t>
      </w:r>
      <w:hyperlink r:id="rId46" w:history="1">
        <w:r w:rsidR="00F916E8" w:rsidRPr="00F916E8">
          <w:rPr>
            <w:rStyle w:val="Hyperlink"/>
            <w:lang w:eastAsia="ja-JP"/>
          </w:rPr>
          <w:t>Emergency Management Fire and Rescue Levy</w:t>
        </w:r>
      </w:hyperlink>
      <w:r w:rsidR="0016559F" w:rsidRPr="0016559F">
        <w:rPr>
          <w:rStyle w:val="Hyperlink"/>
          <w:u w:val="none"/>
          <w:lang w:eastAsia="ja-JP"/>
        </w:rPr>
        <w:t xml:space="preserve"> </w:t>
      </w:r>
      <w:r w:rsidR="0016559F" w:rsidRPr="00CF2A35">
        <w:t>website</w:t>
      </w:r>
      <w:r>
        <w:rPr>
          <w:lang w:eastAsia="ja-JP"/>
        </w:rPr>
        <w:t>; Queensland F</w:t>
      </w:r>
      <w:r w:rsidR="0016559F">
        <w:rPr>
          <w:lang w:eastAsia="ja-JP"/>
        </w:rPr>
        <w:t>ire and Emergency Services 2015–</w:t>
      </w:r>
      <w:r>
        <w:rPr>
          <w:lang w:eastAsia="ja-JP"/>
        </w:rPr>
        <w:t>16 Annual Report</w:t>
      </w:r>
      <w:r w:rsidR="0016559F">
        <w:rPr>
          <w:lang w:eastAsia="ja-JP"/>
        </w:rPr>
        <w:t>.</w:t>
      </w:r>
    </w:p>
    <w:p w14:paraId="52C621C4" w14:textId="21533F4C" w:rsidR="00F639F9" w:rsidRDefault="00F639F9" w:rsidP="00F639F9">
      <w:pPr>
        <w:rPr>
          <w:lang w:eastAsia="ja-JP"/>
        </w:rPr>
      </w:pPr>
      <w:r>
        <w:rPr>
          <w:lang w:eastAsia="ja-JP"/>
        </w:rPr>
        <w:t>In some jurisdictions, biosecurity activities are already funded by contributions from local landholders or local governments, however there is no consistent or necessarily equitable national application of levies on landholders for biosecurity activities.</w:t>
      </w:r>
    </w:p>
    <w:p w14:paraId="160A4375" w14:textId="7C1FCBC2" w:rsidR="00F639F9" w:rsidRDefault="00F639F9" w:rsidP="00F639F9">
      <w:pPr>
        <w:pStyle w:val="Quote"/>
        <w:rPr>
          <w:lang w:eastAsia="ja-JP"/>
        </w:rPr>
      </w:pPr>
      <w:r>
        <w:rPr>
          <w:lang w:eastAsia="ja-JP"/>
        </w:rPr>
        <w:t>Confusion is further exasperated by the fragmented biosecurity systems and programs adopted by state and national jurisdictions. On the whole in [Western Australia], producers and growers are contributing funding up to six times towards biosecurity programs without having clear understanding of how this money is being spent on the ground, whether outcomes are being achieved or analysis of budgetary breakdowns (</w:t>
      </w:r>
      <w:r w:rsidR="00060D86">
        <w:rPr>
          <w:lang w:eastAsia="ja-JP"/>
        </w:rPr>
        <w:t xml:space="preserve">The </w:t>
      </w:r>
      <w:r>
        <w:rPr>
          <w:lang w:eastAsia="ja-JP"/>
        </w:rPr>
        <w:t>Western Australian Farmers Federation</w:t>
      </w:r>
      <w:r w:rsidR="00107DA2">
        <w:rPr>
          <w:lang w:eastAsia="ja-JP"/>
        </w:rPr>
        <w:t xml:space="preserve"> submission</w:t>
      </w:r>
      <w:r>
        <w:rPr>
          <w:lang w:eastAsia="ja-JP"/>
        </w:rPr>
        <w:t>, p.</w:t>
      </w:r>
      <w:r w:rsidR="00CA0938">
        <w:rPr>
          <w:lang w:eastAsia="ja-JP"/>
        </w:rPr>
        <w:t xml:space="preserve"> </w:t>
      </w:r>
      <w:r>
        <w:rPr>
          <w:lang w:eastAsia="ja-JP"/>
        </w:rPr>
        <w:t>5)</w:t>
      </w:r>
    </w:p>
    <w:p w14:paraId="22CA9E85" w14:textId="2A026E2C" w:rsidR="00BE42A6" w:rsidRDefault="00F639F9" w:rsidP="00F639F9">
      <w:pPr>
        <w:rPr>
          <w:lang w:eastAsia="ja-JP"/>
        </w:rPr>
      </w:pPr>
      <w:r>
        <w:rPr>
          <w:lang w:eastAsia="ja-JP"/>
        </w:rPr>
        <w:t xml:space="preserve">The New South Wales Government has highlighted to the Review Panel the benefits of the </w:t>
      </w:r>
      <w:r w:rsidR="00595669">
        <w:rPr>
          <w:lang w:eastAsia="ja-JP"/>
        </w:rPr>
        <w:t xml:space="preserve">its </w:t>
      </w:r>
      <w:r>
        <w:rPr>
          <w:lang w:eastAsia="ja-JP"/>
        </w:rPr>
        <w:t>existing model that captures landholder contributions and how it can be used as a model for increasing local and regional participation in decision making while still addressing regional, state and national biosecurity priorities (</w:t>
      </w:r>
      <w:r>
        <w:rPr>
          <w:lang w:eastAsia="ja-JP"/>
        </w:rPr>
        <w:fldChar w:fldCharType="begin"/>
      </w:r>
      <w:r>
        <w:rPr>
          <w:lang w:eastAsia="ja-JP"/>
        </w:rPr>
        <w:instrText xml:space="preserve"> REF _Ref467222900 \h </w:instrText>
      </w:r>
      <w:r>
        <w:rPr>
          <w:lang w:eastAsia="ja-JP"/>
        </w:rPr>
      </w:r>
      <w:r>
        <w:rPr>
          <w:lang w:eastAsia="ja-JP"/>
        </w:rPr>
        <w:fldChar w:fldCharType="separate"/>
      </w:r>
      <w:r w:rsidR="008303E2">
        <w:t xml:space="preserve">Box </w:t>
      </w:r>
      <w:r w:rsidR="008303E2">
        <w:rPr>
          <w:noProof/>
        </w:rPr>
        <w:t>13</w:t>
      </w:r>
      <w:r>
        <w:rPr>
          <w:lang w:eastAsia="ja-JP"/>
        </w:rPr>
        <w:fldChar w:fldCharType="end"/>
      </w:r>
      <w:r w:rsidR="009D1E8D">
        <w:rPr>
          <w:lang w:eastAsia="ja-JP"/>
        </w:rPr>
        <w:t>).</w:t>
      </w:r>
    </w:p>
    <w:p w14:paraId="523024F0" w14:textId="1A3F5399" w:rsidR="00BE42A6" w:rsidRDefault="00BE42A6" w:rsidP="000A1AC3">
      <w:pPr>
        <w:pStyle w:val="BoxHeading"/>
        <w:rPr>
          <w:lang w:eastAsia="ja-JP"/>
        </w:rPr>
      </w:pPr>
      <w:bookmarkStart w:id="213" w:name="_Ref467222900"/>
      <w:bookmarkStart w:id="214" w:name="_Toc468176756"/>
      <w:bookmarkStart w:id="215" w:name="_Toc468444406"/>
      <w:r>
        <w:t xml:space="preserve">Box </w:t>
      </w:r>
      <w:r w:rsidR="008303E2">
        <w:fldChar w:fldCharType="begin"/>
      </w:r>
      <w:r w:rsidR="008303E2">
        <w:instrText xml:space="preserve"> SEQ Box \* ARABIC </w:instrText>
      </w:r>
      <w:r w:rsidR="008303E2">
        <w:fldChar w:fldCharType="separate"/>
      </w:r>
      <w:r w:rsidR="008303E2">
        <w:rPr>
          <w:noProof/>
        </w:rPr>
        <w:t>13</w:t>
      </w:r>
      <w:r w:rsidR="008303E2">
        <w:rPr>
          <w:noProof/>
        </w:rPr>
        <w:fldChar w:fldCharType="end"/>
      </w:r>
      <w:bookmarkEnd w:id="213"/>
      <w:r w:rsidR="007C1C69">
        <w:t>:</w:t>
      </w:r>
      <w:r>
        <w:t xml:space="preserve"> NSW Local Land Services</w:t>
      </w:r>
      <w:bookmarkEnd w:id="214"/>
      <w:bookmarkEnd w:id="215"/>
    </w:p>
    <w:p w14:paraId="1C05F61D" w14:textId="72A99328" w:rsidR="00F639F9" w:rsidRDefault="00F639F9" w:rsidP="00F639F9">
      <w:pPr>
        <w:pStyle w:val="BoxText"/>
        <w:rPr>
          <w:lang w:eastAsia="ja-JP"/>
        </w:rPr>
      </w:pPr>
      <w:r>
        <w:rPr>
          <w:lang w:eastAsia="ja-JP"/>
        </w:rPr>
        <w:t xml:space="preserve">Under the </w:t>
      </w:r>
      <w:r w:rsidRPr="00871C56">
        <w:rPr>
          <w:i/>
          <w:lang w:eastAsia="ja-JP"/>
        </w:rPr>
        <w:t>Local Land Services Act 2013</w:t>
      </w:r>
      <w:r w:rsidR="00871C56">
        <w:rPr>
          <w:i/>
          <w:lang w:eastAsia="ja-JP"/>
        </w:rPr>
        <w:t xml:space="preserve"> </w:t>
      </w:r>
      <w:r w:rsidR="00871C56" w:rsidRPr="00871C56">
        <w:rPr>
          <w:lang w:eastAsia="ja-JP"/>
        </w:rPr>
        <w:t>(NSW)</w:t>
      </w:r>
      <w:r w:rsidRPr="00871C56">
        <w:rPr>
          <w:lang w:eastAsia="ja-JP"/>
        </w:rPr>
        <w:t xml:space="preserve">, </w:t>
      </w:r>
      <w:r>
        <w:rPr>
          <w:lang w:eastAsia="ja-JP"/>
        </w:rPr>
        <w:t xml:space="preserve">Local Land Services </w:t>
      </w:r>
      <w:r w:rsidR="008D08CD">
        <w:rPr>
          <w:lang w:eastAsia="ja-JP"/>
        </w:rPr>
        <w:t xml:space="preserve">(LLS) </w:t>
      </w:r>
      <w:r>
        <w:rPr>
          <w:lang w:eastAsia="ja-JP"/>
        </w:rPr>
        <w:t xml:space="preserve">must charge rates on all parcels of land that are classified as rateable under the Act. Each region has a minimum rating area for properties. The rateable area is generally 10 ha in coastal and tablelands areas and is larger (40 ha in the Western </w:t>
      </w:r>
      <w:r w:rsidR="001A3C8E">
        <w:rPr>
          <w:lang w:eastAsia="ja-JP"/>
        </w:rPr>
        <w:t>Division</w:t>
      </w:r>
      <w:r>
        <w:rPr>
          <w:lang w:eastAsia="ja-JP"/>
        </w:rPr>
        <w:t xml:space="preserve"> and 20 ha in some parts of Murray and Riverina Regions) in more western regions.</w:t>
      </w:r>
    </w:p>
    <w:p w14:paraId="2BBF71BB" w14:textId="77777777" w:rsidR="00F639F9" w:rsidRDefault="00F639F9" w:rsidP="00F639F9">
      <w:pPr>
        <w:pStyle w:val="BoxText"/>
        <w:rPr>
          <w:lang w:eastAsia="ja-JP"/>
        </w:rPr>
      </w:pPr>
      <w:r>
        <w:rPr>
          <w:lang w:eastAsia="ja-JP"/>
        </w:rPr>
        <w:t>Rates are charged on a two-tier basis, involving a general rate paid by all landholders and an animal health rate paid by eligible ratepayers. Each rate type consists of a base charge plus a variable component. The base charge is a uniform charge on all rateable land. Rates help pay for the biosecurity and animal health services in each region. Examples of biosecurity projects include outbreaks of fire ants and avian influenza, state-wide wild dog management programs, and pest and weed support programs to help minimise the impact on agricultural productivity.</w:t>
      </w:r>
    </w:p>
    <w:p w14:paraId="6A7AD970" w14:textId="77777777" w:rsidR="00F639F9" w:rsidRDefault="0072402F" w:rsidP="00F639F9">
      <w:pPr>
        <w:pStyle w:val="BoxText"/>
        <w:rPr>
          <w:lang w:eastAsia="ja-JP"/>
        </w:rPr>
      </w:pPr>
      <w:r>
        <w:rPr>
          <w:lang w:eastAsia="ja-JP"/>
        </w:rPr>
        <w:t>LL</w:t>
      </w:r>
      <w:r w:rsidR="003031D3">
        <w:rPr>
          <w:lang w:eastAsia="ja-JP"/>
        </w:rPr>
        <w:t>S</w:t>
      </w:r>
      <w:r>
        <w:rPr>
          <w:lang w:eastAsia="ja-JP"/>
        </w:rPr>
        <w:t xml:space="preserve"> r</w:t>
      </w:r>
      <w:r w:rsidR="00F639F9">
        <w:rPr>
          <w:lang w:eastAsia="ja-JP"/>
        </w:rPr>
        <w:t xml:space="preserve">ates </w:t>
      </w:r>
      <w:r>
        <w:rPr>
          <w:lang w:eastAsia="ja-JP"/>
        </w:rPr>
        <w:t>raised</w:t>
      </w:r>
      <w:r w:rsidR="00F639F9">
        <w:rPr>
          <w:lang w:eastAsia="ja-JP"/>
        </w:rPr>
        <w:t xml:space="preserve"> $32.6 million or about 23 per cent of LLS funding in 2015</w:t>
      </w:r>
      <w:r w:rsidR="00871C56">
        <w:rPr>
          <w:lang w:eastAsia="ja-JP"/>
        </w:rPr>
        <w:t>–</w:t>
      </w:r>
      <w:r w:rsidR="00F639F9">
        <w:rPr>
          <w:lang w:eastAsia="ja-JP"/>
        </w:rPr>
        <w:t>16. As well as rates, the NSW Government contributes funding through Catchment Action NSW, which provides on-ground programs to support biodiversity, native vegetation, threatened species and Aboriginal cultural heritage initiatives. The Australian Government also contributes funding through the National Landcare Programme, which helps drive sustainable agriculture, as well as supporting the protection, conservation and rehabilitation of Australia’s natural environment.</w:t>
      </w:r>
    </w:p>
    <w:p w14:paraId="05F49AF9" w14:textId="1D1BC542" w:rsidR="00BE42A6" w:rsidRDefault="00BE42A6" w:rsidP="00BE42A6">
      <w:pPr>
        <w:pStyle w:val="BoxSource"/>
        <w:rPr>
          <w:lang w:eastAsia="ja-JP"/>
        </w:rPr>
      </w:pPr>
      <w:r>
        <w:rPr>
          <w:lang w:eastAsia="ja-JP"/>
        </w:rPr>
        <w:t>Source:</w:t>
      </w:r>
      <w:r w:rsidR="00F916E8">
        <w:rPr>
          <w:lang w:eastAsia="ja-JP"/>
        </w:rPr>
        <w:t xml:space="preserve"> NSW Government </w:t>
      </w:r>
      <w:hyperlink r:id="rId47" w:history="1">
        <w:r w:rsidR="00F916E8" w:rsidRPr="00F916E8">
          <w:rPr>
            <w:rStyle w:val="Hyperlink"/>
            <w:lang w:eastAsia="ja-JP"/>
          </w:rPr>
          <w:t>Local Land Services website</w:t>
        </w:r>
      </w:hyperlink>
      <w:r w:rsidR="00F916E8">
        <w:rPr>
          <w:lang w:eastAsia="ja-JP"/>
        </w:rPr>
        <w:t xml:space="preserve">; </w:t>
      </w:r>
      <w:r w:rsidR="00F639F9" w:rsidRPr="00F639F9">
        <w:t>Local Land Services Annual Report 2015–16</w:t>
      </w:r>
      <w:r w:rsidR="00600A84">
        <w:t>.</w:t>
      </w:r>
    </w:p>
    <w:p w14:paraId="13E9EA8C" w14:textId="14B30D2C" w:rsidR="00F639F9" w:rsidRDefault="00F639F9" w:rsidP="00F639F9">
      <w:pPr>
        <w:rPr>
          <w:lang w:eastAsia="ja-JP"/>
        </w:rPr>
      </w:pPr>
      <w:r>
        <w:rPr>
          <w:lang w:eastAsia="ja-JP"/>
        </w:rPr>
        <w:t xml:space="preserve">In its Pest Animal Management Review draft </w:t>
      </w:r>
      <w:r w:rsidRPr="00D64BF6">
        <w:rPr>
          <w:lang w:eastAsia="ja-JP"/>
        </w:rPr>
        <w:t>report (</w:t>
      </w:r>
      <w:hyperlink w:anchor="NRC_2016" w:history="1">
        <w:r w:rsidR="00E85E46" w:rsidRPr="00447677">
          <w:rPr>
            <w:rStyle w:val="Hyperlink"/>
            <w:lang w:eastAsia="ja-JP"/>
          </w:rPr>
          <w:t>NRC 2016</w:t>
        </w:r>
      </w:hyperlink>
      <w:r w:rsidRPr="00D64BF6">
        <w:rPr>
          <w:lang w:eastAsia="ja-JP"/>
        </w:rPr>
        <w:t>), the</w:t>
      </w:r>
      <w:r>
        <w:rPr>
          <w:lang w:eastAsia="ja-JP"/>
        </w:rPr>
        <w:t xml:space="preserve"> N</w:t>
      </w:r>
      <w:r w:rsidR="00F502DA">
        <w:rPr>
          <w:lang w:eastAsia="ja-JP"/>
        </w:rPr>
        <w:t xml:space="preserve">ew </w:t>
      </w:r>
      <w:r>
        <w:rPr>
          <w:lang w:eastAsia="ja-JP"/>
        </w:rPr>
        <w:t>S</w:t>
      </w:r>
      <w:r w:rsidR="00F502DA">
        <w:rPr>
          <w:lang w:eastAsia="ja-JP"/>
        </w:rPr>
        <w:t xml:space="preserve">outh </w:t>
      </w:r>
      <w:r>
        <w:rPr>
          <w:lang w:eastAsia="ja-JP"/>
        </w:rPr>
        <w:t>W</w:t>
      </w:r>
      <w:r w:rsidR="00F502DA">
        <w:rPr>
          <w:lang w:eastAsia="ja-JP"/>
        </w:rPr>
        <w:t>ales</w:t>
      </w:r>
      <w:r>
        <w:rPr>
          <w:lang w:eastAsia="ja-JP"/>
        </w:rPr>
        <w:t xml:space="preserve"> Natural Resources Commission (NSW NRC) recommended reducing the minimum rateable area for landholders to better reflect the biosecurity risks created by smaller landholders—specifically, the NSW NRC proposal is to reduce to two hectares the minimum rateable area (from 10 </w:t>
      </w:r>
      <w:r>
        <w:rPr>
          <w:lang w:eastAsia="ja-JP"/>
        </w:rPr>
        <w:lastRenderedPageBreak/>
        <w:t>hectares). The Panel suggests reducing the rateable area to small parcels of land (</w:t>
      </w:r>
      <w:r w:rsidR="00F916E8">
        <w:rPr>
          <w:lang w:eastAsia="ja-JP"/>
        </w:rPr>
        <w:t>for example,</w:t>
      </w:r>
      <w:r>
        <w:rPr>
          <w:lang w:eastAsia="ja-JP"/>
        </w:rPr>
        <w:t xml:space="preserve"> two hectares) be a consideration for all state and territory governments, given the increasing risks attached to peri-urban activities</w:t>
      </w:r>
      <w:r w:rsidR="00871C56">
        <w:rPr>
          <w:lang w:eastAsia="ja-JP"/>
        </w:rPr>
        <w:t>.</w:t>
      </w:r>
    </w:p>
    <w:p w14:paraId="0FD7B728" w14:textId="30E201BE" w:rsidR="00F639F9" w:rsidRPr="00D64BF6" w:rsidRDefault="00F639F9" w:rsidP="00F639F9">
      <w:pPr>
        <w:rPr>
          <w:lang w:eastAsia="ja-JP"/>
        </w:rPr>
      </w:pPr>
      <w:r>
        <w:rPr>
          <w:lang w:eastAsia="ja-JP"/>
        </w:rPr>
        <w:t>The NSW NRC</w:t>
      </w:r>
      <w:r w:rsidR="00871C56">
        <w:rPr>
          <w:lang w:eastAsia="ja-JP"/>
        </w:rPr>
        <w:t>’s</w:t>
      </w:r>
      <w:r>
        <w:rPr>
          <w:lang w:eastAsia="ja-JP"/>
        </w:rPr>
        <w:t xml:space="preserve"> recommendation to reduce the minimum rateable area is entirely consistent with an intention to raise the profile and ownership of biosecurity issues for all landholders, especially those within peri-urban areas. The NSW NRC also highlighted the consistency of the recommendation with the 2008 Beale </w:t>
      </w:r>
      <w:r w:rsidRPr="00D64BF6">
        <w:rPr>
          <w:lang w:eastAsia="ja-JP"/>
        </w:rPr>
        <w:t>Review</w:t>
      </w:r>
      <w:r w:rsidR="006544A0" w:rsidRPr="00D64BF6">
        <w:rPr>
          <w:lang w:eastAsia="ja-JP"/>
        </w:rPr>
        <w:t xml:space="preserve"> (</w:t>
      </w:r>
      <w:hyperlink w:anchor="Beale_et_al_2008" w:history="1">
        <w:r w:rsidR="006544A0" w:rsidRPr="00447677">
          <w:rPr>
            <w:rStyle w:val="Hyperlink"/>
            <w:lang w:eastAsia="ja-JP"/>
          </w:rPr>
          <w:t>Beale et al. 2008</w:t>
        </w:r>
      </w:hyperlink>
      <w:r w:rsidR="006544A0" w:rsidRPr="00D64BF6">
        <w:rPr>
          <w:lang w:eastAsia="ja-JP"/>
        </w:rPr>
        <w:t>)</w:t>
      </w:r>
      <w:r w:rsidRPr="00D64BF6">
        <w:rPr>
          <w:lang w:eastAsia="ja-JP"/>
        </w:rPr>
        <w:t>.</w:t>
      </w:r>
    </w:p>
    <w:p w14:paraId="619A3925" w14:textId="6D0F3F7D" w:rsidR="00F639F9" w:rsidRPr="00D64BF6" w:rsidRDefault="00F639F9" w:rsidP="00F639F9">
      <w:pPr>
        <w:rPr>
          <w:lang w:eastAsia="ja-JP"/>
        </w:rPr>
      </w:pPr>
      <w:r w:rsidRPr="00D64BF6">
        <w:rPr>
          <w:lang w:eastAsia="ja-JP"/>
        </w:rPr>
        <w:t>In the longer term, all jurisdictions may wish to consider moving from a size threshold to a local-level levy for all landholders or rate payers. A levy applied to all landholders across the country would further increase the awareness of biosecurity issues and ensure biosecurity risk management is a responsibility shared by all Australians.</w:t>
      </w:r>
    </w:p>
    <w:p w14:paraId="748F2272" w14:textId="1890F49F" w:rsidR="00F639F9" w:rsidRPr="00D64BF6" w:rsidRDefault="00F639F9" w:rsidP="00F639F9">
      <w:pPr>
        <w:rPr>
          <w:lang w:eastAsia="ja-JP"/>
        </w:rPr>
      </w:pPr>
      <w:r w:rsidRPr="00D64BF6">
        <w:rPr>
          <w:lang w:eastAsia="ja-JP"/>
        </w:rPr>
        <w:t>With increasing population density in our cities, public amenities such as community parks, sporting fields, golf courses and national parks are likely to increase in their use and reliance. Incursions that threaten these increasingly popular environments and spaces should be the responsibility of all community members.</w:t>
      </w:r>
    </w:p>
    <w:p w14:paraId="7F81DF2E" w14:textId="74F9B3B2" w:rsidR="00917161" w:rsidRPr="000A1AC3" w:rsidRDefault="00917161" w:rsidP="000A1AC3">
      <w:pPr>
        <w:pStyle w:val="BoxHeading"/>
        <w:shd w:val="clear" w:color="auto" w:fill="D9D9D9" w:themeFill="background1" w:themeFillShade="D9"/>
        <w:rPr>
          <w:sz w:val="22"/>
        </w:rPr>
      </w:pPr>
      <w:bookmarkStart w:id="216" w:name="Draft_recommendation_35"/>
      <w:r w:rsidRPr="000A1AC3">
        <w:rPr>
          <w:sz w:val="22"/>
        </w:rPr>
        <w:t xml:space="preserve">Draft recommendation </w:t>
      </w:r>
      <w:r w:rsidR="00447677">
        <w:rPr>
          <w:sz w:val="22"/>
        </w:rPr>
        <w:t>3</w:t>
      </w:r>
      <w:r w:rsidR="00FE6EEF">
        <w:rPr>
          <w:sz w:val="22"/>
        </w:rPr>
        <w:t>5</w:t>
      </w:r>
      <w:bookmarkEnd w:id="216"/>
      <w:r w:rsidRPr="000A1AC3">
        <w:rPr>
          <w:noProof/>
          <w:sz w:val="22"/>
        </w:rPr>
        <w:t>:</w:t>
      </w:r>
    </w:p>
    <w:p w14:paraId="345BF58D" w14:textId="77777777" w:rsidR="00917161" w:rsidRPr="000A1AC3" w:rsidRDefault="00917161" w:rsidP="000A1AC3">
      <w:pPr>
        <w:pStyle w:val="BoxText"/>
        <w:shd w:val="clear" w:color="auto" w:fill="D9D9D9" w:themeFill="background1" w:themeFillShade="D9"/>
        <w:rPr>
          <w:sz w:val="22"/>
        </w:rPr>
      </w:pPr>
      <w:r w:rsidRPr="000A1AC3">
        <w:rPr>
          <w:sz w:val="22"/>
        </w:rPr>
        <w:t>All levels of government could help meet their budgetary challenges by reviewing biosecurity levies and rates/charges currently or potentially applying to system participants. These should be commensurate with agreed national cost sharing principles, which the Review Panel considers should be reviewed.</w:t>
      </w:r>
    </w:p>
    <w:p w14:paraId="32295FBC" w14:textId="77777777" w:rsidR="00386F86" w:rsidRPr="008C057D" w:rsidRDefault="00F639F9" w:rsidP="00F639F9">
      <w:pPr>
        <w:rPr>
          <w:lang w:eastAsia="ja-JP"/>
        </w:rPr>
      </w:pPr>
      <w:r w:rsidRPr="008C057D">
        <w:rPr>
          <w:lang w:eastAsia="ja-JP"/>
        </w:rPr>
        <w:t>Finally, some stakeholders have raised with the Review Panel the need for greater flexibility in agricultural production and biosecurity levies</w:t>
      </w:r>
      <w:r w:rsidR="00386F86" w:rsidRPr="008C057D">
        <w:rPr>
          <w:lang w:eastAsia="ja-JP"/>
        </w:rPr>
        <w:t xml:space="preserve"> relevant to the RDCs, AHA and PHA,</w:t>
      </w:r>
      <w:r w:rsidRPr="008C057D">
        <w:rPr>
          <w:lang w:eastAsia="ja-JP"/>
        </w:rPr>
        <w:t xml:space="preserve"> especially around the components of the levies. For some industry levies, the component parts are legislated, limiting the industry’s ability to redirect funding to activities the industry considers important, which may include biosecurity. Amending the component parts requires a complex and lengthy legislative approval and amendment process by industry and the Australian Government. Giving industries greater flexibility in the apportionment of the component parts of a levy </w:t>
      </w:r>
      <w:r w:rsidR="00DC502B" w:rsidRPr="008C057D">
        <w:rPr>
          <w:lang w:eastAsia="ja-JP"/>
        </w:rPr>
        <w:t xml:space="preserve">could </w:t>
      </w:r>
      <w:r w:rsidRPr="008C057D">
        <w:rPr>
          <w:lang w:eastAsia="ja-JP"/>
        </w:rPr>
        <w:t>provide industry the flexibility it needs to effectively respond to biosecurity risks.</w:t>
      </w:r>
    </w:p>
    <w:p w14:paraId="784A6D8F" w14:textId="2634A38F" w:rsidR="00343658" w:rsidRDefault="00343658" w:rsidP="00343658">
      <w:pPr>
        <w:rPr>
          <w:lang w:eastAsia="ja-JP"/>
        </w:rPr>
      </w:pPr>
      <w:r w:rsidRPr="008C057D">
        <w:rPr>
          <w:lang w:eastAsia="ja-JP"/>
        </w:rPr>
        <w:t>The Panel noted that these issues had also been canvassed in the 2015 Senate inquiry into agricultural levies (</w:t>
      </w:r>
      <w:hyperlink w:anchor="Commonwealth_of_Australia_2015a" w:history="1">
        <w:r w:rsidRPr="00447677">
          <w:rPr>
            <w:rStyle w:val="Hyperlink"/>
            <w:lang w:eastAsia="ja-JP"/>
          </w:rPr>
          <w:t>Commonwealth of Australia 2015a</w:t>
        </w:r>
      </w:hyperlink>
      <w:r w:rsidRPr="008C057D">
        <w:rPr>
          <w:lang w:eastAsia="ja-JP"/>
        </w:rPr>
        <w:t>), with that inquiry recommending that the department conduct ‘a review of the process to establish and amend agricultural levies including modifications to levy components’. The Australian Government agreed with this recommendation and the Department of Agriculture and Water Resources has commenced work to identify options to make the system more responsive and less costly for industry. This work will include reviewing the Levy Principles and Guidelines to clarify the process for introducing and amending levies and assessing the potential for delegating some decisions relating to established levies. The Panel further noted that the Australian Government had decided to align 25 levies-related instruments scheduled to sunset over the coming years to allow for a thematic review to be undertaken which, among other things, would offer opportunity to address unnecessary duplication and/or inconsistencies in these instruments.</w:t>
      </w:r>
    </w:p>
    <w:p w14:paraId="5A5A04FA" w14:textId="77777777" w:rsidR="00BE42A6" w:rsidRDefault="00BE42A6" w:rsidP="00BE42A6">
      <w:pPr>
        <w:pStyle w:val="Heading4"/>
        <w:rPr>
          <w:lang w:eastAsia="ja-JP"/>
        </w:rPr>
      </w:pPr>
      <w:r>
        <w:rPr>
          <w:lang w:eastAsia="ja-JP"/>
        </w:rPr>
        <w:lastRenderedPageBreak/>
        <w:t>Incoming passenger charge</w:t>
      </w:r>
    </w:p>
    <w:p w14:paraId="0783E80A" w14:textId="54A11610" w:rsidR="00EC0C62" w:rsidRDefault="00EC0C62" w:rsidP="002749BD">
      <w:pPr>
        <w:rPr>
          <w:lang w:eastAsia="ja-JP"/>
        </w:rPr>
      </w:pPr>
      <w:r w:rsidRPr="00EC0C62">
        <w:rPr>
          <w:lang w:eastAsia="ja-JP"/>
        </w:rPr>
        <w:t>A Passenger Movement Charge (PMC) is applied to passengers departing Australia. The current charge of $55 will increase to $60 from 1 July 2017, following recent amendments passed by the Commonwealth Parliament. The charge has increased a number of times for various reasons since its introduction, including for biosecurity management (</w:t>
      </w:r>
      <w:r w:rsidR="00B6712A">
        <w:rPr>
          <w:lang w:eastAsia="ja-JP"/>
        </w:rPr>
        <w:fldChar w:fldCharType="begin"/>
      </w:r>
      <w:r w:rsidR="00B6712A">
        <w:rPr>
          <w:lang w:eastAsia="ja-JP"/>
        </w:rPr>
        <w:instrText xml:space="preserve"> REF _Ref467223370 \h </w:instrText>
      </w:r>
      <w:r w:rsidR="00B6712A">
        <w:rPr>
          <w:lang w:eastAsia="ja-JP"/>
        </w:rPr>
      </w:r>
      <w:r w:rsidR="00B6712A">
        <w:rPr>
          <w:lang w:eastAsia="ja-JP"/>
        </w:rPr>
        <w:fldChar w:fldCharType="separate"/>
      </w:r>
      <w:r w:rsidR="008303E2" w:rsidRPr="00F4476B">
        <w:t xml:space="preserve">Table </w:t>
      </w:r>
      <w:r w:rsidR="008303E2">
        <w:rPr>
          <w:noProof/>
        </w:rPr>
        <w:t>9</w:t>
      </w:r>
      <w:r w:rsidR="00B6712A">
        <w:rPr>
          <w:lang w:eastAsia="ja-JP"/>
        </w:rPr>
        <w:fldChar w:fldCharType="end"/>
      </w:r>
      <w:r w:rsidRPr="00EC0C62">
        <w:rPr>
          <w:lang w:eastAsia="ja-JP"/>
        </w:rPr>
        <w:t>). The revenue collected from the PMC has steadily increased each year from 2008–09 (</w:t>
      </w:r>
      <w:r w:rsidR="00B6712A">
        <w:rPr>
          <w:lang w:eastAsia="ja-JP"/>
        </w:rPr>
        <w:fldChar w:fldCharType="begin"/>
      </w:r>
      <w:r w:rsidR="00B6712A">
        <w:rPr>
          <w:lang w:eastAsia="ja-JP"/>
        </w:rPr>
        <w:instrText xml:space="preserve"> REF _Ref467504739 \h </w:instrText>
      </w:r>
      <w:r w:rsidR="00B6712A">
        <w:rPr>
          <w:lang w:eastAsia="ja-JP"/>
        </w:rPr>
      </w:r>
      <w:r w:rsidR="00B6712A">
        <w:rPr>
          <w:lang w:eastAsia="ja-JP"/>
        </w:rPr>
        <w:fldChar w:fldCharType="separate"/>
      </w:r>
      <w:r w:rsidR="008303E2" w:rsidRPr="00F4476B">
        <w:t xml:space="preserve">Table </w:t>
      </w:r>
      <w:r w:rsidR="008303E2">
        <w:rPr>
          <w:noProof/>
        </w:rPr>
        <w:t>10</w:t>
      </w:r>
      <w:r w:rsidR="00B6712A">
        <w:rPr>
          <w:lang w:eastAsia="ja-JP"/>
        </w:rPr>
        <w:fldChar w:fldCharType="end"/>
      </w:r>
      <w:r w:rsidRPr="00EC0C62">
        <w:rPr>
          <w:lang w:eastAsia="ja-JP"/>
        </w:rPr>
        <w:t>).</w:t>
      </w:r>
    </w:p>
    <w:p w14:paraId="25929544" w14:textId="493947CD" w:rsidR="00A668B2" w:rsidRPr="00F4476B" w:rsidRDefault="00A668B2" w:rsidP="00A668B2">
      <w:pPr>
        <w:pStyle w:val="Caption"/>
        <w:rPr>
          <w:sz w:val="22"/>
          <w:szCs w:val="22"/>
          <w:lang w:eastAsia="ja-JP"/>
        </w:rPr>
      </w:pPr>
      <w:bookmarkStart w:id="217" w:name="_Ref467223370"/>
      <w:bookmarkStart w:id="218" w:name="_Toc468176730"/>
      <w:r w:rsidRPr="00F4476B">
        <w:rPr>
          <w:sz w:val="22"/>
          <w:szCs w:val="22"/>
        </w:rPr>
        <w:t xml:space="preserve">Table </w:t>
      </w:r>
      <w:r w:rsidR="00D56373" w:rsidRPr="00F4476B">
        <w:rPr>
          <w:sz w:val="22"/>
          <w:szCs w:val="22"/>
        </w:rPr>
        <w:fldChar w:fldCharType="begin"/>
      </w:r>
      <w:r w:rsidR="00D56373" w:rsidRPr="00F4476B">
        <w:rPr>
          <w:sz w:val="22"/>
          <w:szCs w:val="22"/>
        </w:rPr>
        <w:instrText xml:space="preserve"> SEQ Table \* ARABIC </w:instrText>
      </w:r>
      <w:r w:rsidR="00D56373" w:rsidRPr="00F4476B">
        <w:rPr>
          <w:sz w:val="22"/>
          <w:szCs w:val="22"/>
        </w:rPr>
        <w:fldChar w:fldCharType="separate"/>
      </w:r>
      <w:r w:rsidR="008303E2">
        <w:rPr>
          <w:noProof/>
          <w:sz w:val="22"/>
          <w:szCs w:val="22"/>
        </w:rPr>
        <w:t>9</w:t>
      </w:r>
      <w:r w:rsidR="00D56373" w:rsidRPr="00F4476B">
        <w:rPr>
          <w:noProof/>
          <w:sz w:val="22"/>
          <w:szCs w:val="22"/>
        </w:rPr>
        <w:fldChar w:fldCharType="end"/>
      </w:r>
      <w:bookmarkEnd w:id="217"/>
      <w:r w:rsidR="007C1C69" w:rsidRPr="00F4476B">
        <w:rPr>
          <w:sz w:val="22"/>
          <w:szCs w:val="22"/>
        </w:rPr>
        <w:t>:</w:t>
      </w:r>
      <w:r w:rsidRPr="00F4476B">
        <w:rPr>
          <w:sz w:val="22"/>
          <w:szCs w:val="22"/>
        </w:rPr>
        <w:t xml:space="preserve"> Passenger Movement Charge from 1995</w:t>
      </w:r>
      <w:r w:rsidR="00E761E5" w:rsidRPr="00F4476B">
        <w:rPr>
          <w:sz w:val="22"/>
          <w:szCs w:val="22"/>
        </w:rPr>
        <w:t xml:space="preserve"> to 201</w:t>
      </w:r>
      <w:r w:rsidR="00BF0F34" w:rsidRPr="00F4476B">
        <w:rPr>
          <w:sz w:val="22"/>
          <w:szCs w:val="22"/>
        </w:rPr>
        <w:t>7</w:t>
      </w:r>
      <w:bookmarkEnd w:id="21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A668B2" w:rsidRPr="00A668B2" w14:paraId="0F232C64" w14:textId="77777777" w:rsidTr="00A668B2">
        <w:trPr>
          <w:tblHeader/>
        </w:trPr>
        <w:tc>
          <w:tcPr>
            <w:tcW w:w="4530" w:type="dxa"/>
          </w:tcPr>
          <w:p w14:paraId="0375113F" w14:textId="77777777" w:rsidR="00A668B2" w:rsidRPr="00A668B2" w:rsidRDefault="00A668B2" w:rsidP="00A668B2">
            <w:pPr>
              <w:pStyle w:val="TableHeading"/>
              <w:rPr>
                <w:lang w:eastAsia="ja-JP"/>
              </w:rPr>
            </w:pPr>
            <w:r w:rsidRPr="00A668B2">
              <w:rPr>
                <w:lang w:eastAsia="ja-JP"/>
              </w:rPr>
              <w:t>Year</w:t>
            </w:r>
          </w:p>
        </w:tc>
        <w:tc>
          <w:tcPr>
            <w:tcW w:w="4530" w:type="dxa"/>
          </w:tcPr>
          <w:p w14:paraId="3D235290" w14:textId="77777777" w:rsidR="00A668B2" w:rsidRPr="00A668B2" w:rsidRDefault="00A668B2" w:rsidP="00A668B2">
            <w:pPr>
              <w:pStyle w:val="TableHeading"/>
              <w:rPr>
                <w:lang w:eastAsia="ja-JP"/>
              </w:rPr>
            </w:pPr>
            <w:r w:rsidRPr="00A668B2">
              <w:rPr>
                <w:lang w:eastAsia="ja-JP"/>
              </w:rPr>
              <w:t>Charge</w:t>
            </w:r>
          </w:p>
        </w:tc>
      </w:tr>
      <w:tr w:rsidR="00A668B2" w:rsidRPr="00A668B2" w14:paraId="3C139C87" w14:textId="77777777" w:rsidTr="00A668B2">
        <w:tc>
          <w:tcPr>
            <w:tcW w:w="4530" w:type="dxa"/>
          </w:tcPr>
          <w:p w14:paraId="536AB625" w14:textId="77777777" w:rsidR="00A668B2" w:rsidRPr="00A668B2" w:rsidRDefault="00A668B2" w:rsidP="00A668B2">
            <w:pPr>
              <w:pStyle w:val="TableText"/>
              <w:rPr>
                <w:lang w:eastAsia="ja-JP"/>
              </w:rPr>
            </w:pPr>
            <w:r w:rsidRPr="00A668B2">
              <w:rPr>
                <w:lang w:eastAsia="ja-JP"/>
              </w:rPr>
              <w:t>Before 1995</w:t>
            </w:r>
          </w:p>
        </w:tc>
        <w:tc>
          <w:tcPr>
            <w:tcW w:w="4530" w:type="dxa"/>
          </w:tcPr>
          <w:p w14:paraId="3FDA7DA9" w14:textId="77777777" w:rsidR="00A668B2" w:rsidRPr="00A668B2" w:rsidRDefault="00A668B2" w:rsidP="00A668B2">
            <w:pPr>
              <w:pStyle w:val="TableText"/>
              <w:rPr>
                <w:lang w:eastAsia="ja-JP"/>
              </w:rPr>
            </w:pPr>
            <w:r w:rsidRPr="00A668B2">
              <w:rPr>
                <w:lang w:eastAsia="ja-JP"/>
              </w:rPr>
              <w:t>Departure Tax $25</w:t>
            </w:r>
          </w:p>
        </w:tc>
      </w:tr>
      <w:tr w:rsidR="00A668B2" w:rsidRPr="00A668B2" w14:paraId="086C5BCF" w14:textId="77777777" w:rsidTr="00A668B2">
        <w:tc>
          <w:tcPr>
            <w:tcW w:w="4530" w:type="dxa"/>
          </w:tcPr>
          <w:p w14:paraId="5768C29B" w14:textId="77777777" w:rsidR="00A668B2" w:rsidRPr="00A668B2" w:rsidRDefault="00A668B2" w:rsidP="00A668B2">
            <w:pPr>
              <w:pStyle w:val="TableText"/>
              <w:rPr>
                <w:lang w:eastAsia="ja-JP"/>
              </w:rPr>
            </w:pPr>
            <w:r w:rsidRPr="00A668B2">
              <w:rPr>
                <w:lang w:eastAsia="ja-JP"/>
              </w:rPr>
              <w:t>1995</w:t>
            </w:r>
          </w:p>
        </w:tc>
        <w:tc>
          <w:tcPr>
            <w:tcW w:w="4530" w:type="dxa"/>
          </w:tcPr>
          <w:p w14:paraId="68FE8CCC" w14:textId="77777777" w:rsidR="00A668B2" w:rsidRPr="00A668B2" w:rsidRDefault="00A668B2" w:rsidP="00A668B2">
            <w:pPr>
              <w:pStyle w:val="TableText"/>
              <w:rPr>
                <w:lang w:eastAsia="ja-JP"/>
              </w:rPr>
            </w:pPr>
            <w:r w:rsidRPr="00A668B2">
              <w:rPr>
                <w:lang w:eastAsia="ja-JP"/>
              </w:rPr>
              <w:t>$27 (Offset costs of border agencies)</w:t>
            </w:r>
          </w:p>
        </w:tc>
      </w:tr>
      <w:tr w:rsidR="00A668B2" w:rsidRPr="00A668B2" w14:paraId="33C88115" w14:textId="77777777" w:rsidTr="00A668B2">
        <w:tc>
          <w:tcPr>
            <w:tcW w:w="4530" w:type="dxa"/>
          </w:tcPr>
          <w:p w14:paraId="400AC4AE" w14:textId="77777777" w:rsidR="00A668B2" w:rsidRPr="00A668B2" w:rsidRDefault="00A668B2" w:rsidP="00A668B2">
            <w:pPr>
              <w:pStyle w:val="TableText"/>
              <w:rPr>
                <w:lang w:eastAsia="ja-JP"/>
              </w:rPr>
            </w:pPr>
            <w:r w:rsidRPr="00A668B2">
              <w:rPr>
                <w:lang w:eastAsia="ja-JP"/>
              </w:rPr>
              <w:t>1999</w:t>
            </w:r>
          </w:p>
        </w:tc>
        <w:tc>
          <w:tcPr>
            <w:tcW w:w="4530" w:type="dxa"/>
          </w:tcPr>
          <w:p w14:paraId="78280EB0" w14:textId="77777777" w:rsidR="00A668B2" w:rsidRPr="00A668B2" w:rsidRDefault="00A668B2" w:rsidP="00A668B2">
            <w:pPr>
              <w:pStyle w:val="TableText"/>
              <w:rPr>
                <w:lang w:eastAsia="ja-JP"/>
              </w:rPr>
            </w:pPr>
            <w:r w:rsidRPr="00A668B2">
              <w:rPr>
                <w:lang w:eastAsia="ja-JP"/>
              </w:rPr>
              <w:t>$30 (Sydney 2000 Olympics levy)</w:t>
            </w:r>
          </w:p>
        </w:tc>
      </w:tr>
      <w:tr w:rsidR="00A668B2" w:rsidRPr="00A668B2" w14:paraId="54DBD1CC" w14:textId="77777777" w:rsidTr="00A668B2">
        <w:tc>
          <w:tcPr>
            <w:tcW w:w="4530" w:type="dxa"/>
          </w:tcPr>
          <w:p w14:paraId="2E0CC1F2" w14:textId="77777777" w:rsidR="00A668B2" w:rsidRPr="00A668B2" w:rsidRDefault="00A668B2" w:rsidP="00A668B2">
            <w:pPr>
              <w:pStyle w:val="TableText"/>
              <w:rPr>
                <w:lang w:eastAsia="ja-JP"/>
              </w:rPr>
            </w:pPr>
            <w:r w:rsidRPr="00A668B2">
              <w:rPr>
                <w:lang w:eastAsia="ja-JP"/>
              </w:rPr>
              <w:t>2001</w:t>
            </w:r>
          </w:p>
        </w:tc>
        <w:tc>
          <w:tcPr>
            <w:tcW w:w="4530" w:type="dxa"/>
          </w:tcPr>
          <w:p w14:paraId="3A79270C" w14:textId="77777777" w:rsidR="00A668B2" w:rsidRPr="00A668B2" w:rsidRDefault="00A668B2" w:rsidP="00A668B2">
            <w:pPr>
              <w:pStyle w:val="TableText"/>
              <w:rPr>
                <w:lang w:eastAsia="ja-JP"/>
              </w:rPr>
            </w:pPr>
            <w:r w:rsidRPr="00A668B2">
              <w:rPr>
                <w:lang w:eastAsia="ja-JP"/>
              </w:rPr>
              <w:t>$38 (Foot-and-mouth disease levy)</w:t>
            </w:r>
          </w:p>
        </w:tc>
      </w:tr>
      <w:tr w:rsidR="00A668B2" w:rsidRPr="00A668B2" w14:paraId="2553AB38" w14:textId="77777777" w:rsidTr="00A668B2">
        <w:tc>
          <w:tcPr>
            <w:tcW w:w="4530" w:type="dxa"/>
          </w:tcPr>
          <w:p w14:paraId="100C622B" w14:textId="77777777" w:rsidR="00A668B2" w:rsidRPr="00A668B2" w:rsidRDefault="00A668B2" w:rsidP="00A668B2">
            <w:pPr>
              <w:pStyle w:val="TableText"/>
              <w:rPr>
                <w:lang w:eastAsia="ja-JP"/>
              </w:rPr>
            </w:pPr>
            <w:r w:rsidRPr="00A668B2">
              <w:rPr>
                <w:lang w:eastAsia="ja-JP"/>
              </w:rPr>
              <w:t>2008</w:t>
            </w:r>
          </w:p>
        </w:tc>
        <w:tc>
          <w:tcPr>
            <w:tcW w:w="4530" w:type="dxa"/>
          </w:tcPr>
          <w:p w14:paraId="461EC40B" w14:textId="77777777" w:rsidR="00A668B2" w:rsidRPr="00A668B2" w:rsidRDefault="00A668B2" w:rsidP="00A668B2">
            <w:pPr>
              <w:pStyle w:val="TableText"/>
              <w:rPr>
                <w:lang w:eastAsia="ja-JP"/>
              </w:rPr>
            </w:pPr>
            <w:r w:rsidRPr="00A668B2">
              <w:rPr>
                <w:lang w:eastAsia="ja-JP"/>
              </w:rPr>
              <w:t xml:space="preserve">$47 (National aviation security measures) </w:t>
            </w:r>
          </w:p>
        </w:tc>
      </w:tr>
      <w:tr w:rsidR="00A668B2" w:rsidRPr="00A668B2" w14:paraId="3B68E776" w14:textId="77777777" w:rsidTr="00A668B2">
        <w:tc>
          <w:tcPr>
            <w:tcW w:w="4530" w:type="dxa"/>
          </w:tcPr>
          <w:p w14:paraId="15DC594A" w14:textId="77777777" w:rsidR="00A668B2" w:rsidRPr="00A668B2" w:rsidRDefault="00A668B2" w:rsidP="00A668B2">
            <w:pPr>
              <w:pStyle w:val="TableText"/>
              <w:rPr>
                <w:lang w:eastAsia="ja-JP"/>
              </w:rPr>
            </w:pPr>
            <w:r w:rsidRPr="00A668B2">
              <w:rPr>
                <w:lang w:eastAsia="ja-JP"/>
              </w:rPr>
              <w:t>2012</w:t>
            </w:r>
          </w:p>
        </w:tc>
        <w:tc>
          <w:tcPr>
            <w:tcW w:w="4530" w:type="dxa"/>
          </w:tcPr>
          <w:p w14:paraId="415A2C79" w14:textId="77777777" w:rsidR="00A668B2" w:rsidRPr="00A668B2" w:rsidRDefault="00A668B2" w:rsidP="00A668B2">
            <w:pPr>
              <w:pStyle w:val="TableText"/>
              <w:rPr>
                <w:lang w:eastAsia="ja-JP"/>
              </w:rPr>
            </w:pPr>
            <w:r w:rsidRPr="00A668B2">
              <w:rPr>
                <w:lang w:eastAsia="ja-JP"/>
              </w:rPr>
              <w:t>$55 (Asian marketing fund &amp; tourism industry regional development grant)</w:t>
            </w:r>
          </w:p>
        </w:tc>
      </w:tr>
      <w:tr w:rsidR="00BF0F34" w:rsidRPr="00A668B2" w14:paraId="2D68DA1B" w14:textId="77777777" w:rsidTr="00A668B2">
        <w:tc>
          <w:tcPr>
            <w:tcW w:w="4530" w:type="dxa"/>
          </w:tcPr>
          <w:p w14:paraId="3EC8F96B" w14:textId="407FD56C" w:rsidR="00BF0F34" w:rsidRPr="00BF0F34" w:rsidRDefault="00265C8D" w:rsidP="00265C8D">
            <w:pPr>
              <w:pStyle w:val="TableText"/>
              <w:rPr>
                <w:lang w:eastAsia="ja-JP"/>
              </w:rPr>
            </w:pPr>
            <w:r>
              <w:rPr>
                <w:lang w:eastAsia="ja-JP"/>
              </w:rPr>
              <w:t>From 1 July 2</w:t>
            </w:r>
            <w:r w:rsidR="00BF0F34" w:rsidRPr="00BF0F34">
              <w:rPr>
                <w:lang w:eastAsia="ja-JP"/>
              </w:rPr>
              <w:t>017</w:t>
            </w:r>
          </w:p>
        </w:tc>
        <w:tc>
          <w:tcPr>
            <w:tcW w:w="4530" w:type="dxa"/>
          </w:tcPr>
          <w:p w14:paraId="3F1540EF" w14:textId="3F1964A5" w:rsidR="00BF0F34" w:rsidRPr="00BF0F34" w:rsidRDefault="00BF0F34" w:rsidP="00595669">
            <w:pPr>
              <w:pStyle w:val="TableText"/>
              <w:rPr>
                <w:lang w:eastAsia="ja-JP"/>
              </w:rPr>
            </w:pPr>
            <w:r w:rsidRPr="00BF0F34">
              <w:rPr>
                <w:lang w:eastAsia="ja-JP"/>
              </w:rPr>
              <w:t>$60</w:t>
            </w:r>
            <w:r>
              <w:rPr>
                <w:lang w:eastAsia="ja-JP"/>
              </w:rPr>
              <w:t xml:space="preserve"> (</w:t>
            </w:r>
            <w:r w:rsidR="00595669">
              <w:rPr>
                <w:lang w:eastAsia="ja-JP"/>
              </w:rPr>
              <w:t xml:space="preserve">part of </w:t>
            </w:r>
            <w:r>
              <w:rPr>
                <w:lang w:eastAsia="ja-JP"/>
              </w:rPr>
              <w:t>changes to the Australian Government’s working holiday maker reform package)</w:t>
            </w:r>
          </w:p>
        </w:tc>
      </w:tr>
    </w:tbl>
    <w:p w14:paraId="42847AF9" w14:textId="1BCEA5E0" w:rsidR="002749BD" w:rsidRDefault="00871C56" w:rsidP="00871C56">
      <w:pPr>
        <w:pStyle w:val="FigureTableNoteSource"/>
      </w:pPr>
      <w:r>
        <w:t>Sour</w:t>
      </w:r>
      <w:r w:rsidR="003B1A0F">
        <w:t>ce: Tourism and Transport Forum</w:t>
      </w:r>
      <w:r w:rsidR="002C5E6C">
        <w:t>.</w:t>
      </w:r>
    </w:p>
    <w:p w14:paraId="6F6E8BE1" w14:textId="21E8C2F9" w:rsidR="00993ED6" w:rsidRPr="00F4476B" w:rsidRDefault="00993ED6" w:rsidP="00993ED6">
      <w:pPr>
        <w:pStyle w:val="Caption"/>
        <w:rPr>
          <w:sz w:val="22"/>
          <w:szCs w:val="22"/>
          <w:lang w:eastAsia="ja-JP"/>
        </w:rPr>
      </w:pPr>
      <w:bookmarkStart w:id="219" w:name="_Ref467504739"/>
      <w:bookmarkStart w:id="220" w:name="_Toc468176731"/>
      <w:r w:rsidRPr="00F4476B">
        <w:rPr>
          <w:sz w:val="22"/>
          <w:szCs w:val="22"/>
        </w:rPr>
        <w:t xml:space="preserve">Table </w:t>
      </w:r>
      <w:r w:rsidR="00D56373" w:rsidRPr="00F4476B">
        <w:rPr>
          <w:sz w:val="22"/>
          <w:szCs w:val="22"/>
        </w:rPr>
        <w:fldChar w:fldCharType="begin"/>
      </w:r>
      <w:r w:rsidR="00D56373" w:rsidRPr="00F4476B">
        <w:rPr>
          <w:sz w:val="22"/>
          <w:szCs w:val="22"/>
        </w:rPr>
        <w:instrText xml:space="preserve"> SEQ Table \* ARABIC </w:instrText>
      </w:r>
      <w:r w:rsidR="00D56373" w:rsidRPr="00F4476B">
        <w:rPr>
          <w:sz w:val="22"/>
          <w:szCs w:val="22"/>
        </w:rPr>
        <w:fldChar w:fldCharType="separate"/>
      </w:r>
      <w:r w:rsidR="008303E2">
        <w:rPr>
          <w:noProof/>
          <w:sz w:val="22"/>
          <w:szCs w:val="22"/>
        </w:rPr>
        <w:t>10</w:t>
      </w:r>
      <w:r w:rsidR="00D56373" w:rsidRPr="00F4476B">
        <w:rPr>
          <w:noProof/>
          <w:sz w:val="22"/>
          <w:szCs w:val="22"/>
        </w:rPr>
        <w:fldChar w:fldCharType="end"/>
      </w:r>
      <w:bookmarkEnd w:id="219"/>
      <w:r w:rsidR="007C1C69" w:rsidRPr="00F4476B">
        <w:rPr>
          <w:sz w:val="22"/>
          <w:szCs w:val="22"/>
        </w:rPr>
        <w:t>:</w:t>
      </w:r>
      <w:r w:rsidRPr="00F4476B">
        <w:rPr>
          <w:sz w:val="22"/>
          <w:szCs w:val="22"/>
        </w:rPr>
        <w:t xml:space="preserve"> PMC revenue collected from 2008–09</w:t>
      </w:r>
      <w:r w:rsidR="00200ACE" w:rsidRPr="00F4476B">
        <w:rPr>
          <w:sz w:val="22"/>
          <w:szCs w:val="22"/>
        </w:rPr>
        <w:t xml:space="preserve"> to 2015–16</w:t>
      </w:r>
      <w:bookmarkEnd w:id="22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993ED6" w:rsidRPr="00993ED6" w14:paraId="051BF315" w14:textId="77777777" w:rsidTr="0049641D">
        <w:trPr>
          <w:tblHeader/>
        </w:trPr>
        <w:tc>
          <w:tcPr>
            <w:tcW w:w="4530" w:type="dxa"/>
          </w:tcPr>
          <w:p w14:paraId="7EF92661" w14:textId="77777777" w:rsidR="00993ED6" w:rsidRPr="00993ED6" w:rsidRDefault="00993ED6" w:rsidP="0049641D">
            <w:pPr>
              <w:pStyle w:val="TableHeading"/>
              <w:rPr>
                <w:lang w:eastAsia="ja-JP"/>
              </w:rPr>
            </w:pPr>
            <w:r w:rsidRPr="00993ED6">
              <w:rPr>
                <w:lang w:eastAsia="ja-JP"/>
              </w:rPr>
              <w:t>Year</w:t>
            </w:r>
          </w:p>
        </w:tc>
        <w:tc>
          <w:tcPr>
            <w:tcW w:w="4530" w:type="dxa"/>
          </w:tcPr>
          <w:p w14:paraId="40218293" w14:textId="77777777" w:rsidR="00D17555" w:rsidRDefault="00993ED6" w:rsidP="00D17555">
            <w:pPr>
              <w:pStyle w:val="TableHeading"/>
              <w:jc w:val="right"/>
              <w:rPr>
                <w:lang w:eastAsia="ja-JP"/>
              </w:rPr>
            </w:pPr>
            <w:r w:rsidRPr="00993ED6">
              <w:rPr>
                <w:lang w:eastAsia="ja-JP"/>
              </w:rPr>
              <w:t xml:space="preserve">PMC </w:t>
            </w:r>
            <w:r w:rsidR="00D17555">
              <w:rPr>
                <w:lang w:eastAsia="ja-JP"/>
              </w:rPr>
              <w:t>revenue</w:t>
            </w:r>
            <w:r w:rsidRPr="00993ED6">
              <w:rPr>
                <w:lang w:eastAsia="ja-JP"/>
              </w:rPr>
              <w:t xml:space="preserve"> </w:t>
            </w:r>
          </w:p>
          <w:p w14:paraId="374249F4" w14:textId="609B2129" w:rsidR="00993ED6" w:rsidRPr="00993ED6" w:rsidRDefault="00D17555" w:rsidP="00D17555">
            <w:pPr>
              <w:pStyle w:val="TableHeading"/>
              <w:jc w:val="right"/>
              <w:rPr>
                <w:lang w:eastAsia="ja-JP"/>
              </w:rPr>
            </w:pPr>
            <w:r>
              <w:rPr>
                <w:lang w:eastAsia="ja-JP"/>
              </w:rPr>
              <w:t>($’000)</w:t>
            </w:r>
          </w:p>
        </w:tc>
      </w:tr>
      <w:tr w:rsidR="00993ED6" w:rsidRPr="00993ED6" w14:paraId="07810ABD" w14:textId="77777777" w:rsidTr="0049641D">
        <w:tc>
          <w:tcPr>
            <w:tcW w:w="4530" w:type="dxa"/>
          </w:tcPr>
          <w:p w14:paraId="1C490D26" w14:textId="77777777" w:rsidR="00993ED6" w:rsidRPr="00993ED6" w:rsidRDefault="00993ED6" w:rsidP="007C1C69">
            <w:pPr>
              <w:pStyle w:val="TableText"/>
              <w:rPr>
                <w:lang w:eastAsia="ja-JP"/>
              </w:rPr>
            </w:pPr>
            <w:r w:rsidRPr="00993ED6">
              <w:rPr>
                <w:lang w:eastAsia="ja-JP"/>
              </w:rPr>
              <w:t>2008</w:t>
            </w:r>
            <w:r w:rsidR="007C1C69">
              <w:rPr>
                <w:lang w:eastAsia="ja-JP"/>
              </w:rPr>
              <w:t>–</w:t>
            </w:r>
            <w:r w:rsidRPr="00993ED6">
              <w:rPr>
                <w:lang w:eastAsia="ja-JP"/>
              </w:rPr>
              <w:t>09</w:t>
            </w:r>
          </w:p>
        </w:tc>
        <w:tc>
          <w:tcPr>
            <w:tcW w:w="4530" w:type="dxa"/>
          </w:tcPr>
          <w:p w14:paraId="398A3E33" w14:textId="051EC517" w:rsidR="00993ED6" w:rsidRPr="00993ED6" w:rsidRDefault="0023494D" w:rsidP="0049641D">
            <w:pPr>
              <w:pStyle w:val="TableText"/>
              <w:jc w:val="right"/>
              <w:rPr>
                <w:lang w:eastAsia="ja-JP"/>
              </w:rPr>
            </w:pPr>
            <w:r>
              <w:rPr>
                <w:lang w:eastAsia="ja-JP"/>
              </w:rPr>
              <w:t>502,810</w:t>
            </w:r>
          </w:p>
        </w:tc>
      </w:tr>
      <w:tr w:rsidR="00993ED6" w:rsidRPr="00993ED6" w14:paraId="60EC62D2" w14:textId="77777777" w:rsidTr="0049641D">
        <w:tc>
          <w:tcPr>
            <w:tcW w:w="4530" w:type="dxa"/>
          </w:tcPr>
          <w:p w14:paraId="7C85B0D3" w14:textId="77777777" w:rsidR="00993ED6" w:rsidRPr="00993ED6" w:rsidRDefault="00993ED6" w:rsidP="007C1C69">
            <w:pPr>
              <w:pStyle w:val="TableText"/>
              <w:rPr>
                <w:lang w:eastAsia="ja-JP"/>
              </w:rPr>
            </w:pPr>
            <w:r w:rsidRPr="00993ED6">
              <w:rPr>
                <w:lang w:eastAsia="ja-JP"/>
              </w:rPr>
              <w:t>2009</w:t>
            </w:r>
            <w:r w:rsidR="007C1C69">
              <w:rPr>
                <w:lang w:eastAsia="ja-JP"/>
              </w:rPr>
              <w:t>–</w:t>
            </w:r>
            <w:r w:rsidRPr="00993ED6">
              <w:rPr>
                <w:lang w:eastAsia="ja-JP"/>
              </w:rPr>
              <w:t>10</w:t>
            </w:r>
          </w:p>
        </w:tc>
        <w:tc>
          <w:tcPr>
            <w:tcW w:w="4530" w:type="dxa"/>
          </w:tcPr>
          <w:p w14:paraId="2FDD8963" w14:textId="18B2F362" w:rsidR="00993ED6" w:rsidRPr="00993ED6" w:rsidRDefault="0023494D" w:rsidP="0049641D">
            <w:pPr>
              <w:pStyle w:val="TableText"/>
              <w:jc w:val="right"/>
              <w:rPr>
                <w:lang w:eastAsia="ja-JP"/>
              </w:rPr>
            </w:pPr>
            <w:r>
              <w:rPr>
                <w:lang w:eastAsia="ja-JP"/>
              </w:rPr>
              <w:t>571,322</w:t>
            </w:r>
          </w:p>
        </w:tc>
      </w:tr>
      <w:tr w:rsidR="00993ED6" w:rsidRPr="00993ED6" w14:paraId="4C4B42F6" w14:textId="77777777" w:rsidTr="0049641D">
        <w:tc>
          <w:tcPr>
            <w:tcW w:w="4530" w:type="dxa"/>
          </w:tcPr>
          <w:p w14:paraId="6797F38B" w14:textId="77777777" w:rsidR="00993ED6" w:rsidRPr="00993ED6" w:rsidRDefault="00993ED6" w:rsidP="007C1C69">
            <w:pPr>
              <w:pStyle w:val="TableText"/>
              <w:rPr>
                <w:lang w:eastAsia="ja-JP"/>
              </w:rPr>
            </w:pPr>
            <w:r w:rsidRPr="00993ED6">
              <w:rPr>
                <w:lang w:eastAsia="ja-JP"/>
              </w:rPr>
              <w:t>2010</w:t>
            </w:r>
            <w:r w:rsidR="007C1C69">
              <w:rPr>
                <w:lang w:eastAsia="ja-JP"/>
              </w:rPr>
              <w:t>–</w:t>
            </w:r>
            <w:r w:rsidRPr="00993ED6">
              <w:rPr>
                <w:lang w:eastAsia="ja-JP"/>
              </w:rPr>
              <w:t>11</w:t>
            </w:r>
          </w:p>
        </w:tc>
        <w:tc>
          <w:tcPr>
            <w:tcW w:w="4530" w:type="dxa"/>
          </w:tcPr>
          <w:p w14:paraId="4B6712DB" w14:textId="0690B0D2" w:rsidR="00993ED6" w:rsidRPr="00993ED6" w:rsidRDefault="0023494D" w:rsidP="0049641D">
            <w:pPr>
              <w:pStyle w:val="TableText"/>
              <w:jc w:val="right"/>
              <w:rPr>
                <w:lang w:eastAsia="ja-JP"/>
              </w:rPr>
            </w:pPr>
            <w:r>
              <w:rPr>
                <w:lang w:eastAsia="ja-JP"/>
              </w:rPr>
              <w:t>615,469</w:t>
            </w:r>
          </w:p>
        </w:tc>
      </w:tr>
      <w:tr w:rsidR="00993ED6" w:rsidRPr="00993ED6" w14:paraId="3563AB72" w14:textId="77777777" w:rsidTr="0049641D">
        <w:tc>
          <w:tcPr>
            <w:tcW w:w="4530" w:type="dxa"/>
          </w:tcPr>
          <w:p w14:paraId="7E54A451" w14:textId="77777777" w:rsidR="00993ED6" w:rsidRPr="00993ED6" w:rsidRDefault="00993ED6" w:rsidP="007C1C69">
            <w:pPr>
              <w:pStyle w:val="TableText"/>
              <w:rPr>
                <w:lang w:eastAsia="ja-JP"/>
              </w:rPr>
            </w:pPr>
            <w:r w:rsidRPr="00993ED6">
              <w:rPr>
                <w:lang w:eastAsia="ja-JP"/>
              </w:rPr>
              <w:t>2011</w:t>
            </w:r>
            <w:r w:rsidR="007C1C69">
              <w:rPr>
                <w:lang w:eastAsia="ja-JP"/>
              </w:rPr>
              <w:t>–</w:t>
            </w:r>
            <w:r w:rsidRPr="00993ED6">
              <w:rPr>
                <w:lang w:eastAsia="ja-JP"/>
              </w:rPr>
              <w:t>12</w:t>
            </w:r>
          </w:p>
        </w:tc>
        <w:tc>
          <w:tcPr>
            <w:tcW w:w="4530" w:type="dxa"/>
          </w:tcPr>
          <w:p w14:paraId="1030A62C" w14:textId="4523D3E4" w:rsidR="00993ED6" w:rsidRPr="00993ED6" w:rsidRDefault="0023494D" w:rsidP="0049641D">
            <w:pPr>
              <w:pStyle w:val="TableText"/>
              <w:jc w:val="right"/>
              <w:rPr>
                <w:lang w:eastAsia="ja-JP"/>
              </w:rPr>
            </w:pPr>
            <w:r>
              <w:rPr>
                <w:lang w:eastAsia="ja-JP"/>
              </w:rPr>
              <w:t>646,343</w:t>
            </w:r>
          </w:p>
        </w:tc>
      </w:tr>
      <w:tr w:rsidR="00993ED6" w:rsidRPr="00993ED6" w14:paraId="4CD09B91" w14:textId="77777777" w:rsidTr="0049641D">
        <w:tc>
          <w:tcPr>
            <w:tcW w:w="4530" w:type="dxa"/>
          </w:tcPr>
          <w:p w14:paraId="4BB4F680" w14:textId="77777777" w:rsidR="00993ED6" w:rsidRPr="00993ED6" w:rsidRDefault="00993ED6" w:rsidP="007C1C69">
            <w:pPr>
              <w:pStyle w:val="TableText"/>
              <w:rPr>
                <w:lang w:eastAsia="ja-JP"/>
              </w:rPr>
            </w:pPr>
            <w:r w:rsidRPr="00993ED6">
              <w:rPr>
                <w:lang w:eastAsia="ja-JP"/>
              </w:rPr>
              <w:t>2012</w:t>
            </w:r>
            <w:r w:rsidR="007C1C69">
              <w:rPr>
                <w:lang w:eastAsia="ja-JP"/>
              </w:rPr>
              <w:t>–</w:t>
            </w:r>
            <w:r w:rsidRPr="00993ED6">
              <w:rPr>
                <w:lang w:eastAsia="ja-JP"/>
              </w:rPr>
              <w:t>13</w:t>
            </w:r>
          </w:p>
        </w:tc>
        <w:tc>
          <w:tcPr>
            <w:tcW w:w="4530" w:type="dxa"/>
          </w:tcPr>
          <w:p w14:paraId="78616E47" w14:textId="55193D27" w:rsidR="00993ED6" w:rsidRPr="00993ED6" w:rsidRDefault="0023494D" w:rsidP="0049641D">
            <w:pPr>
              <w:pStyle w:val="TableText"/>
              <w:jc w:val="right"/>
              <w:rPr>
                <w:lang w:eastAsia="ja-JP"/>
              </w:rPr>
            </w:pPr>
            <w:r>
              <w:rPr>
                <w:lang w:eastAsia="ja-JP"/>
              </w:rPr>
              <w:t>776,991</w:t>
            </w:r>
          </w:p>
        </w:tc>
      </w:tr>
      <w:tr w:rsidR="00993ED6" w:rsidRPr="00993ED6" w14:paraId="74FF09FC" w14:textId="77777777" w:rsidTr="0049641D">
        <w:tc>
          <w:tcPr>
            <w:tcW w:w="4530" w:type="dxa"/>
          </w:tcPr>
          <w:p w14:paraId="79ECFA97" w14:textId="77777777" w:rsidR="00993ED6" w:rsidRPr="00993ED6" w:rsidRDefault="00993ED6" w:rsidP="007C1C69">
            <w:pPr>
              <w:pStyle w:val="TableText"/>
              <w:rPr>
                <w:lang w:eastAsia="ja-JP"/>
              </w:rPr>
            </w:pPr>
            <w:r w:rsidRPr="00993ED6">
              <w:rPr>
                <w:lang w:eastAsia="ja-JP"/>
              </w:rPr>
              <w:t>2013</w:t>
            </w:r>
            <w:r w:rsidR="007C1C69">
              <w:rPr>
                <w:lang w:eastAsia="ja-JP"/>
              </w:rPr>
              <w:t>–</w:t>
            </w:r>
            <w:r w:rsidRPr="00993ED6">
              <w:rPr>
                <w:lang w:eastAsia="ja-JP"/>
              </w:rPr>
              <w:t>14</w:t>
            </w:r>
          </w:p>
        </w:tc>
        <w:tc>
          <w:tcPr>
            <w:tcW w:w="4530" w:type="dxa"/>
          </w:tcPr>
          <w:p w14:paraId="135668CC" w14:textId="3D1C2072" w:rsidR="00993ED6" w:rsidRPr="00993ED6" w:rsidRDefault="0023494D" w:rsidP="0049641D">
            <w:pPr>
              <w:pStyle w:val="TableText"/>
              <w:jc w:val="right"/>
              <w:rPr>
                <w:lang w:eastAsia="ja-JP"/>
              </w:rPr>
            </w:pPr>
            <w:r>
              <w:rPr>
                <w:lang w:eastAsia="ja-JP"/>
              </w:rPr>
              <w:t>846,611</w:t>
            </w:r>
          </w:p>
        </w:tc>
      </w:tr>
      <w:tr w:rsidR="00993ED6" w:rsidRPr="00993ED6" w14:paraId="7E1E659C" w14:textId="77777777" w:rsidTr="0049641D">
        <w:tc>
          <w:tcPr>
            <w:tcW w:w="4530" w:type="dxa"/>
          </w:tcPr>
          <w:p w14:paraId="772F0B5E" w14:textId="77777777" w:rsidR="00993ED6" w:rsidRPr="00993ED6" w:rsidRDefault="00993ED6" w:rsidP="007C1C69">
            <w:pPr>
              <w:pStyle w:val="TableText"/>
              <w:rPr>
                <w:lang w:eastAsia="ja-JP"/>
              </w:rPr>
            </w:pPr>
            <w:r w:rsidRPr="00993ED6">
              <w:rPr>
                <w:lang w:eastAsia="ja-JP"/>
              </w:rPr>
              <w:t>2014</w:t>
            </w:r>
            <w:r w:rsidR="007C1C69">
              <w:rPr>
                <w:lang w:eastAsia="ja-JP"/>
              </w:rPr>
              <w:t>–</w:t>
            </w:r>
            <w:r w:rsidRPr="00993ED6">
              <w:rPr>
                <w:lang w:eastAsia="ja-JP"/>
              </w:rPr>
              <w:t>15</w:t>
            </w:r>
          </w:p>
        </w:tc>
        <w:tc>
          <w:tcPr>
            <w:tcW w:w="4530" w:type="dxa"/>
          </w:tcPr>
          <w:p w14:paraId="62D41B0B" w14:textId="49D679D4" w:rsidR="00993ED6" w:rsidRPr="00993ED6" w:rsidRDefault="0023494D" w:rsidP="0049641D">
            <w:pPr>
              <w:pStyle w:val="TableText"/>
              <w:jc w:val="right"/>
              <w:rPr>
                <w:lang w:eastAsia="ja-JP"/>
              </w:rPr>
            </w:pPr>
            <w:r>
              <w:rPr>
                <w:lang w:eastAsia="ja-JP"/>
              </w:rPr>
              <w:t>881,298</w:t>
            </w:r>
          </w:p>
        </w:tc>
      </w:tr>
      <w:tr w:rsidR="00993ED6" w:rsidRPr="00993ED6" w14:paraId="6762F33C" w14:textId="77777777" w:rsidTr="0049641D">
        <w:tc>
          <w:tcPr>
            <w:tcW w:w="4530" w:type="dxa"/>
          </w:tcPr>
          <w:p w14:paraId="6F2D1219" w14:textId="77777777" w:rsidR="00993ED6" w:rsidRPr="00993ED6" w:rsidRDefault="00993ED6" w:rsidP="007C1C69">
            <w:pPr>
              <w:pStyle w:val="TableText"/>
              <w:rPr>
                <w:lang w:eastAsia="ja-JP"/>
              </w:rPr>
            </w:pPr>
            <w:r w:rsidRPr="00993ED6">
              <w:rPr>
                <w:lang w:eastAsia="ja-JP"/>
              </w:rPr>
              <w:t>2015</w:t>
            </w:r>
            <w:r w:rsidR="007C1C69">
              <w:rPr>
                <w:lang w:eastAsia="ja-JP"/>
              </w:rPr>
              <w:t>–</w:t>
            </w:r>
            <w:r w:rsidRPr="00993ED6">
              <w:rPr>
                <w:lang w:eastAsia="ja-JP"/>
              </w:rPr>
              <w:t>16</w:t>
            </w:r>
          </w:p>
        </w:tc>
        <w:tc>
          <w:tcPr>
            <w:tcW w:w="4530" w:type="dxa"/>
          </w:tcPr>
          <w:p w14:paraId="2F1C2FCF" w14:textId="62E1A87A" w:rsidR="00993ED6" w:rsidRPr="00993ED6" w:rsidRDefault="0023494D" w:rsidP="0049641D">
            <w:pPr>
              <w:pStyle w:val="TableText"/>
              <w:jc w:val="right"/>
              <w:rPr>
                <w:lang w:eastAsia="ja-JP"/>
              </w:rPr>
            </w:pPr>
            <w:r>
              <w:rPr>
                <w:lang w:eastAsia="ja-JP"/>
              </w:rPr>
              <w:t>913,468</w:t>
            </w:r>
          </w:p>
        </w:tc>
      </w:tr>
    </w:tbl>
    <w:p w14:paraId="5A1A393C" w14:textId="48487323" w:rsidR="00993ED6" w:rsidRDefault="007C1C69" w:rsidP="007C1C69">
      <w:pPr>
        <w:pStyle w:val="FigureTableNoteSource"/>
        <w:rPr>
          <w:lang w:eastAsia="ja-JP"/>
        </w:rPr>
      </w:pPr>
      <w:r>
        <w:rPr>
          <w:lang w:eastAsia="ja-JP"/>
        </w:rPr>
        <w:t xml:space="preserve">Source: </w:t>
      </w:r>
      <w:r w:rsidR="002C5E6C">
        <w:rPr>
          <w:lang w:eastAsia="ja-JP"/>
        </w:rPr>
        <w:t xml:space="preserve">Australian Government </w:t>
      </w:r>
      <w:r>
        <w:rPr>
          <w:lang w:eastAsia="ja-JP"/>
        </w:rPr>
        <w:t>Department of Immigration and Border Protection annual reports</w:t>
      </w:r>
      <w:r w:rsidR="0058763C">
        <w:rPr>
          <w:lang w:eastAsia="ja-JP"/>
        </w:rPr>
        <w:t xml:space="preserve"> 2008–09 to 2015–16.</w:t>
      </w:r>
    </w:p>
    <w:p w14:paraId="606CA61F" w14:textId="5F2B87E8" w:rsidR="00B6712A" w:rsidRDefault="00B6712A" w:rsidP="00B6712A">
      <w:pPr>
        <w:rPr>
          <w:lang w:eastAsia="ja-JP"/>
        </w:rPr>
      </w:pPr>
      <w:r>
        <w:rPr>
          <w:lang w:eastAsia="ja-JP"/>
        </w:rPr>
        <w:t>The Review Panel has already suggested the introduction of an incoming passenger charge to fund cross-sectoral biosecurity research and innovation (</w:t>
      </w:r>
      <w:hyperlink w:anchor="_Research_and_innovation" w:history="1">
        <w:r w:rsidRPr="00B6712A">
          <w:rPr>
            <w:rStyle w:val="Hyperlink"/>
            <w:lang w:eastAsia="ja-JP"/>
          </w:rPr>
          <w:t>Chapter 6</w:t>
        </w:r>
      </w:hyperlink>
      <w:r>
        <w:rPr>
          <w:lang w:eastAsia="ja-JP"/>
        </w:rPr>
        <w:t xml:space="preserve">). While the Panel favours the introduction of a new charge for this purpose, the charge could, if desired, also be directed to funding other specific components of the national biosecurity system. The Panel, however, recommends any charge (or increase) be more clearly linked to biosecurity, risks, activities and outcomes, including awareness raising. </w:t>
      </w:r>
    </w:p>
    <w:p w14:paraId="77CB64C3" w14:textId="569A5E73" w:rsidR="00993ED6" w:rsidRDefault="00B6712A" w:rsidP="00BE42A6">
      <w:pPr>
        <w:rPr>
          <w:lang w:eastAsia="ja-JP"/>
        </w:rPr>
      </w:pPr>
      <w:r>
        <w:rPr>
          <w:lang w:eastAsia="ja-JP"/>
        </w:rPr>
        <w:t>By way of precedent, in January 2016, the New Zealand Government imposed an additional border clearance levy of NZ$18.76 for air passengers and NZ</w:t>
      </w:r>
      <w:r w:rsidR="00656B6B">
        <w:rPr>
          <w:lang w:eastAsia="ja-JP"/>
        </w:rPr>
        <w:t>$</w:t>
      </w:r>
      <w:r>
        <w:rPr>
          <w:lang w:eastAsia="ja-JP"/>
        </w:rPr>
        <w:t>22.80 for cruise ship passengers, to be directed towards recovering biosecurity and border protection costs. This charge is additional to New Zealand’s existing passenger service charges (a NZ$</w:t>
      </w:r>
      <w:r w:rsidR="00656B6B">
        <w:rPr>
          <w:lang w:eastAsia="ja-JP"/>
        </w:rPr>
        <w:t>1</w:t>
      </w:r>
      <w:r>
        <w:rPr>
          <w:lang w:eastAsia="ja-JP"/>
        </w:rPr>
        <w:t>2.50 charge to both incoming and outgoing passengers).</w:t>
      </w:r>
    </w:p>
    <w:p w14:paraId="50E58EC4" w14:textId="77777777" w:rsidR="00596255" w:rsidRDefault="00596255" w:rsidP="00596255">
      <w:pPr>
        <w:pStyle w:val="Heading2"/>
      </w:pPr>
      <w:bookmarkStart w:id="221" w:name="_Toc469654758"/>
      <w:r>
        <w:lastRenderedPageBreak/>
        <w:t>Measuring system performance</w:t>
      </w:r>
      <w:bookmarkEnd w:id="221"/>
    </w:p>
    <w:p w14:paraId="11A2CDD9" w14:textId="77777777" w:rsidR="00623C6D" w:rsidRPr="00DD56BE" w:rsidRDefault="00623C6D" w:rsidP="00623C6D">
      <w:pPr>
        <w:pStyle w:val="BoxHeading"/>
        <w:rPr>
          <w:sz w:val="22"/>
          <w:lang w:eastAsia="ja-JP"/>
        </w:rPr>
      </w:pPr>
      <w:r w:rsidRPr="00DD56BE">
        <w:rPr>
          <w:sz w:val="22"/>
          <w:lang w:eastAsia="ja-JP"/>
        </w:rPr>
        <w:t>Key points</w:t>
      </w:r>
    </w:p>
    <w:p w14:paraId="2DBFACBD" w14:textId="77777777" w:rsidR="00623C6D" w:rsidRPr="00DD56BE" w:rsidRDefault="00623C6D" w:rsidP="00623C6D">
      <w:pPr>
        <w:pStyle w:val="BoxTextBullet"/>
        <w:rPr>
          <w:sz w:val="22"/>
          <w:lang w:eastAsia="ja-JP"/>
        </w:rPr>
      </w:pPr>
      <w:r w:rsidRPr="00DD56BE">
        <w:rPr>
          <w:sz w:val="22"/>
          <w:lang w:eastAsia="ja-JP"/>
        </w:rPr>
        <w:t>Evidence suggests the national biosecurity system continues to protect Australia from many exotic pests and diseases.</w:t>
      </w:r>
    </w:p>
    <w:p w14:paraId="2D529D43" w14:textId="033D89AB" w:rsidR="00623C6D" w:rsidRPr="00DD56BE" w:rsidRDefault="00623C6D" w:rsidP="00623C6D">
      <w:pPr>
        <w:pStyle w:val="BoxTextBullet"/>
        <w:rPr>
          <w:sz w:val="22"/>
          <w:lang w:eastAsia="ja-JP"/>
        </w:rPr>
      </w:pPr>
      <w:r w:rsidRPr="00DD56BE">
        <w:rPr>
          <w:sz w:val="22"/>
          <w:lang w:eastAsia="ja-JP"/>
        </w:rPr>
        <w:t>Developing performance measures to assess whether the national</w:t>
      </w:r>
      <w:r w:rsidR="00656B6B">
        <w:rPr>
          <w:sz w:val="22"/>
          <w:lang w:eastAsia="ja-JP"/>
        </w:rPr>
        <w:t xml:space="preserve"> biosecurity</w:t>
      </w:r>
      <w:r w:rsidRPr="00DD56BE">
        <w:rPr>
          <w:sz w:val="22"/>
          <w:lang w:eastAsia="ja-JP"/>
        </w:rPr>
        <w:t xml:space="preserve"> system as a whole, or different aspects of the system, are meeting the agreed goals and objectives</w:t>
      </w:r>
      <w:r w:rsidR="00343658" w:rsidRPr="00DD56BE">
        <w:rPr>
          <w:sz w:val="22"/>
          <w:lang w:eastAsia="ja-JP"/>
        </w:rPr>
        <w:t>,</w:t>
      </w:r>
      <w:r w:rsidRPr="00DD56BE">
        <w:rPr>
          <w:sz w:val="22"/>
          <w:lang w:eastAsia="ja-JP"/>
        </w:rPr>
        <w:t xml:space="preserve"> should be actioned under IGAB</w:t>
      </w:r>
      <w:r w:rsidR="00680D2F" w:rsidRPr="00DD56BE">
        <w:rPr>
          <w:sz w:val="22"/>
          <w:lang w:eastAsia="ja-JP"/>
        </w:rPr>
        <w:t>2</w:t>
      </w:r>
      <w:r w:rsidRPr="00DD56BE">
        <w:rPr>
          <w:sz w:val="22"/>
          <w:lang w:eastAsia="ja-JP"/>
        </w:rPr>
        <w:t>.</w:t>
      </w:r>
    </w:p>
    <w:p w14:paraId="5567DB92" w14:textId="77777777" w:rsidR="00623C6D" w:rsidRPr="00DD56BE" w:rsidRDefault="005C4163" w:rsidP="00623C6D">
      <w:pPr>
        <w:pStyle w:val="BoxTextBullet"/>
        <w:rPr>
          <w:sz w:val="22"/>
          <w:lang w:eastAsia="ja-JP"/>
        </w:rPr>
      </w:pPr>
      <w:r w:rsidRPr="00DD56BE">
        <w:rPr>
          <w:sz w:val="22"/>
          <w:lang w:eastAsia="ja-JP"/>
        </w:rPr>
        <w:t>D</w:t>
      </w:r>
      <w:r w:rsidR="00623C6D" w:rsidRPr="00DD56BE">
        <w:rPr>
          <w:sz w:val="22"/>
          <w:lang w:eastAsia="ja-JP"/>
        </w:rPr>
        <w:t>ata sets needs to be agreed in advance to ensure trends can be reliably identified.</w:t>
      </w:r>
    </w:p>
    <w:p w14:paraId="0C5F4DC7" w14:textId="71AA8C2E" w:rsidR="00623C6D" w:rsidRPr="00DD56BE" w:rsidRDefault="00623C6D" w:rsidP="00623C6D">
      <w:pPr>
        <w:pStyle w:val="BoxTextBullet"/>
        <w:rPr>
          <w:sz w:val="22"/>
          <w:lang w:eastAsia="ja-JP"/>
        </w:rPr>
      </w:pPr>
      <w:r w:rsidRPr="00DD56BE">
        <w:rPr>
          <w:sz w:val="22"/>
          <w:lang w:eastAsia="ja-JP"/>
        </w:rPr>
        <w:t>Relying solely on</w:t>
      </w:r>
      <w:r w:rsidR="005C4163" w:rsidRPr="00DD56BE">
        <w:rPr>
          <w:sz w:val="22"/>
          <w:lang w:eastAsia="ja-JP"/>
        </w:rPr>
        <w:t xml:space="preserve"> administrative data and</w:t>
      </w:r>
      <w:r w:rsidRPr="00DD56BE">
        <w:rPr>
          <w:sz w:val="22"/>
          <w:lang w:eastAsia="ja-JP"/>
        </w:rPr>
        <w:t xml:space="preserve"> government sources for information</w:t>
      </w:r>
      <w:r w:rsidR="005C4163" w:rsidRPr="00DD56BE">
        <w:rPr>
          <w:sz w:val="22"/>
          <w:lang w:eastAsia="ja-JP"/>
        </w:rPr>
        <w:t xml:space="preserve"> </w:t>
      </w:r>
      <w:r w:rsidR="00656B6B">
        <w:rPr>
          <w:sz w:val="22"/>
          <w:lang w:eastAsia="ja-JP"/>
        </w:rPr>
        <w:t>will</w:t>
      </w:r>
      <w:r w:rsidR="005C4163" w:rsidRPr="00DD56BE">
        <w:rPr>
          <w:sz w:val="22"/>
          <w:lang w:eastAsia="ja-JP"/>
        </w:rPr>
        <w:t xml:space="preserve"> likely  lead to system performance</w:t>
      </w:r>
      <w:r w:rsidRPr="00DD56BE">
        <w:rPr>
          <w:sz w:val="22"/>
          <w:lang w:eastAsia="ja-JP"/>
        </w:rPr>
        <w:t xml:space="preserve"> and intelligence gaps.</w:t>
      </w:r>
    </w:p>
    <w:p w14:paraId="3F3787B0" w14:textId="7118393A" w:rsidR="00623C6D" w:rsidRPr="00DD56BE" w:rsidRDefault="00623C6D" w:rsidP="00623C6D">
      <w:pPr>
        <w:pStyle w:val="BoxTextBullet"/>
        <w:rPr>
          <w:sz w:val="22"/>
          <w:lang w:eastAsia="ja-JP"/>
        </w:rPr>
      </w:pPr>
      <w:r w:rsidRPr="00DD56BE">
        <w:rPr>
          <w:sz w:val="22"/>
          <w:lang w:eastAsia="ja-JP"/>
        </w:rPr>
        <w:t>All jurisdictions must contribute to national data and intelligence sharing efforts.</w:t>
      </w:r>
    </w:p>
    <w:p w14:paraId="505D2DD9" w14:textId="77777777" w:rsidR="00623C6D" w:rsidRPr="00DD56BE" w:rsidRDefault="00623C6D" w:rsidP="00623C6D">
      <w:pPr>
        <w:pStyle w:val="BoxTextBullet"/>
        <w:rPr>
          <w:sz w:val="22"/>
          <w:lang w:eastAsia="ja-JP"/>
        </w:rPr>
      </w:pPr>
      <w:r w:rsidRPr="00DD56BE">
        <w:rPr>
          <w:sz w:val="22"/>
          <w:lang w:eastAsia="ja-JP"/>
        </w:rPr>
        <w:t>Newly commissioned projects by the Australian Government to determine the value and health of the national biosecurity system, and develop an advanced data analytics capability, should assist jurisdictions in the medium</w:t>
      </w:r>
      <w:r w:rsidR="00706232" w:rsidRPr="00DD56BE">
        <w:rPr>
          <w:sz w:val="22"/>
          <w:lang w:eastAsia="ja-JP"/>
        </w:rPr>
        <w:t>-</w:t>
      </w:r>
      <w:r w:rsidRPr="00DD56BE">
        <w:rPr>
          <w:sz w:val="22"/>
          <w:lang w:eastAsia="ja-JP"/>
        </w:rPr>
        <w:t>term.</w:t>
      </w:r>
    </w:p>
    <w:p w14:paraId="21B4BF8A" w14:textId="77777777" w:rsidR="00623C6D" w:rsidRDefault="00623C6D" w:rsidP="00623C6D">
      <w:pPr>
        <w:pStyle w:val="Heading3"/>
        <w:rPr>
          <w:lang w:eastAsia="ja-JP"/>
        </w:rPr>
      </w:pPr>
      <w:bookmarkStart w:id="222" w:name="_Toc469654759"/>
      <w:r>
        <w:rPr>
          <w:lang w:eastAsia="ja-JP"/>
        </w:rPr>
        <w:t>Benefits of national biosecurity</w:t>
      </w:r>
      <w:bookmarkEnd w:id="222"/>
    </w:p>
    <w:p w14:paraId="2E24E594" w14:textId="77777777" w:rsidR="00623C6D" w:rsidRDefault="00623C6D" w:rsidP="00623C6D">
      <w:pPr>
        <w:rPr>
          <w:lang w:eastAsia="ja-JP"/>
        </w:rPr>
      </w:pPr>
      <w:r>
        <w:rPr>
          <w:lang w:eastAsia="ja-JP"/>
        </w:rPr>
        <w:t>Australia’s biosecurity system continues to protect the nation from many exotic pests and diseases. The Australian Government’s submission</w:t>
      </w:r>
      <w:r w:rsidR="00706232">
        <w:rPr>
          <w:lang w:eastAsia="ja-JP"/>
        </w:rPr>
        <w:t xml:space="preserve"> (p. 1)</w:t>
      </w:r>
      <w:r>
        <w:rPr>
          <w:lang w:eastAsia="ja-JP"/>
        </w:rPr>
        <w:t xml:space="preserve"> highlighted the many benefits of the national system, including:</w:t>
      </w:r>
    </w:p>
    <w:p w14:paraId="58882D70" w14:textId="77777777" w:rsidR="00623C6D" w:rsidRDefault="00706232" w:rsidP="00623C6D">
      <w:pPr>
        <w:pStyle w:val="ListBullet"/>
        <w:rPr>
          <w:lang w:eastAsia="ja-JP"/>
        </w:rPr>
      </w:pPr>
      <w:r>
        <w:rPr>
          <w:lang w:eastAsia="ja-JP"/>
        </w:rPr>
        <w:t>r</w:t>
      </w:r>
      <w:r w:rsidR="00623C6D">
        <w:rPr>
          <w:lang w:eastAsia="ja-JP"/>
        </w:rPr>
        <w:t>educing the cost of agricultural production</w:t>
      </w:r>
    </w:p>
    <w:p w14:paraId="7B44173F" w14:textId="77777777" w:rsidR="00623C6D" w:rsidRDefault="00706232" w:rsidP="00623C6D">
      <w:pPr>
        <w:pStyle w:val="ListBullet"/>
        <w:rPr>
          <w:lang w:eastAsia="ja-JP"/>
        </w:rPr>
      </w:pPr>
      <w:r>
        <w:rPr>
          <w:lang w:eastAsia="ja-JP"/>
        </w:rPr>
        <w:t>r</w:t>
      </w:r>
      <w:r w:rsidR="00623C6D">
        <w:rPr>
          <w:lang w:eastAsia="ja-JP"/>
        </w:rPr>
        <w:t>educing the impact of pests and diseases on our environment (including associated negative impacts on agricultural productivity and associated amenity)</w:t>
      </w:r>
    </w:p>
    <w:p w14:paraId="7E3CCBDC" w14:textId="77777777" w:rsidR="00623C6D" w:rsidRDefault="00706232" w:rsidP="00623C6D">
      <w:pPr>
        <w:pStyle w:val="ListBullet"/>
        <w:rPr>
          <w:lang w:eastAsia="ja-JP"/>
        </w:rPr>
      </w:pPr>
      <w:r>
        <w:rPr>
          <w:lang w:eastAsia="ja-JP"/>
        </w:rPr>
        <w:t>s</w:t>
      </w:r>
      <w:r w:rsidR="00623C6D">
        <w:rPr>
          <w:lang w:eastAsia="ja-JP"/>
        </w:rPr>
        <w:t>afeguarding the health of our community</w:t>
      </w:r>
    </w:p>
    <w:p w14:paraId="7D65C069" w14:textId="77777777" w:rsidR="00623C6D" w:rsidRDefault="00706232" w:rsidP="00623C6D">
      <w:pPr>
        <w:pStyle w:val="ListBullet"/>
        <w:rPr>
          <w:lang w:eastAsia="ja-JP"/>
        </w:rPr>
      </w:pPr>
      <w:r>
        <w:rPr>
          <w:lang w:eastAsia="ja-JP"/>
        </w:rPr>
        <w:t>s</w:t>
      </w:r>
      <w:r w:rsidR="00623C6D">
        <w:rPr>
          <w:lang w:eastAsia="ja-JP"/>
        </w:rPr>
        <w:t>upporting animal and plant health</w:t>
      </w:r>
    </w:p>
    <w:p w14:paraId="43938856" w14:textId="77777777" w:rsidR="00623C6D" w:rsidRDefault="00706232" w:rsidP="00623C6D">
      <w:pPr>
        <w:pStyle w:val="ListBullet"/>
        <w:rPr>
          <w:lang w:eastAsia="ja-JP"/>
        </w:rPr>
      </w:pPr>
      <w:r>
        <w:rPr>
          <w:lang w:eastAsia="ja-JP"/>
        </w:rPr>
        <w:t>s</w:t>
      </w:r>
      <w:r w:rsidR="00623C6D">
        <w:rPr>
          <w:lang w:eastAsia="ja-JP"/>
        </w:rPr>
        <w:t>upporting a profitable agricultural industry though improving and maintaining market access</w:t>
      </w:r>
    </w:p>
    <w:p w14:paraId="0DE21F64" w14:textId="77777777" w:rsidR="00623C6D" w:rsidRDefault="00706232" w:rsidP="00623C6D">
      <w:pPr>
        <w:pStyle w:val="ListBullet"/>
        <w:rPr>
          <w:lang w:eastAsia="ja-JP"/>
        </w:rPr>
      </w:pPr>
      <w:r>
        <w:rPr>
          <w:lang w:eastAsia="ja-JP"/>
        </w:rPr>
        <w:t>s</w:t>
      </w:r>
      <w:r w:rsidR="00623C6D">
        <w:rPr>
          <w:lang w:eastAsia="ja-JP"/>
        </w:rPr>
        <w:t>upporting a healthy and biodiverse environment underlying much of Australia’s tourism.</w:t>
      </w:r>
    </w:p>
    <w:p w14:paraId="36DAF221" w14:textId="5D41A3BB" w:rsidR="00623C6D" w:rsidRDefault="00623C6D" w:rsidP="00623C6D">
      <w:pPr>
        <w:rPr>
          <w:lang w:eastAsia="ja-JP"/>
        </w:rPr>
      </w:pPr>
      <w:r>
        <w:rPr>
          <w:lang w:eastAsia="ja-JP"/>
        </w:rPr>
        <w:t>The feedback from governments, industry and the broader community throughout th</w:t>
      </w:r>
      <w:r w:rsidR="00351534">
        <w:rPr>
          <w:lang w:eastAsia="ja-JP"/>
        </w:rPr>
        <w:t>is</w:t>
      </w:r>
      <w:r>
        <w:rPr>
          <w:lang w:eastAsia="ja-JP"/>
        </w:rPr>
        <w:t xml:space="preserve"> Review indicates that the national biosecurity system is highly valued and generally effective. The Australian Government </w:t>
      </w:r>
      <w:r w:rsidR="00706232">
        <w:rPr>
          <w:lang w:eastAsia="ja-JP"/>
        </w:rPr>
        <w:t xml:space="preserve">(submission, p. 21) </w:t>
      </w:r>
      <w:r>
        <w:rPr>
          <w:lang w:eastAsia="ja-JP"/>
        </w:rPr>
        <w:t>considers the national system inherently valuable but its value is difficult to quantify because it has a ‘</w:t>
      </w:r>
      <w:r w:rsidRPr="005F2590">
        <w:rPr>
          <w:lang w:eastAsia="ja-JP"/>
        </w:rPr>
        <w:t>complex interplay of parts across supply chains, geographies, jurisdictions and stakeholders</w:t>
      </w:r>
      <w:r>
        <w:rPr>
          <w:lang w:eastAsia="ja-JP"/>
        </w:rPr>
        <w:t xml:space="preserve">’. </w:t>
      </w:r>
      <w:r w:rsidR="005C4163" w:rsidRPr="005C4163">
        <w:rPr>
          <w:lang w:eastAsia="ja-JP"/>
        </w:rPr>
        <w:t>Many of the benefits are also intangible or non-market.</w:t>
      </w:r>
    </w:p>
    <w:p w14:paraId="0887BBAD" w14:textId="17370E25" w:rsidR="00623C6D" w:rsidRDefault="00623C6D" w:rsidP="00623C6D">
      <w:pPr>
        <w:rPr>
          <w:lang w:eastAsia="ja-JP"/>
        </w:rPr>
      </w:pPr>
      <w:r>
        <w:rPr>
          <w:lang w:eastAsia="ja-JP"/>
        </w:rPr>
        <w:t>Stakeholders cited many instances where prevention, eradication and containment measures were proven to be effective</w:t>
      </w:r>
      <w:r w:rsidR="00706232">
        <w:rPr>
          <w:lang w:eastAsia="ja-JP"/>
        </w:rPr>
        <w:t>—</w:t>
      </w:r>
      <w:r>
        <w:rPr>
          <w:lang w:eastAsia="ja-JP"/>
        </w:rPr>
        <w:t>citing for example: recent detection and destruction of Khapra beetle larvae in S</w:t>
      </w:r>
      <w:r w:rsidR="00595669">
        <w:rPr>
          <w:lang w:eastAsia="ja-JP"/>
        </w:rPr>
        <w:t>outh Australia</w:t>
      </w:r>
      <w:r>
        <w:rPr>
          <w:lang w:eastAsia="ja-JP"/>
        </w:rPr>
        <w:t xml:space="preserve"> and </w:t>
      </w:r>
      <w:r w:rsidR="00595669">
        <w:rPr>
          <w:lang w:eastAsia="ja-JP"/>
        </w:rPr>
        <w:t>Western Australia</w:t>
      </w:r>
      <w:r>
        <w:rPr>
          <w:lang w:eastAsia="ja-JP"/>
        </w:rPr>
        <w:t xml:space="preserve">; eradication of red imported </w:t>
      </w:r>
      <w:r w:rsidR="00595669">
        <w:rPr>
          <w:lang w:eastAsia="ja-JP"/>
        </w:rPr>
        <w:t>fire ants (RIFA) at Port Botany,</w:t>
      </w:r>
      <w:r>
        <w:rPr>
          <w:lang w:eastAsia="ja-JP"/>
        </w:rPr>
        <w:t xml:space="preserve"> N</w:t>
      </w:r>
      <w:r w:rsidR="00595669">
        <w:rPr>
          <w:lang w:eastAsia="ja-JP"/>
        </w:rPr>
        <w:t xml:space="preserve">ew </w:t>
      </w:r>
      <w:r>
        <w:rPr>
          <w:lang w:eastAsia="ja-JP"/>
        </w:rPr>
        <w:t>S</w:t>
      </w:r>
      <w:r w:rsidR="00595669">
        <w:rPr>
          <w:lang w:eastAsia="ja-JP"/>
        </w:rPr>
        <w:t xml:space="preserve">outh </w:t>
      </w:r>
      <w:r>
        <w:rPr>
          <w:lang w:eastAsia="ja-JP"/>
        </w:rPr>
        <w:t>W</w:t>
      </w:r>
      <w:r w:rsidR="00595669">
        <w:rPr>
          <w:lang w:eastAsia="ja-JP"/>
        </w:rPr>
        <w:t>ales;</w:t>
      </w:r>
      <w:r>
        <w:rPr>
          <w:lang w:eastAsia="ja-JP"/>
        </w:rPr>
        <w:t xml:space="preserve"> containment of RIFA in </w:t>
      </w:r>
      <w:r w:rsidR="00595669">
        <w:rPr>
          <w:lang w:eastAsia="ja-JP"/>
        </w:rPr>
        <w:t>south-east</w:t>
      </w:r>
      <w:r>
        <w:rPr>
          <w:lang w:eastAsia="ja-JP"/>
        </w:rPr>
        <w:t xml:space="preserve"> Q</w:t>
      </w:r>
      <w:r w:rsidR="00595669">
        <w:rPr>
          <w:lang w:eastAsia="ja-JP"/>
        </w:rPr>
        <w:t>ueensland</w:t>
      </w:r>
      <w:r>
        <w:rPr>
          <w:lang w:eastAsia="ja-JP"/>
        </w:rPr>
        <w:t xml:space="preserve">; proof </w:t>
      </w:r>
      <w:r>
        <w:rPr>
          <w:lang w:eastAsia="ja-JP"/>
        </w:rPr>
        <w:lastRenderedPageBreak/>
        <w:t>of area freedom from a range of pest</w:t>
      </w:r>
      <w:r w:rsidR="00C63278">
        <w:rPr>
          <w:lang w:eastAsia="ja-JP"/>
        </w:rPr>
        <w:t>s</w:t>
      </w:r>
      <w:r>
        <w:rPr>
          <w:lang w:eastAsia="ja-JP"/>
        </w:rPr>
        <w:t xml:space="preserve"> and diseases (</w:t>
      </w:r>
      <w:r w:rsidR="0058763C">
        <w:rPr>
          <w:lang w:eastAsia="ja-JP"/>
        </w:rPr>
        <w:t>for example,</w:t>
      </w:r>
      <w:r>
        <w:rPr>
          <w:lang w:eastAsia="ja-JP"/>
        </w:rPr>
        <w:t xml:space="preserve"> Rabies and </w:t>
      </w:r>
      <w:r w:rsidRPr="00623C6D">
        <w:rPr>
          <w:i/>
          <w:lang w:eastAsia="ja-JP"/>
        </w:rPr>
        <w:t>Varroa destructor</w:t>
      </w:r>
      <w:r w:rsidR="006E62C7">
        <w:rPr>
          <w:i/>
          <w:lang w:eastAsia="ja-JP"/>
        </w:rPr>
        <w:t xml:space="preserve"> </w:t>
      </w:r>
      <w:r w:rsidR="006E62C7" w:rsidRPr="006E62C7">
        <w:rPr>
          <w:lang w:eastAsia="ja-JP"/>
        </w:rPr>
        <w:t>mite</w:t>
      </w:r>
      <w:r>
        <w:rPr>
          <w:lang w:eastAsia="ja-JP"/>
        </w:rPr>
        <w:t xml:space="preserve">); and securing market access for Australian nectarines to China. At the same time, it is widely acknowledged that there are many areas where the effectiveness of the national </w:t>
      </w:r>
      <w:r w:rsidR="00706232">
        <w:rPr>
          <w:lang w:eastAsia="ja-JP"/>
        </w:rPr>
        <w:t xml:space="preserve">biosecurity </w:t>
      </w:r>
      <w:r>
        <w:rPr>
          <w:lang w:eastAsia="ja-JP"/>
        </w:rPr>
        <w:t>system can and should be improved</w:t>
      </w:r>
      <w:r w:rsidR="005C4163">
        <w:rPr>
          <w:lang w:eastAsia="ja-JP"/>
        </w:rPr>
        <w:t>.</w:t>
      </w:r>
      <w:r>
        <w:rPr>
          <w:lang w:eastAsia="ja-JP"/>
        </w:rPr>
        <w:t xml:space="preserve"> </w:t>
      </w:r>
      <w:r w:rsidR="005C4163">
        <w:rPr>
          <w:lang w:eastAsia="ja-JP"/>
        </w:rPr>
        <w:t>T</w:t>
      </w:r>
      <w:r>
        <w:rPr>
          <w:lang w:eastAsia="ja-JP"/>
        </w:rPr>
        <w:t>he draft recommendations proposed throughout this report are di</w:t>
      </w:r>
      <w:r w:rsidR="003B1A0F">
        <w:rPr>
          <w:lang w:eastAsia="ja-JP"/>
        </w:rPr>
        <w:t>rectly aimed at achieving this.</w:t>
      </w:r>
    </w:p>
    <w:p w14:paraId="5A378D99" w14:textId="30394C0A" w:rsidR="00623C6D" w:rsidRDefault="00623C6D" w:rsidP="00623C6D">
      <w:pPr>
        <w:rPr>
          <w:lang w:eastAsia="ja-JP"/>
        </w:rPr>
      </w:pPr>
      <w:r>
        <w:rPr>
          <w:lang w:eastAsia="ja-JP"/>
        </w:rPr>
        <w:t>The Australian Government has also moved to fill key knowledge and information gaps</w:t>
      </w:r>
      <w:r w:rsidR="00A661E1">
        <w:rPr>
          <w:lang w:eastAsia="ja-JP"/>
        </w:rPr>
        <w:t>,</w:t>
      </w:r>
      <w:r>
        <w:rPr>
          <w:lang w:eastAsia="ja-JP"/>
        </w:rPr>
        <w:t xml:space="preserve"> which should help jurisdictions demonstrate to all key players the national benefits of an appropriately resourced national biosecurity system.</w:t>
      </w:r>
    </w:p>
    <w:p w14:paraId="204017CD" w14:textId="77777777" w:rsidR="00623C6D" w:rsidRDefault="00623C6D" w:rsidP="00623C6D">
      <w:pPr>
        <w:rPr>
          <w:lang w:eastAsia="ja-JP"/>
        </w:rPr>
      </w:pPr>
      <w:r>
        <w:rPr>
          <w:lang w:eastAsia="ja-JP"/>
        </w:rPr>
        <w:t>The Centre</w:t>
      </w:r>
      <w:r w:rsidR="005E3161">
        <w:rPr>
          <w:lang w:eastAsia="ja-JP"/>
        </w:rPr>
        <w:t xml:space="preserve"> of Excellence</w:t>
      </w:r>
      <w:r>
        <w:rPr>
          <w:lang w:eastAsia="ja-JP"/>
        </w:rPr>
        <w:t xml:space="preserve"> for Biosecurity Risk Analysis (CEBRA) is undertaking two key projects (</w:t>
      </w:r>
      <w:r w:rsidR="002D064C">
        <w:rPr>
          <w:lang w:eastAsia="ja-JP"/>
        </w:rPr>
        <w:fldChar w:fldCharType="begin"/>
      </w:r>
      <w:r w:rsidR="002D064C">
        <w:rPr>
          <w:lang w:eastAsia="ja-JP"/>
        </w:rPr>
        <w:instrText xml:space="preserve"> REF _Ref466985934 \h </w:instrText>
      </w:r>
      <w:r w:rsidR="002D064C">
        <w:rPr>
          <w:lang w:eastAsia="ja-JP"/>
        </w:rPr>
      </w:r>
      <w:r w:rsidR="002D064C">
        <w:rPr>
          <w:lang w:eastAsia="ja-JP"/>
        </w:rPr>
        <w:fldChar w:fldCharType="separate"/>
      </w:r>
      <w:r w:rsidR="008303E2">
        <w:t xml:space="preserve">Box </w:t>
      </w:r>
      <w:r w:rsidR="008303E2">
        <w:rPr>
          <w:noProof/>
        </w:rPr>
        <w:t>14</w:t>
      </w:r>
      <w:r w:rsidR="002D064C">
        <w:rPr>
          <w:lang w:eastAsia="ja-JP"/>
        </w:rPr>
        <w:fldChar w:fldCharType="end"/>
      </w:r>
      <w:r>
        <w:rPr>
          <w:lang w:eastAsia="ja-JP"/>
        </w:rPr>
        <w:t>) for the Department of Agriculture and Water Resources, which should help all system participants better understand the overall value and health of the national biosecurity system.</w:t>
      </w:r>
    </w:p>
    <w:p w14:paraId="55DDD88E" w14:textId="14BF3455" w:rsidR="00623C6D" w:rsidRDefault="00623C6D" w:rsidP="0056171F">
      <w:pPr>
        <w:pStyle w:val="BoxHeading"/>
      </w:pPr>
      <w:bookmarkStart w:id="223" w:name="_Ref466985934"/>
      <w:bookmarkStart w:id="224" w:name="_Toc468176757"/>
      <w:bookmarkStart w:id="225" w:name="_Toc468444407"/>
      <w:r>
        <w:t xml:space="preserve">Box </w:t>
      </w:r>
      <w:r w:rsidR="008303E2">
        <w:fldChar w:fldCharType="begin"/>
      </w:r>
      <w:r w:rsidR="008303E2">
        <w:instrText xml:space="preserve"> SEQ Box \* ARABIC </w:instrText>
      </w:r>
      <w:r w:rsidR="008303E2">
        <w:fldChar w:fldCharType="separate"/>
      </w:r>
      <w:r w:rsidR="008303E2">
        <w:rPr>
          <w:noProof/>
        </w:rPr>
        <w:t>14</w:t>
      </w:r>
      <w:r w:rsidR="008303E2">
        <w:rPr>
          <w:noProof/>
        </w:rPr>
        <w:fldChar w:fldCharType="end"/>
      </w:r>
      <w:bookmarkEnd w:id="223"/>
      <w:r w:rsidR="007C1C69">
        <w:t>:</w:t>
      </w:r>
      <w:r>
        <w:t xml:space="preserve"> </w:t>
      </w:r>
      <w:r w:rsidRPr="008946B4">
        <w:t>Australian Government knowledge building</w:t>
      </w:r>
      <w:r>
        <w:t xml:space="preserve"> projects</w:t>
      </w:r>
      <w:bookmarkEnd w:id="224"/>
      <w:bookmarkEnd w:id="225"/>
    </w:p>
    <w:p w14:paraId="3AC9AB8F" w14:textId="77777777" w:rsidR="00623C6D" w:rsidRPr="008946B4" w:rsidRDefault="00623C6D" w:rsidP="008946B4">
      <w:pPr>
        <w:pStyle w:val="BoxHeading"/>
        <w:keepNext/>
      </w:pPr>
      <w:r w:rsidRPr="008946B4">
        <w:t>‘Value of Australia’s biosecurity system’</w:t>
      </w:r>
    </w:p>
    <w:p w14:paraId="65C75CF8" w14:textId="78EB57C3" w:rsidR="00A22797" w:rsidRPr="008946B4" w:rsidRDefault="00A22797" w:rsidP="008946B4">
      <w:pPr>
        <w:pStyle w:val="BoxText"/>
      </w:pPr>
      <w:r w:rsidRPr="008946B4">
        <w:t>Australia’s biosecurity system provides substantial benefits to the Australian community by managing the risk of pests and diseases causing harm to human, animal and plant health, the environment and the economy. The system is inherently valuable but this value i</w:t>
      </w:r>
      <w:r w:rsidR="003B1A0F" w:rsidRPr="008946B4">
        <w:t>s difficult to quantify.</w:t>
      </w:r>
    </w:p>
    <w:p w14:paraId="2C4695FF" w14:textId="1119ABCF" w:rsidR="00A22797" w:rsidRPr="008946B4" w:rsidRDefault="00A22797" w:rsidP="008946B4">
      <w:pPr>
        <w:pStyle w:val="BoxText"/>
      </w:pPr>
      <w:r w:rsidRPr="008946B4">
        <w:t xml:space="preserve">This project will develop reliable methods to value the components of the biosecurity system. That is, the benefits obtained from the prevention of economic, environmental, social and human health losses. </w:t>
      </w:r>
      <w:r w:rsidR="00BD62DA" w:rsidRPr="008946B4">
        <w:t>T</w:t>
      </w:r>
      <w:r w:rsidRPr="008946B4">
        <w:t>he net benefit will take into account direct and indirect costs, to taxpayers and businesses, of the operating parts of the biosecurity system.</w:t>
      </w:r>
    </w:p>
    <w:p w14:paraId="2AF533CD" w14:textId="1346629B" w:rsidR="00A22797" w:rsidRPr="008946B4" w:rsidRDefault="00BD62DA" w:rsidP="008946B4">
      <w:pPr>
        <w:pStyle w:val="BoxText"/>
      </w:pPr>
      <w:r w:rsidRPr="008946B4">
        <w:t>It is anticipated that t</w:t>
      </w:r>
      <w:r w:rsidR="00A22797" w:rsidRPr="008946B4">
        <w:t>hrou</w:t>
      </w:r>
      <w:r w:rsidRPr="008946B4">
        <w:t xml:space="preserve">gh this work, </w:t>
      </w:r>
      <w:r w:rsidR="00A22797" w:rsidRPr="008946B4">
        <w:t>a better understand</w:t>
      </w:r>
      <w:r w:rsidRPr="008946B4">
        <w:t>ing</w:t>
      </w:r>
      <w:r w:rsidR="00A22797" w:rsidRPr="008946B4">
        <w:t xml:space="preserve"> of the importance, strengths and weaknesses of the biosecurity system will be obtained, which in turn will help guide investment for the system into the future. The project will run over several years with methods developed and indicative results generated in the first year.</w:t>
      </w:r>
    </w:p>
    <w:p w14:paraId="1BD102FC" w14:textId="28CCADC5" w:rsidR="00623C6D" w:rsidRPr="008946B4" w:rsidRDefault="00623C6D" w:rsidP="008946B4">
      <w:pPr>
        <w:pStyle w:val="BoxHeading"/>
      </w:pPr>
      <w:r w:rsidRPr="008946B4">
        <w:t>‘Health of Australia’s biosecurity system’</w:t>
      </w:r>
    </w:p>
    <w:p w14:paraId="3C6C4A46" w14:textId="77777777" w:rsidR="00A22797" w:rsidRPr="008946B4" w:rsidRDefault="00A22797" w:rsidP="008946B4">
      <w:pPr>
        <w:pStyle w:val="BoxText"/>
      </w:pPr>
      <w:r w:rsidRPr="008946B4">
        <w:t>A substantial investment is made by governments, industry and the community to the Australian biosecurity system. In a healthy system, these investments should be directed to ensuring Australia’s ALOP is effectively applied and that the system is able to adapt quickly to new and emerging threats.</w:t>
      </w:r>
    </w:p>
    <w:p w14:paraId="2A808868" w14:textId="77777777" w:rsidR="008946B4" w:rsidRPr="008946B4" w:rsidRDefault="00A22797" w:rsidP="008946B4">
      <w:pPr>
        <w:pStyle w:val="BoxText"/>
      </w:pPr>
      <w:r w:rsidRPr="008946B4">
        <w:t>Building on results from the “Value of Australia’s biosecurity system” project, this project will develop the means to clearly describe and measure the health of the biosecurity system against benchmarks of acceptability. This will provide a basis for identifying if and where improvements should be made. The project will run over several years with methods developed and tested in the first year.</w:t>
      </w:r>
    </w:p>
    <w:p w14:paraId="0323DDBE" w14:textId="27B9C11F" w:rsidR="00F4285E" w:rsidRDefault="00F4285E" w:rsidP="008946B4">
      <w:pPr>
        <w:pStyle w:val="BoxSource"/>
        <w:rPr>
          <w:lang w:eastAsia="ja-JP"/>
        </w:rPr>
      </w:pPr>
      <w:r w:rsidRPr="008946B4">
        <w:rPr>
          <w:lang w:eastAsia="ja-JP"/>
        </w:rPr>
        <w:t>Source: Australian Government Department of Agricu</w:t>
      </w:r>
      <w:r w:rsidR="00495F17" w:rsidRPr="008946B4">
        <w:rPr>
          <w:lang w:eastAsia="ja-JP"/>
        </w:rPr>
        <w:t>lture and Water Resources</w:t>
      </w:r>
      <w:r w:rsidR="0056171F">
        <w:rPr>
          <w:lang w:eastAsia="ja-JP"/>
        </w:rPr>
        <w:t>.</w:t>
      </w:r>
    </w:p>
    <w:p w14:paraId="11FE750E" w14:textId="7792DB15" w:rsidR="00623C6D" w:rsidRDefault="00623C6D" w:rsidP="00623C6D">
      <w:pPr>
        <w:rPr>
          <w:lang w:eastAsia="ja-JP"/>
        </w:rPr>
      </w:pPr>
      <w:r w:rsidRPr="00623C6D">
        <w:rPr>
          <w:lang w:eastAsia="ja-JP"/>
        </w:rPr>
        <w:t xml:space="preserve">The CEBRA projects </w:t>
      </w:r>
      <w:r w:rsidR="005C4163">
        <w:rPr>
          <w:lang w:eastAsia="ja-JP"/>
        </w:rPr>
        <w:t>have the potential to</w:t>
      </w:r>
      <w:r w:rsidRPr="00623C6D">
        <w:rPr>
          <w:lang w:eastAsia="ja-JP"/>
        </w:rPr>
        <w:t xml:space="preserve"> generate valuable information and insights including shortcomings in assessing and reporting system performance</w:t>
      </w:r>
      <w:r w:rsidR="005C4163">
        <w:rPr>
          <w:lang w:eastAsia="ja-JP"/>
        </w:rPr>
        <w:t>,</w:t>
      </w:r>
      <w:r w:rsidR="005C4163" w:rsidRPr="005C4163">
        <w:t xml:space="preserve"> </w:t>
      </w:r>
      <w:r w:rsidR="005C4163" w:rsidRPr="005C4163">
        <w:rPr>
          <w:lang w:eastAsia="ja-JP"/>
        </w:rPr>
        <w:t>but these are recognised as multi-year projects with considerable challenges and uncertainties to resolve.</w:t>
      </w:r>
    </w:p>
    <w:p w14:paraId="69DD41F3" w14:textId="77777777" w:rsidR="002D064C" w:rsidRDefault="002D064C" w:rsidP="002D064C">
      <w:pPr>
        <w:pStyle w:val="Heading3"/>
        <w:rPr>
          <w:lang w:eastAsia="ja-JP"/>
        </w:rPr>
      </w:pPr>
      <w:bookmarkStart w:id="226" w:name="_Toc469654760"/>
      <w:r>
        <w:rPr>
          <w:lang w:eastAsia="ja-JP"/>
        </w:rPr>
        <w:t>Performance measurement and reporting</w:t>
      </w:r>
      <w:bookmarkEnd w:id="226"/>
    </w:p>
    <w:p w14:paraId="6837EA08" w14:textId="6DCC5E53" w:rsidR="002D064C" w:rsidRDefault="002D064C" w:rsidP="002D064C">
      <w:pPr>
        <w:rPr>
          <w:lang w:eastAsia="ja-JP"/>
        </w:rPr>
      </w:pPr>
      <w:r>
        <w:rPr>
          <w:lang w:eastAsia="ja-JP"/>
        </w:rPr>
        <w:t>As part of its terms of reference (</w:t>
      </w:r>
      <w:r w:rsidRPr="00A661E1">
        <w:rPr>
          <w:lang w:eastAsia="ja-JP"/>
        </w:rPr>
        <w:t>Appendix A</w:t>
      </w:r>
      <w:r>
        <w:rPr>
          <w:lang w:eastAsia="ja-JP"/>
        </w:rPr>
        <w:t xml:space="preserve">) the Review Panel was asked to provide recommendations on the development of measurable indicators to assess whether the national biosecurity system is achieving its objectives. Performance data can support and better direct investment decisions, identify key risk areas within the national system, and improve the </w:t>
      </w:r>
      <w:r>
        <w:rPr>
          <w:lang w:eastAsia="ja-JP"/>
        </w:rPr>
        <w:lastRenderedPageBreak/>
        <w:t>management and effectiveness of existing and operations. Most biosecurity stakeholders supported this view. However, the national system is complex with many interrelated components</w:t>
      </w:r>
      <w:r w:rsidR="005C4163">
        <w:rPr>
          <w:lang w:eastAsia="ja-JP"/>
        </w:rPr>
        <w:t xml:space="preserve"> and intangible outcomes</w:t>
      </w:r>
      <w:r>
        <w:rPr>
          <w:lang w:eastAsia="ja-JP"/>
        </w:rPr>
        <w:t>. This makes measuring the system’s performance and overall success fundamentally</w:t>
      </w:r>
      <w:r w:rsidR="003B1A0F">
        <w:rPr>
          <w:lang w:eastAsia="ja-JP"/>
        </w:rPr>
        <w:t xml:space="preserve"> difficult, but not impossible.</w:t>
      </w:r>
    </w:p>
    <w:p w14:paraId="441A1E2E" w14:textId="4205A775" w:rsidR="002D064C" w:rsidRDefault="002D064C" w:rsidP="002D064C">
      <w:pPr>
        <w:rPr>
          <w:lang w:eastAsia="ja-JP"/>
        </w:rPr>
      </w:pPr>
      <w:r>
        <w:rPr>
          <w:lang w:eastAsia="ja-JP"/>
        </w:rPr>
        <w:t>Across the national system, there are many elements that can be measured, covering inputs (</w:t>
      </w:r>
      <w:r w:rsidR="00695B63">
        <w:rPr>
          <w:lang w:eastAsia="ja-JP"/>
        </w:rPr>
        <w:t>for example,</w:t>
      </w:r>
      <w:r>
        <w:rPr>
          <w:lang w:eastAsia="ja-JP"/>
        </w:rPr>
        <w:t xml:space="preserve"> dollars spent), outputs (</w:t>
      </w:r>
      <w:r w:rsidR="00695B63">
        <w:rPr>
          <w:lang w:eastAsia="ja-JP"/>
        </w:rPr>
        <w:t>for example,</w:t>
      </w:r>
      <w:r>
        <w:rPr>
          <w:lang w:eastAsia="ja-JP"/>
        </w:rPr>
        <w:t xml:space="preserve"> the passengers or containers cleared) or outcomes (</w:t>
      </w:r>
      <w:r w:rsidR="00695B63">
        <w:rPr>
          <w:lang w:eastAsia="ja-JP"/>
        </w:rPr>
        <w:t>for example,</w:t>
      </w:r>
      <w:r>
        <w:rPr>
          <w:lang w:eastAsia="ja-JP"/>
        </w:rPr>
        <w:t xml:space="preserve"> a pest or disease managed, or access to a market gained). In the absence of appropriate data, qualitative assessments (</w:t>
      </w:r>
      <w:r w:rsidR="00695B63">
        <w:rPr>
          <w:lang w:eastAsia="ja-JP"/>
        </w:rPr>
        <w:t>for example,</w:t>
      </w:r>
      <w:r>
        <w:rPr>
          <w:lang w:eastAsia="ja-JP"/>
        </w:rPr>
        <w:t xml:space="preserve"> case studies) and expert opinion are accepted </w:t>
      </w:r>
      <w:r w:rsidR="003B1A0F">
        <w:rPr>
          <w:lang w:eastAsia="ja-JP"/>
        </w:rPr>
        <w:t>means of ‘filling in the gaps’.</w:t>
      </w:r>
    </w:p>
    <w:p w14:paraId="3904AC6B" w14:textId="5129C694" w:rsidR="002D064C" w:rsidRDefault="002D064C" w:rsidP="002D064C">
      <w:pPr>
        <w:rPr>
          <w:lang w:eastAsia="ja-JP"/>
        </w:rPr>
      </w:pPr>
      <w:r>
        <w:rPr>
          <w:lang w:eastAsia="ja-JP"/>
        </w:rPr>
        <w:t xml:space="preserve">Government agencies are required to have performance frameworks in place to assess the effectiveness of their activities, including for biosecurity. The performance frameworks for biosecurity are evolving but at present vary considerably in their sophistication and coverage. Jurisdictional performance measures are articulated in agency corporate plans, strategies and annual reports, but there is no consistency between them and no capacity to ‘roll them up’ to capture the </w:t>
      </w:r>
      <w:r w:rsidRPr="005B5940">
        <w:rPr>
          <w:i/>
          <w:lang w:eastAsia="ja-JP"/>
        </w:rPr>
        <w:t>national</w:t>
      </w:r>
      <w:r w:rsidRPr="005B5940">
        <w:rPr>
          <w:lang w:eastAsia="ja-JP"/>
        </w:rPr>
        <w:t xml:space="preserve"> </w:t>
      </w:r>
      <w:r>
        <w:rPr>
          <w:lang w:eastAsia="ja-JP"/>
        </w:rPr>
        <w:t xml:space="preserve">system and assesses </w:t>
      </w:r>
      <w:r w:rsidRPr="002D064C">
        <w:rPr>
          <w:i/>
          <w:lang w:eastAsia="ja-JP"/>
        </w:rPr>
        <w:t>national</w:t>
      </w:r>
      <w:r>
        <w:rPr>
          <w:lang w:eastAsia="ja-JP"/>
        </w:rPr>
        <w:t xml:space="preserve"> performance. However, there are still lessons to learn from existing jurisdictional systems.</w:t>
      </w:r>
    </w:p>
    <w:p w14:paraId="03575952" w14:textId="7A80B9F4" w:rsidR="002D064C" w:rsidRDefault="002D064C" w:rsidP="002D064C">
      <w:pPr>
        <w:pStyle w:val="Heading4"/>
        <w:rPr>
          <w:lang w:eastAsia="ja-JP"/>
        </w:rPr>
      </w:pPr>
      <w:r>
        <w:rPr>
          <w:lang w:eastAsia="ja-JP"/>
        </w:rPr>
        <w:t xml:space="preserve">Australian, New Zealand and Victorian </w:t>
      </w:r>
      <w:r w:rsidR="0083793C">
        <w:rPr>
          <w:lang w:eastAsia="ja-JP"/>
        </w:rPr>
        <w:t>g</w:t>
      </w:r>
      <w:r>
        <w:rPr>
          <w:lang w:eastAsia="ja-JP"/>
        </w:rPr>
        <w:t>overnment examples</w:t>
      </w:r>
    </w:p>
    <w:p w14:paraId="490A471A" w14:textId="2A538D7A" w:rsidR="002D064C" w:rsidRDefault="002D064C" w:rsidP="002D064C">
      <w:pPr>
        <w:rPr>
          <w:lang w:eastAsia="ja-JP"/>
        </w:rPr>
      </w:pPr>
      <w:r>
        <w:rPr>
          <w:lang w:eastAsia="ja-JP"/>
        </w:rPr>
        <w:t xml:space="preserve">A logical starting point for identifying performance measures for the national biosecurity system is to examine how organisations with national roles and responsibilities for biosecurity define and measure their success. Both </w:t>
      </w:r>
      <w:r w:rsidR="002D26D3">
        <w:rPr>
          <w:lang w:eastAsia="ja-JP"/>
        </w:rPr>
        <w:t>the Australian and New Zealand g</w:t>
      </w:r>
      <w:r>
        <w:rPr>
          <w:lang w:eastAsia="ja-JP"/>
        </w:rPr>
        <w:t>overnments have integrated biosecurity and food safety performance frameworks and measures (</w:t>
      </w:r>
      <w:r w:rsidRPr="00695B63">
        <w:rPr>
          <w:lang w:eastAsia="ja-JP"/>
        </w:rPr>
        <w:t xml:space="preserve">refer </w:t>
      </w:r>
      <w:hyperlink w:anchor="_Appendix_F:_National" w:history="1">
        <w:r w:rsidRPr="00EB023E">
          <w:rPr>
            <w:rStyle w:val="Hyperlink"/>
            <w:lang w:eastAsia="ja-JP"/>
          </w:rPr>
          <w:t xml:space="preserve">Appendix </w:t>
        </w:r>
        <w:r w:rsidR="00695B63" w:rsidRPr="00EB023E">
          <w:rPr>
            <w:rStyle w:val="Hyperlink"/>
            <w:lang w:eastAsia="ja-JP"/>
          </w:rPr>
          <w:t>F</w:t>
        </w:r>
      </w:hyperlink>
      <w:r>
        <w:rPr>
          <w:lang w:eastAsia="ja-JP"/>
        </w:rPr>
        <w:t>).</w:t>
      </w:r>
    </w:p>
    <w:p w14:paraId="2A567FA5" w14:textId="77777777" w:rsidR="002D064C" w:rsidRDefault="002D064C" w:rsidP="002D064C">
      <w:pPr>
        <w:rPr>
          <w:lang w:eastAsia="ja-JP"/>
        </w:rPr>
      </w:pPr>
      <w:r>
        <w:rPr>
          <w:lang w:eastAsia="ja-JP"/>
        </w:rPr>
        <w:t>The performance framework of the Australian Government is, not surprisingly, focussed on the effectiveness of biosecurity controls: on the movement of people, animal, plants, food and cargo into and out of Australia; market access</w:t>
      </w:r>
      <w:r w:rsidR="005C4163">
        <w:rPr>
          <w:lang w:eastAsia="ja-JP"/>
        </w:rPr>
        <w:t>;</w:t>
      </w:r>
      <w:r>
        <w:rPr>
          <w:lang w:eastAsia="ja-JP"/>
        </w:rPr>
        <w:t xml:space="preserve"> and emergency responses. Of note is the inclusion of a target measure for the IGAB: that it ‘is found to be effective in managing the national biosecurity system’. This infers there will also be a set of performance measures for the IGAB.</w:t>
      </w:r>
    </w:p>
    <w:p w14:paraId="536BB68E" w14:textId="7363BE2E" w:rsidR="002D064C" w:rsidRDefault="002D064C" w:rsidP="002D064C">
      <w:pPr>
        <w:rPr>
          <w:lang w:eastAsia="ja-JP"/>
        </w:rPr>
      </w:pPr>
      <w:r>
        <w:rPr>
          <w:lang w:eastAsia="ja-JP"/>
        </w:rPr>
        <w:t>New Zealand’s framework has similar coverage but there are notable differences in emphasis. For example: less emphasis on imports; and more emphasis on measuring stakeholder engagement, satisfaction and voluntary compliance. New Ze</w:t>
      </w:r>
      <w:r w:rsidR="00FB4F3B">
        <w:rPr>
          <w:lang w:eastAsia="ja-JP"/>
        </w:rPr>
        <w:t xml:space="preserve">aland’s approach appears to be </w:t>
      </w:r>
      <w:r>
        <w:rPr>
          <w:lang w:eastAsia="ja-JP"/>
        </w:rPr>
        <w:t xml:space="preserve">more advanced; more positively framed, and able to encompass a broader range of parties and system activities. It also includes a set of </w:t>
      </w:r>
      <w:r w:rsidR="00343658">
        <w:rPr>
          <w:lang w:eastAsia="ja-JP"/>
        </w:rPr>
        <w:t xml:space="preserve">progress </w:t>
      </w:r>
      <w:r w:rsidR="00F4285E" w:rsidRPr="00343658">
        <w:rPr>
          <w:lang w:eastAsia="ja-JP"/>
        </w:rPr>
        <w:t>indicators</w:t>
      </w:r>
      <w:r w:rsidRPr="00343658">
        <w:rPr>
          <w:lang w:eastAsia="ja-JP"/>
        </w:rPr>
        <w:t>.</w:t>
      </w:r>
    </w:p>
    <w:p w14:paraId="664748B7" w14:textId="77777777" w:rsidR="002D064C" w:rsidRDefault="002D064C" w:rsidP="002D064C">
      <w:pPr>
        <w:rPr>
          <w:lang w:eastAsia="ja-JP"/>
        </w:rPr>
      </w:pPr>
      <w:r>
        <w:rPr>
          <w:lang w:eastAsia="ja-JP"/>
        </w:rPr>
        <w:t xml:space="preserve">These ‘national’ frameworks are </w:t>
      </w:r>
      <w:r w:rsidR="005C4163">
        <w:rPr>
          <w:lang w:eastAsia="ja-JP"/>
        </w:rPr>
        <w:t>useful</w:t>
      </w:r>
      <w:r>
        <w:rPr>
          <w:lang w:eastAsia="ja-JP"/>
        </w:rPr>
        <w:t xml:space="preserve"> examples upon which to draw but would need to be adapted and significantly built upon for the purpose of assessing whether the national biosecurity system is meeting its objectives.</w:t>
      </w:r>
      <w:r w:rsidR="005C4163">
        <w:rPr>
          <w:lang w:eastAsia="ja-JP"/>
        </w:rPr>
        <w:t xml:space="preserve"> </w:t>
      </w:r>
      <w:r w:rsidR="005C4163" w:rsidRPr="005C4163">
        <w:rPr>
          <w:lang w:eastAsia="ja-JP"/>
        </w:rPr>
        <w:t>Like other performance frameworks, they exhibit a certain level of selectivity and pragmatism</w:t>
      </w:r>
      <w:r w:rsidR="005C4163">
        <w:rPr>
          <w:lang w:eastAsia="ja-JP"/>
        </w:rPr>
        <w:t>—</w:t>
      </w:r>
      <w:r w:rsidR="005C4163" w:rsidRPr="005C4163">
        <w:rPr>
          <w:lang w:eastAsia="ja-JP"/>
        </w:rPr>
        <w:t>reflecting the capacity of ‘responsible party’ in question to intervene or control an outcome.</w:t>
      </w:r>
    </w:p>
    <w:p w14:paraId="57BD7A3B" w14:textId="44810A7A" w:rsidR="002D064C" w:rsidRDefault="002D064C" w:rsidP="002D064C">
      <w:pPr>
        <w:rPr>
          <w:lang w:eastAsia="ja-JP"/>
        </w:rPr>
      </w:pPr>
      <w:r>
        <w:rPr>
          <w:lang w:eastAsia="ja-JP"/>
        </w:rPr>
        <w:t xml:space="preserve">The Victorian </w:t>
      </w:r>
      <w:r w:rsidR="00F4285E">
        <w:rPr>
          <w:lang w:eastAsia="ja-JP"/>
        </w:rPr>
        <w:t>G</w:t>
      </w:r>
      <w:r>
        <w:rPr>
          <w:lang w:eastAsia="ja-JP"/>
        </w:rPr>
        <w:t>overnment, through Agriculture Victoria, has developed and implemented its Biosecurity Evidence Framework (</w:t>
      </w:r>
      <w:r w:rsidRPr="00D75D98">
        <w:rPr>
          <w:lang w:eastAsia="ja-JP"/>
        </w:rPr>
        <w:t>BEF</w:t>
      </w:r>
      <w:r>
        <w:rPr>
          <w:lang w:eastAsia="ja-JP"/>
        </w:rPr>
        <w:t xml:space="preserve">) to collect, aggregate and analyse performance data. The BEF was introduced in response to past performance and audit findings by the Victorian Auditor-General’s </w:t>
      </w:r>
      <w:r w:rsidRPr="00EB28A4">
        <w:rPr>
          <w:lang w:eastAsia="ja-JP"/>
        </w:rPr>
        <w:t>Office</w:t>
      </w:r>
      <w:r w:rsidR="00F4285E" w:rsidRPr="00EB28A4">
        <w:rPr>
          <w:lang w:eastAsia="ja-JP"/>
        </w:rPr>
        <w:t xml:space="preserve"> (</w:t>
      </w:r>
      <w:hyperlink w:anchor="VAGO_2015" w:history="1">
        <w:r w:rsidR="00F4285E" w:rsidRPr="00EB023E">
          <w:rPr>
            <w:rStyle w:val="Hyperlink"/>
            <w:lang w:eastAsia="ja-JP"/>
          </w:rPr>
          <w:t>VAGO</w:t>
        </w:r>
        <w:r w:rsidR="00B52B0D" w:rsidRPr="00EB023E">
          <w:rPr>
            <w:rStyle w:val="Hyperlink"/>
            <w:lang w:eastAsia="ja-JP"/>
          </w:rPr>
          <w:t xml:space="preserve"> 2015</w:t>
        </w:r>
      </w:hyperlink>
      <w:r w:rsidR="00F4285E" w:rsidRPr="00EB28A4">
        <w:rPr>
          <w:lang w:eastAsia="ja-JP"/>
        </w:rPr>
        <w:t>)</w:t>
      </w:r>
      <w:r w:rsidRPr="00EB28A4">
        <w:rPr>
          <w:lang w:eastAsia="ja-JP"/>
        </w:rPr>
        <w:t>, which indicated</w:t>
      </w:r>
      <w:r>
        <w:rPr>
          <w:lang w:eastAsia="ja-JP"/>
        </w:rPr>
        <w:t xml:space="preserve"> a need to improve evidence collection capability and a more accurate picture of the achievements of Victoria’s livestock biosecurity programs and efforts. Under the framework, performance indicators have been assigned to each </w:t>
      </w:r>
      <w:r>
        <w:rPr>
          <w:lang w:eastAsia="ja-JP"/>
        </w:rPr>
        <w:lastRenderedPageBreak/>
        <w:t>biosecurity business area (</w:t>
      </w:r>
      <w:r w:rsidR="00695B63">
        <w:rPr>
          <w:lang w:eastAsia="ja-JP"/>
        </w:rPr>
        <w:t>for example,</w:t>
      </w:r>
      <w:r>
        <w:rPr>
          <w:lang w:eastAsia="ja-JP"/>
        </w:rPr>
        <w:t xml:space="preserve"> domestic animals, invasive species and plants), which progressively collect and enter data to support consistent measurem</w:t>
      </w:r>
      <w:r w:rsidR="00D8475B">
        <w:rPr>
          <w:lang w:eastAsia="ja-JP"/>
        </w:rPr>
        <w:t>ent of performance against the s</w:t>
      </w:r>
      <w:r>
        <w:rPr>
          <w:lang w:eastAsia="ja-JP"/>
        </w:rPr>
        <w:t>tate’s biosecurity goals (</w:t>
      </w:r>
      <w:r w:rsidR="005A0325">
        <w:rPr>
          <w:lang w:eastAsia="ja-JP"/>
        </w:rPr>
        <w:fldChar w:fldCharType="begin"/>
      </w:r>
      <w:r w:rsidR="005A0325">
        <w:rPr>
          <w:lang w:eastAsia="ja-JP"/>
        </w:rPr>
        <w:instrText xml:space="preserve"> REF _Ref466986114 \h </w:instrText>
      </w:r>
      <w:r w:rsidR="005A0325">
        <w:rPr>
          <w:lang w:eastAsia="ja-JP"/>
        </w:rPr>
      </w:r>
      <w:r w:rsidR="005A0325">
        <w:rPr>
          <w:lang w:eastAsia="ja-JP"/>
        </w:rPr>
        <w:fldChar w:fldCharType="separate"/>
      </w:r>
      <w:r w:rsidR="008303E2" w:rsidRPr="00A03257">
        <w:t xml:space="preserve">Figure </w:t>
      </w:r>
      <w:r w:rsidR="008303E2">
        <w:rPr>
          <w:noProof/>
        </w:rPr>
        <w:t>9</w:t>
      </w:r>
      <w:r w:rsidR="005A0325">
        <w:rPr>
          <w:lang w:eastAsia="ja-JP"/>
        </w:rPr>
        <w:fldChar w:fldCharType="end"/>
      </w:r>
      <w:r>
        <w:rPr>
          <w:lang w:eastAsia="ja-JP"/>
        </w:rPr>
        <w:t>).</w:t>
      </w:r>
    </w:p>
    <w:p w14:paraId="1B071CE7" w14:textId="77777777" w:rsidR="002D064C" w:rsidRDefault="007509F3" w:rsidP="00DF6E22">
      <w:pPr>
        <w:pStyle w:val="Picture"/>
        <w:rPr>
          <w:lang w:eastAsia="ja-JP"/>
        </w:rPr>
      </w:pPr>
      <w:r>
        <w:drawing>
          <wp:inline distT="0" distB="0" distL="0" distR="0" wp14:anchorId="11BFF613" wp14:editId="366FCE51">
            <wp:extent cx="5532120" cy="2971800"/>
            <wp:effectExtent l="0" t="0" r="0" b="0"/>
            <wp:docPr id="4" name="Picture 4" descr="Shows the Victorian Government's biosecurity evidence framework as detailed in its review submission. Under the framework, performance indicators have been assigned to each biosecurity business area (for example, domestic animals, invasive species and plants), which progressively collect and enter data to support consistent measurement of performance against the state’s biosecurity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32120" cy="2971800"/>
                    </a:xfrm>
                    <a:prstGeom prst="rect">
                      <a:avLst/>
                    </a:prstGeom>
                    <a:noFill/>
                  </pic:spPr>
                </pic:pic>
              </a:graphicData>
            </a:graphic>
          </wp:inline>
        </w:drawing>
      </w:r>
    </w:p>
    <w:p w14:paraId="7AEC79DE" w14:textId="3C16E17A" w:rsidR="00A7212D" w:rsidRPr="00A03257" w:rsidRDefault="002D064C" w:rsidP="002D064C">
      <w:pPr>
        <w:pStyle w:val="Caption"/>
        <w:rPr>
          <w:sz w:val="22"/>
          <w:szCs w:val="22"/>
        </w:rPr>
      </w:pPr>
      <w:bookmarkStart w:id="227" w:name="_Ref466986114"/>
      <w:bookmarkStart w:id="228" w:name="_Toc468176744"/>
      <w:bookmarkStart w:id="229" w:name="_Ref466986105"/>
      <w:r w:rsidRPr="00A03257">
        <w:rPr>
          <w:sz w:val="22"/>
          <w:szCs w:val="22"/>
        </w:rPr>
        <w:t xml:space="preserve">Figure </w:t>
      </w:r>
      <w:r w:rsidR="00D56373" w:rsidRPr="00A03257">
        <w:rPr>
          <w:sz w:val="22"/>
          <w:szCs w:val="22"/>
        </w:rPr>
        <w:fldChar w:fldCharType="begin"/>
      </w:r>
      <w:r w:rsidR="00D56373" w:rsidRPr="00A03257">
        <w:rPr>
          <w:sz w:val="22"/>
          <w:szCs w:val="22"/>
        </w:rPr>
        <w:instrText xml:space="preserve"> SEQ Figure \* ARABIC </w:instrText>
      </w:r>
      <w:r w:rsidR="00D56373" w:rsidRPr="00A03257">
        <w:rPr>
          <w:sz w:val="22"/>
          <w:szCs w:val="22"/>
        </w:rPr>
        <w:fldChar w:fldCharType="separate"/>
      </w:r>
      <w:r w:rsidR="008303E2">
        <w:rPr>
          <w:noProof/>
          <w:sz w:val="22"/>
          <w:szCs w:val="22"/>
        </w:rPr>
        <w:t>9</w:t>
      </w:r>
      <w:r w:rsidR="00D56373" w:rsidRPr="00A03257">
        <w:rPr>
          <w:noProof/>
          <w:sz w:val="22"/>
          <w:szCs w:val="22"/>
        </w:rPr>
        <w:fldChar w:fldCharType="end"/>
      </w:r>
      <w:bookmarkEnd w:id="227"/>
      <w:r w:rsidR="007C1C69" w:rsidRPr="00A03257">
        <w:rPr>
          <w:sz w:val="22"/>
          <w:szCs w:val="22"/>
        </w:rPr>
        <w:t>:</w:t>
      </w:r>
      <w:r w:rsidRPr="00A03257">
        <w:rPr>
          <w:sz w:val="22"/>
          <w:szCs w:val="22"/>
        </w:rPr>
        <w:t xml:space="preserve"> Victorian Government's Biosecurity Evidence Framework</w:t>
      </w:r>
      <w:bookmarkEnd w:id="228"/>
    </w:p>
    <w:p w14:paraId="5D0C4371" w14:textId="2C16545B" w:rsidR="002D064C" w:rsidRDefault="002D064C" w:rsidP="00A7212D">
      <w:pPr>
        <w:pStyle w:val="FigureTableNoteSource"/>
      </w:pPr>
      <w:r>
        <w:t>Source: Victorian Government submission</w:t>
      </w:r>
      <w:bookmarkEnd w:id="229"/>
      <w:r w:rsidR="00414E5B">
        <w:t>.</w:t>
      </w:r>
    </w:p>
    <w:p w14:paraId="3A842164" w14:textId="5D55D1E2" w:rsidR="005A0325" w:rsidRDefault="00695B63" w:rsidP="005A0325">
      <w:r>
        <w:t xml:space="preserve">The </w:t>
      </w:r>
      <w:r w:rsidR="005A0325">
        <w:t>Victoria</w:t>
      </w:r>
      <w:r>
        <w:t>n Government</w:t>
      </w:r>
      <w:r w:rsidR="005A0325">
        <w:t xml:space="preserve"> proposes that a similar program logic be developed and agreed for Australia’s biosecurity system to guide the selection of national measures of success. Such a process wo</w:t>
      </w:r>
      <w:r w:rsidR="0083793C">
        <w:t>uld articulate short and medium-</w:t>
      </w:r>
      <w:r w:rsidR="005A0325">
        <w:t>term outcomes, identify strategic and targeted interventions (using a risk-based approach)</w:t>
      </w:r>
      <w:r w:rsidR="0083793C">
        <w:t>,</w:t>
      </w:r>
      <w:r w:rsidR="005A0325">
        <w:t xml:space="preserve"> and identify the data and supporting evidence required.</w:t>
      </w:r>
      <w:r w:rsidR="00CF0598">
        <w:t xml:space="preserve"> The Review Panel supports this view.</w:t>
      </w:r>
    </w:p>
    <w:p w14:paraId="7A01BCE9" w14:textId="77777777" w:rsidR="00CF0598" w:rsidRDefault="00CF0598" w:rsidP="00CF0598">
      <w:r>
        <w:t>The Panel notes that the scope of the BEF is broader than biosecurity and encompasses animal health and welfare and chemical streams, as do the performance indicators and metrics used to evaluate its success. The Panel is not suggesting this scope for the national biosecurity system framework.</w:t>
      </w:r>
    </w:p>
    <w:p w14:paraId="2FB930B4" w14:textId="54B560C5" w:rsidR="00CF0598" w:rsidRDefault="00CF0598" w:rsidP="00CF0598">
      <w:r>
        <w:t xml:space="preserve">Development of a biosecurity performance framework and meaningful performance indicators, to support both national decision-making and public reporting, will require a commitment of effort and resources from jurisdictions and key partner organisations. As our Discussion Paper flagged, this also needs to be a cost-effective activity. Jurisdictions will need to establish, at the outset, the level and duration of resources they are prepared to allocate to this work. The Review Panel recommends that </w:t>
      </w:r>
      <w:r w:rsidR="00807740">
        <w:t xml:space="preserve">the </w:t>
      </w:r>
      <w:r>
        <w:t xml:space="preserve">NBC establish a time-limited task group to advance development of a performance framework for the national system. </w:t>
      </w:r>
      <w:r w:rsidR="004E7FA2" w:rsidRPr="00561FD5">
        <w:t>The Panel would expect the framework and performance measures to cover the various aspects of the national biosecurity system (for example, national priority pests and diseases, surveillance, emergency response, and funding and investment) and their interaction with areas including trade, market access and tourism.</w:t>
      </w:r>
      <w:r w:rsidR="004E7FA2">
        <w:t xml:space="preserve"> </w:t>
      </w:r>
      <w:r>
        <w:t>It may be appropriate that the remit of the existing National Biosecurity Information Governance Expert Group (NBIGEG) be expanded to include performance measurement.</w:t>
      </w:r>
    </w:p>
    <w:p w14:paraId="6E8E3F2E" w14:textId="77777777" w:rsidR="004A1C1E" w:rsidRDefault="004A1C1E" w:rsidP="004A1C1E">
      <w:pPr>
        <w:pStyle w:val="Heading3"/>
      </w:pPr>
      <w:bookmarkStart w:id="230" w:name="_Toc469654761"/>
      <w:r>
        <w:lastRenderedPageBreak/>
        <w:t>Knowledge and data</w:t>
      </w:r>
      <w:bookmarkEnd w:id="230"/>
    </w:p>
    <w:p w14:paraId="621AC716" w14:textId="449FA48B" w:rsidR="004A1C1E" w:rsidRDefault="004A1C1E" w:rsidP="004A1C1E">
      <w:r>
        <w:t xml:space="preserve">Ready access to comprehensive and reliable data and information is essential for anticipating, responding to and managing national biosecurity risks, substantiating Australia’s claims about its pest and disease status, and for decision-making, policy development, and performance measurement. As the </w:t>
      </w:r>
      <w:r w:rsidR="00595669" w:rsidRPr="00595669">
        <w:t>New South Wales Government Department of Primary Industries</w:t>
      </w:r>
      <w:r>
        <w:t xml:space="preserve"> pointed out, all jurisdictions, industries and relevant non-government organisations hold data of relevance to the national biosecurity system. This brings bot</w:t>
      </w:r>
      <w:r w:rsidR="003B1A0F">
        <w:t>h challenges and opportunities.</w:t>
      </w:r>
    </w:p>
    <w:p w14:paraId="38548F1A" w14:textId="2F0A6567" w:rsidR="004A1C1E" w:rsidRDefault="004A1C1E" w:rsidP="004A1C1E">
      <w:r>
        <w:t xml:space="preserve">The national </w:t>
      </w:r>
      <w:r w:rsidR="00F4285E">
        <w:t xml:space="preserve">biosecurity </w:t>
      </w:r>
      <w:r>
        <w:t xml:space="preserve">system does not have, or necessarily need, a single holder of expert knowledge or national data repository. However, where there are multiple data and knowledge holders (as is currently the case) there must be agreed </w:t>
      </w:r>
      <w:r w:rsidRPr="00343658">
        <w:t>sources</w:t>
      </w:r>
      <w:r w:rsidR="00680D2F" w:rsidRPr="00343658">
        <w:t xml:space="preserve"> and common</w:t>
      </w:r>
      <w:r w:rsidR="00343658" w:rsidRPr="00343658">
        <w:t xml:space="preserve"> data</w:t>
      </w:r>
      <w:r w:rsidR="00680D2F" w:rsidRPr="00343658">
        <w:t xml:space="preserve"> format</w:t>
      </w:r>
      <w:r>
        <w:t xml:space="preserve"> of data so that valid comparisons and assessments can be made (</w:t>
      </w:r>
      <w:r w:rsidR="00695B63">
        <w:t>for example,</w:t>
      </w:r>
      <w:r>
        <w:t xml:space="preserve"> ABARES data in the case of Agriculture) and IT systems capable of commu</w:t>
      </w:r>
      <w:r w:rsidR="009C6D92">
        <w:t>nica</w:t>
      </w:r>
      <w:r>
        <w:t xml:space="preserve">ting with each </w:t>
      </w:r>
      <w:r w:rsidR="00772A6B">
        <w:t xml:space="preserve">other </w:t>
      </w:r>
      <w:r>
        <w:t>(</w:t>
      </w:r>
      <w:r w:rsidR="00695B63">
        <w:t>that is,</w:t>
      </w:r>
      <w:r>
        <w:t xml:space="preserve"> through inter-</w:t>
      </w:r>
      <w:r w:rsidR="003B1A0F">
        <w:t>operable technology platforms).</w:t>
      </w:r>
    </w:p>
    <w:p w14:paraId="1F02B8CE" w14:textId="77777777" w:rsidR="004A1C1E" w:rsidRDefault="004A1C1E" w:rsidP="004A1C1E">
      <w:r>
        <w:t>The NBC, through the NBIGEG, has made noteworthy progress towards improving cooperation between jurisdictions in collecting, collating, analysing, storing and sharing biosecurity information; there have been flow-on effects in improving decision making and operational efficiency. The Review Panel recognises the work already completed in this area, including the development of nationally consistent minimum dataset specifications and standards, where the dominant focus has been emergency responses</w:t>
      </w:r>
      <w:r w:rsidR="00F4285E">
        <w:t>:</w:t>
      </w:r>
    </w:p>
    <w:p w14:paraId="467880F1" w14:textId="5ACDBAF3" w:rsidR="004A1C1E" w:rsidRDefault="004A1C1E" w:rsidP="004A1C1E">
      <w:pPr>
        <w:pStyle w:val="Quote"/>
      </w:pPr>
      <w:r>
        <w:t>Data standards for sectoral groups should remain a high priority to ensure data sets are comparable for analysis. A good example is the weeds metadata standards. The weeds metadata standards align to biosecurity activities such as inspections, compliance, extension, and control activities allowing state and national views to be presented in a meaningful way (</w:t>
      </w:r>
      <w:r w:rsidR="00595669" w:rsidRPr="00595669">
        <w:t xml:space="preserve">New South Wales Government Department of Primary Industries </w:t>
      </w:r>
      <w:r>
        <w:t>submission</w:t>
      </w:r>
      <w:r w:rsidR="00695B63">
        <w:t>, p</w:t>
      </w:r>
      <w:r w:rsidR="00CF0598">
        <w:t>.</w:t>
      </w:r>
      <w:r w:rsidR="00695B63">
        <w:t xml:space="preserve"> 19</w:t>
      </w:r>
      <w:r>
        <w:t>)</w:t>
      </w:r>
    </w:p>
    <w:p w14:paraId="17F769AE" w14:textId="338DCEDF" w:rsidR="004A1C1E" w:rsidRDefault="004A1C1E" w:rsidP="004A1C1E">
      <w:r>
        <w:t xml:space="preserve">Outside </w:t>
      </w:r>
      <w:r w:rsidR="00540672">
        <w:t xml:space="preserve">of </w:t>
      </w:r>
      <w:r>
        <w:t>government, there are likely opportunities for industry and the community to better contribute their data relevant to biosecurity. The Panel was advised of several existing industry data sets which could be better utilised, including for substantiating future area freedom claims. Separately, one stakeholder highlighted the need to better address the availability of data generated through industry-funded research, especially where the findings could have market access impacts.</w:t>
      </w:r>
    </w:p>
    <w:p w14:paraId="099E00AC" w14:textId="77777777" w:rsidR="004A1C1E" w:rsidRDefault="004A1C1E" w:rsidP="004A1C1E">
      <w:r>
        <w:t>There are various software and technology platforms in place to manage the collection, collation and analysis of biosecurity data. The Australian Government has highlighted problems with some existing data systems used:</w:t>
      </w:r>
    </w:p>
    <w:p w14:paraId="0D8C6C67" w14:textId="77777777" w:rsidR="004A1C1E" w:rsidRDefault="004A1C1E" w:rsidP="004A1C1E">
      <w:pPr>
        <w:pStyle w:val="Quote"/>
      </w:pPr>
      <w:r>
        <w:t>Current systems, many of which have manual processes, are non-integrated, inefficient and do not support assessments of risks or change to pest status where circumstances change (</w:t>
      </w:r>
      <w:r w:rsidR="00FF0E60">
        <w:t xml:space="preserve">Australian </w:t>
      </w:r>
      <w:r w:rsidR="00CF0598">
        <w:t>G</w:t>
      </w:r>
      <w:r w:rsidR="00FF0E60">
        <w:t xml:space="preserve">overnment </w:t>
      </w:r>
      <w:r>
        <w:t>sub</w:t>
      </w:r>
      <w:r w:rsidR="00FF0E60">
        <w:t>mission,</w:t>
      </w:r>
      <w:r>
        <w:t xml:space="preserve"> p. 22)</w:t>
      </w:r>
    </w:p>
    <w:p w14:paraId="5F275B72" w14:textId="77537EA1" w:rsidR="004A1C1E" w:rsidRDefault="004A1C1E" w:rsidP="004A1C1E">
      <w:r>
        <w:t>However, recent developments by and across jurisdictions have contributed substantially to addressing this shortcoming (</w:t>
      </w:r>
      <w:r>
        <w:fldChar w:fldCharType="begin"/>
      </w:r>
      <w:r>
        <w:instrText xml:space="preserve"> REF _Ref466987245 \h </w:instrText>
      </w:r>
      <w:r>
        <w:fldChar w:fldCharType="separate"/>
      </w:r>
      <w:r w:rsidR="008303E2">
        <w:t xml:space="preserve">Box </w:t>
      </w:r>
      <w:r w:rsidR="008303E2">
        <w:rPr>
          <w:noProof/>
        </w:rPr>
        <w:t>15</w:t>
      </w:r>
      <w:r>
        <w:fldChar w:fldCharType="end"/>
      </w:r>
      <w:r>
        <w:t>).</w:t>
      </w:r>
    </w:p>
    <w:p w14:paraId="03EC0ED1" w14:textId="77777777" w:rsidR="004A1C1E" w:rsidRDefault="004A1C1E" w:rsidP="00005262">
      <w:pPr>
        <w:pStyle w:val="BoxHeading"/>
        <w:keepNext/>
      </w:pPr>
      <w:bookmarkStart w:id="231" w:name="_Ref466987245"/>
      <w:bookmarkStart w:id="232" w:name="_Toc468176758"/>
      <w:bookmarkStart w:id="233" w:name="_Toc468444408"/>
      <w:r>
        <w:lastRenderedPageBreak/>
        <w:t xml:space="preserve">Box </w:t>
      </w:r>
      <w:r w:rsidR="008303E2">
        <w:fldChar w:fldCharType="begin"/>
      </w:r>
      <w:r w:rsidR="008303E2">
        <w:instrText xml:space="preserve"> SEQ Box \* ARABIC </w:instrText>
      </w:r>
      <w:r w:rsidR="008303E2">
        <w:fldChar w:fldCharType="separate"/>
      </w:r>
      <w:r w:rsidR="008303E2">
        <w:rPr>
          <w:noProof/>
        </w:rPr>
        <w:t>15</w:t>
      </w:r>
      <w:r w:rsidR="008303E2">
        <w:rPr>
          <w:noProof/>
        </w:rPr>
        <w:fldChar w:fldCharType="end"/>
      </w:r>
      <w:bookmarkEnd w:id="231"/>
      <w:r w:rsidR="007C1C69">
        <w:t>:</w:t>
      </w:r>
      <w:r>
        <w:t xml:space="preserve"> MAX and AUSPestCheck initiatives</w:t>
      </w:r>
      <w:bookmarkEnd w:id="232"/>
      <w:bookmarkEnd w:id="233"/>
    </w:p>
    <w:p w14:paraId="2653E50C" w14:textId="77777777" w:rsidR="00E006C8" w:rsidRDefault="00E006C8" w:rsidP="00E006C8">
      <w:pPr>
        <w:pStyle w:val="BoxHeading"/>
      </w:pPr>
      <w:r>
        <w:t xml:space="preserve">MAX </w:t>
      </w:r>
    </w:p>
    <w:p w14:paraId="7B86B34E" w14:textId="77777777" w:rsidR="00E006C8" w:rsidRDefault="00E006C8" w:rsidP="00E006C8">
      <w:pPr>
        <w:pStyle w:val="BoxText"/>
      </w:pPr>
      <w:r>
        <w:t>Developed by the Victorian Government, MAX is a software platform for managing, collecting and reporting textual and spatial data. It can be customised for a variety of purposes, including real-time reporting, and in variety of settings (for example, field work on mobile devices). For example, Max was used by Victoria when responding to the 2014 Giant Pine Scale outbreak in Melbourne, where there was no information system in place to manage the resulting biosecurity data at a tree level. A template for foot-and-mouth disease was adapted to manage trees instead of animals and field staff were able to use iPads to gather field surveillance data and report it in real time. MAX is also used by five other jurisdictions for different purposes, covering both routine and emergency biosecurity activities.</w:t>
      </w:r>
    </w:p>
    <w:p w14:paraId="7999AF25" w14:textId="77777777" w:rsidR="00E006C8" w:rsidRDefault="00E006C8" w:rsidP="00E006C8">
      <w:pPr>
        <w:pStyle w:val="BoxHeading"/>
      </w:pPr>
      <w:r>
        <w:t xml:space="preserve">National Surveillance System for Weeds and Plant Pests: Virtual Coordination Centre </w:t>
      </w:r>
    </w:p>
    <w:p w14:paraId="17E1095E" w14:textId="77777777" w:rsidR="00E006C8" w:rsidRDefault="00E006C8" w:rsidP="00E006C8">
      <w:pPr>
        <w:pStyle w:val="BoxText"/>
      </w:pPr>
      <w:r>
        <w:t>PHA has developed a sophisticated virtual surveillance centre, called AUSPestCheck, capable of providing and receiving national surveillance information on weeds and plant pests from a wide range of stakeholders. The project was completed in March 2016 and negotiations with funders are underway to enhance the system and to incorporate it into national biosecurity surveillance arrangements. The system uses mobile technology and a secure cloud environment to pull together surveillance data from multiple sources at minimal cost. It then produces a map of where checks for pests have been made and where pests are found or not found. The mapping facility has already been used to track the spread of Russian wheat aphid (</w:t>
      </w:r>
      <w:r w:rsidRPr="004A1C1E">
        <w:rPr>
          <w:i/>
        </w:rPr>
        <w:t>Diuphis noxia</w:t>
      </w:r>
      <w:r>
        <w:t>) since its discovery in South Australia in May 2016 (refer map insert).</w:t>
      </w:r>
    </w:p>
    <w:p w14:paraId="2F31166B" w14:textId="77777777" w:rsidR="00E006C8" w:rsidRDefault="00E006C8" w:rsidP="0033275B">
      <w:pPr>
        <w:pStyle w:val="BoxText"/>
        <w:jc w:val="center"/>
      </w:pPr>
      <w:r>
        <w:rPr>
          <w:noProof/>
          <w:lang w:eastAsia="en-AU"/>
        </w:rPr>
        <w:drawing>
          <wp:inline distT="0" distB="0" distL="0" distR="0" wp14:anchorId="7A7019CF" wp14:editId="399B1DB3">
            <wp:extent cx="3535045" cy="2091055"/>
            <wp:effectExtent l="0" t="0" r="8255" b="4445"/>
            <wp:docPr id="8" name="Picture 8" descr="AUSPestCheck output of the spread of Russian wheat aphid in South Australia, Victoria and New South Wales as at 14 October 2016."/>
            <wp:cNvGraphicFramePr/>
            <a:graphic xmlns:a="http://schemas.openxmlformats.org/drawingml/2006/main">
              <a:graphicData uri="http://schemas.openxmlformats.org/drawingml/2006/picture">
                <pic:pic xmlns:pic="http://schemas.openxmlformats.org/drawingml/2006/picture">
                  <pic:nvPicPr>
                    <pic:cNvPr id="8" name="Picture 8" descr="AUSPestCheck output of the spread of Russian wheat aphid in South Australia, Victoria and New South Wales as at 14 October 2016."/>
                    <pic:cNvPicPr/>
                  </pic:nvPicPr>
                  <pic:blipFill>
                    <a:blip r:embed="rId49">
                      <a:extLst>
                        <a:ext uri="{28A0092B-C50C-407E-A947-70E740481C1C}">
                          <a14:useLocalDpi xmlns:a14="http://schemas.microsoft.com/office/drawing/2010/main" val="0"/>
                        </a:ext>
                      </a:extLst>
                    </a:blip>
                    <a:stretch>
                      <a:fillRect/>
                    </a:stretch>
                  </pic:blipFill>
                  <pic:spPr>
                    <a:xfrm>
                      <a:off x="0" y="0"/>
                      <a:ext cx="3535045" cy="2091055"/>
                    </a:xfrm>
                    <a:prstGeom prst="rect">
                      <a:avLst/>
                    </a:prstGeom>
                  </pic:spPr>
                </pic:pic>
              </a:graphicData>
            </a:graphic>
          </wp:inline>
        </w:drawing>
      </w:r>
    </w:p>
    <w:p w14:paraId="0935D45A" w14:textId="77777777" w:rsidR="00E006C8" w:rsidRDefault="00E006C8" w:rsidP="00E006C8">
      <w:pPr>
        <w:pStyle w:val="BoxText"/>
      </w:pPr>
      <w:r>
        <w:t>Ultimately, the system will be capable of receiving and integrating data from multiple surveillance systems, and delivering integrated surveillance data to those working in weed and pest management in Australia.</w:t>
      </w:r>
    </w:p>
    <w:p w14:paraId="55CA6B3F" w14:textId="0C6FA9E7" w:rsidR="00680D2F" w:rsidRDefault="00E006C8" w:rsidP="00E006C8">
      <w:pPr>
        <w:pStyle w:val="BoxSource"/>
      </w:pPr>
      <w:r>
        <w:t>Source:</w:t>
      </w:r>
      <w:r w:rsidRPr="00BF4C55">
        <w:t xml:space="preserve"> </w:t>
      </w:r>
      <w:r>
        <w:t xml:space="preserve">AUSPestCheck output of Russian Wheat Aphid distribution as at </w:t>
      </w:r>
      <w:r w:rsidRPr="00680D2F">
        <w:t>14/10/2016</w:t>
      </w:r>
      <w:r>
        <w:t xml:space="preserve">, available at </w:t>
      </w:r>
      <w:hyperlink r:id="rId50" w:history="1">
        <w:r w:rsidRPr="00FF5AE8">
          <w:rPr>
            <w:rStyle w:val="Hyperlink"/>
          </w:rPr>
          <w:t>AUSPestCheck</w:t>
        </w:r>
      </w:hyperlink>
      <w:r w:rsidR="005E0491">
        <w:t>.</w:t>
      </w:r>
    </w:p>
    <w:p w14:paraId="518120E2" w14:textId="1CC854D8" w:rsidR="004A1C1E" w:rsidRDefault="004A1C1E" w:rsidP="004A1C1E">
      <w:r>
        <w:t>The Australian Government</w:t>
      </w:r>
      <w:r w:rsidR="00680D2F">
        <w:t xml:space="preserve"> Department of Agriculture and Water Resources</w:t>
      </w:r>
      <w:r>
        <w:t xml:space="preserve"> has indicated that more sophisticated data capture, use and analysis will be greatly improved through the implementation of its proposed Biosecurity Integrated Information System (BIIS) in early 2017 (subject to Commonwealth approval). The BIIS is intended to improve the </w:t>
      </w:r>
      <w:r w:rsidR="00680D2F">
        <w:t>d</w:t>
      </w:r>
      <w:r>
        <w:t>epartment</w:t>
      </w:r>
      <w:r w:rsidR="00680D2F">
        <w:t>’s</w:t>
      </w:r>
      <w:r>
        <w:t xml:space="preserve"> ability to collect, collate and analyse information to support better a</w:t>
      </w:r>
      <w:r w:rsidR="003B1A0F">
        <w:t>nd more timely decision-making.</w:t>
      </w:r>
    </w:p>
    <w:p w14:paraId="61D76580" w14:textId="77777777" w:rsidR="004A1C1E" w:rsidRDefault="004A1C1E" w:rsidP="004A1C1E">
      <w:r>
        <w:t>The department is also developing an advanced analytics capability to utilise the information captured by the BIIS, which is expected to improve: biosecurity risk profiling and analysis, including invasive pathway modelling; pest and disease detection and prediction; demonstration of proof of area freedom; community-based data for biosecurity risk management; and management of biosecurity regulatory compliance.</w:t>
      </w:r>
    </w:p>
    <w:p w14:paraId="1F5DD2D1" w14:textId="77777777" w:rsidR="004A1C1E" w:rsidRDefault="004A1C1E" w:rsidP="004A1C1E">
      <w:pPr>
        <w:pStyle w:val="Quote"/>
      </w:pPr>
      <w:r>
        <w:lastRenderedPageBreak/>
        <w:t>[Data analytics] will answer questions about what has happened and why (descriptive analytics), and what might happen in the future (predictive analytics), through the application of modelling and data analysis (Australian Government</w:t>
      </w:r>
      <w:r w:rsidR="00FF0E60">
        <w:t xml:space="preserve"> submission, p</w:t>
      </w:r>
      <w:r w:rsidR="00CF0598">
        <w:t xml:space="preserve">. </w:t>
      </w:r>
      <w:r w:rsidR="00FF0E60">
        <w:t>22</w:t>
      </w:r>
      <w:r>
        <w:t>)</w:t>
      </w:r>
    </w:p>
    <w:p w14:paraId="6D6D644E" w14:textId="5613BA35" w:rsidR="004A1C1E" w:rsidRDefault="004A1C1E" w:rsidP="004A1C1E">
      <w:r>
        <w:t>The Review Panel recognises the immense potential of the BIIS and data analytics system to inform not only the Australian Government, but all jurisdictions. To that end it will be important that such an investment allows for interoperability of the BI</w:t>
      </w:r>
      <w:r w:rsidR="003B1A0F">
        <w:t>IS with relevant state systems.</w:t>
      </w:r>
    </w:p>
    <w:p w14:paraId="18ADF003" w14:textId="49585424" w:rsidR="004A1C1E" w:rsidRDefault="004A1C1E" w:rsidP="0049641D">
      <w:pPr>
        <w:pStyle w:val="Quote"/>
      </w:pPr>
      <w:r>
        <w:t>Interoperability of system is also important to allow near real-time and seamless data sharing. Modern technology platforms allow interoperability and all jurisdictions should be encouraged to upgrade their technology where required (</w:t>
      </w:r>
      <w:r w:rsidR="00595669" w:rsidRPr="00595669">
        <w:t xml:space="preserve">New South Wales Government Department of Primary Industries </w:t>
      </w:r>
      <w:r w:rsidR="00FF0E60">
        <w:t xml:space="preserve">submission, </w:t>
      </w:r>
      <w:r w:rsidR="009D1E8D">
        <w:br/>
      </w:r>
      <w:r w:rsidR="00FF0E60">
        <w:t>p</w:t>
      </w:r>
      <w:r w:rsidR="00CF0598">
        <w:t xml:space="preserve">. </w:t>
      </w:r>
      <w:r w:rsidR="00FF0E60">
        <w:t>20</w:t>
      </w:r>
      <w:r>
        <w:t>)</w:t>
      </w:r>
    </w:p>
    <w:p w14:paraId="63DD5750" w14:textId="564B02BB" w:rsidR="004A1C1E" w:rsidRDefault="004A1C1E" w:rsidP="004A1C1E">
      <w:r>
        <w:t>The Panel received comments from governments critical of each other for not making data and information sources nationally available or accessible. In particular, consistent comments were made about the need for the Australian Government to share information and intelligence with jurisdictions on, for example, border interception</w:t>
      </w:r>
      <w:r w:rsidR="003B1A0F">
        <w:t>s.</w:t>
      </w:r>
    </w:p>
    <w:p w14:paraId="3D6B890E" w14:textId="168216EE" w:rsidR="004A1C1E" w:rsidRDefault="004A1C1E" w:rsidP="004A1C1E">
      <w:r>
        <w:t>It is critical that all jurisdictions, which have joint responsibility for the stewardship of the national biosecurity system, are willing and able to share knowledge and data in the national interest. The NBC could draw upon the approach taken by Australia’s national counter terrorism agencies and its Australia-New Zealand Counter</w:t>
      </w:r>
      <w:r w:rsidR="00680D2F">
        <w:t>-</w:t>
      </w:r>
      <w:r>
        <w:t xml:space="preserve">Terrorism Committee, which have governance structures and data platforms in place to routinely gather, share and present intelligence information to senior government decision-makers. The Review Panel recommends that the </w:t>
      </w:r>
      <w:r w:rsidR="00244860">
        <w:t xml:space="preserve">Australian Government </w:t>
      </w:r>
      <w:r>
        <w:t>Department of Agriculture and Water Resources resource a dedicated intelligence unit to similarly equip the national biosecurity system leadership.</w:t>
      </w:r>
    </w:p>
    <w:p w14:paraId="2AC4BBC5" w14:textId="1A14E03E" w:rsidR="00195EF1" w:rsidRPr="000A63E6" w:rsidRDefault="00195EF1" w:rsidP="000A63E6">
      <w:pPr>
        <w:pStyle w:val="BoxHeading"/>
        <w:shd w:val="clear" w:color="auto" w:fill="D9D9D9" w:themeFill="background1" w:themeFillShade="D9"/>
        <w:rPr>
          <w:sz w:val="22"/>
        </w:rPr>
      </w:pPr>
      <w:bookmarkStart w:id="234" w:name="_Toc467231893"/>
      <w:bookmarkStart w:id="235" w:name="Draft_recommendation_36"/>
      <w:r w:rsidRPr="000A63E6">
        <w:rPr>
          <w:sz w:val="22"/>
        </w:rPr>
        <w:t xml:space="preserve">Draft recommendation </w:t>
      </w:r>
      <w:r w:rsidR="00EB023E">
        <w:rPr>
          <w:sz w:val="22"/>
        </w:rPr>
        <w:t>3</w:t>
      </w:r>
      <w:bookmarkEnd w:id="234"/>
      <w:r w:rsidR="00FE6EEF">
        <w:rPr>
          <w:sz w:val="22"/>
        </w:rPr>
        <w:t>6</w:t>
      </w:r>
      <w:bookmarkEnd w:id="235"/>
      <w:r w:rsidR="00AC7EA2" w:rsidRPr="000A63E6">
        <w:rPr>
          <w:noProof/>
          <w:sz w:val="22"/>
        </w:rPr>
        <w:t>:</w:t>
      </w:r>
    </w:p>
    <w:p w14:paraId="58643262" w14:textId="78FCC9C4" w:rsidR="00C62304" w:rsidRPr="000A63E6" w:rsidRDefault="00C62304" w:rsidP="000A63E6">
      <w:pPr>
        <w:pStyle w:val="BoxText"/>
        <w:shd w:val="clear" w:color="auto" w:fill="D9D9D9" w:themeFill="background1" w:themeFillShade="D9"/>
        <w:rPr>
          <w:sz w:val="22"/>
        </w:rPr>
      </w:pPr>
      <w:r w:rsidRPr="000A63E6">
        <w:rPr>
          <w:sz w:val="22"/>
        </w:rPr>
        <w:t>The NBC</w:t>
      </w:r>
      <w:r w:rsidR="00203CD4" w:rsidRPr="000A63E6">
        <w:rPr>
          <w:sz w:val="22"/>
        </w:rPr>
        <w:t xml:space="preserve"> should</w:t>
      </w:r>
      <w:r w:rsidRPr="000A63E6">
        <w:rPr>
          <w:sz w:val="22"/>
        </w:rPr>
        <w:t xml:space="preserve"> establish a time-limited task group to </w:t>
      </w:r>
      <w:r w:rsidR="002D6C22" w:rsidRPr="000A63E6">
        <w:rPr>
          <w:sz w:val="22"/>
        </w:rPr>
        <w:t xml:space="preserve">progress </w:t>
      </w:r>
      <w:r w:rsidRPr="000A63E6">
        <w:rPr>
          <w:sz w:val="22"/>
        </w:rPr>
        <w:t>develop</w:t>
      </w:r>
      <w:r w:rsidR="002D6C22" w:rsidRPr="000A63E6">
        <w:rPr>
          <w:sz w:val="22"/>
        </w:rPr>
        <w:t>ment of</w:t>
      </w:r>
      <w:r w:rsidRPr="000A63E6">
        <w:rPr>
          <w:sz w:val="22"/>
        </w:rPr>
        <w:t xml:space="preserve"> a performance framework and performance </w:t>
      </w:r>
      <w:r w:rsidR="002D6C22" w:rsidRPr="000A63E6">
        <w:rPr>
          <w:sz w:val="22"/>
        </w:rPr>
        <w:t>measures</w:t>
      </w:r>
      <w:r w:rsidRPr="000A63E6">
        <w:rPr>
          <w:sz w:val="22"/>
        </w:rPr>
        <w:t xml:space="preserve"> for the national biosecurity system.</w:t>
      </w:r>
    </w:p>
    <w:p w14:paraId="16EDADD3" w14:textId="3C92B45E" w:rsidR="00195EF1" w:rsidRPr="000A63E6" w:rsidRDefault="00195EF1" w:rsidP="000A63E6">
      <w:pPr>
        <w:pStyle w:val="BoxHeading"/>
        <w:shd w:val="clear" w:color="auto" w:fill="D9D9D9" w:themeFill="background1" w:themeFillShade="D9"/>
        <w:rPr>
          <w:sz w:val="22"/>
        </w:rPr>
      </w:pPr>
      <w:bookmarkStart w:id="236" w:name="_Toc467231894"/>
      <w:bookmarkStart w:id="237" w:name="Draft_recommendation_37"/>
      <w:r w:rsidRPr="000A63E6">
        <w:rPr>
          <w:sz w:val="22"/>
        </w:rPr>
        <w:t xml:space="preserve">Draft recommendation </w:t>
      </w:r>
      <w:r w:rsidR="00EB023E">
        <w:rPr>
          <w:sz w:val="22"/>
        </w:rPr>
        <w:t>3</w:t>
      </w:r>
      <w:bookmarkEnd w:id="236"/>
      <w:r w:rsidR="00FE6EEF">
        <w:rPr>
          <w:sz w:val="22"/>
        </w:rPr>
        <w:t>7</w:t>
      </w:r>
      <w:bookmarkEnd w:id="237"/>
      <w:r w:rsidR="00AC7EA2" w:rsidRPr="000A63E6">
        <w:rPr>
          <w:noProof/>
          <w:sz w:val="22"/>
        </w:rPr>
        <w:t>:</w:t>
      </w:r>
    </w:p>
    <w:p w14:paraId="3732316C" w14:textId="77777777" w:rsidR="00C62304" w:rsidRPr="000A63E6" w:rsidRDefault="00C62304" w:rsidP="000A63E6">
      <w:pPr>
        <w:pStyle w:val="BoxText"/>
        <w:shd w:val="clear" w:color="auto" w:fill="D9D9D9" w:themeFill="background1" w:themeFillShade="D9"/>
        <w:rPr>
          <w:sz w:val="22"/>
        </w:rPr>
      </w:pPr>
      <w:r w:rsidRPr="000A63E6">
        <w:rPr>
          <w:sz w:val="22"/>
        </w:rPr>
        <w:t>The Australian Government should facilitate development of an integrated, national biosecurity information system to provide a common platform for all jurisdictions to share and access biosecurity data and information in the national interest.</w:t>
      </w:r>
    </w:p>
    <w:p w14:paraId="1B9ED7CD" w14:textId="1B9798F5" w:rsidR="00C62304" w:rsidRPr="000A63E6" w:rsidRDefault="00C62304" w:rsidP="000A63E6">
      <w:pPr>
        <w:pStyle w:val="BoxHeading"/>
        <w:shd w:val="clear" w:color="auto" w:fill="D9D9D9" w:themeFill="background1" w:themeFillShade="D9"/>
        <w:rPr>
          <w:sz w:val="22"/>
        </w:rPr>
      </w:pPr>
      <w:bookmarkStart w:id="238" w:name="Draft_recommendation_39"/>
      <w:bookmarkStart w:id="239" w:name="Draft_recommendation_38"/>
      <w:r w:rsidRPr="000A63E6">
        <w:rPr>
          <w:sz w:val="22"/>
        </w:rPr>
        <w:t xml:space="preserve">Draft recommendation </w:t>
      </w:r>
      <w:r w:rsidR="00EB023E">
        <w:rPr>
          <w:sz w:val="22"/>
        </w:rPr>
        <w:t>3</w:t>
      </w:r>
      <w:bookmarkEnd w:id="238"/>
      <w:r w:rsidR="00FE6EEF">
        <w:rPr>
          <w:sz w:val="22"/>
        </w:rPr>
        <w:t>8</w:t>
      </w:r>
      <w:bookmarkEnd w:id="239"/>
      <w:r w:rsidR="00EB023E">
        <w:rPr>
          <w:noProof/>
          <w:sz w:val="22"/>
        </w:rPr>
        <w:t>:</w:t>
      </w:r>
    </w:p>
    <w:p w14:paraId="37C9859A" w14:textId="77777777" w:rsidR="00C62304" w:rsidRPr="000A63E6" w:rsidRDefault="00C62304" w:rsidP="000A63E6">
      <w:pPr>
        <w:pStyle w:val="BoxText"/>
        <w:shd w:val="clear" w:color="auto" w:fill="D9D9D9" w:themeFill="background1" w:themeFillShade="D9"/>
        <w:rPr>
          <w:sz w:val="22"/>
        </w:rPr>
      </w:pPr>
      <w:r w:rsidRPr="000A63E6">
        <w:rPr>
          <w:sz w:val="22"/>
        </w:rPr>
        <w:t>Data and knowledge sharing should be a core commitment of jurisdictions under the IGAB. Minimum standards and specifications should be agreed for data sets.</w:t>
      </w:r>
    </w:p>
    <w:p w14:paraId="49172C47" w14:textId="4BF84B6A" w:rsidR="00C62304" w:rsidRPr="000A63E6" w:rsidRDefault="00C62304" w:rsidP="000A63E6">
      <w:pPr>
        <w:pStyle w:val="BoxHeading"/>
        <w:shd w:val="clear" w:color="auto" w:fill="D9D9D9" w:themeFill="background1" w:themeFillShade="D9"/>
        <w:rPr>
          <w:sz w:val="22"/>
        </w:rPr>
      </w:pPr>
      <w:r w:rsidRPr="000A63E6">
        <w:rPr>
          <w:sz w:val="22"/>
        </w:rPr>
        <w:t xml:space="preserve">Draft recommendation </w:t>
      </w:r>
      <w:r w:rsidR="00FE6EEF">
        <w:rPr>
          <w:sz w:val="22"/>
        </w:rPr>
        <w:t>39</w:t>
      </w:r>
      <w:r w:rsidR="00AC7EA2" w:rsidRPr="000A63E6">
        <w:rPr>
          <w:noProof/>
          <w:sz w:val="22"/>
        </w:rPr>
        <w:t>:</w:t>
      </w:r>
    </w:p>
    <w:p w14:paraId="190A76A3" w14:textId="2253B0E5" w:rsidR="00C62304" w:rsidRPr="000A63E6" w:rsidRDefault="00C62304" w:rsidP="000A63E6">
      <w:pPr>
        <w:pStyle w:val="BoxText"/>
        <w:shd w:val="clear" w:color="auto" w:fill="D9D9D9" w:themeFill="background1" w:themeFillShade="D9"/>
        <w:rPr>
          <w:sz w:val="22"/>
        </w:rPr>
      </w:pPr>
      <w:r w:rsidRPr="000A63E6">
        <w:rPr>
          <w:sz w:val="22"/>
        </w:rPr>
        <w:t xml:space="preserve">The Australian Government </w:t>
      </w:r>
      <w:r w:rsidR="00203CD4" w:rsidRPr="000A63E6">
        <w:rPr>
          <w:sz w:val="22"/>
        </w:rPr>
        <w:t>should</w:t>
      </w:r>
      <w:r w:rsidRPr="000A63E6">
        <w:rPr>
          <w:sz w:val="22"/>
        </w:rPr>
        <w:t xml:space="preserve"> establish, within the Department of Agriculture and Water Resources, a dedicated National Biosecurity Intelligence Unit, to coordinate and provide advice to </w:t>
      </w:r>
      <w:r w:rsidR="0037184B" w:rsidRPr="000A63E6">
        <w:rPr>
          <w:sz w:val="22"/>
        </w:rPr>
        <w:t xml:space="preserve">the </w:t>
      </w:r>
      <w:r w:rsidRPr="000A63E6">
        <w:rPr>
          <w:sz w:val="22"/>
        </w:rPr>
        <w:t>NBC, AGSOC and AGMIN on biosecurity intelligence covering emerging risks and pathways, and international and domestic pest and disease detection.</w:t>
      </w:r>
    </w:p>
    <w:p w14:paraId="69B81B71" w14:textId="77777777" w:rsidR="00596255" w:rsidRDefault="00596255" w:rsidP="00596255">
      <w:pPr>
        <w:pStyle w:val="Heading2"/>
      </w:pPr>
      <w:bookmarkStart w:id="240" w:name="_Ref468435758"/>
      <w:bookmarkStart w:id="241" w:name="_Toc469654762"/>
      <w:r>
        <w:lastRenderedPageBreak/>
        <w:t>A future system, a future IGAB</w:t>
      </w:r>
      <w:bookmarkEnd w:id="240"/>
      <w:bookmarkEnd w:id="241"/>
    </w:p>
    <w:p w14:paraId="5701A3A7" w14:textId="77777777" w:rsidR="00BF4C55" w:rsidRDefault="00BF4C55" w:rsidP="00BF4C55">
      <w:pPr>
        <w:rPr>
          <w:lang w:eastAsia="ja-JP"/>
        </w:rPr>
      </w:pPr>
      <w:r w:rsidRPr="00BF4C55">
        <w:rPr>
          <w:lang w:eastAsia="ja-JP"/>
        </w:rPr>
        <w:t>An overarching theme for the IGAB Review was the extent to which the national biosecurity system and its underpinning IGAB, is fit for the future.</w:t>
      </w:r>
    </w:p>
    <w:p w14:paraId="74F02331" w14:textId="77777777" w:rsidR="00BF4C55" w:rsidRDefault="00BF4C55" w:rsidP="00BF4C55">
      <w:pPr>
        <w:pStyle w:val="Heading3"/>
        <w:rPr>
          <w:lang w:eastAsia="ja-JP"/>
        </w:rPr>
      </w:pPr>
      <w:bookmarkStart w:id="242" w:name="_Toc469654763"/>
      <w:r>
        <w:rPr>
          <w:lang w:eastAsia="ja-JP"/>
        </w:rPr>
        <w:t>A future system</w:t>
      </w:r>
      <w:bookmarkEnd w:id="242"/>
    </w:p>
    <w:p w14:paraId="3B8313B9" w14:textId="77777777" w:rsidR="00BF4C55" w:rsidRDefault="00BF4C55" w:rsidP="00BF4C55">
      <w:pPr>
        <w:rPr>
          <w:lang w:eastAsia="ja-JP"/>
        </w:rPr>
      </w:pPr>
      <w:r>
        <w:rPr>
          <w:lang w:eastAsia="ja-JP"/>
        </w:rPr>
        <w:t>It is clear that governments and the NBC have made enormous progress over the last four years in developing principles, protocols and collegiate working relationships to operationalise the IGAB. It is also clear that governments are committed to a path of reform and continuous improvement of the national</w:t>
      </w:r>
      <w:r w:rsidR="00F52976">
        <w:rPr>
          <w:lang w:eastAsia="ja-JP"/>
        </w:rPr>
        <w:t xml:space="preserve"> biosecurity</w:t>
      </w:r>
      <w:r>
        <w:rPr>
          <w:lang w:eastAsia="ja-JP"/>
        </w:rPr>
        <w:t xml:space="preserve"> system. Similarly, industry continues to adapt and respond to the evolving domestic and international biosecurity landscape, driven in large part by the trade and market access opportunities that beckon. Non-government stakeholders are also looking to play a more active role. There is much more that all parties in the national system need to do, and could do, in a spirit of partnership and collective action.</w:t>
      </w:r>
    </w:p>
    <w:p w14:paraId="2E98830A" w14:textId="77777777" w:rsidR="00BF4C55" w:rsidRDefault="00BF4C55" w:rsidP="00BF4C55">
      <w:pPr>
        <w:rPr>
          <w:lang w:eastAsia="ja-JP"/>
        </w:rPr>
      </w:pPr>
      <w:r>
        <w:rPr>
          <w:lang w:eastAsia="ja-JP"/>
        </w:rPr>
        <w:t xml:space="preserve">The Review Panel has made a number of recommendations aimed at strengthening the national biosecurity system in the near term. The Panel has consciously pitched its recommendations as achievable next steps to be implemented in the ensuing </w:t>
      </w:r>
      <w:r w:rsidR="00F52976">
        <w:rPr>
          <w:lang w:eastAsia="ja-JP"/>
        </w:rPr>
        <w:t>five</w:t>
      </w:r>
      <w:r>
        <w:rPr>
          <w:lang w:eastAsia="ja-JP"/>
        </w:rPr>
        <w:t>-year period (or the period covered by the next IGAB). However, the Panel has taken a much longer-term perspective than this. The recommendations were devised in the context of a longer-term direction</w:t>
      </w:r>
      <w:r w:rsidR="00FF0E60">
        <w:rPr>
          <w:lang w:eastAsia="ja-JP"/>
        </w:rPr>
        <w:t>—</w:t>
      </w:r>
      <w:r>
        <w:rPr>
          <w:lang w:eastAsia="ja-JP"/>
        </w:rPr>
        <w:t>say 10 to 15 years hence</w:t>
      </w:r>
      <w:r w:rsidR="00FF0E60">
        <w:rPr>
          <w:lang w:eastAsia="ja-JP"/>
        </w:rPr>
        <w:t>—</w:t>
      </w:r>
      <w:r>
        <w:rPr>
          <w:lang w:eastAsia="ja-JP"/>
        </w:rPr>
        <w:t>for the national biosecurity system; a future system that might exhibit the following features and characteristics:</w:t>
      </w:r>
    </w:p>
    <w:p w14:paraId="2BE7E083" w14:textId="35FFC4FF" w:rsidR="00BF4C55" w:rsidRDefault="008747BF" w:rsidP="00BF4C55">
      <w:pPr>
        <w:pStyle w:val="ListBullet"/>
        <w:rPr>
          <w:lang w:eastAsia="ja-JP"/>
        </w:rPr>
      </w:pPr>
      <w:r>
        <w:rPr>
          <w:lang w:eastAsia="ja-JP"/>
        </w:rPr>
        <w:t>a</w:t>
      </w:r>
      <w:r w:rsidR="00BF4C55">
        <w:rPr>
          <w:lang w:eastAsia="ja-JP"/>
        </w:rPr>
        <w:t xml:space="preserve"> national biosecurity strategy devised, owned and implemented by governme</w:t>
      </w:r>
      <w:r>
        <w:rPr>
          <w:lang w:eastAsia="ja-JP"/>
        </w:rPr>
        <w:t>nts, industry and the community</w:t>
      </w:r>
    </w:p>
    <w:p w14:paraId="799CDF2C" w14:textId="30354AB2" w:rsidR="00BF4C55" w:rsidRDefault="008747BF" w:rsidP="00BF4C55">
      <w:pPr>
        <w:pStyle w:val="ListBullet"/>
        <w:rPr>
          <w:lang w:eastAsia="ja-JP"/>
        </w:rPr>
      </w:pPr>
      <w:r>
        <w:rPr>
          <w:lang w:eastAsia="ja-JP"/>
        </w:rPr>
        <w:t>c</w:t>
      </w:r>
      <w:r w:rsidR="00BF4C55">
        <w:rPr>
          <w:lang w:eastAsia="ja-JP"/>
        </w:rPr>
        <w:t>ommunity-wide understanding and ownership of biosecurity equal to that of bushfire preparedness and response</w:t>
      </w:r>
    </w:p>
    <w:p w14:paraId="122A962B" w14:textId="3D0FB797" w:rsidR="00BF4C55" w:rsidRDefault="008747BF" w:rsidP="00BF4C55">
      <w:pPr>
        <w:pStyle w:val="ListBullet"/>
        <w:rPr>
          <w:lang w:eastAsia="ja-JP"/>
        </w:rPr>
      </w:pPr>
      <w:r>
        <w:rPr>
          <w:lang w:eastAsia="ja-JP"/>
        </w:rPr>
        <w:t>a</w:t>
      </w:r>
      <w:r w:rsidR="00BF4C55">
        <w:rPr>
          <w:lang w:eastAsia="ja-JP"/>
        </w:rPr>
        <w:t xml:space="preserve"> co-regulatory model for export certification endorsed by Au</w:t>
      </w:r>
      <w:r>
        <w:rPr>
          <w:lang w:eastAsia="ja-JP"/>
        </w:rPr>
        <w:t>stralia’s main trading partners</w:t>
      </w:r>
    </w:p>
    <w:p w14:paraId="06CFBAC7" w14:textId="505A780B" w:rsidR="00BF4C55" w:rsidRDefault="008747BF" w:rsidP="00BF4C55">
      <w:pPr>
        <w:pStyle w:val="ListBullet"/>
        <w:rPr>
          <w:lang w:eastAsia="ja-JP"/>
        </w:rPr>
      </w:pPr>
      <w:r>
        <w:rPr>
          <w:lang w:eastAsia="ja-JP"/>
        </w:rPr>
        <w:t>a</w:t>
      </w:r>
      <w:r w:rsidR="00BF4C55">
        <w:rPr>
          <w:lang w:eastAsia="ja-JP"/>
        </w:rPr>
        <w:t xml:space="preserve"> dedicated national data analytics and intelligence capability supporting decis</w:t>
      </w:r>
      <w:r>
        <w:rPr>
          <w:lang w:eastAsia="ja-JP"/>
        </w:rPr>
        <w:t>ion-making by all jurisdictions</w:t>
      </w:r>
    </w:p>
    <w:p w14:paraId="6A3D1EE2" w14:textId="7E89BCB4" w:rsidR="00BF4C55" w:rsidRDefault="008747BF" w:rsidP="00BF4C55">
      <w:pPr>
        <w:pStyle w:val="ListBullet"/>
        <w:rPr>
          <w:lang w:eastAsia="ja-JP"/>
        </w:rPr>
      </w:pPr>
      <w:r>
        <w:rPr>
          <w:lang w:eastAsia="ja-JP"/>
        </w:rPr>
        <w:t>a</w:t>
      </w:r>
      <w:r w:rsidR="00BF4C55">
        <w:rPr>
          <w:lang w:eastAsia="ja-JP"/>
        </w:rPr>
        <w:t xml:space="preserve"> R&amp;I model that nurtures world-leading surveillance a</w:t>
      </w:r>
      <w:r>
        <w:rPr>
          <w:lang w:eastAsia="ja-JP"/>
        </w:rPr>
        <w:t>nd early detection technologies</w:t>
      </w:r>
    </w:p>
    <w:p w14:paraId="45D6C5F4" w14:textId="510B25B7" w:rsidR="00BF4C55" w:rsidRDefault="008747BF" w:rsidP="00BF4C55">
      <w:pPr>
        <w:pStyle w:val="ListBullet"/>
        <w:rPr>
          <w:lang w:eastAsia="ja-JP"/>
        </w:rPr>
      </w:pPr>
      <w:r>
        <w:rPr>
          <w:lang w:eastAsia="ja-JP"/>
        </w:rPr>
        <w:t>o</w:t>
      </w:r>
      <w:r w:rsidR="00BF4C55">
        <w:rPr>
          <w:lang w:eastAsia="ja-JP"/>
        </w:rPr>
        <w:t xml:space="preserve">ne emergency preparedness and response agreement for the national priority animal, plant and </w:t>
      </w:r>
      <w:r>
        <w:rPr>
          <w:lang w:eastAsia="ja-JP"/>
        </w:rPr>
        <w:t>environmental pest</w:t>
      </w:r>
      <w:r w:rsidR="00B36B6C">
        <w:rPr>
          <w:lang w:eastAsia="ja-JP"/>
        </w:rPr>
        <w:t>s</w:t>
      </w:r>
      <w:r>
        <w:rPr>
          <w:lang w:eastAsia="ja-JP"/>
        </w:rPr>
        <w:t xml:space="preserve"> and diseases</w:t>
      </w:r>
    </w:p>
    <w:p w14:paraId="5B74F329" w14:textId="0E490DDE" w:rsidR="00BF4C55" w:rsidRDefault="008747BF" w:rsidP="00BF4C55">
      <w:pPr>
        <w:pStyle w:val="ListBullet"/>
        <w:rPr>
          <w:lang w:eastAsia="ja-JP"/>
        </w:rPr>
      </w:pPr>
      <w:r>
        <w:rPr>
          <w:lang w:eastAsia="ja-JP"/>
        </w:rPr>
        <w:t>o</w:t>
      </w:r>
      <w:r w:rsidR="00BF4C55">
        <w:rPr>
          <w:lang w:eastAsia="ja-JP"/>
        </w:rPr>
        <w:t xml:space="preserve">ne entity responsible for implementation </w:t>
      </w:r>
      <w:r w:rsidR="00772A6B">
        <w:rPr>
          <w:lang w:eastAsia="ja-JP"/>
        </w:rPr>
        <w:t xml:space="preserve">and administration of the deed, </w:t>
      </w:r>
      <w:r w:rsidR="00BF4C55">
        <w:rPr>
          <w:lang w:eastAsia="ja-JP"/>
        </w:rPr>
        <w:t>potentially ‘Ani</w:t>
      </w:r>
      <w:r>
        <w:rPr>
          <w:lang w:eastAsia="ja-JP"/>
        </w:rPr>
        <w:t>mal and Plant Health Australia’</w:t>
      </w:r>
    </w:p>
    <w:p w14:paraId="30A15DB6" w14:textId="646C31DD" w:rsidR="00BF4C55" w:rsidRDefault="008747BF" w:rsidP="00BF4C55">
      <w:pPr>
        <w:pStyle w:val="ListBullet"/>
        <w:rPr>
          <w:lang w:eastAsia="ja-JP"/>
        </w:rPr>
      </w:pPr>
      <w:r>
        <w:rPr>
          <w:lang w:eastAsia="ja-JP"/>
        </w:rPr>
        <w:t>a</w:t>
      </w:r>
      <w:r w:rsidR="00BF4C55">
        <w:rPr>
          <w:lang w:eastAsia="ja-JP"/>
        </w:rPr>
        <w:t>n Australia</w:t>
      </w:r>
      <w:r w:rsidR="00772A6B">
        <w:rPr>
          <w:lang w:eastAsia="ja-JP"/>
        </w:rPr>
        <w:t>–New Zealand ‘IGAB’ (</w:t>
      </w:r>
      <w:r w:rsidR="00BF4C55">
        <w:rPr>
          <w:lang w:eastAsia="ja-JP"/>
        </w:rPr>
        <w:t>an agreement between Australia’s jurisdictions, including lo</w:t>
      </w:r>
      <w:r w:rsidR="00772A6B">
        <w:rPr>
          <w:lang w:eastAsia="ja-JP"/>
        </w:rPr>
        <w:t>cal government,</w:t>
      </w:r>
      <w:r>
        <w:rPr>
          <w:lang w:eastAsia="ja-JP"/>
        </w:rPr>
        <w:t xml:space="preserve"> and New Zealand</w:t>
      </w:r>
      <w:r w:rsidR="00772A6B">
        <w:rPr>
          <w:lang w:eastAsia="ja-JP"/>
        </w:rPr>
        <w:t>)</w:t>
      </w:r>
    </w:p>
    <w:p w14:paraId="3994E596" w14:textId="6FCA7FB4" w:rsidR="00BF4C55" w:rsidRDefault="008747BF" w:rsidP="00BF4C55">
      <w:pPr>
        <w:pStyle w:val="ListBullet"/>
        <w:rPr>
          <w:lang w:eastAsia="ja-JP"/>
        </w:rPr>
      </w:pPr>
      <w:r>
        <w:rPr>
          <w:lang w:eastAsia="ja-JP"/>
        </w:rPr>
        <w:t>r</w:t>
      </w:r>
      <w:r w:rsidR="00BF4C55">
        <w:rPr>
          <w:lang w:eastAsia="ja-JP"/>
        </w:rPr>
        <w:t>egional biosecurity agreements between the Australian Government an</w:t>
      </w:r>
      <w:r>
        <w:rPr>
          <w:lang w:eastAsia="ja-JP"/>
        </w:rPr>
        <w:t>d its key trading partners</w:t>
      </w:r>
    </w:p>
    <w:p w14:paraId="2038767F" w14:textId="2B055E5B" w:rsidR="00BF4C55" w:rsidRDefault="008747BF" w:rsidP="00BF4C55">
      <w:pPr>
        <w:pStyle w:val="ListBullet"/>
        <w:rPr>
          <w:lang w:eastAsia="ja-JP"/>
        </w:rPr>
      </w:pPr>
      <w:r>
        <w:rPr>
          <w:lang w:eastAsia="ja-JP"/>
        </w:rPr>
        <w:t>r</w:t>
      </w:r>
      <w:r w:rsidR="00BF4C55">
        <w:rPr>
          <w:lang w:eastAsia="ja-JP"/>
        </w:rPr>
        <w:t>egular public reporting against key metrics on the state of Australian biosecurity supported by independent evaluation</w:t>
      </w:r>
      <w:r w:rsidR="006277B9">
        <w:rPr>
          <w:lang w:eastAsia="ja-JP"/>
        </w:rPr>
        <w:t>.</w:t>
      </w:r>
    </w:p>
    <w:p w14:paraId="3126B929" w14:textId="1AF3C453" w:rsidR="00C230DE" w:rsidRDefault="00C230DE" w:rsidP="00C230DE">
      <w:pPr>
        <w:pStyle w:val="Heading3"/>
        <w:rPr>
          <w:lang w:eastAsia="ja-JP"/>
        </w:rPr>
      </w:pPr>
      <w:bookmarkStart w:id="243" w:name="_Toc469654764"/>
      <w:r>
        <w:rPr>
          <w:lang w:eastAsia="ja-JP"/>
        </w:rPr>
        <w:lastRenderedPageBreak/>
        <w:t>A future IGAB</w:t>
      </w:r>
      <w:bookmarkEnd w:id="243"/>
    </w:p>
    <w:p w14:paraId="359A1743" w14:textId="490062B9" w:rsidR="00C230DE" w:rsidRDefault="00C230DE" w:rsidP="00C230DE">
      <w:pPr>
        <w:rPr>
          <w:lang w:eastAsia="ja-JP"/>
        </w:rPr>
      </w:pPr>
      <w:r>
        <w:rPr>
          <w:lang w:eastAsia="ja-JP"/>
        </w:rPr>
        <w:t>The terms of reference for this Review sought feedback on the suitability of the agreement to underpin the national biosecurity system into the future. One of the key tests of the suitability of the agreement is whether the parties to that agreement, and parties impacted by that agreement see its value. The Commonwealth, all states and the Australian Capital Territory provided submissions in support of the IGAB and its role in underpinning the national system</w:t>
      </w:r>
      <w:r w:rsidR="00244860">
        <w:rPr>
          <w:lang w:eastAsia="ja-JP"/>
        </w:rPr>
        <w:t>,</w:t>
      </w:r>
      <w:r>
        <w:rPr>
          <w:lang w:eastAsia="ja-JP"/>
        </w:rPr>
        <w:t xml:space="preserve"> while at the same time, identifying key areas for improvement.</w:t>
      </w:r>
    </w:p>
    <w:p w14:paraId="737B361C" w14:textId="54A12880" w:rsidR="00C230DE" w:rsidRDefault="00C230DE" w:rsidP="00C230DE">
      <w:pPr>
        <w:pStyle w:val="Quote"/>
        <w:rPr>
          <w:lang w:eastAsia="ja-JP"/>
        </w:rPr>
      </w:pPr>
      <w:r>
        <w:rPr>
          <w:lang w:eastAsia="ja-JP"/>
        </w:rPr>
        <w:t>The need for an agreement across jurisdictions is critical</w:t>
      </w:r>
      <w:r w:rsidR="005361B0">
        <w:rPr>
          <w:lang w:eastAsia="ja-JP"/>
        </w:rPr>
        <w:t xml:space="preserve"> … </w:t>
      </w:r>
      <w:r>
        <w:rPr>
          <w:lang w:eastAsia="ja-JP"/>
        </w:rPr>
        <w:t>Victoria considers that the IGAB needs to be contemporary, legally binding, evidence based and specific</w:t>
      </w:r>
      <w:r w:rsidR="00F52976">
        <w:rPr>
          <w:lang w:eastAsia="ja-JP"/>
        </w:rPr>
        <w:t xml:space="preserve"> (Victorian Government submission, p. 4)</w:t>
      </w:r>
    </w:p>
    <w:p w14:paraId="58D7C908" w14:textId="07670C42" w:rsidR="00C230DE" w:rsidRDefault="00C230DE" w:rsidP="00C230DE">
      <w:pPr>
        <w:pStyle w:val="Quote"/>
        <w:rPr>
          <w:lang w:eastAsia="ja-JP"/>
        </w:rPr>
      </w:pPr>
      <w:r>
        <w:rPr>
          <w:lang w:eastAsia="ja-JP"/>
        </w:rPr>
        <w:t>The NSW Government is strongly committed to the IGAB</w:t>
      </w:r>
      <w:r w:rsidR="005361B0">
        <w:rPr>
          <w:lang w:eastAsia="ja-JP"/>
        </w:rPr>
        <w:t xml:space="preserve"> … </w:t>
      </w:r>
      <w:r>
        <w:rPr>
          <w:lang w:eastAsia="ja-JP"/>
        </w:rPr>
        <w:t>The IGAB has provided government parties with a strong framework for addressing national biosecurity issues. Through cooperation and collaboration with peak industry bodies, there has been much progress in many priory reform areas</w:t>
      </w:r>
      <w:r w:rsidR="005361B0">
        <w:rPr>
          <w:lang w:eastAsia="ja-JP"/>
        </w:rPr>
        <w:t xml:space="preserve"> (</w:t>
      </w:r>
      <w:r w:rsidR="00595669" w:rsidRPr="00595669">
        <w:rPr>
          <w:lang w:eastAsia="ja-JP"/>
        </w:rPr>
        <w:t xml:space="preserve">New South Wales Government Department of Primary Industries </w:t>
      </w:r>
      <w:r w:rsidR="005361B0">
        <w:rPr>
          <w:lang w:eastAsia="ja-JP"/>
        </w:rPr>
        <w:t>submission, p</w:t>
      </w:r>
      <w:r w:rsidR="00F52976">
        <w:rPr>
          <w:lang w:eastAsia="ja-JP"/>
        </w:rPr>
        <w:t xml:space="preserve">. </w:t>
      </w:r>
      <w:r w:rsidR="005361B0">
        <w:rPr>
          <w:lang w:eastAsia="ja-JP"/>
        </w:rPr>
        <w:t>1)</w:t>
      </w:r>
    </w:p>
    <w:p w14:paraId="6948114B" w14:textId="10602CBE" w:rsidR="00C230DE" w:rsidRDefault="00C230DE" w:rsidP="00C230DE">
      <w:pPr>
        <w:pStyle w:val="Quote"/>
        <w:rPr>
          <w:lang w:eastAsia="ja-JP"/>
        </w:rPr>
      </w:pPr>
      <w:r>
        <w:rPr>
          <w:lang w:eastAsia="ja-JP"/>
        </w:rPr>
        <w:t>The IGAB is acknowledged as an important national initiative and should continue to improve national biosecurity effectiveness, capacity and integrated systems. It is appropriate that it stays at the First Ministers level for signing and flags investment priorities to central agencies (South Australia</w:t>
      </w:r>
      <w:r w:rsidR="00FF0E60">
        <w:rPr>
          <w:lang w:eastAsia="ja-JP"/>
        </w:rPr>
        <w:t>n Government submission, p</w:t>
      </w:r>
      <w:r w:rsidR="00F52976">
        <w:rPr>
          <w:lang w:eastAsia="ja-JP"/>
        </w:rPr>
        <w:t xml:space="preserve">. </w:t>
      </w:r>
      <w:r w:rsidR="00FF0E60">
        <w:rPr>
          <w:lang w:eastAsia="ja-JP"/>
        </w:rPr>
        <w:t>2)</w:t>
      </w:r>
    </w:p>
    <w:p w14:paraId="0CCC5ED7" w14:textId="001BC5B4" w:rsidR="00C230DE" w:rsidRDefault="00C230DE" w:rsidP="00C230DE">
      <w:pPr>
        <w:pStyle w:val="Quote"/>
        <w:rPr>
          <w:lang w:eastAsia="ja-JP"/>
        </w:rPr>
      </w:pPr>
      <w:r>
        <w:rPr>
          <w:lang w:eastAsia="ja-JP"/>
        </w:rPr>
        <w:t>The Western Australian agencies involved in biosecurity strongly support the purpose of the IGAB. IGAB and NEBRA are important tools for establishing a common vision and commitment to biosecurity between jurisdictions for management of pests and diseases (including zoonotics)</w:t>
      </w:r>
      <w:r w:rsidR="00891EDF">
        <w:rPr>
          <w:lang w:eastAsia="ja-JP"/>
        </w:rPr>
        <w:t xml:space="preserve"> </w:t>
      </w:r>
      <w:r w:rsidR="005361B0">
        <w:rPr>
          <w:lang w:eastAsia="ja-JP"/>
        </w:rPr>
        <w:t>(Western Aust</w:t>
      </w:r>
      <w:r w:rsidR="00CA668C">
        <w:rPr>
          <w:lang w:eastAsia="ja-JP"/>
        </w:rPr>
        <w:t>r</w:t>
      </w:r>
      <w:r w:rsidR="005361B0">
        <w:rPr>
          <w:lang w:eastAsia="ja-JP"/>
        </w:rPr>
        <w:t>alian Government submission, p</w:t>
      </w:r>
      <w:r w:rsidR="00F52976">
        <w:rPr>
          <w:lang w:eastAsia="ja-JP"/>
        </w:rPr>
        <w:t xml:space="preserve">. </w:t>
      </w:r>
      <w:r w:rsidR="005361B0">
        <w:rPr>
          <w:lang w:eastAsia="ja-JP"/>
        </w:rPr>
        <w:t>2)</w:t>
      </w:r>
    </w:p>
    <w:p w14:paraId="175F037F" w14:textId="357BA3B7" w:rsidR="00C230DE" w:rsidRDefault="00C230DE" w:rsidP="00C230DE">
      <w:pPr>
        <w:rPr>
          <w:lang w:eastAsia="ja-JP"/>
        </w:rPr>
      </w:pPr>
      <w:r>
        <w:rPr>
          <w:lang w:eastAsia="ja-JP"/>
        </w:rPr>
        <w:t xml:space="preserve">Non-government stakeholders were generally supportive of a biosecurity agreement but have been almost uniformly critical of a lack of involvement in its development. The Queensland Government </w:t>
      </w:r>
      <w:r w:rsidR="008169C8" w:rsidRPr="008169C8">
        <w:rPr>
          <w:lang w:eastAsia="ja-JP"/>
        </w:rPr>
        <w:t>Department of Agriculture and Fisheries</w:t>
      </w:r>
      <w:r w:rsidR="008169C8">
        <w:rPr>
          <w:lang w:eastAsia="ja-JP"/>
        </w:rPr>
        <w:t xml:space="preserve"> </w:t>
      </w:r>
      <w:r>
        <w:rPr>
          <w:lang w:eastAsia="ja-JP"/>
        </w:rPr>
        <w:t>submission captured this feedback well:</w:t>
      </w:r>
    </w:p>
    <w:p w14:paraId="3315EB1D" w14:textId="63447DFE" w:rsidR="00C230DE" w:rsidRDefault="00C230DE" w:rsidP="00C230DE">
      <w:pPr>
        <w:pStyle w:val="Quote"/>
        <w:rPr>
          <w:lang w:eastAsia="ja-JP"/>
        </w:rPr>
      </w:pPr>
      <w:r>
        <w:rPr>
          <w:lang w:eastAsia="ja-JP"/>
        </w:rPr>
        <w:t>IGAB seeks to build relations with industry and community groups, but did not involve them it its original development. As a result, implementation of the principles and directions of IGAB has suffered from a lack of stakeholder input. Moreover, industries and members of the community have not felt their contributions to the national biosecurity system have been appropriately recognised</w:t>
      </w:r>
      <w:r w:rsidR="00FF0E60">
        <w:rPr>
          <w:lang w:eastAsia="ja-JP"/>
        </w:rPr>
        <w:t xml:space="preserve"> (</w:t>
      </w:r>
      <w:r w:rsidR="00204F1C">
        <w:t>submission</w:t>
      </w:r>
      <w:r w:rsidR="00FF0E60">
        <w:rPr>
          <w:lang w:eastAsia="ja-JP"/>
        </w:rPr>
        <w:t>, p</w:t>
      </w:r>
      <w:r w:rsidR="00F52976">
        <w:rPr>
          <w:lang w:eastAsia="ja-JP"/>
        </w:rPr>
        <w:t>.</w:t>
      </w:r>
      <w:r w:rsidR="00FF0E60">
        <w:rPr>
          <w:lang w:eastAsia="ja-JP"/>
        </w:rPr>
        <w:t xml:space="preserve"> 2)</w:t>
      </w:r>
    </w:p>
    <w:p w14:paraId="6AE9986A" w14:textId="77777777" w:rsidR="00C230DE" w:rsidRDefault="00C230DE" w:rsidP="00C230DE">
      <w:pPr>
        <w:rPr>
          <w:lang w:eastAsia="ja-JP"/>
        </w:rPr>
      </w:pPr>
      <w:r>
        <w:rPr>
          <w:lang w:eastAsia="ja-JP"/>
        </w:rPr>
        <w:t>The Review Panel has clearly heard this message and has made a number of recommendations to assist in providing industry and community with a stronger voice in the national biosecurity system.</w:t>
      </w:r>
    </w:p>
    <w:p w14:paraId="1E891564" w14:textId="7AC3D95F" w:rsidR="00C230DE" w:rsidRDefault="00C230DE" w:rsidP="00C230DE">
      <w:pPr>
        <w:rPr>
          <w:lang w:eastAsia="ja-JP"/>
        </w:rPr>
      </w:pPr>
      <w:r>
        <w:rPr>
          <w:lang w:eastAsia="ja-JP"/>
        </w:rPr>
        <w:t>The Panel’s view is clear</w:t>
      </w:r>
      <w:r w:rsidR="00F52976">
        <w:rPr>
          <w:lang w:eastAsia="ja-JP"/>
        </w:rPr>
        <w:t>,</w:t>
      </w:r>
      <w:r>
        <w:rPr>
          <w:lang w:eastAsia="ja-JP"/>
        </w:rPr>
        <w:t xml:space="preserve"> a refreshed agreement between Australia’s governments is appropriate and necessary to ensure robust national biosecurity arrangements into the future. IGAB1 was a significant foundation agreement for government cooperation and collaboration. IGAB2 and subsequent agreements should demonstrate a measured and deliberate </w:t>
      </w:r>
      <w:r>
        <w:rPr>
          <w:lang w:eastAsia="ja-JP"/>
        </w:rPr>
        <w:lastRenderedPageBreak/>
        <w:t>advancement in the commitments by jurisdictions, reflective of the evolving partnership between governments and increasing sophistication of national biosecurity arrangements.</w:t>
      </w:r>
    </w:p>
    <w:p w14:paraId="0C0672FA" w14:textId="77777777" w:rsidR="00C230DE" w:rsidRDefault="00C230DE" w:rsidP="00C230DE">
      <w:pPr>
        <w:rPr>
          <w:lang w:eastAsia="ja-JP"/>
        </w:rPr>
      </w:pPr>
      <w:r>
        <w:rPr>
          <w:lang w:eastAsia="ja-JP"/>
        </w:rPr>
        <w:t xml:space="preserve">The 2012 National Healthcare Agreement provides a useful model of what might be achievable for a future, mature biosecurity agreement. The National Healthcare Agreement sets out the mutually agreed objective, outcomes, performance indicators, performance benchmarks and national minimum data sets that will guide </w:t>
      </w:r>
      <w:r w:rsidR="00F52976">
        <w:rPr>
          <w:lang w:eastAsia="ja-JP"/>
        </w:rPr>
        <w:t xml:space="preserve">Australian </w:t>
      </w:r>
      <w:r>
        <w:rPr>
          <w:lang w:eastAsia="ja-JP"/>
        </w:rPr>
        <w:t xml:space="preserve">and </w:t>
      </w:r>
      <w:r w:rsidR="00F52976">
        <w:rPr>
          <w:lang w:eastAsia="ja-JP"/>
        </w:rPr>
        <w:t>s</w:t>
      </w:r>
      <w:r>
        <w:rPr>
          <w:lang w:eastAsia="ja-JP"/>
        </w:rPr>
        <w:t xml:space="preserve">tates and </w:t>
      </w:r>
      <w:r w:rsidR="00F52976">
        <w:rPr>
          <w:lang w:eastAsia="ja-JP"/>
        </w:rPr>
        <w:t>t</w:t>
      </w:r>
      <w:r>
        <w:rPr>
          <w:lang w:eastAsia="ja-JP"/>
        </w:rPr>
        <w:t>erritor</w:t>
      </w:r>
      <w:r w:rsidR="00F52976">
        <w:rPr>
          <w:lang w:eastAsia="ja-JP"/>
        </w:rPr>
        <w:t>y governments</w:t>
      </w:r>
      <w:r>
        <w:rPr>
          <w:lang w:eastAsia="ja-JP"/>
        </w:rPr>
        <w:t xml:space="preserve"> in the delivery of services across the health sector. It also articulates policy and reform directions, and the roles and responsibilities of the respective governments. As a mature agreement, its emphasis is on a robust primary agreement, rather than on detailed schedules and work programs.</w:t>
      </w:r>
    </w:p>
    <w:p w14:paraId="6E758588" w14:textId="5F31DF32" w:rsidR="00C230DE" w:rsidRDefault="00C230DE" w:rsidP="00C230DE">
      <w:pPr>
        <w:rPr>
          <w:lang w:eastAsia="ja-JP"/>
        </w:rPr>
      </w:pPr>
      <w:r>
        <w:rPr>
          <w:lang w:eastAsia="ja-JP"/>
        </w:rPr>
        <w:t xml:space="preserve">One of the key areas for simplification of the IGAB concerns its schedules. Governments acknowledge that the schedules proposed an extensive body of work which was not able to be matched by the individual and collective capacity of jurisdictions to implement. </w:t>
      </w:r>
      <w:r w:rsidR="00F52976">
        <w:rPr>
          <w:lang w:eastAsia="ja-JP"/>
        </w:rPr>
        <w:t xml:space="preserve">The </w:t>
      </w:r>
      <w:r>
        <w:rPr>
          <w:lang w:eastAsia="ja-JP"/>
        </w:rPr>
        <w:t>NBC has since reviewed and reprioritised the schedules in light of this and to reflect changed priorities for the national</w:t>
      </w:r>
      <w:r w:rsidR="00F52976">
        <w:rPr>
          <w:lang w:eastAsia="ja-JP"/>
        </w:rPr>
        <w:t xml:space="preserve"> biosecurity</w:t>
      </w:r>
      <w:r>
        <w:rPr>
          <w:lang w:eastAsia="ja-JP"/>
        </w:rPr>
        <w:t xml:space="preserve"> system. This is appropriate and </w:t>
      </w:r>
      <w:r w:rsidR="00807740">
        <w:rPr>
          <w:lang w:eastAsia="ja-JP"/>
        </w:rPr>
        <w:t xml:space="preserve">the </w:t>
      </w:r>
      <w:r>
        <w:rPr>
          <w:lang w:eastAsia="ja-JP"/>
        </w:rPr>
        <w:t>NBC should be afforded the flexibility without being overshadowed by an overly prescrip</w:t>
      </w:r>
      <w:r w:rsidR="003B1A0F">
        <w:rPr>
          <w:lang w:eastAsia="ja-JP"/>
        </w:rPr>
        <w:t>tive list of tasks in the IGAB.</w:t>
      </w:r>
    </w:p>
    <w:p w14:paraId="2D90B2C3" w14:textId="7DD2C196" w:rsidR="00C230DE" w:rsidRDefault="00C230DE" w:rsidP="00C230DE">
      <w:pPr>
        <w:rPr>
          <w:lang w:eastAsia="ja-JP"/>
        </w:rPr>
      </w:pPr>
      <w:r>
        <w:rPr>
          <w:lang w:eastAsia="ja-JP"/>
        </w:rPr>
        <w:t>Accordingly, th</w:t>
      </w:r>
      <w:r w:rsidR="00F52976">
        <w:rPr>
          <w:lang w:eastAsia="ja-JP"/>
        </w:rPr>
        <w:t>is</w:t>
      </w:r>
      <w:r>
        <w:rPr>
          <w:lang w:eastAsia="ja-JP"/>
        </w:rPr>
        <w:t xml:space="preserve"> Review has proposed </w:t>
      </w:r>
      <w:r w:rsidR="0092776D">
        <w:rPr>
          <w:lang w:eastAsia="ja-JP"/>
        </w:rPr>
        <w:t>three</w:t>
      </w:r>
      <w:r>
        <w:rPr>
          <w:lang w:eastAsia="ja-JP"/>
        </w:rPr>
        <w:t xml:space="preserve"> priority reform areas (</w:t>
      </w:r>
      <w:r w:rsidR="0092776D">
        <w:rPr>
          <w:lang w:eastAsia="ja-JP"/>
        </w:rPr>
        <w:fldChar w:fldCharType="begin"/>
      </w:r>
      <w:r w:rsidR="0092776D">
        <w:rPr>
          <w:lang w:eastAsia="ja-JP"/>
        </w:rPr>
        <w:instrText xml:space="preserve"> REF _Ref468097439 \h </w:instrText>
      </w:r>
      <w:r w:rsidR="0092776D">
        <w:rPr>
          <w:lang w:eastAsia="ja-JP"/>
        </w:rPr>
      </w:r>
      <w:r w:rsidR="0092776D">
        <w:rPr>
          <w:lang w:eastAsia="ja-JP"/>
        </w:rPr>
        <w:fldChar w:fldCharType="separate"/>
      </w:r>
      <w:r w:rsidR="008303E2" w:rsidRPr="00590407">
        <w:t xml:space="preserve">Table </w:t>
      </w:r>
      <w:r w:rsidR="008303E2">
        <w:rPr>
          <w:noProof/>
        </w:rPr>
        <w:t>11</w:t>
      </w:r>
      <w:r w:rsidR="0092776D">
        <w:rPr>
          <w:lang w:eastAsia="ja-JP"/>
        </w:rPr>
        <w:fldChar w:fldCharType="end"/>
      </w:r>
      <w:r>
        <w:rPr>
          <w:lang w:eastAsia="ja-JP"/>
        </w:rPr>
        <w:t xml:space="preserve">) for inclusion in IGAB2. The specific tasks and activities should be developed by </w:t>
      </w:r>
      <w:r w:rsidR="00807740">
        <w:rPr>
          <w:lang w:eastAsia="ja-JP"/>
        </w:rPr>
        <w:t xml:space="preserve">the </w:t>
      </w:r>
      <w:r>
        <w:rPr>
          <w:lang w:eastAsia="ja-JP"/>
        </w:rPr>
        <w:t xml:space="preserve">NBC and approved by ministers responsible for biosecurity, separately. </w:t>
      </w:r>
      <w:r w:rsidR="00807740">
        <w:rPr>
          <w:lang w:eastAsia="ja-JP"/>
        </w:rPr>
        <w:t xml:space="preserve">The </w:t>
      </w:r>
      <w:r>
        <w:rPr>
          <w:lang w:eastAsia="ja-JP"/>
        </w:rPr>
        <w:t>NBC should</w:t>
      </w:r>
      <w:r w:rsidR="0092776D">
        <w:rPr>
          <w:lang w:eastAsia="ja-JP"/>
        </w:rPr>
        <w:t xml:space="preserve"> report annually to ministers. </w:t>
      </w:r>
      <w:r w:rsidR="00F52976">
        <w:rPr>
          <w:lang w:eastAsia="ja-JP"/>
        </w:rPr>
        <w:t xml:space="preserve">The </w:t>
      </w:r>
      <w:r>
        <w:rPr>
          <w:lang w:eastAsia="ja-JP"/>
        </w:rPr>
        <w:t>NBC’s work program under the IGAB and its annual report to ministers should be made publicly available. A periodic independent assessment of the effectiveness of IGAB should be undertaken and made public.</w:t>
      </w:r>
    </w:p>
    <w:p w14:paraId="23269C29" w14:textId="61367FAE" w:rsidR="00DB358A" w:rsidRDefault="00CA668C" w:rsidP="00C230DE">
      <w:pPr>
        <w:rPr>
          <w:lang w:eastAsia="ja-JP"/>
        </w:rPr>
      </w:pPr>
      <w:r w:rsidRPr="00343658">
        <w:rPr>
          <w:lang w:eastAsia="ja-JP"/>
        </w:rPr>
        <w:t>As required by th</w:t>
      </w:r>
      <w:r w:rsidR="00351534">
        <w:rPr>
          <w:lang w:eastAsia="ja-JP"/>
        </w:rPr>
        <w:t>e</w:t>
      </w:r>
      <w:r w:rsidRPr="00343658">
        <w:rPr>
          <w:lang w:eastAsia="ja-JP"/>
        </w:rPr>
        <w:t xml:space="preserve"> Review terms of reference, the Panel has examined the structure and content of the 2012 IGAB document. Th</w:t>
      </w:r>
      <w:r w:rsidR="00351534">
        <w:rPr>
          <w:lang w:eastAsia="ja-JP"/>
        </w:rPr>
        <w:t>is Draft Report</w:t>
      </w:r>
      <w:r w:rsidRPr="00343658">
        <w:rPr>
          <w:lang w:eastAsia="ja-JP"/>
        </w:rPr>
        <w:t xml:space="preserve"> review report makes a number of comments, findings and recommendations that should be reflected in IGAB2. These are summarised in </w:t>
      </w:r>
      <w:r w:rsidRPr="00343658">
        <w:rPr>
          <w:lang w:eastAsia="ja-JP"/>
        </w:rPr>
        <w:fldChar w:fldCharType="begin"/>
      </w:r>
      <w:r w:rsidRPr="00343658">
        <w:rPr>
          <w:lang w:eastAsia="ja-JP"/>
        </w:rPr>
        <w:instrText xml:space="preserve"> REF _Ref467063791 \h  \* MERGEFORMAT </w:instrText>
      </w:r>
      <w:r w:rsidRPr="00343658">
        <w:rPr>
          <w:lang w:eastAsia="ja-JP"/>
        </w:rPr>
      </w:r>
      <w:r w:rsidRPr="00343658">
        <w:rPr>
          <w:lang w:eastAsia="ja-JP"/>
        </w:rPr>
        <w:fldChar w:fldCharType="separate"/>
      </w:r>
      <w:r w:rsidR="008303E2" w:rsidRPr="00590407">
        <w:t xml:space="preserve">Table </w:t>
      </w:r>
      <w:r w:rsidR="008303E2">
        <w:rPr>
          <w:noProof/>
        </w:rPr>
        <w:t>12</w:t>
      </w:r>
      <w:r w:rsidRPr="00343658">
        <w:rPr>
          <w:lang w:eastAsia="ja-JP"/>
        </w:rPr>
        <w:fldChar w:fldCharType="end"/>
      </w:r>
      <w:r w:rsidRPr="00343658">
        <w:rPr>
          <w:lang w:eastAsia="ja-JP"/>
        </w:rPr>
        <w:t>.</w:t>
      </w:r>
    </w:p>
    <w:p w14:paraId="219C05E0" w14:textId="21F43B68" w:rsidR="00FE02E3" w:rsidRPr="007F618F" w:rsidRDefault="00FE02E3" w:rsidP="007F618F">
      <w:pPr>
        <w:pStyle w:val="BoxHeading"/>
        <w:shd w:val="clear" w:color="auto" w:fill="D9D9D9" w:themeFill="background1" w:themeFillShade="D9"/>
        <w:rPr>
          <w:sz w:val="22"/>
          <w:lang w:eastAsia="ja-JP"/>
        </w:rPr>
      </w:pPr>
      <w:bookmarkStart w:id="244" w:name="Draft_recommendation_40"/>
      <w:r w:rsidRPr="00100E43">
        <w:rPr>
          <w:sz w:val="22"/>
          <w:lang w:eastAsia="ja-JP"/>
        </w:rPr>
        <w:t xml:space="preserve">Draft recommendation </w:t>
      </w:r>
      <w:r w:rsidR="00DA5222" w:rsidRPr="00100E43">
        <w:rPr>
          <w:sz w:val="22"/>
          <w:lang w:eastAsia="ja-JP"/>
        </w:rPr>
        <w:t>4</w:t>
      </w:r>
      <w:r w:rsidR="005464B2">
        <w:rPr>
          <w:sz w:val="22"/>
          <w:lang w:eastAsia="ja-JP"/>
        </w:rPr>
        <w:t>0</w:t>
      </w:r>
      <w:bookmarkEnd w:id="244"/>
      <w:r w:rsidRPr="00100E43">
        <w:rPr>
          <w:sz w:val="22"/>
          <w:lang w:eastAsia="ja-JP"/>
        </w:rPr>
        <w:t>:</w:t>
      </w:r>
    </w:p>
    <w:p w14:paraId="32E769DC" w14:textId="46200DB7" w:rsidR="00FE02E3" w:rsidRPr="007F618F" w:rsidRDefault="00FE02E3" w:rsidP="007F618F">
      <w:pPr>
        <w:pStyle w:val="BoxText"/>
        <w:shd w:val="clear" w:color="auto" w:fill="D9D9D9" w:themeFill="background1" w:themeFillShade="D9"/>
        <w:rPr>
          <w:sz w:val="22"/>
          <w:lang w:eastAsia="ja-JP"/>
        </w:rPr>
      </w:pPr>
      <w:r w:rsidRPr="007F618F">
        <w:rPr>
          <w:sz w:val="22"/>
          <w:lang w:eastAsia="ja-JP"/>
        </w:rPr>
        <w:t xml:space="preserve">Jurisdictions should adopt the </w:t>
      </w:r>
      <w:r w:rsidR="00F44CFA" w:rsidRPr="007F618F">
        <w:rPr>
          <w:sz w:val="22"/>
          <w:lang w:eastAsia="ja-JP"/>
        </w:rPr>
        <w:t xml:space="preserve">proposed </w:t>
      </w:r>
      <w:r w:rsidRPr="007F618F">
        <w:rPr>
          <w:sz w:val="22"/>
          <w:lang w:eastAsia="ja-JP"/>
        </w:rPr>
        <w:t>new priority reform areas and associated work program for IGAB2</w:t>
      </w:r>
      <w:r w:rsidR="004A1B46" w:rsidRPr="007F618F">
        <w:rPr>
          <w:sz w:val="22"/>
          <w:lang w:eastAsia="ja-JP"/>
        </w:rPr>
        <w:t xml:space="preserve">, and amend the IGAB </w:t>
      </w:r>
      <w:r w:rsidR="00F44CFA" w:rsidRPr="007F618F">
        <w:rPr>
          <w:sz w:val="22"/>
          <w:lang w:eastAsia="ja-JP"/>
        </w:rPr>
        <w:t>in line with proposed revisions</w:t>
      </w:r>
      <w:r w:rsidRPr="007F618F">
        <w:rPr>
          <w:sz w:val="22"/>
          <w:lang w:eastAsia="ja-JP"/>
        </w:rPr>
        <w:t>.</w:t>
      </w:r>
    </w:p>
    <w:p w14:paraId="1B41A903" w14:textId="67BDB8F3" w:rsidR="00CA668C" w:rsidRPr="00590407" w:rsidRDefault="00DB358A" w:rsidP="00BC75DE">
      <w:pPr>
        <w:pStyle w:val="Caption"/>
        <w:keepNext w:val="0"/>
        <w:widowControl w:val="0"/>
        <w:rPr>
          <w:sz w:val="22"/>
          <w:szCs w:val="22"/>
          <w:lang w:eastAsia="ja-JP"/>
        </w:rPr>
      </w:pPr>
      <w:bookmarkStart w:id="245" w:name="_Ref468097439"/>
      <w:bookmarkStart w:id="246" w:name="_Toc468176732"/>
      <w:r w:rsidRPr="00590407">
        <w:rPr>
          <w:sz w:val="22"/>
          <w:szCs w:val="22"/>
        </w:rPr>
        <w:t xml:space="preserve">Table </w:t>
      </w:r>
      <w:r w:rsidR="00D56373" w:rsidRPr="00590407">
        <w:rPr>
          <w:sz w:val="22"/>
          <w:szCs w:val="22"/>
        </w:rPr>
        <w:fldChar w:fldCharType="begin"/>
      </w:r>
      <w:r w:rsidR="00D56373" w:rsidRPr="00590407">
        <w:rPr>
          <w:sz w:val="22"/>
          <w:szCs w:val="22"/>
        </w:rPr>
        <w:instrText xml:space="preserve"> SEQ Table \* ARABIC </w:instrText>
      </w:r>
      <w:r w:rsidR="00D56373" w:rsidRPr="00590407">
        <w:rPr>
          <w:sz w:val="22"/>
          <w:szCs w:val="22"/>
        </w:rPr>
        <w:fldChar w:fldCharType="separate"/>
      </w:r>
      <w:r w:rsidR="008303E2">
        <w:rPr>
          <w:noProof/>
          <w:sz w:val="22"/>
          <w:szCs w:val="22"/>
        </w:rPr>
        <w:t>11</w:t>
      </w:r>
      <w:r w:rsidR="00D56373" w:rsidRPr="00590407">
        <w:rPr>
          <w:noProof/>
          <w:sz w:val="22"/>
          <w:szCs w:val="22"/>
        </w:rPr>
        <w:fldChar w:fldCharType="end"/>
      </w:r>
      <w:bookmarkEnd w:id="245"/>
      <w:r w:rsidRPr="00590407">
        <w:rPr>
          <w:sz w:val="22"/>
          <w:szCs w:val="22"/>
        </w:rPr>
        <w:t xml:space="preserve">: </w:t>
      </w:r>
      <w:r w:rsidR="0060647D" w:rsidRPr="00590407">
        <w:rPr>
          <w:sz w:val="22"/>
          <w:szCs w:val="22"/>
        </w:rPr>
        <w:t xml:space="preserve">Proposed </w:t>
      </w:r>
      <w:r w:rsidR="007429DB" w:rsidRPr="00590407">
        <w:rPr>
          <w:sz w:val="22"/>
          <w:szCs w:val="22"/>
        </w:rPr>
        <w:t>p</w:t>
      </w:r>
      <w:r w:rsidRPr="00590407">
        <w:rPr>
          <w:sz w:val="22"/>
          <w:szCs w:val="22"/>
        </w:rPr>
        <w:t>riority reform areas</w:t>
      </w:r>
      <w:bookmarkEnd w:id="24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391019" w:rsidRPr="00391019" w14:paraId="09AEFCB3" w14:textId="77777777" w:rsidTr="00DB358A">
        <w:trPr>
          <w:tblHeader/>
        </w:trPr>
        <w:tc>
          <w:tcPr>
            <w:tcW w:w="3020" w:type="dxa"/>
          </w:tcPr>
          <w:p w14:paraId="40FDA2F2" w14:textId="1C256C8F" w:rsidR="00391019" w:rsidRPr="00391019" w:rsidRDefault="00925FC4" w:rsidP="00BC75DE">
            <w:pPr>
              <w:pStyle w:val="TableHeading"/>
              <w:keepNext w:val="0"/>
              <w:widowControl w:val="0"/>
            </w:pPr>
            <w:r>
              <w:t>Reform areas</w:t>
            </w:r>
          </w:p>
        </w:tc>
        <w:tc>
          <w:tcPr>
            <w:tcW w:w="3020" w:type="dxa"/>
          </w:tcPr>
          <w:p w14:paraId="5D60E2FF" w14:textId="67CDAFC7" w:rsidR="00391019" w:rsidRPr="00391019" w:rsidRDefault="00391019" w:rsidP="00BC75DE">
            <w:pPr>
              <w:pStyle w:val="TableHeading"/>
              <w:keepNext w:val="0"/>
              <w:widowControl w:val="0"/>
            </w:pPr>
            <w:r w:rsidRPr="00391019">
              <w:t>Outcomes</w:t>
            </w:r>
          </w:p>
        </w:tc>
        <w:tc>
          <w:tcPr>
            <w:tcW w:w="3020" w:type="dxa"/>
          </w:tcPr>
          <w:p w14:paraId="68F13C9B" w14:textId="6AFA6F20" w:rsidR="00391019" w:rsidRPr="00391019" w:rsidRDefault="00391019" w:rsidP="005B5940">
            <w:pPr>
              <w:pStyle w:val="TableHeading"/>
              <w:keepNext w:val="0"/>
              <w:widowControl w:val="0"/>
            </w:pPr>
            <w:r w:rsidRPr="00391019">
              <w:t xml:space="preserve">NBC </w:t>
            </w:r>
            <w:r w:rsidR="005B5940">
              <w:t>w</w:t>
            </w:r>
            <w:r w:rsidRPr="00391019">
              <w:t>ork program and outputs</w:t>
            </w:r>
          </w:p>
        </w:tc>
      </w:tr>
      <w:tr w:rsidR="00391019" w:rsidRPr="00391019" w14:paraId="6645BC36" w14:textId="77777777" w:rsidTr="00DB358A">
        <w:tc>
          <w:tcPr>
            <w:tcW w:w="3020" w:type="dxa"/>
          </w:tcPr>
          <w:p w14:paraId="19211235" w14:textId="3728E1EB" w:rsidR="00391019" w:rsidRPr="00391019" w:rsidRDefault="00391019" w:rsidP="004F46DA">
            <w:pPr>
              <w:pStyle w:val="TableHeading"/>
              <w:keepNext w:val="0"/>
              <w:widowControl w:val="0"/>
            </w:pPr>
            <w:r w:rsidRPr="00391019">
              <w:t xml:space="preserve">1. Governance and </w:t>
            </w:r>
            <w:r w:rsidR="004F46DA">
              <w:t>s</w:t>
            </w:r>
            <w:r w:rsidRPr="00391019">
              <w:t>trategy</w:t>
            </w:r>
          </w:p>
        </w:tc>
        <w:tc>
          <w:tcPr>
            <w:tcW w:w="3020" w:type="dxa"/>
          </w:tcPr>
          <w:p w14:paraId="24C4310E" w14:textId="77777777" w:rsidR="00391019" w:rsidRDefault="00391019" w:rsidP="00BC75DE">
            <w:pPr>
              <w:pStyle w:val="TableText"/>
              <w:widowControl w:val="0"/>
            </w:pPr>
            <w:r w:rsidRPr="00391019">
              <w:t>A unified strategic framework for the national biosecurity system</w:t>
            </w:r>
          </w:p>
          <w:p w14:paraId="159AA999" w14:textId="77777777" w:rsidR="00391019" w:rsidRDefault="00391019" w:rsidP="00BC75DE">
            <w:pPr>
              <w:pStyle w:val="TableText"/>
              <w:widowControl w:val="0"/>
            </w:pPr>
            <w:r w:rsidRPr="00391019">
              <w:t>Improved governance of the national system</w:t>
            </w:r>
          </w:p>
          <w:p w14:paraId="69691F4E" w14:textId="682DD6DB" w:rsidR="00391019" w:rsidRPr="00391019" w:rsidRDefault="00391019" w:rsidP="00572B68">
            <w:pPr>
              <w:pStyle w:val="TableText"/>
              <w:widowControl w:val="0"/>
            </w:pPr>
            <w:r w:rsidRPr="00391019">
              <w:t>A consistent approach to biosecurity risk prioritisation and investment across the system (for animal, plant and environmental streams)</w:t>
            </w:r>
          </w:p>
        </w:tc>
        <w:tc>
          <w:tcPr>
            <w:tcW w:w="3020" w:type="dxa"/>
          </w:tcPr>
          <w:p w14:paraId="00E2F38B" w14:textId="77777777" w:rsidR="00391019" w:rsidRDefault="00391019" w:rsidP="00BC75DE">
            <w:pPr>
              <w:pStyle w:val="TableText"/>
              <w:widowControl w:val="0"/>
            </w:pPr>
            <w:r w:rsidRPr="00391019">
              <w:t>Agreed roles and responsibilities for all system participants</w:t>
            </w:r>
          </w:p>
          <w:p w14:paraId="1DA5C6CF" w14:textId="77777777" w:rsidR="00391019" w:rsidRDefault="00391019" w:rsidP="00BC75DE">
            <w:pPr>
              <w:pStyle w:val="TableText"/>
              <w:widowControl w:val="0"/>
            </w:pPr>
            <w:r w:rsidRPr="00391019">
              <w:t>A National Statement of Intent, developed in collaboration with key system participants</w:t>
            </w:r>
          </w:p>
          <w:p w14:paraId="7BC8A639" w14:textId="77777777" w:rsidR="00391019" w:rsidRDefault="00391019" w:rsidP="00BC75DE">
            <w:pPr>
              <w:pStyle w:val="TableText"/>
              <w:widowControl w:val="0"/>
            </w:pPr>
            <w:r w:rsidRPr="00391019">
              <w:t>A new, streamlined IGAB (IGAB2)</w:t>
            </w:r>
          </w:p>
          <w:p w14:paraId="5B9DD8CC" w14:textId="77777777" w:rsidR="00391019" w:rsidRDefault="00391019" w:rsidP="00BC75DE">
            <w:pPr>
              <w:pStyle w:val="TableText"/>
              <w:widowControl w:val="0"/>
            </w:pPr>
            <w:r w:rsidRPr="00391019">
              <w:t>Formalised whole-of-government biosecurity arrangements within all jurisdictions, including through memoranda of understanding</w:t>
            </w:r>
          </w:p>
          <w:p w14:paraId="5192E48C" w14:textId="77777777" w:rsidR="00391019" w:rsidRDefault="00391019" w:rsidP="00BC75DE">
            <w:pPr>
              <w:pStyle w:val="TableText"/>
              <w:widowControl w:val="0"/>
            </w:pPr>
            <w:r w:rsidRPr="00391019">
              <w:t xml:space="preserve">Defined core commitments for jurisdictions under the national </w:t>
            </w:r>
            <w:r w:rsidRPr="00391019">
              <w:lastRenderedPageBreak/>
              <w:t>system</w:t>
            </w:r>
          </w:p>
          <w:p w14:paraId="0B56B1EB" w14:textId="2FEA77B0" w:rsidR="00391019" w:rsidRDefault="00391019" w:rsidP="00BC75DE">
            <w:pPr>
              <w:pStyle w:val="TableText"/>
              <w:widowControl w:val="0"/>
            </w:pPr>
            <w:r w:rsidRPr="00391019">
              <w:t>A stronger NBC and revised sub-committee structure, including a</w:t>
            </w:r>
            <w:r w:rsidR="00041C06">
              <w:t xml:space="preserve">n Industry and </w:t>
            </w:r>
            <w:r w:rsidR="00F10EF9">
              <w:t xml:space="preserve">Community </w:t>
            </w:r>
            <w:r w:rsidRPr="00391019">
              <w:t>Advisory Committee, a Chief Environmental Biosecurity Officer, and Environmental Biosecurity Committee</w:t>
            </w:r>
          </w:p>
          <w:p w14:paraId="17F43CCB" w14:textId="77777777" w:rsidR="00391019" w:rsidRDefault="00391019" w:rsidP="00BC75DE">
            <w:pPr>
              <w:pStyle w:val="TableText"/>
              <w:widowControl w:val="0"/>
            </w:pPr>
            <w:r w:rsidRPr="00391019">
              <w:t>A revised National Framework for Cost-Sharing Biosecurity Activities</w:t>
            </w:r>
          </w:p>
          <w:p w14:paraId="0FCD08F9" w14:textId="77777777" w:rsidR="00683BE0" w:rsidRDefault="00683BE0" w:rsidP="00683BE0">
            <w:pPr>
              <w:pStyle w:val="TableText"/>
              <w:widowControl w:val="0"/>
            </w:pPr>
            <w:r w:rsidRPr="00391019">
              <w:t>National investment strategy</w:t>
            </w:r>
          </w:p>
          <w:p w14:paraId="47DDE809" w14:textId="77777777" w:rsidR="00391019" w:rsidRDefault="00391019" w:rsidP="00BC75DE">
            <w:pPr>
              <w:pStyle w:val="TableText"/>
              <w:widowControl w:val="0"/>
            </w:pPr>
            <w:r w:rsidRPr="00391019">
              <w:t>National biosecurity research and innovation priorities</w:t>
            </w:r>
          </w:p>
          <w:p w14:paraId="271B8839" w14:textId="77777777" w:rsidR="00391019" w:rsidRPr="00391019" w:rsidRDefault="00391019" w:rsidP="00BC75DE">
            <w:pPr>
              <w:pStyle w:val="TableText"/>
              <w:widowControl w:val="0"/>
            </w:pPr>
            <w:r w:rsidRPr="00391019">
              <w:t>Agreed uniform and fully inclusive categories of funding activity</w:t>
            </w:r>
          </w:p>
        </w:tc>
      </w:tr>
      <w:tr w:rsidR="00391019" w:rsidRPr="00391019" w14:paraId="2A4385C4" w14:textId="77777777" w:rsidTr="00DB358A">
        <w:tc>
          <w:tcPr>
            <w:tcW w:w="3020" w:type="dxa"/>
          </w:tcPr>
          <w:p w14:paraId="1C5244BA" w14:textId="77777777" w:rsidR="00391019" w:rsidRPr="00391019" w:rsidRDefault="00391019" w:rsidP="00BC75DE">
            <w:pPr>
              <w:pStyle w:val="TableHeading"/>
              <w:keepNext w:val="0"/>
              <w:widowControl w:val="0"/>
            </w:pPr>
            <w:r w:rsidRPr="00391019">
              <w:lastRenderedPageBreak/>
              <w:t>2. National priority pests and diseases</w:t>
            </w:r>
          </w:p>
        </w:tc>
        <w:tc>
          <w:tcPr>
            <w:tcW w:w="3020" w:type="dxa"/>
          </w:tcPr>
          <w:p w14:paraId="1B2356A2" w14:textId="77777777" w:rsidR="00391019" w:rsidRDefault="00391019" w:rsidP="00BC75DE">
            <w:pPr>
              <w:pStyle w:val="TableText"/>
              <w:widowControl w:val="0"/>
            </w:pPr>
            <w:r w:rsidRPr="00391019">
              <w:t>Identification of national priority pests and diseases (animal, plant, environmental)</w:t>
            </w:r>
          </w:p>
          <w:p w14:paraId="35BF4E22" w14:textId="77777777" w:rsidR="00391019" w:rsidRDefault="00391019" w:rsidP="00BC75DE">
            <w:pPr>
              <w:pStyle w:val="TableText"/>
              <w:widowControl w:val="0"/>
            </w:pPr>
            <w:r w:rsidRPr="00391019">
              <w:t>Identification of prevention, emergency preparedness and response requirements and responsibilities</w:t>
            </w:r>
          </w:p>
          <w:p w14:paraId="07253A8F" w14:textId="77777777" w:rsidR="00391019" w:rsidRDefault="00391019" w:rsidP="00BC75DE">
            <w:pPr>
              <w:pStyle w:val="TableText"/>
              <w:widowControl w:val="0"/>
            </w:pPr>
            <w:r w:rsidRPr="00391019">
              <w:t>Early detection and accurate, timely diagnosis of national priority pests and diseases</w:t>
            </w:r>
          </w:p>
          <w:p w14:paraId="3A442903" w14:textId="77777777" w:rsidR="00391019" w:rsidRDefault="00391019" w:rsidP="00BC75DE">
            <w:pPr>
              <w:pStyle w:val="TableText"/>
              <w:widowControl w:val="0"/>
            </w:pPr>
            <w:r w:rsidRPr="00391019">
              <w:t>Demonstration of Australia’s pest and disease status for market access</w:t>
            </w:r>
          </w:p>
          <w:p w14:paraId="7616D88B" w14:textId="328D0A37" w:rsidR="00391019" w:rsidRPr="00391019" w:rsidRDefault="00683BE0" w:rsidP="00891EDF">
            <w:pPr>
              <w:pStyle w:val="TableText"/>
              <w:widowControl w:val="0"/>
            </w:pPr>
            <w:r>
              <w:t>Identification of responsibilities for e</w:t>
            </w:r>
            <w:r w:rsidR="00DB358A" w:rsidRPr="00DB358A">
              <w:t>st</w:t>
            </w:r>
            <w:r>
              <w:t>ablished</w:t>
            </w:r>
            <w:r w:rsidR="00DB358A" w:rsidRPr="00DB358A">
              <w:t xml:space="preserve"> pests and diseases</w:t>
            </w:r>
          </w:p>
        </w:tc>
        <w:tc>
          <w:tcPr>
            <w:tcW w:w="3020" w:type="dxa"/>
          </w:tcPr>
          <w:p w14:paraId="657E3565" w14:textId="77777777" w:rsidR="00391019" w:rsidRDefault="00DB358A" w:rsidP="00BC75DE">
            <w:pPr>
              <w:pStyle w:val="TableText"/>
              <w:widowControl w:val="0"/>
            </w:pPr>
            <w:r w:rsidRPr="00DB358A">
              <w:t>Implementation of a systematic national priority (exotic) pest and disease approach, including for environmental biosecurity risks</w:t>
            </w:r>
          </w:p>
          <w:p w14:paraId="35D348EC" w14:textId="77777777" w:rsidR="00DB358A" w:rsidRDefault="00DB358A" w:rsidP="00BC75DE">
            <w:pPr>
              <w:pStyle w:val="TableText"/>
              <w:widowControl w:val="0"/>
            </w:pPr>
            <w:r w:rsidRPr="00DB358A">
              <w:t>Risk assessments for national priority pests and diseases</w:t>
            </w:r>
          </w:p>
          <w:p w14:paraId="05A1486D" w14:textId="44BD394A" w:rsidR="00DB358A" w:rsidRDefault="00DB358A" w:rsidP="00BC75DE">
            <w:pPr>
              <w:pStyle w:val="TableText"/>
              <w:widowControl w:val="0"/>
            </w:pPr>
            <w:r w:rsidRPr="008747BF">
              <w:t>Activity plans</w:t>
            </w:r>
            <w:r w:rsidRPr="00DB358A">
              <w:t xml:space="preserve"> for managing national priority pest</w:t>
            </w:r>
            <w:r w:rsidR="002F45E6">
              <w:t>s</w:t>
            </w:r>
            <w:r w:rsidRPr="00DB358A">
              <w:t xml:space="preserve"> and diseases, agreed by all relevant participants, outlin</w:t>
            </w:r>
            <w:r w:rsidR="00683BE0">
              <w:t>ing</w:t>
            </w:r>
            <w:r w:rsidRPr="00DB358A">
              <w:t xml:space="preserve"> risk mitigation</w:t>
            </w:r>
            <w:r w:rsidR="00683BE0">
              <w:t xml:space="preserve"> measures</w:t>
            </w:r>
            <w:r w:rsidRPr="00DB358A">
              <w:t>, surveillance, diagnostics, response, as well as the relevant participants (including their roles and responsibilities and cost-sharing arrangements)</w:t>
            </w:r>
          </w:p>
          <w:p w14:paraId="1764240A" w14:textId="77777777" w:rsidR="00DB358A" w:rsidRDefault="00DB358A" w:rsidP="00BC75DE">
            <w:pPr>
              <w:pStyle w:val="TableText"/>
              <w:widowControl w:val="0"/>
            </w:pPr>
            <w:r w:rsidRPr="00DB358A">
              <w:t>Alignment of biosecurity surveillance activities with major export market risks</w:t>
            </w:r>
          </w:p>
          <w:p w14:paraId="77C74E13" w14:textId="3C55B3DB" w:rsidR="00DB358A" w:rsidRDefault="00DB358A" w:rsidP="00BC75DE">
            <w:pPr>
              <w:pStyle w:val="TableText"/>
              <w:widowControl w:val="0"/>
            </w:pPr>
            <w:r w:rsidRPr="00DB358A">
              <w:t xml:space="preserve">Emergency response deeds for aquatic animals and exotic </w:t>
            </w:r>
            <w:r w:rsidR="00081AD5">
              <w:t xml:space="preserve">production </w:t>
            </w:r>
            <w:r w:rsidRPr="00DB358A">
              <w:t>weeds</w:t>
            </w:r>
          </w:p>
          <w:p w14:paraId="340B22D1" w14:textId="724F2965" w:rsidR="007A7B0E" w:rsidRPr="00391019" w:rsidRDefault="007A7B0E" w:rsidP="007A7B0E">
            <w:pPr>
              <w:pStyle w:val="TableText"/>
              <w:widowControl w:val="0"/>
            </w:pPr>
            <w:r w:rsidRPr="007A7B0E">
              <w:t>Greater landowner-led resourcing and management of nationally significant established pest</w:t>
            </w:r>
            <w:r w:rsidR="00774183">
              <w:t>s</w:t>
            </w:r>
            <w:r w:rsidRPr="007A7B0E">
              <w:t xml:space="preserve"> and diseases</w:t>
            </w:r>
          </w:p>
        </w:tc>
      </w:tr>
      <w:tr w:rsidR="00391019" w:rsidRPr="00391019" w14:paraId="380C0AD6" w14:textId="77777777" w:rsidTr="00DB358A">
        <w:tc>
          <w:tcPr>
            <w:tcW w:w="3020" w:type="dxa"/>
          </w:tcPr>
          <w:p w14:paraId="7B6F81DF" w14:textId="77777777" w:rsidR="00391019" w:rsidRPr="00391019" w:rsidRDefault="00DB358A" w:rsidP="00BC75DE">
            <w:pPr>
              <w:pStyle w:val="TableHeading"/>
              <w:keepNext w:val="0"/>
              <w:widowControl w:val="0"/>
            </w:pPr>
            <w:r w:rsidRPr="00DB358A">
              <w:t>3. Knowledge management and system performance</w:t>
            </w:r>
          </w:p>
        </w:tc>
        <w:tc>
          <w:tcPr>
            <w:tcW w:w="3020" w:type="dxa"/>
          </w:tcPr>
          <w:p w14:paraId="7FD647C3" w14:textId="77777777" w:rsidR="00391019" w:rsidRDefault="00DB358A" w:rsidP="00BC75DE">
            <w:pPr>
              <w:pStyle w:val="TableText"/>
              <w:widowControl w:val="0"/>
            </w:pPr>
            <w:r w:rsidRPr="00DB358A">
              <w:t>Improved decision-making and operational efficiency and effectiveness</w:t>
            </w:r>
          </w:p>
          <w:p w14:paraId="5A8BF880" w14:textId="77777777" w:rsidR="00DB358A" w:rsidRDefault="00DB358A" w:rsidP="00BC75DE">
            <w:pPr>
              <w:pStyle w:val="TableText"/>
              <w:widowControl w:val="0"/>
            </w:pPr>
            <w:r w:rsidRPr="00DB358A">
              <w:t>Increased capacity to measure and demonstrate the performance of the national biosecurity system</w:t>
            </w:r>
          </w:p>
          <w:p w14:paraId="46C93FA9" w14:textId="77777777" w:rsidR="00DB358A" w:rsidRDefault="00DB358A" w:rsidP="00BC75DE">
            <w:pPr>
              <w:pStyle w:val="TableText"/>
              <w:widowControl w:val="0"/>
            </w:pPr>
            <w:r w:rsidRPr="00DB358A">
              <w:t>Improved accountability of jurisdictions for commitments under the IGAB</w:t>
            </w:r>
          </w:p>
          <w:p w14:paraId="319C0538" w14:textId="77777777" w:rsidR="00DB358A" w:rsidRPr="00391019" w:rsidRDefault="00DB358A" w:rsidP="00BC75DE">
            <w:pPr>
              <w:pStyle w:val="TableText"/>
              <w:widowControl w:val="0"/>
            </w:pPr>
            <w:r w:rsidRPr="00DB358A">
              <w:t>Greater public understanding of the performance of the system</w:t>
            </w:r>
          </w:p>
        </w:tc>
        <w:tc>
          <w:tcPr>
            <w:tcW w:w="3020" w:type="dxa"/>
          </w:tcPr>
          <w:p w14:paraId="4981127B" w14:textId="77777777" w:rsidR="00391019" w:rsidRDefault="00DB358A" w:rsidP="00BC75DE">
            <w:pPr>
              <w:pStyle w:val="TableText"/>
              <w:widowControl w:val="0"/>
            </w:pPr>
            <w:r w:rsidRPr="00DB358A">
              <w:t>National collaboration on data</w:t>
            </w:r>
            <w:r w:rsidR="00343658">
              <w:t xml:space="preserve"> and intelligence</w:t>
            </w:r>
            <w:r w:rsidRPr="00DB358A">
              <w:t xml:space="preserve"> sharing</w:t>
            </w:r>
          </w:p>
          <w:p w14:paraId="078A5EF8" w14:textId="77777777" w:rsidR="00DB358A" w:rsidRDefault="00DB358A" w:rsidP="00BC75DE">
            <w:pPr>
              <w:pStyle w:val="TableText"/>
              <w:widowControl w:val="0"/>
            </w:pPr>
            <w:r w:rsidRPr="00DB358A">
              <w:t>Agreement on minimum standards and specifications for data sets</w:t>
            </w:r>
          </w:p>
          <w:p w14:paraId="626A0883" w14:textId="77777777" w:rsidR="00DB358A" w:rsidRDefault="00DB358A" w:rsidP="00BC75DE">
            <w:pPr>
              <w:pStyle w:val="TableText"/>
              <w:widowControl w:val="0"/>
            </w:pPr>
            <w:r w:rsidRPr="00DB358A">
              <w:t>An agreed national biosecurity information system accessible to all jurisdictions</w:t>
            </w:r>
          </w:p>
          <w:p w14:paraId="18D5812E" w14:textId="77777777" w:rsidR="00DB358A" w:rsidRDefault="00DB358A" w:rsidP="00BC75DE">
            <w:pPr>
              <w:pStyle w:val="TableText"/>
              <w:widowControl w:val="0"/>
            </w:pPr>
            <w:r w:rsidRPr="00DB358A">
              <w:t>A performance framework and measurable performance indicators for the national system</w:t>
            </w:r>
          </w:p>
          <w:p w14:paraId="51C9714A" w14:textId="77777777" w:rsidR="00DB358A" w:rsidRPr="00391019" w:rsidRDefault="00DB358A" w:rsidP="00BC75DE">
            <w:pPr>
              <w:pStyle w:val="TableText"/>
              <w:widowControl w:val="0"/>
            </w:pPr>
            <w:r w:rsidRPr="00DB358A">
              <w:t>An independent IGAB Evaluation Program of jurisdictional commitments</w:t>
            </w:r>
          </w:p>
        </w:tc>
      </w:tr>
    </w:tbl>
    <w:p w14:paraId="41087D3F" w14:textId="77777777" w:rsidR="00391019" w:rsidRDefault="00391019"/>
    <w:p w14:paraId="7DB9BAFE" w14:textId="77777777" w:rsidR="00FD4FAA" w:rsidRPr="00590407" w:rsidRDefault="00807218" w:rsidP="00ED33E3">
      <w:pPr>
        <w:pStyle w:val="Caption"/>
        <w:widowControl w:val="0"/>
        <w:rPr>
          <w:sz w:val="22"/>
          <w:szCs w:val="22"/>
          <w:lang w:eastAsia="ja-JP"/>
        </w:rPr>
      </w:pPr>
      <w:bookmarkStart w:id="247" w:name="_Ref467063791"/>
      <w:bookmarkStart w:id="248" w:name="_Toc468176733"/>
      <w:r w:rsidRPr="00590407">
        <w:rPr>
          <w:sz w:val="22"/>
          <w:szCs w:val="22"/>
        </w:rPr>
        <w:lastRenderedPageBreak/>
        <w:t xml:space="preserve">Table </w:t>
      </w:r>
      <w:r w:rsidR="00D56373" w:rsidRPr="00590407">
        <w:rPr>
          <w:sz w:val="22"/>
          <w:szCs w:val="22"/>
        </w:rPr>
        <w:fldChar w:fldCharType="begin"/>
      </w:r>
      <w:r w:rsidR="00D56373" w:rsidRPr="00590407">
        <w:rPr>
          <w:sz w:val="22"/>
          <w:szCs w:val="22"/>
        </w:rPr>
        <w:instrText xml:space="preserve"> SEQ Table \* ARABIC </w:instrText>
      </w:r>
      <w:r w:rsidR="00D56373" w:rsidRPr="00590407">
        <w:rPr>
          <w:sz w:val="22"/>
          <w:szCs w:val="22"/>
        </w:rPr>
        <w:fldChar w:fldCharType="separate"/>
      </w:r>
      <w:r w:rsidR="008303E2">
        <w:rPr>
          <w:noProof/>
          <w:sz w:val="22"/>
          <w:szCs w:val="22"/>
        </w:rPr>
        <w:t>12</w:t>
      </w:r>
      <w:r w:rsidR="00D56373" w:rsidRPr="00590407">
        <w:rPr>
          <w:noProof/>
          <w:sz w:val="22"/>
          <w:szCs w:val="22"/>
        </w:rPr>
        <w:fldChar w:fldCharType="end"/>
      </w:r>
      <w:bookmarkEnd w:id="247"/>
      <w:r w:rsidR="007C1C69" w:rsidRPr="00590407">
        <w:rPr>
          <w:sz w:val="22"/>
          <w:szCs w:val="22"/>
        </w:rPr>
        <w:t>:</w:t>
      </w:r>
      <w:r w:rsidRPr="00590407">
        <w:rPr>
          <w:sz w:val="22"/>
          <w:szCs w:val="22"/>
        </w:rPr>
        <w:t xml:space="preserve"> Proposed revisions of the IGAB</w:t>
      </w:r>
      <w:bookmarkEnd w:id="24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71"/>
      </w:tblGrid>
      <w:tr w:rsidR="00FD4FAA" w:rsidRPr="00FD4FAA" w14:paraId="797251C5" w14:textId="77777777" w:rsidTr="00807218">
        <w:trPr>
          <w:tblHeader/>
        </w:trPr>
        <w:tc>
          <w:tcPr>
            <w:tcW w:w="2689" w:type="dxa"/>
          </w:tcPr>
          <w:p w14:paraId="59478BB2" w14:textId="4753E1C2" w:rsidR="00FD4FAA" w:rsidRPr="00FD4FAA" w:rsidRDefault="00891EDF" w:rsidP="00BC75DE">
            <w:pPr>
              <w:pStyle w:val="TableHeading"/>
              <w:keepNext w:val="0"/>
              <w:widowControl w:val="0"/>
              <w:rPr>
                <w:lang w:eastAsia="ja-JP"/>
              </w:rPr>
            </w:pPr>
            <w:r>
              <w:rPr>
                <w:lang w:eastAsia="ja-JP"/>
              </w:rPr>
              <w:t>Issue/Section</w:t>
            </w:r>
          </w:p>
        </w:tc>
        <w:tc>
          <w:tcPr>
            <w:tcW w:w="6371" w:type="dxa"/>
          </w:tcPr>
          <w:p w14:paraId="28C71B62" w14:textId="42C00CD2" w:rsidR="00FD4FAA" w:rsidRPr="00FD4FAA" w:rsidRDefault="00891EDF" w:rsidP="00BC75DE">
            <w:pPr>
              <w:pStyle w:val="TableHeading"/>
              <w:keepNext w:val="0"/>
              <w:widowControl w:val="0"/>
              <w:rPr>
                <w:lang w:eastAsia="ja-JP"/>
              </w:rPr>
            </w:pPr>
            <w:r>
              <w:rPr>
                <w:lang w:eastAsia="ja-JP"/>
              </w:rPr>
              <w:t>Proposed changes</w:t>
            </w:r>
          </w:p>
        </w:tc>
      </w:tr>
      <w:tr w:rsidR="00FD4FAA" w:rsidRPr="00FD4FAA" w14:paraId="161F3BA2" w14:textId="77777777" w:rsidTr="00807218">
        <w:tc>
          <w:tcPr>
            <w:tcW w:w="2689" w:type="dxa"/>
          </w:tcPr>
          <w:p w14:paraId="31B7E43C" w14:textId="77777777" w:rsidR="00FD4FAA" w:rsidRPr="00FD4FAA" w:rsidRDefault="00FD4FAA" w:rsidP="00BC75DE">
            <w:pPr>
              <w:pStyle w:val="TableText"/>
              <w:widowControl w:val="0"/>
              <w:rPr>
                <w:lang w:eastAsia="ja-JP"/>
              </w:rPr>
            </w:pPr>
            <w:r w:rsidRPr="00FD4FAA">
              <w:rPr>
                <w:lang w:eastAsia="ja-JP"/>
              </w:rPr>
              <w:t>Structure</w:t>
            </w:r>
          </w:p>
        </w:tc>
        <w:tc>
          <w:tcPr>
            <w:tcW w:w="6371" w:type="dxa"/>
          </w:tcPr>
          <w:p w14:paraId="76BB9A66" w14:textId="77777777" w:rsidR="00FD4FAA" w:rsidRPr="00FD4FAA" w:rsidRDefault="00FD4FAA" w:rsidP="00BC75DE">
            <w:pPr>
              <w:pStyle w:val="TableText"/>
              <w:widowControl w:val="0"/>
              <w:rPr>
                <w:lang w:eastAsia="ja-JP"/>
              </w:rPr>
            </w:pPr>
            <w:r w:rsidRPr="00FD4FAA">
              <w:rPr>
                <w:lang w:eastAsia="ja-JP"/>
              </w:rPr>
              <w:t>Structure needs to reflect a logical flow of issues and group sections concerned with the national system together, and sections concerned with the IGAB together.</w:t>
            </w:r>
          </w:p>
        </w:tc>
      </w:tr>
      <w:tr w:rsidR="00FD4FAA" w:rsidRPr="00FD4FAA" w14:paraId="2AF884E8" w14:textId="77777777" w:rsidTr="00807218">
        <w:tc>
          <w:tcPr>
            <w:tcW w:w="2689" w:type="dxa"/>
          </w:tcPr>
          <w:p w14:paraId="473F8400" w14:textId="7DC1EC33" w:rsidR="00FD4FAA" w:rsidRPr="00FD4FAA" w:rsidRDefault="00891EDF" w:rsidP="00BC75DE">
            <w:pPr>
              <w:pStyle w:val="TableText"/>
              <w:widowControl w:val="0"/>
              <w:rPr>
                <w:lang w:eastAsia="ja-JP"/>
              </w:rPr>
            </w:pPr>
            <w:r>
              <w:rPr>
                <w:lang w:eastAsia="ja-JP"/>
              </w:rPr>
              <w:t>Language</w:t>
            </w:r>
          </w:p>
        </w:tc>
        <w:tc>
          <w:tcPr>
            <w:tcW w:w="6371" w:type="dxa"/>
          </w:tcPr>
          <w:p w14:paraId="6AB7DF25" w14:textId="6AF7FCBE" w:rsidR="00FD4FAA" w:rsidRPr="00FD4FAA" w:rsidRDefault="00FD4FAA" w:rsidP="00BC75DE">
            <w:pPr>
              <w:pStyle w:val="TableText"/>
              <w:widowControl w:val="0"/>
              <w:rPr>
                <w:lang w:eastAsia="ja-JP"/>
              </w:rPr>
            </w:pPr>
            <w:r w:rsidRPr="00FD4FAA">
              <w:rPr>
                <w:lang w:eastAsia="ja-JP"/>
              </w:rPr>
              <w:t>Language could be simplified, sharper and purposeful. Jurisdictions should look to make clear (versus heavily caveated) commitments in the agreement, reflective of the consensus progressively being reached o</w:t>
            </w:r>
            <w:r w:rsidR="003B1A0F">
              <w:rPr>
                <w:lang w:eastAsia="ja-JP"/>
              </w:rPr>
              <w:t>n issues.</w:t>
            </w:r>
          </w:p>
        </w:tc>
      </w:tr>
      <w:tr w:rsidR="00FD4FAA" w:rsidRPr="00FD4FAA" w14:paraId="7817C86F" w14:textId="77777777" w:rsidTr="00807218">
        <w:tc>
          <w:tcPr>
            <w:tcW w:w="2689" w:type="dxa"/>
          </w:tcPr>
          <w:p w14:paraId="1B0F726E" w14:textId="77777777" w:rsidR="00FD4FAA" w:rsidRPr="00FD4FAA" w:rsidRDefault="00FD4FAA" w:rsidP="00BC75DE">
            <w:pPr>
              <w:pStyle w:val="TableHeading"/>
              <w:keepNext w:val="0"/>
              <w:widowControl w:val="0"/>
              <w:rPr>
                <w:lang w:eastAsia="ja-JP"/>
              </w:rPr>
            </w:pPr>
            <w:r w:rsidRPr="00FD4FAA">
              <w:rPr>
                <w:lang w:eastAsia="ja-JP"/>
              </w:rPr>
              <w:t>Front page of the Agreement</w:t>
            </w:r>
          </w:p>
        </w:tc>
        <w:tc>
          <w:tcPr>
            <w:tcW w:w="6371" w:type="dxa"/>
          </w:tcPr>
          <w:p w14:paraId="3AA597A4" w14:textId="77777777" w:rsidR="00FD4FAA" w:rsidRDefault="00FD4FAA" w:rsidP="00BC75DE">
            <w:pPr>
              <w:pStyle w:val="TableText"/>
              <w:widowControl w:val="0"/>
              <w:rPr>
                <w:lang w:eastAsia="ja-JP"/>
              </w:rPr>
            </w:pPr>
            <w:r w:rsidRPr="00FD4FAA">
              <w:rPr>
                <w:lang w:eastAsia="ja-JP"/>
              </w:rPr>
              <w:t>Should list all jurisdictions who are signatories to the agreement.</w:t>
            </w:r>
          </w:p>
          <w:p w14:paraId="7DB73276" w14:textId="77777777" w:rsidR="00FD4FAA" w:rsidRPr="00FD4FAA" w:rsidRDefault="00FD4FAA" w:rsidP="00BC75DE">
            <w:pPr>
              <w:pStyle w:val="TableText"/>
              <w:widowControl w:val="0"/>
              <w:rPr>
                <w:lang w:eastAsia="ja-JP"/>
              </w:rPr>
            </w:pPr>
            <w:r w:rsidRPr="00FD4FAA">
              <w:rPr>
                <w:lang w:eastAsia="ja-JP"/>
              </w:rPr>
              <w:t xml:space="preserve">Should state the following revised objective for the agreement: </w:t>
            </w:r>
            <w:r w:rsidRPr="005E1421">
              <w:rPr>
                <w:i/>
                <w:lang w:eastAsia="ja-JP"/>
              </w:rPr>
              <w:t>The objective of this Agreement the national collaboration between Australian governments to strengthen Australia’s biosecurity system.</w:t>
            </w:r>
          </w:p>
        </w:tc>
      </w:tr>
      <w:tr w:rsidR="00FD4FAA" w:rsidRPr="00FD4FAA" w14:paraId="517ABA92" w14:textId="77777777" w:rsidTr="00807218">
        <w:tc>
          <w:tcPr>
            <w:tcW w:w="2689" w:type="dxa"/>
          </w:tcPr>
          <w:p w14:paraId="437135FF" w14:textId="77777777" w:rsidR="00FD4FAA" w:rsidRPr="00FD4FAA" w:rsidRDefault="00FD4FAA" w:rsidP="00BC75DE">
            <w:pPr>
              <w:pStyle w:val="TableHeading"/>
              <w:keepNext w:val="0"/>
              <w:widowControl w:val="0"/>
              <w:rPr>
                <w:lang w:eastAsia="ja-JP"/>
              </w:rPr>
            </w:pPr>
            <w:r w:rsidRPr="00FD4FAA">
              <w:rPr>
                <w:lang w:eastAsia="ja-JP"/>
              </w:rPr>
              <w:t>1. Preamble</w:t>
            </w:r>
          </w:p>
        </w:tc>
        <w:tc>
          <w:tcPr>
            <w:tcW w:w="6371" w:type="dxa"/>
          </w:tcPr>
          <w:p w14:paraId="69315239" w14:textId="77777777" w:rsidR="00FD4FAA" w:rsidRDefault="00FD4FAA" w:rsidP="00BC75DE">
            <w:pPr>
              <w:pStyle w:val="TableText"/>
              <w:widowControl w:val="0"/>
              <w:rPr>
                <w:lang w:eastAsia="ja-JP"/>
              </w:rPr>
            </w:pPr>
            <w:r w:rsidRPr="00FD4FAA">
              <w:rPr>
                <w:lang w:eastAsia="ja-JP"/>
              </w:rPr>
              <w:t>Should be redrafted to provide a more refined and succinct precis of the national biosecurity system and its challenges. It should include reference to Australia and its external territories.</w:t>
            </w:r>
          </w:p>
          <w:p w14:paraId="242C45B3" w14:textId="77777777" w:rsidR="00FD4FAA" w:rsidRPr="00FD4FAA" w:rsidRDefault="00FD4FAA" w:rsidP="00BC75DE">
            <w:pPr>
              <w:pStyle w:val="TableText"/>
              <w:widowControl w:val="0"/>
              <w:rPr>
                <w:lang w:eastAsia="ja-JP"/>
              </w:rPr>
            </w:pPr>
            <w:r w:rsidRPr="00FD4FAA">
              <w:rPr>
                <w:lang w:eastAsia="ja-JP"/>
              </w:rPr>
              <w:t>1.4(iii) should reflect invertebrate transmitted diseases as well as animal – see below.</w:t>
            </w:r>
          </w:p>
        </w:tc>
      </w:tr>
      <w:tr w:rsidR="00FD4FAA" w:rsidRPr="00FD4FAA" w14:paraId="316BA639" w14:textId="77777777" w:rsidTr="00807218">
        <w:tc>
          <w:tcPr>
            <w:tcW w:w="2689" w:type="dxa"/>
          </w:tcPr>
          <w:p w14:paraId="6C544502" w14:textId="77777777" w:rsidR="00FD4FAA" w:rsidRPr="00FD4FAA" w:rsidRDefault="00FD4FAA" w:rsidP="00BC75DE">
            <w:pPr>
              <w:pStyle w:val="TableHeading"/>
              <w:keepNext w:val="0"/>
              <w:widowControl w:val="0"/>
              <w:rPr>
                <w:lang w:eastAsia="ja-JP"/>
              </w:rPr>
            </w:pPr>
            <w:r w:rsidRPr="00FD4FAA">
              <w:rPr>
                <w:lang w:eastAsia="ja-JP"/>
              </w:rPr>
              <w:t>2. Purpose [and scope] of the Agreement</w:t>
            </w:r>
          </w:p>
        </w:tc>
        <w:tc>
          <w:tcPr>
            <w:tcW w:w="6371" w:type="dxa"/>
          </w:tcPr>
          <w:p w14:paraId="77E852FC" w14:textId="77777777" w:rsidR="00FD4FAA" w:rsidRDefault="00FD4FAA" w:rsidP="00BC75DE">
            <w:pPr>
              <w:pStyle w:val="TableText"/>
              <w:widowControl w:val="0"/>
              <w:rPr>
                <w:lang w:eastAsia="ja-JP"/>
              </w:rPr>
            </w:pPr>
            <w:r w:rsidRPr="00FD4FAA">
              <w:rPr>
                <w:lang w:eastAsia="ja-JP"/>
              </w:rPr>
              <w:t>Should reflect the objective for the agreement (see front page above) in 2.1.</w:t>
            </w:r>
          </w:p>
          <w:p w14:paraId="26C49817" w14:textId="77777777" w:rsidR="00FD4FAA" w:rsidRDefault="00FD4FAA" w:rsidP="00BC75DE">
            <w:pPr>
              <w:pStyle w:val="TableText"/>
              <w:widowControl w:val="0"/>
              <w:rPr>
                <w:lang w:eastAsia="ja-JP"/>
              </w:rPr>
            </w:pPr>
            <w:r w:rsidRPr="00FD4FAA">
              <w:rPr>
                <w:lang w:eastAsia="ja-JP"/>
              </w:rPr>
              <w:t>Should include a statement on the scope of the agreement, identify the IGAB as a major element of the national biosecurity architecture; acknowledge other major parties (industry and community).</w:t>
            </w:r>
          </w:p>
          <w:p w14:paraId="5F0B7EA6" w14:textId="77777777" w:rsidR="00FD4FAA" w:rsidRDefault="00FD4FAA" w:rsidP="00BC75DE">
            <w:pPr>
              <w:pStyle w:val="TableText"/>
              <w:widowControl w:val="0"/>
              <w:rPr>
                <w:lang w:eastAsia="ja-JP"/>
              </w:rPr>
            </w:pPr>
            <w:r w:rsidRPr="00FD4FAA">
              <w:rPr>
                <w:lang w:eastAsia="ja-JP"/>
              </w:rPr>
              <w:t>2.2(ii) should focus on key components; refer to diseases transmitted between vertebrate and invertebrate animals and humans rather than zoonotic diseases</w:t>
            </w:r>
            <w:r w:rsidR="00D31C62">
              <w:rPr>
                <w:lang w:eastAsia="ja-JP"/>
              </w:rPr>
              <w:t>.</w:t>
            </w:r>
          </w:p>
          <w:p w14:paraId="57068D68" w14:textId="3B7E4221" w:rsidR="00FD4FAA" w:rsidRPr="00FD4FAA" w:rsidRDefault="00FD4FAA" w:rsidP="002D26D3">
            <w:pPr>
              <w:pStyle w:val="TableText"/>
              <w:widowControl w:val="0"/>
              <w:rPr>
                <w:lang w:eastAsia="ja-JP"/>
              </w:rPr>
            </w:pPr>
            <w:r w:rsidRPr="00FD4FAA">
              <w:rPr>
                <w:lang w:eastAsia="ja-JP"/>
              </w:rPr>
              <w:t xml:space="preserve">Should include the roles and responsibilities of the </w:t>
            </w:r>
            <w:r w:rsidR="002D26D3">
              <w:rPr>
                <w:lang w:eastAsia="ja-JP"/>
              </w:rPr>
              <w:t>Australian</w:t>
            </w:r>
            <w:r w:rsidRPr="00FD4FAA">
              <w:rPr>
                <w:lang w:eastAsia="ja-JP"/>
              </w:rPr>
              <w:t xml:space="preserve">, </w:t>
            </w:r>
            <w:r w:rsidR="002D26D3">
              <w:rPr>
                <w:lang w:eastAsia="ja-JP"/>
              </w:rPr>
              <w:t>state and t</w:t>
            </w:r>
            <w:r w:rsidRPr="00FD4FAA">
              <w:rPr>
                <w:lang w:eastAsia="ja-JP"/>
              </w:rPr>
              <w:t xml:space="preserve">erritory governments (including for domestic and international market access) within Strengthening the Working Partnership (currently </w:t>
            </w:r>
            <w:r w:rsidR="00C468AF">
              <w:rPr>
                <w:lang w:eastAsia="ja-JP"/>
              </w:rPr>
              <w:t>Section 7) as the basis for 2.2</w:t>
            </w:r>
            <w:r w:rsidRPr="00FD4FAA">
              <w:rPr>
                <w:lang w:eastAsia="ja-JP"/>
              </w:rPr>
              <w:t>(iii) remaining.</w:t>
            </w:r>
          </w:p>
        </w:tc>
      </w:tr>
      <w:tr w:rsidR="00FD4FAA" w:rsidRPr="00FD4FAA" w14:paraId="1C257746" w14:textId="77777777" w:rsidTr="00807218">
        <w:tc>
          <w:tcPr>
            <w:tcW w:w="2689" w:type="dxa"/>
          </w:tcPr>
          <w:p w14:paraId="09D4B193" w14:textId="77777777" w:rsidR="00FD4FAA" w:rsidRPr="00FD4FAA" w:rsidRDefault="00FD4FAA" w:rsidP="00BC75DE">
            <w:pPr>
              <w:pStyle w:val="TableHeading"/>
              <w:keepNext w:val="0"/>
              <w:widowControl w:val="0"/>
              <w:rPr>
                <w:lang w:eastAsia="ja-JP"/>
              </w:rPr>
            </w:pPr>
            <w:r w:rsidRPr="00FD4FAA">
              <w:rPr>
                <w:lang w:eastAsia="ja-JP"/>
              </w:rPr>
              <w:t>3. Principles underpinning the National Biosecurity System</w:t>
            </w:r>
          </w:p>
        </w:tc>
        <w:tc>
          <w:tcPr>
            <w:tcW w:w="6371" w:type="dxa"/>
          </w:tcPr>
          <w:p w14:paraId="3FAD1836" w14:textId="77777777" w:rsidR="00FD4FAA" w:rsidRDefault="00FD4FAA" w:rsidP="00BC75DE">
            <w:pPr>
              <w:pStyle w:val="TableText"/>
              <w:widowControl w:val="0"/>
              <w:rPr>
                <w:lang w:eastAsia="ja-JP"/>
              </w:rPr>
            </w:pPr>
            <w:r w:rsidRPr="00FD4FAA">
              <w:rPr>
                <w:lang w:eastAsia="ja-JP"/>
              </w:rPr>
              <w:t>Principles should be articulated before goal/objectives</w:t>
            </w:r>
            <w:r w:rsidR="00D31C62">
              <w:rPr>
                <w:lang w:eastAsia="ja-JP"/>
              </w:rPr>
              <w:t>.</w:t>
            </w:r>
          </w:p>
          <w:p w14:paraId="415605B3" w14:textId="77777777" w:rsidR="00D31C62" w:rsidRPr="00FD4FAA" w:rsidRDefault="00D31C62" w:rsidP="00BC75DE">
            <w:pPr>
              <w:pStyle w:val="TableText"/>
              <w:widowControl w:val="0"/>
              <w:rPr>
                <w:lang w:eastAsia="ja-JP"/>
              </w:rPr>
            </w:pPr>
            <w:r w:rsidRPr="00D31C62">
              <w:rPr>
                <w:lang w:eastAsia="ja-JP"/>
              </w:rPr>
              <w:t>Should include the principle of ecologically sustainable development</w:t>
            </w:r>
            <w:r>
              <w:rPr>
                <w:lang w:eastAsia="ja-JP"/>
              </w:rPr>
              <w:t>.</w:t>
            </w:r>
          </w:p>
        </w:tc>
      </w:tr>
      <w:tr w:rsidR="00FD4FAA" w:rsidRPr="00FD4FAA" w14:paraId="6A779175" w14:textId="77777777" w:rsidTr="00807218">
        <w:tc>
          <w:tcPr>
            <w:tcW w:w="2689" w:type="dxa"/>
          </w:tcPr>
          <w:p w14:paraId="645D8AB3" w14:textId="3FE6EC77" w:rsidR="00FD4FAA" w:rsidRPr="00FD4FAA" w:rsidRDefault="00D31C62" w:rsidP="00BC75DE">
            <w:pPr>
              <w:pStyle w:val="TableHeading"/>
              <w:keepNext w:val="0"/>
              <w:widowControl w:val="0"/>
              <w:rPr>
                <w:lang w:eastAsia="ja-JP"/>
              </w:rPr>
            </w:pPr>
            <w:r w:rsidRPr="00D31C62">
              <w:rPr>
                <w:lang w:eastAsia="ja-JP"/>
              </w:rPr>
              <w:t>4.</w:t>
            </w:r>
            <w:r w:rsidR="00615B8C">
              <w:rPr>
                <w:lang w:eastAsia="ja-JP"/>
              </w:rPr>
              <w:t xml:space="preserve"> </w:t>
            </w:r>
            <w:r w:rsidRPr="00D31C62">
              <w:rPr>
                <w:lang w:eastAsia="ja-JP"/>
              </w:rPr>
              <w:t>Goals and Objectives of the National Biosecurity System</w:t>
            </w:r>
          </w:p>
        </w:tc>
        <w:tc>
          <w:tcPr>
            <w:tcW w:w="6371" w:type="dxa"/>
          </w:tcPr>
          <w:p w14:paraId="739EDFCC" w14:textId="34931D4A" w:rsidR="00D31C62" w:rsidRDefault="00D31C62" w:rsidP="00BC75DE">
            <w:pPr>
              <w:pStyle w:val="TableText"/>
              <w:widowControl w:val="0"/>
              <w:rPr>
                <w:lang w:eastAsia="ja-JP"/>
              </w:rPr>
            </w:pPr>
            <w:r w:rsidRPr="00D31C62">
              <w:rPr>
                <w:lang w:eastAsia="ja-JP"/>
              </w:rPr>
              <w:t xml:space="preserve">Include the following simplified goal: </w:t>
            </w:r>
            <w:r w:rsidRPr="00807218">
              <w:rPr>
                <w:i/>
                <w:lang w:eastAsia="ja-JP"/>
              </w:rPr>
              <w:t>The goal of the national biosecurity system is to minimise the impact of pests and diseases on Australia’s economy, environment and the community, while facilitating trade and the movement of plants, animals, people and products.</w:t>
            </w:r>
          </w:p>
          <w:p w14:paraId="30FC8F18" w14:textId="1490C794" w:rsidR="00D31C62" w:rsidRDefault="00CB7F9A" w:rsidP="00BC75DE">
            <w:pPr>
              <w:pStyle w:val="TableText"/>
              <w:widowControl w:val="0"/>
              <w:rPr>
                <w:lang w:eastAsia="ja-JP"/>
              </w:rPr>
            </w:pPr>
            <w:r>
              <w:rPr>
                <w:lang w:eastAsia="ja-JP"/>
              </w:rPr>
              <w:t>In old 3.2 add ‘</w:t>
            </w:r>
            <w:r w:rsidR="00D31C62" w:rsidRPr="00807218">
              <w:rPr>
                <w:i/>
                <w:lang w:eastAsia="ja-JP"/>
              </w:rPr>
              <w:t>involving governments, industry and community</w:t>
            </w:r>
            <w:r>
              <w:rPr>
                <w:lang w:eastAsia="ja-JP"/>
              </w:rPr>
              <w:t>’</w:t>
            </w:r>
            <w:r w:rsidR="00D31C62" w:rsidRPr="00D31C62">
              <w:rPr>
                <w:lang w:eastAsia="ja-JP"/>
              </w:rPr>
              <w:t xml:space="preserve"> after frameworks</w:t>
            </w:r>
            <w:r w:rsidR="001451D2">
              <w:rPr>
                <w:lang w:eastAsia="ja-JP"/>
              </w:rPr>
              <w:t>.</w:t>
            </w:r>
          </w:p>
          <w:p w14:paraId="640A5A77" w14:textId="103A7B57" w:rsidR="00D31C62" w:rsidRDefault="00CB7F9A" w:rsidP="00BC75DE">
            <w:pPr>
              <w:pStyle w:val="TableText"/>
              <w:widowControl w:val="0"/>
              <w:rPr>
                <w:lang w:eastAsia="ja-JP"/>
              </w:rPr>
            </w:pPr>
            <w:r>
              <w:rPr>
                <w:lang w:eastAsia="ja-JP"/>
              </w:rPr>
              <w:t>In old 3.2</w:t>
            </w:r>
            <w:r w:rsidR="00D31C62" w:rsidRPr="00D31C62">
              <w:rPr>
                <w:lang w:eastAsia="ja-JP"/>
              </w:rPr>
              <w:t>(ii) add ‘</w:t>
            </w:r>
            <w:r w:rsidR="00D31C62" w:rsidRPr="00807218">
              <w:rPr>
                <w:i/>
                <w:lang w:eastAsia="ja-JP"/>
              </w:rPr>
              <w:t>to minimise impact</w:t>
            </w:r>
            <w:r w:rsidR="00D31C62" w:rsidRPr="00D31C62">
              <w:rPr>
                <w:lang w:eastAsia="ja-JP"/>
              </w:rPr>
              <w:t>’.</w:t>
            </w:r>
          </w:p>
          <w:p w14:paraId="7C3D83C2" w14:textId="45D1FAD1" w:rsidR="00D31C62" w:rsidRDefault="00D31C62" w:rsidP="00BC75DE">
            <w:pPr>
              <w:pStyle w:val="TableText"/>
              <w:widowControl w:val="0"/>
              <w:rPr>
                <w:lang w:eastAsia="ja-JP"/>
              </w:rPr>
            </w:pPr>
            <w:r w:rsidRPr="00D31C62">
              <w:rPr>
                <w:lang w:eastAsia="ja-JP"/>
              </w:rPr>
              <w:t>Include the following s</w:t>
            </w:r>
            <w:r w:rsidR="00BD4E42">
              <w:rPr>
                <w:lang w:eastAsia="ja-JP"/>
              </w:rPr>
              <w:t>implified objective for old 3.2</w:t>
            </w:r>
            <w:r w:rsidRPr="00D31C62">
              <w:rPr>
                <w:lang w:eastAsia="ja-JP"/>
              </w:rPr>
              <w:t>(iii</w:t>
            </w:r>
            <w:r w:rsidRPr="00807218">
              <w:rPr>
                <w:lang w:eastAsia="ja-JP"/>
              </w:rPr>
              <w:t>):</w:t>
            </w:r>
            <w:r w:rsidRPr="00807218">
              <w:rPr>
                <w:i/>
                <w:lang w:eastAsia="ja-JP"/>
              </w:rPr>
              <w:t xml:space="preserve"> ensure that, where appropriate, national significant pests and diseases already in Australia are contained, suppressed or otherwise managed by relevant landowners</w:t>
            </w:r>
            <w:r w:rsidRPr="00D31C62">
              <w:rPr>
                <w:lang w:eastAsia="ja-JP"/>
              </w:rPr>
              <w:t>.</w:t>
            </w:r>
          </w:p>
          <w:p w14:paraId="5EF4A555" w14:textId="1A808E04" w:rsidR="00FD4FAA" w:rsidRPr="00FD4FAA" w:rsidRDefault="00D31C62" w:rsidP="00BC75DE">
            <w:pPr>
              <w:pStyle w:val="TableText"/>
              <w:widowControl w:val="0"/>
              <w:rPr>
                <w:lang w:eastAsia="ja-JP"/>
              </w:rPr>
            </w:pPr>
            <w:r w:rsidRPr="00D31C62">
              <w:rPr>
                <w:lang w:eastAsia="ja-JP"/>
              </w:rPr>
              <w:t>Include the</w:t>
            </w:r>
            <w:r w:rsidR="00A96D66">
              <w:rPr>
                <w:lang w:eastAsia="ja-JP"/>
              </w:rPr>
              <w:t xml:space="preserve"> following new objective at 4.2</w:t>
            </w:r>
            <w:r w:rsidRPr="00D31C62">
              <w:rPr>
                <w:lang w:eastAsia="ja-JP"/>
              </w:rPr>
              <w:t xml:space="preserve">(iv): </w:t>
            </w:r>
            <w:r w:rsidRPr="00807218">
              <w:rPr>
                <w:i/>
                <w:lang w:eastAsia="ja-JP"/>
              </w:rPr>
              <w:t>enables market access, both domestic and international, and tourism appeal.</w:t>
            </w:r>
            <w:r w:rsidR="00FD4FAA" w:rsidRPr="00FD4FAA">
              <w:rPr>
                <w:lang w:eastAsia="ja-JP"/>
              </w:rPr>
              <w:tab/>
            </w:r>
          </w:p>
        </w:tc>
      </w:tr>
      <w:tr w:rsidR="00FD4FAA" w:rsidRPr="00FD4FAA" w14:paraId="143281E4" w14:textId="77777777" w:rsidTr="00807218">
        <w:tc>
          <w:tcPr>
            <w:tcW w:w="2689" w:type="dxa"/>
          </w:tcPr>
          <w:p w14:paraId="08141EB5" w14:textId="77777777" w:rsidR="00FD4FAA" w:rsidRPr="00FD4FAA" w:rsidRDefault="00D31C62" w:rsidP="00BC75DE">
            <w:pPr>
              <w:pStyle w:val="TableHeading"/>
              <w:keepNext w:val="0"/>
              <w:widowControl w:val="0"/>
              <w:rPr>
                <w:lang w:eastAsia="ja-JP"/>
              </w:rPr>
            </w:pPr>
            <w:r w:rsidRPr="00D31C62">
              <w:rPr>
                <w:lang w:eastAsia="ja-JP"/>
              </w:rPr>
              <w:t>5. System components</w:t>
            </w:r>
          </w:p>
        </w:tc>
        <w:tc>
          <w:tcPr>
            <w:tcW w:w="6371" w:type="dxa"/>
          </w:tcPr>
          <w:p w14:paraId="06EABA22" w14:textId="642C95F6" w:rsidR="00FD4FAA" w:rsidRDefault="00D31C62" w:rsidP="00BC75DE">
            <w:pPr>
              <w:pStyle w:val="TableText"/>
              <w:widowControl w:val="0"/>
              <w:rPr>
                <w:lang w:eastAsia="ja-JP"/>
              </w:rPr>
            </w:pPr>
            <w:r w:rsidRPr="00D31C62">
              <w:rPr>
                <w:lang w:eastAsia="ja-JP"/>
              </w:rPr>
              <w:t xml:space="preserve">Limit 5.1 to a short description of the components of the national biosecurity system, (currently a mix of components, features, principles, activities and outcomes). Include any key principles in 3. </w:t>
            </w:r>
            <w:r w:rsidR="001451D2">
              <w:rPr>
                <w:lang w:eastAsia="ja-JP"/>
              </w:rPr>
              <w:t>a</w:t>
            </w:r>
            <w:r w:rsidRPr="00D31C62">
              <w:rPr>
                <w:lang w:eastAsia="ja-JP"/>
              </w:rPr>
              <w:t>bove.</w:t>
            </w:r>
          </w:p>
          <w:p w14:paraId="75F35C8D" w14:textId="46A7FFE8" w:rsidR="00D31C62" w:rsidRPr="00FD4FAA" w:rsidRDefault="00D31C62" w:rsidP="00BC75DE">
            <w:pPr>
              <w:pStyle w:val="TableText"/>
              <w:widowControl w:val="0"/>
              <w:rPr>
                <w:lang w:eastAsia="ja-JP"/>
              </w:rPr>
            </w:pPr>
            <w:r w:rsidRPr="00D31C62">
              <w:rPr>
                <w:lang w:eastAsia="ja-JP"/>
              </w:rPr>
              <w:t xml:space="preserve">Include the following new component in 5.2: </w:t>
            </w:r>
            <w:r w:rsidRPr="00807218">
              <w:rPr>
                <w:i/>
                <w:lang w:eastAsia="ja-JP"/>
              </w:rPr>
              <w:t>Nationally agreed list of exotic priority pests and diseases (animal, plant and environmental)</w:t>
            </w:r>
            <w:r>
              <w:rPr>
                <w:lang w:eastAsia="ja-JP"/>
              </w:rPr>
              <w:t>.</w:t>
            </w:r>
          </w:p>
        </w:tc>
      </w:tr>
      <w:tr w:rsidR="00FD4FAA" w:rsidRPr="00FD4FAA" w14:paraId="58DC5164" w14:textId="77777777" w:rsidTr="00807218">
        <w:tc>
          <w:tcPr>
            <w:tcW w:w="2689" w:type="dxa"/>
          </w:tcPr>
          <w:p w14:paraId="70ADB442" w14:textId="77777777" w:rsidR="00FD4FAA" w:rsidRPr="00FD4FAA" w:rsidRDefault="00D31C62" w:rsidP="00BC75DE">
            <w:pPr>
              <w:pStyle w:val="TableHeading"/>
              <w:keepNext w:val="0"/>
              <w:widowControl w:val="0"/>
              <w:rPr>
                <w:lang w:eastAsia="ja-JP"/>
              </w:rPr>
            </w:pPr>
            <w:r w:rsidRPr="00D31C62">
              <w:rPr>
                <w:lang w:eastAsia="ja-JP"/>
              </w:rPr>
              <w:t>6. Strengthening System components</w:t>
            </w:r>
          </w:p>
        </w:tc>
        <w:tc>
          <w:tcPr>
            <w:tcW w:w="6371" w:type="dxa"/>
          </w:tcPr>
          <w:p w14:paraId="52E93D2A" w14:textId="02D61BF6" w:rsidR="00FD4FAA" w:rsidRPr="00FD4FAA" w:rsidRDefault="00D31C62" w:rsidP="00891EDF">
            <w:pPr>
              <w:pStyle w:val="TableText"/>
              <w:widowControl w:val="0"/>
              <w:rPr>
                <w:lang w:eastAsia="ja-JP"/>
              </w:rPr>
            </w:pPr>
            <w:r w:rsidRPr="00D31C62">
              <w:rPr>
                <w:lang w:eastAsia="ja-JP"/>
              </w:rPr>
              <w:t xml:space="preserve">Should simply read: </w:t>
            </w:r>
            <w:r w:rsidRPr="00807218">
              <w:rPr>
                <w:i/>
                <w:lang w:eastAsia="ja-JP"/>
              </w:rPr>
              <w:t>The Parties agree to further develop and continuously improve the national biosecurity system in accordance with the priority reform areas described in Schedule 1 of this Agreement, recognising that the rate of progress will be contingent on available resources</w:t>
            </w:r>
            <w:r w:rsidRPr="00D31C62">
              <w:rPr>
                <w:lang w:eastAsia="ja-JP"/>
              </w:rPr>
              <w:t>.</w:t>
            </w:r>
          </w:p>
        </w:tc>
      </w:tr>
      <w:tr w:rsidR="00FD4FAA" w:rsidRPr="00FD4FAA" w14:paraId="6DC08727" w14:textId="77777777" w:rsidTr="00807218">
        <w:tc>
          <w:tcPr>
            <w:tcW w:w="2689" w:type="dxa"/>
          </w:tcPr>
          <w:p w14:paraId="172B6111" w14:textId="77777777" w:rsidR="00FD4FAA" w:rsidRPr="00FD4FAA" w:rsidRDefault="00D31C62" w:rsidP="00BC75DE">
            <w:pPr>
              <w:pStyle w:val="TableHeading"/>
              <w:keepNext w:val="0"/>
              <w:widowControl w:val="0"/>
              <w:rPr>
                <w:lang w:eastAsia="ja-JP"/>
              </w:rPr>
            </w:pPr>
            <w:r w:rsidRPr="00D31C62">
              <w:rPr>
                <w:lang w:eastAsia="ja-JP"/>
              </w:rPr>
              <w:t>7. Strengthening the working partnership</w:t>
            </w:r>
          </w:p>
        </w:tc>
        <w:tc>
          <w:tcPr>
            <w:tcW w:w="6371" w:type="dxa"/>
          </w:tcPr>
          <w:p w14:paraId="763786B0" w14:textId="65795CCD" w:rsidR="00FD4FAA" w:rsidRDefault="00D31C62" w:rsidP="00BC75DE">
            <w:pPr>
              <w:pStyle w:val="TableText"/>
              <w:widowControl w:val="0"/>
              <w:rPr>
                <w:lang w:eastAsia="ja-JP"/>
              </w:rPr>
            </w:pPr>
            <w:r w:rsidRPr="00D31C62">
              <w:rPr>
                <w:lang w:eastAsia="ja-JP"/>
              </w:rPr>
              <w:t xml:space="preserve">7.2 should read: </w:t>
            </w:r>
            <w:r w:rsidRPr="00807218">
              <w:rPr>
                <w:i/>
                <w:lang w:eastAsia="ja-JP"/>
              </w:rPr>
              <w:t>The foundation of institutional relationships and arrangements between governments and the agricultural sector is already well developed.</w:t>
            </w:r>
            <w:r w:rsidR="00615B8C">
              <w:rPr>
                <w:i/>
                <w:lang w:eastAsia="ja-JP"/>
              </w:rPr>
              <w:t xml:space="preserve"> </w:t>
            </w:r>
            <w:r w:rsidRPr="00807218">
              <w:rPr>
                <w:i/>
                <w:lang w:eastAsia="ja-JP"/>
              </w:rPr>
              <w:t>This Agreement and activities under the priority reform areas will build on these and strengthen arrangements with the broader community</w:t>
            </w:r>
            <w:r w:rsidRPr="00D31C62">
              <w:rPr>
                <w:lang w:eastAsia="ja-JP"/>
              </w:rPr>
              <w:t>.</w:t>
            </w:r>
          </w:p>
          <w:p w14:paraId="554FE428" w14:textId="187E43A2" w:rsidR="001451D2" w:rsidRDefault="00D31C62" w:rsidP="00BC75DE">
            <w:pPr>
              <w:pStyle w:val="TableText"/>
              <w:widowControl w:val="0"/>
              <w:rPr>
                <w:lang w:eastAsia="ja-JP"/>
              </w:rPr>
            </w:pPr>
            <w:r w:rsidRPr="00D31C62">
              <w:rPr>
                <w:lang w:eastAsia="ja-JP"/>
              </w:rPr>
              <w:t>7.3</w:t>
            </w:r>
            <w:r w:rsidR="00202C10">
              <w:rPr>
                <w:lang w:eastAsia="ja-JP"/>
              </w:rPr>
              <w:t>–</w:t>
            </w:r>
            <w:r w:rsidRPr="00D31C62">
              <w:rPr>
                <w:lang w:eastAsia="ja-JP"/>
              </w:rPr>
              <w:t>7.5 concerning national</w:t>
            </w:r>
            <w:r w:rsidR="001451D2">
              <w:rPr>
                <w:lang w:eastAsia="ja-JP"/>
              </w:rPr>
              <w:t xml:space="preserve"> appointments are now redundant.</w:t>
            </w:r>
          </w:p>
          <w:p w14:paraId="1AE12459" w14:textId="711D9F89" w:rsidR="00D31C62" w:rsidRDefault="00D31C62" w:rsidP="00BC75DE">
            <w:pPr>
              <w:pStyle w:val="TableText"/>
              <w:widowControl w:val="0"/>
              <w:rPr>
                <w:lang w:eastAsia="ja-JP"/>
              </w:rPr>
            </w:pPr>
            <w:r w:rsidRPr="00D31C62">
              <w:rPr>
                <w:lang w:eastAsia="ja-JP"/>
              </w:rPr>
              <w:lastRenderedPageBreak/>
              <w:t>International responsibilities should include Australia’s commitment to the Con</w:t>
            </w:r>
            <w:r w:rsidR="001451D2">
              <w:rPr>
                <w:lang w:eastAsia="ja-JP"/>
              </w:rPr>
              <w:t>vention on Biological Diversity.</w:t>
            </w:r>
          </w:p>
          <w:p w14:paraId="4A3C1E08" w14:textId="04AB56C9" w:rsidR="00D31C62" w:rsidRDefault="00D31C62" w:rsidP="00BC75DE">
            <w:pPr>
              <w:pStyle w:val="TableText"/>
              <w:widowControl w:val="0"/>
              <w:rPr>
                <w:lang w:eastAsia="ja-JP"/>
              </w:rPr>
            </w:pPr>
            <w:r w:rsidRPr="00D31C62">
              <w:rPr>
                <w:lang w:eastAsia="ja-JP"/>
              </w:rPr>
              <w:t>7.13 should refer to the PITMATD as the vehicle for state/territory consultation.</w:t>
            </w:r>
          </w:p>
          <w:p w14:paraId="7F58FF7B" w14:textId="77777777" w:rsidR="00D31C62" w:rsidRDefault="00D31C62" w:rsidP="00BC75DE">
            <w:pPr>
              <w:pStyle w:val="TableText"/>
              <w:widowControl w:val="0"/>
              <w:rPr>
                <w:lang w:eastAsia="ja-JP"/>
              </w:rPr>
            </w:pPr>
            <w:r w:rsidRPr="00D31C62">
              <w:rPr>
                <w:lang w:eastAsia="ja-JP"/>
              </w:rPr>
              <w:t>7.18</w:t>
            </w:r>
            <w:r w:rsidR="00202C10">
              <w:rPr>
                <w:lang w:eastAsia="ja-JP"/>
              </w:rPr>
              <w:t>–</w:t>
            </w:r>
            <w:r w:rsidRPr="00D31C62">
              <w:rPr>
                <w:lang w:eastAsia="ja-JP"/>
              </w:rPr>
              <w:t>7.19 should be replaced with the dispute resolution mechanism approved by agriculture ministers in 2010.</w:t>
            </w:r>
          </w:p>
          <w:p w14:paraId="144E0513" w14:textId="77777777" w:rsidR="00D31C62" w:rsidRDefault="00D31C62" w:rsidP="00BC75DE">
            <w:pPr>
              <w:pStyle w:val="TableText"/>
              <w:widowControl w:val="0"/>
              <w:rPr>
                <w:lang w:eastAsia="ja-JP"/>
              </w:rPr>
            </w:pPr>
            <w:r w:rsidRPr="00D31C62">
              <w:rPr>
                <w:lang w:eastAsia="ja-JP"/>
              </w:rPr>
              <w:t>Should include a section on ‘Core Commitments’ articulating:</w:t>
            </w:r>
          </w:p>
          <w:p w14:paraId="10257941" w14:textId="77777777" w:rsidR="00D31C62" w:rsidRDefault="00D31C62" w:rsidP="00BC75DE">
            <w:pPr>
              <w:pStyle w:val="TableBullet"/>
              <w:widowControl w:val="0"/>
              <w:rPr>
                <w:lang w:eastAsia="ja-JP"/>
              </w:rPr>
            </w:pPr>
            <w:r w:rsidRPr="00D31C62">
              <w:rPr>
                <w:lang w:eastAsia="ja-JP"/>
              </w:rPr>
              <w:t>the roles and responsibilities of jurisdictions, including implementation of the IGAB, for which they undertake to be accountable</w:t>
            </w:r>
          </w:p>
          <w:p w14:paraId="08A973CE" w14:textId="77777777" w:rsidR="00D31C62" w:rsidRDefault="00D31C62" w:rsidP="00BC75DE">
            <w:pPr>
              <w:pStyle w:val="TableBullet"/>
              <w:widowControl w:val="0"/>
              <w:rPr>
                <w:lang w:eastAsia="ja-JP"/>
              </w:rPr>
            </w:pPr>
            <w:r w:rsidRPr="00D31C62">
              <w:rPr>
                <w:lang w:eastAsia="ja-JP"/>
              </w:rPr>
              <w:t>a commitment to support financially, decisions agreed to under animal, plant, and environment emergency response deeds</w:t>
            </w:r>
          </w:p>
          <w:p w14:paraId="67CC5A5C" w14:textId="77777777" w:rsidR="00D31C62" w:rsidRDefault="00D31C62" w:rsidP="00BC75DE">
            <w:pPr>
              <w:pStyle w:val="TableBullet"/>
              <w:widowControl w:val="0"/>
              <w:rPr>
                <w:lang w:eastAsia="ja-JP"/>
              </w:rPr>
            </w:pPr>
            <w:r w:rsidRPr="00D31C62">
              <w:rPr>
                <w:lang w:eastAsia="ja-JP"/>
              </w:rPr>
              <w:t>a commitment to data and knowledge sharing between jurisdictions</w:t>
            </w:r>
          </w:p>
          <w:p w14:paraId="25B361ED" w14:textId="77777777" w:rsidR="00D31C62" w:rsidRPr="00FD4FAA" w:rsidRDefault="00D31C62" w:rsidP="00BC75DE">
            <w:pPr>
              <w:pStyle w:val="TableBullet"/>
              <w:widowControl w:val="0"/>
              <w:rPr>
                <w:lang w:eastAsia="ja-JP"/>
              </w:rPr>
            </w:pPr>
            <w:r w:rsidRPr="00D31C62">
              <w:rPr>
                <w:lang w:eastAsia="ja-JP"/>
              </w:rPr>
              <w:t>a commitment to ongoing stakeholder engagement and communication, with activities scrutinised as part of jurisdictional evaluations under the IGAB.</w:t>
            </w:r>
          </w:p>
        </w:tc>
      </w:tr>
      <w:tr w:rsidR="00FD4FAA" w:rsidRPr="00FD4FAA" w14:paraId="5CE8615B" w14:textId="77777777" w:rsidTr="00807218">
        <w:tc>
          <w:tcPr>
            <w:tcW w:w="2689" w:type="dxa"/>
          </w:tcPr>
          <w:p w14:paraId="0E0DDD01" w14:textId="77777777" w:rsidR="00FD4FAA" w:rsidRPr="00FD4FAA" w:rsidRDefault="00D31C62" w:rsidP="00BC75DE">
            <w:pPr>
              <w:pStyle w:val="TableHeading"/>
              <w:keepNext w:val="0"/>
              <w:widowControl w:val="0"/>
              <w:rPr>
                <w:lang w:eastAsia="ja-JP"/>
              </w:rPr>
            </w:pPr>
            <w:r w:rsidRPr="00D31C62">
              <w:rPr>
                <w:lang w:eastAsia="ja-JP"/>
              </w:rPr>
              <w:lastRenderedPageBreak/>
              <w:t>8. Implementing the Agreement</w:t>
            </w:r>
          </w:p>
        </w:tc>
        <w:tc>
          <w:tcPr>
            <w:tcW w:w="6371" w:type="dxa"/>
          </w:tcPr>
          <w:p w14:paraId="44E43053" w14:textId="4E5B1B2D" w:rsidR="00FD4FAA" w:rsidRDefault="00D31C62" w:rsidP="00BC75DE">
            <w:pPr>
              <w:pStyle w:val="TableText"/>
              <w:widowControl w:val="0"/>
              <w:rPr>
                <w:lang w:eastAsia="ja-JP"/>
              </w:rPr>
            </w:pPr>
            <w:r w:rsidRPr="00D31C62">
              <w:rPr>
                <w:lang w:eastAsia="ja-JP"/>
              </w:rPr>
              <w:t xml:space="preserve">Should succinctly outline governance arrangements and responsibilities for implementation and administration by AGMIN, AGSOC and </w:t>
            </w:r>
            <w:r w:rsidR="00807740">
              <w:rPr>
                <w:lang w:eastAsia="ja-JP"/>
              </w:rPr>
              <w:t xml:space="preserve">the </w:t>
            </w:r>
            <w:r w:rsidRPr="00D31C62">
              <w:rPr>
                <w:lang w:eastAsia="ja-JP"/>
              </w:rPr>
              <w:t>NBC.</w:t>
            </w:r>
          </w:p>
          <w:p w14:paraId="011ECC81" w14:textId="77777777" w:rsidR="00D31C62" w:rsidRDefault="00D31C62" w:rsidP="00BC75DE">
            <w:pPr>
              <w:pStyle w:val="TableText"/>
              <w:widowControl w:val="0"/>
              <w:rPr>
                <w:lang w:eastAsia="ja-JP"/>
              </w:rPr>
            </w:pPr>
            <w:r w:rsidRPr="00D31C62">
              <w:rPr>
                <w:lang w:eastAsia="ja-JP"/>
              </w:rPr>
              <w:t>Should formally create</w:t>
            </w:r>
            <w:r w:rsidR="004013C2">
              <w:rPr>
                <w:lang w:eastAsia="ja-JP"/>
              </w:rPr>
              <w:t xml:space="preserve"> the</w:t>
            </w:r>
            <w:r w:rsidRPr="00D31C62">
              <w:rPr>
                <w:lang w:eastAsia="ja-JP"/>
              </w:rPr>
              <w:t xml:space="preserve"> NBC and include its terms of reference as a Schedule.</w:t>
            </w:r>
          </w:p>
          <w:p w14:paraId="15981701" w14:textId="77777777" w:rsidR="00D31C62" w:rsidRDefault="00D31C62" w:rsidP="00BC75DE">
            <w:pPr>
              <w:pStyle w:val="TableText"/>
              <w:widowControl w:val="0"/>
              <w:rPr>
                <w:lang w:eastAsia="ja-JP"/>
              </w:rPr>
            </w:pPr>
            <w:r w:rsidRPr="00D31C62">
              <w:rPr>
                <w:lang w:eastAsia="ja-JP"/>
              </w:rPr>
              <w:t>8.1</w:t>
            </w:r>
            <w:r w:rsidR="00202C10">
              <w:rPr>
                <w:lang w:eastAsia="ja-JP"/>
              </w:rPr>
              <w:t>–</w:t>
            </w:r>
            <w:r w:rsidRPr="00D31C62">
              <w:rPr>
                <w:lang w:eastAsia="ja-JP"/>
              </w:rPr>
              <w:t>8.2 should identify ‘lead’ and ‘supporting’ biosecurity ministers and agencies and require formal mechanisms between agencies to define the relationship, roles and responsibilities, information flows, deliverables and resources.</w:t>
            </w:r>
          </w:p>
          <w:p w14:paraId="06B7464D" w14:textId="697A3D0E" w:rsidR="00D31C62" w:rsidRDefault="00615B8C" w:rsidP="00BC75DE">
            <w:pPr>
              <w:pStyle w:val="TableText"/>
              <w:widowControl w:val="0"/>
              <w:rPr>
                <w:lang w:eastAsia="ja-JP"/>
              </w:rPr>
            </w:pPr>
            <w:r>
              <w:rPr>
                <w:lang w:eastAsia="ja-JP"/>
              </w:rPr>
              <w:t xml:space="preserve">8.3 Should state: </w:t>
            </w:r>
            <w:r w:rsidR="00D31C62" w:rsidRPr="00807218">
              <w:rPr>
                <w:i/>
                <w:lang w:eastAsia="ja-JP"/>
              </w:rPr>
              <w:t>This agreement will commence operation on the date it is signed</w:t>
            </w:r>
            <w:r w:rsidR="00D31C62" w:rsidRPr="00D31C62">
              <w:rPr>
                <w:lang w:eastAsia="ja-JP"/>
              </w:rPr>
              <w:t>.</w:t>
            </w:r>
          </w:p>
          <w:p w14:paraId="4010BB25" w14:textId="77777777" w:rsidR="00D31C62" w:rsidRPr="00FD4FAA" w:rsidRDefault="00D31C62" w:rsidP="00BC75DE">
            <w:pPr>
              <w:pStyle w:val="TableText"/>
              <w:widowControl w:val="0"/>
              <w:rPr>
                <w:lang w:eastAsia="ja-JP"/>
              </w:rPr>
            </w:pPr>
            <w:r w:rsidRPr="00D31C62">
              <w:rPr>
                <w:lang w:eastAsia="ja-JP"/>
              </w:rPr>
              <w:t>Should succinctly outline the procedure for including new and amending existing IGAB clauses.</w:t>
            </w:r>
          </w:p>
        </w:tc>
      </w:tr>
      <w:tr w:rsidR="00FD4FAA" w:rsidRPr="00FD4FAA" w14:paraId="6DD79CC6" w14:textId="77777777" w:rsidTr="00807218">
        <w:tc>
          <w:tcPr>
            <w:tcW w:w="2689" w:type="dxa"/>
          </w:tcPr>
          <w:p w14:paraId="59EBB939" w14:textId="77777777" w:rsidR="00FD4FAA" w:rsidRPr="00FD4FAA" w:rsidRDefault="00D31C62" w:rsidP="00BC75DE">
            <w:pPr>
              <w:pStyle w:val="TableHeading"/>
              <w:keepNext w:val="0"/>
              <w:widowControl w:val="0"/>
              <w:rPr>
                <w:lang w:eastAsia="ja-JP"/>
              </w:rPr>
            </w:pPr>
            <w:r w:rsidRPr="00D31C62">
              <w:rPr>
                <w:lang w:eastAsia="ja-JP"/>
              </w:rPr>
              <w:t>9. (new) Performance and Reporting</w:t>
            </w:r>
          </w:p>
        </w:tc>
        <w:tc>
          <w:tcPr>
            <w:tcW w:w="6371" w:type="dxa"/>
          </w:tcPr>
          <w:p w14:paraId="432D9F64" w14:textId="77777777" w:rsidR="00FD4FAA" w:rsidRDefault="00D31C62" w:rsidP="00BC75DE">
            <w:pPr>
              <w:pStyle w:val="TableText"/>
              <w:widowControl w:val="0"/>
              <w:rPr>
                <w:lang w:eastAsia="ja-JP"/>
              </w:rPr>
            </w:pPr>
            <w:r w:rsidRPr="00D31C62">
              <w:rPr>
                <w:lang w:eastAsia="ja-JP"/>
              </w:rPr>
              <w:t>Should include and authorise the following:</w:t>
            </w:r>
          </w:p>
          <w:p w14:paraId="48489772" w14:textId="4DB646F6" w:rsidR="00D31C62" w:rsidRDefault="00D31C62" w:rsidP="00BC75DE">
            <w:pPr>
              <w:pStyle w:val="TableText"/>
              <w:widowControl w:val="0"/>
              <w:rPr>
                <w:lang w:eastAsia="ja-JP"/>
              </w:rPr>
            </w:pPr>
            <w:r w:rsidRPr="00D31C62">
              <w:rPr>
                <w:lang w:eastAsia="ja-JP"/>
              </w:rPr>
              <w:t>1.</w:t>
            </w:r>
            <w:r w:rsidR="00807218">
              <w:rPr>
                <w:lang w:eastAsia="ja-JP"/>
              </w:rPr>
              <w:t xml:space="preserve"> </w:t>
            </w:r>
            <w:r w:rsidRPr="00D31C62">
              <w:rPr>
                <w:lang w:eastAsia="ja-JP"/>
              </w:rPr>
              <w:t>Annual reporting to ministers on implementation of the IGAB priority reform areas, to be made public</w:t>
            </w:r>
            <w:r w:rsidR="00402D24">
              <w:rPr>
                <w:lang w:eastAsia="ja-JP"/>
              </w:rPr>
              <w:t xml:space="preserve"> upon ministerial consideration</w:t>
            </w:r>
            <w:r w:rsidRPr="00D31C62">
              <w:rPr>
                <w:lang w:eastAsia="ja-JP"/>
              </w:rPr>
              <w:t>.</w:t>
            </w:r>
          </w:p>
          <w:p w14:paraId="23E6BB45" w14:textId="7F241838" w:rsidR="00D31C62" w:rsidRDefault="00D31C62" w:rsidP="00BC75DE">
            <w:pPr>
              <w:pStyle w:val="TableText"/>
              <w:widowControl w:val="0"/>
              <w:rPr>
                <w:lang w:eastAsia="ja-JP"/>
              </w:rPr>
            </w:pPr>
            <w:r w:rsidRPr="00D31C62">
              <w:rPr>
                <w:lang w:eastAsia="ja-JP"/>
              </w:rPr>
              <w:t>2.</w:t>
            </w:r>
            <w:r w:rsidR="00807218">
              <w:rPr>
                <w:lang w:eastAsia="ja-JP"/>
              </w:rPr>
              <w:t xml:space="preserve"> </w:t>
            </w:r>
            <w:r w:rsidRPr="00D31C62">
              <w:rPr>
                <w:lang w:eastAsia="ja-JP"/>
              </w:rPr>
              <w:t>Establishment of a program of evaluation</w:t>
            </w:r>
            <w:r w:rsidR="00E85DA4">
              <w:rPr>
                <w:lang w:eastAsia="ja-JP"/>
              </w:rPr>
              <w:t xml:space="preserve">s to </w:t>
            </w:r>
            <w:r w:rsidR="00D102A2">
              <w:rPr>
                <w:lang w:eastAsia="ja-JP"/>
              </w:rPr>
              <w:t>assess</w:t>
            </w:r>
            <w:r w:rsidR="00E85DA4">
              <w:rPr>
                <w:lang w:eastAsia="ja-JP"/>
              </w:rPr>
              <w:t xml:space="preserve"> and report </w:t>
            </w:r>
            <w:r w:rsidRPr="00D31C62">
              <w:rPr>
                <w:lang w:eastAsia="ja-JP"/>
              </w:rPr>
              <w:t>on implementation of jurisdicti</w:t>
            </w:r>
            <w:r w:rsidR="00A031BF">
              <w:rPr>
                <w:lang w:eastAsia="ja-JP"/>
              </w:rPr>
              <w:t>ons’ commitments under the IGAB, to be made public following ministerial consideration.</w:t>
            </w:r>
          </w:p>
          <w:p w14:paraId="65AB0B26" w14:textId="77777777" w:rsidR="00D31C62" w:rsidRPr="00FD4FAA" w:rsidRDefault="00D31C62" w:rsidP="00BC75DE">
            <w:pPr>
              <w:pStyle w:val="TableText"/>
              <w:widowControl w:val="0"/>
              <w:rPr>
                <w:lang w:eastAsia="ja-JP"/>
              </w:rPr>
            </w:pPr>
            <w:r w:rsidRPr="00D31C62">
              <w:rPr>
                <w:lang w:eastAsia="ja-JP"/>
              </w:rPr>
              <w:t>3.</w:t>
            </w:r>
            <w:r w:rsidR="00807218">
              <w:rPr>
                <w:lang w:eastAsia="ja-JP"/>
              </w:rPr>
              <w:t xml:space="preserve"> </w:t>
            </w:r>
            <w:r w:rsidRPr="00D31C62">
              <w:rPr>
                <w:lang w:eastAsia="ja-JP"/>
              </w:rPr>
              <w:t>A periodic, independent assessment of the effectiveness of IGAB (drawing on 1 and 2 above), to be made public.</w:t>
            </w:r>
          </w:p>
        </w:tc>
      </w:tr>
      <w:tr w:rsidR="00FD4FAA" w:rsidRPr="00FD4FAA" w14:paraId="190EB979" w14:textId="77777777" w:rsidTr="00807218">
        <w:tc>
          <w:tcPr>
            <w:tcW w:w="2689" w:type="dxa"/>
          </w:tcPr>
          <w:p w14:paraId="03A64E52" w14:textId="111B3254" w:rsidR="00FD4FAA" w:rsidRPr="00FD4FAA" w:rsidRDefault="0081484D" w:rsidP="00BC75DE">
            <w:pPr>
              <w:pStyle w:val="TableHeading"/>
              <w:keepNext w:val="0"/>
              <w:widowControl w:val="0"/>
              <w:rPr>
                <w:lang w:eastAsia="ja-JP"/>
              </w:rPr>
            </w:pPr>
            <w:r w:rsidRPr="0081484D">
              <w:rPr>
                <w:lang w:eastAsia="ja-JP"/>
              </w:rPr>
              <w:t>Schedules</w:t>
            </w:r>
          </w:p>
        </w:tc>
        <w:tc>
          <w:tcPr>
            <w:tcW w:w="6371" w:type="dxa"/>
          </w:tcPr>
          <w:p w14:paraId="1E1752F8" w14:textId="77777777" w:rsidR="0081484D" w:rsidRDefault="0081484D" w:rsidP="00BC75DE">
            <w:pPr>
              <w:pStyle w:val="TableText"/>
              <w:widowControl w:val="0"/>
              <w:rPr>
                <w:lang w:eastAsia="ja-JP"/>
              </w:rPr>
            </w:pPr>
            <w:r w:rsidRPr="0081484D">
              <w:rPr>
                <w:lang w:eastAsia="ja-JP"/>
              </w:rPr>
              <w:t>Should include four schedules only:</w:t>
            </w:r>
          </w:p>
          <w:p w14:paraId="7FD6A9E4" w14:textId="77777777" w:rsidR="0081484D" w:rsidRDefault="0081484D" w:rsidP="00BC75DE">
            <w:pPr>
              <w:pStyle w:val="TableText"/>
              <w:widowControl w:val="0"/>
              <w:rPr>
                <w:lang w:eastAsia="ja-JP"/>
              </w:rPr>
            </w:pPr>
            <w:r w:rsidRPr="0081484D">
              <w:rPr>
                <w:lang w:eastAsia="ja-JP"/>
              </w:rPr>
              <w:t>1.</w:t>
            </w:r>
            <w:r w:rsidR="00807218">
              <w:rPr>
                <w:lang w:eastAsia="ja-JP"/>
              </w:rPr>
              <w:t xml:space="preserve"> </w:t>
            </w:r>
            <w:r w:rsidR="004013C2">
              <w:rPr>
                <w:lang w:eastAsia="ja-JP"/>
              </w:rPr>
              <w:t xml:space="preserve">The </w:t>
            </w:r>
            <w:r w:rsidRPr="0081484D">
              <w:rPr>
                <w:lang w:eastAsia="ja-JP"/>
              </w:rPr>
              <w:t>IGAB Priority Reform Areas</w:t>
            </w:r>
            <w:r w:rsidR="004013C2">
              <w:rPr>
                <w:lang w:eastAsia="ja-JP"/>
              </w:rPr>
              <w:t>.</w:t>
            </w:r>
          </w:p>
          <w:p w14:paraId="694079B3" w14:textId="77777777" w:rsidR="0081484D" w:rsidRDefault="0081484D" w:rsidP="00BC75DE">
            <w:pPr>
              <w:pStyle w:val="TableText"/>
              <w:widowControl w:val="0"/>
              <w:rPr>
                <w:lang w:eastAsia="ja-JP"/>
              </w:rPr>
            </w:pPr>
            <w:r w:rsidRPr="0081484D">
              <w:rPr>
                <w:lang w:eastAsia="ja-JP"/>
              </w:rPr>
              <w:t>2.</w:t>
            </w:r>
            <w:r w:rsidR="00807218">
              <w:rPr>
                <w:lang w:eastAsia="ja-JP"/>
              </w:rPr>
              <w:t xml:space="preserve"> </w:t>
            </w:r>
            <w:r w:rsidR="004013C2">
              <w:rPr>
                <w:lang w:eastAsia="ja-JP"/>
              </w:rPr>
              <w:t xml:space="preserve">The </w:t>
            </w:r>
            <w:r w:rsidRPr="0081484D">
              <w:rPr>
                <w:lang w:eastAsia="ja-JP"/>
              </w:rPr>
              <w:t>NBC’s terms of reference</w:t>
            </w:r>
            <w:r w:rsidR="004013C2">
              <w:rPr>
                <w:lang w:eastAsia="ja-JP"/>
              </w:rPr>
              <w:t>.</w:t>
            </w:r>
          </w:p>
          <w:p w14:paraId="6989BB31" w14:textId="77777777" w:rsidR="0081484D" w:rsidRDefault="0081484D" w:rsidP="00BC75DE">
            <w:pPr>
              <w:pStyle w:val="TableText"/>
              <w:widowControl w:val="0"/>
              <w:rPr>
                <w:lang w:eastAsia="ja-JP"/>
              </w:rPr>
            </w:pPr>
            <w:r w:rsidRPr="0081484D">
              <w:rPr>
                <w:lang w:eastAsia="ja-JP"/>
              </w:rPr>
              <w:t>3.</w:t>
            </w:r>
            <w:r w:rsidR="00807218">
              <w:rPr>
                <w:lang w:eastAsia="ja-JP"/>
              </w:rPr>
              <w:t xml:space="preserve"> </w:t>
            </w:r>
            <w:r w:rsidR="004013C2">
              <w:rPr>
                <w:lang w:eastAsia="ja-JP"/>
              </w:rPr>
              <w:t>S</w:t>
            </w:r>
            <w:r w:rsidRPr="0081484D">
              <w:rPr>
                <w:lang w:eastAsia="ja-JP"/>
              </w:rPr>
              <w:t>implified glossary, inclusive of ‘shared responsibility’ and ‘national commitments’</w:t>
            </w:r>
            <w:r w:rsidR="004013C2">
              <w:rPr>
                <w:lang w:eastAsia="ja-JP"/>
              </w:rPr>
              <w:t>.</w:t>
            </w:r>
          </w:p>
          <w:p w14:paraId="02FF593A" w14:textId="63FB915D" w:rsidR="00FD4FAA" w:rsidRPr="00FD4FAA" w:rsidRDefault="0081484D" w:rsidP="00BC75DE">
            <w:pPr>
              <w:pStyle w:val="TableText"/>
              <w:widowControl w:val="0"/>
              <w:rPr>
                <w:lang w:eastAsia="ja-JP"/>
              </w:rPr>
            </w:pPr>
            <w:r w:rsidRPr="0081484D">
              <w:rPr>
                <w:lang w:eastAsia="ja-JP"/>
              </w:rPr>
              <w:t>4.</w:t>
            </w:r>
            <w:r w:rsidR="00807218">
              <w:rPr>
                <w:lang w:eastAsia="ja-JP"/>
              </w:rPr>
              <w:t xml:space="preserve"> </w:t>
            </w:r>
            <w:r w:rsidR="004013C2">
              <w:rPr>
                <w:lang w:eastAsia="ja-JP"/>
              </w:rPr>
              <w:t>A</w:t>
            </w:r>
            <w:r w:rsidRPr="0081484D">
              <w:rPr>
                <w:lang w:eastAsia="ja-JP"/>
              </w:rPr>
              <w:t xml:space="preserve"> list of the agreed national biosecurity frameworks/policies/procedures being used by the parties</w:t>
            </w:r>
            <w:r>
              <w:rPr>
                <w:lang w:eastAsia="ja-JP"/>
              </w:rPr>
              <w:t>.</w:t>
            </w:r>
          </w:p>
        </w:tc>
      </w:tr>
    </w:tbl>
    <w:p w14:paraId="64EE21A9" w14:textId="77777777" w:rsidR="00C230DE" w:rsidRPr="00C230DE" w:rsidRDefault="00C230DE" w:rsidP="00C230DE">
      <w:pPr>
        <w:rPr>
          <w:lang w:eastAsia="ja-JP"/>
        </w:rPr>
      </w:pPr>
    </w:p>
    <w:p w14:paraId="1E8E44E9" w14:textId="232587EF" w:rsidR="0003507A" w:rsidRDefault="0003507A" w:rsidP="00210276">
      <w:pPr>
        <w:pStyle w:val="Heading2"/>
        <w:numPr>
          <w:ilvl w:val="0"/>
          <w:numId w:val="0"/>
        </w:numPr>
        <w:ind w:left="709" w:hanging="709"/>
      </w:pPr>
      <w:bookmarkStart w:id="249" w:name="_Appendix_A:_Terms"/>
      <w:bookmarkStart w:id="250" w:name="_Toc469654765"/>
      <w:bookmarkEnd w:id="249"/>
      <w:r>
        <w:lastRenderedPageBreak/>
        <w:t>Appendix A:</w:t>
      </w:r>
      <w:r w:rsidR="00E258DE">
        <w:t xml:space="preserve"> </w:t>
      </w:r>
      <w:bookmarkEnd w:id="44"/>
      <w:r w:rsidR="00DA7B99">
        <w:t>Terms of r</w:t>
      </w:r>
      <w:r w:rsidR="00E05D8B">
        <w:t>eference</w:t>
      </w:r>
      <w:r w:rsidR="00807B87">
        <w:t xml:space="preserve"> </w:t>
      </w:r>
      <w:r w:rsidR="00CB0D60">
        <w:t xml:space="preserve">and links to the </w:t>
      </w:r>
      <w:r w:rsidR="00F67315">
        <w:t>r</w:t>
      </w:r>
      <w:r w:rsidR="00807B87">
        <w:t>eport</w:t>
      </w:r>
      <w:bookmarkEnd w:id="250"/>
    </w:p>
    <w:p w14:paraId="52F6636E" w14:textId="77777777" w:rsidR="00E05D8B" w:rsidRPr="00E05D8B" w:rsidRDefault="00E05D8B" w:rsidP="00E05D8B">
      <w:pPr>
        <w:rPr>
          <w:rStyle w:val="Strong"/>
          <w:lang w:eastAsia="ja-JP"/>
        </w:rPr>
      </w:pPr>
      <w:r w:rsidRPr="00E05D8B">
        <w:rPr>
          <w:rStyle w:val="Strong"/>
          <w:lang w:eastAsia="ja-JP"/>
        </w:rPr>
        <w:t>Purpose of the review</w:t>
      </w:r>
    </w:p>
    <w:p w14:paraId="5151430F" w14:textId="77777777" w:rsidR="00E05D8B" w:rsidRDefault="00E05D8B" w:rsidP="00E05D8B">
      <w:pPr>
        <w:rPr>
          <w:lang w:eastAsia="ja-JP"/>
        </w:rPr>
      </w:pPr>
      <w:r>
        <w:rPr>
          <w:lang w:eastAsia="ja-JP"/>
        </w:rPr>
        <w:t>The review will assess the capacity of the national biosecurity system to manage increased biosecurity risk associated with an increasingly complex global environment; and, identify where adjustments are needed to ensure the system is effective, efficient and flexible and continues to support market access for Australian produce, to minimise primary production costs and to support a healthy economy, environment and community.</w:t>
      </w:r>
    </w:p>
    <w:p w14:paraId="358676F5" w14:textId="77777777" w:rsidR="00E05D8B" w:rsidRDefault="00E05D8B" w:rsidP="00E05D8B">
      <w:pPr>
        <w:rPr>
          <w:lang w:eastAsia="ja-JP"/>
        </w:rPr>
      </w:pPr>
      <w:r>
        <w:rPr>
          <w:lang w:eastAsia="ja-JP"/>
        </w:rPr>
        <w:t>The review will also assess the implementation and effectiveness of the IGAB and its schedules, and report to Commonwealth, state and territory ministers responsible for biosecurity matters on findings and recommendations for amendments. The review will recommend if the purpose, goals and objectives, coverage, principles, key components and features of the IGAB are still relevant.</w:t>
      </w:r>
    </w:p>
    <w:p w14:paraId="028E6D0C" w14:textId="77777777" w:rsidR="00E05D8B" w:rsidRPr="00E05D8B" w:rsidRDefault="00E05D8B" w:rsidP="00E05D8B">
      <w:pPr>
        <w:rPr>
          <w:rStyle w:val="Strong"/>
          <w:lang w:eastAsia="ja-JP"/>
        </w:rPr>
      </w:pPr>
      <w:r w:rsidRPr="00E05D8B">
        <w:rPr>
          <w:rStyle w:val="Strong"/>
          <w:lang w:eastAsia="ja-JP"/>
        </w:rPr>
        <w:t>Scope of the review</w:t>
      </w:r>
    </w:p>
    <w:p w14:paraId="2CFA293F" w14:textId="77777777" w:rsidR="00E05D8B" w:rsidRDefault="00E05D8B" w:rsidP="00E05D8B">
      <w:pPr>
        <w:rPr>
          <w:lang w:eastAsia="ja-JP"/>
        </w:rPr>
      </w:pPr>
      <w:r>
        <w:rPr>
          <w:lang w:eastAsia="ja-JP"/>
        </w:rPr>
        <w:t>The IGAB review will consider and provide recommendations on the following terms of reference:</w:t>
      </w:r>
    </w:p>
    <w:p w14:paraId="140D1F19" w14:textId="77777777" w:rsidR="00E05D8B" w:rsidRDefault="00E05D8B" w:rsidP="00DB32D7">
      <w:pPr>
        <w:pStyle w:val="ListNumber"/>
        <w:numPr>
          <w:ilvl w:val="0"/>
          <w:numId w:val="29"/>
        </w:numPr>
        <w:rPr>
          <w:lang w:eastAsia="ja-JP"/>
        </w:rPr>
      </w:pPr>
      <w:r>
        <w:rPr>
          <w:lang w:eastAsia="ja-JP"/>
        </w:rPr>
        <w:t>The implementation and effectiveness of each section of the current agreement, progress against the priority reform areas outlined in schedules 2–8 and any requirements for revision of the schedules.</w:t>
      </w:r>
    </w:p>
    <w:p w14:paraId="566EB7F4" w14:textId="77777777" w:rsidR="00E05D8B" w:rsidRDefault="00E05D8B" w:rsidP="00DB32D7">
      <w:pPr>
        <w:pStyle w:val="ListNumber"/>
        <w:numPr>
          <w:ilvl w:val="0"/>
          <w:numId w:val="29"/>
        </w:numPr>
        <w:rPr>
          <w:lang w:eastAsia="ja-JP"/>
        </w:rPr>
      </w:pPr>
      <w:r>
        <w:rPr>
          <w:lang w:eastAsia="ja-JP"/>
        </w:rPr>
        <w:t>The suitability of the agreement to underpin the national biosecurity system into the future.</w:t>
      </w:r>
    </w:p>
    <w:p w14:paraId="7093FC7B" w14:textId="77777777" w:rsidR="00E05D8B" w:rsidRDefault="00E05D8B" w:rsidP="00DB32D7">
      <w:pPr>
        <w:pStyle w:val="ListNumber"/>
        <w:numPr>
          <w:ilvl w:val="0"/>
          <w:numId w:val="29"/>
        </w:numPr>
        <w:rPr>
          <w:lang w:eastAsia="ja-JP"/>
        </w:rPr>
      </w:pPr>
      <w:r>
        <w:rPr>
          <w:lang w:eastAsia="ja-JP"/>
        </w:rPr>
        <w:t>Current and likely future biosecurity risks and priorities, including the optimal allocation of resources and availability of required capability and capacity to address those risks and priorities, with particular consideration of risks that may impact Australia’s market access arrangements for agricultural products, and the use of innovation in the system.</w:t>
      </w:r>
    </w:p>
    <w:p w14:paraId="7849E9A6" w14:textId="77777777" w:rsidR="00E05D8B" w:rsidRDefault="00E05D8B" w:rsidP="00DB32D7">
      <w:pPr>
        <w:pStyle w:val="ListNumber"/>
        <w:numPr>
          <w:ilvl w:val="0"/>
          <w:numId w:val="29"/>
        </w:numPr>
        <w:rPr>
          <w:lang w:eastAsia="ja-JP"/>
        </w:rPr>
      </w:pPr>
      <w:r>
        <w:rPr>
          <w:lang w:eastAsia="ja-JP"/>
        </w:rPr>
        <w:t>The development of a national statement of intent for the biosecurity system, encompassing the entire biosecurity continuum, including economic and market access, environmental and social considerations for governments, industry and the community.</w:t>
      </w:r>
    </w:p>
    <w:p w14:paraId="469585F5" w14:textId="77777777" w:rsidR="00E05D8B" w:rsidRDefault="00E05D8B" w:rsidP="00DB32D7">
      <w:pPr>
        <w:pStyle w:val="ListNumber"/>
        <w:numPr>
          <w:ilvl w:val="0"/>
          <w:numId w:val="29"/>
        </w:numPr>
        <w:rPr>
          <w:lang w:eastAsia="ja-JP"/>
        </w:rPr>
      </w:pPr>
      <w:r>
        <w:rPr>
          <w:lang w:eastAsia="ja-JP"/>
        </w:rPr>
        <w:t>Defining roles and responsibilities of all parties in the national biosecurity system. This should include advice on how the concept of a shared biosecurity responsibility can be better understood and implemented across government, industry, environmental and community groups and individuals.</w:t>
      </w:r>
    </w:p>
    <w:p w14:paraId="7140DD32" w14:textId="77777777" w:rsidR="00E05D8B" w:rsidRDefault="00E05D8B" w:rsidP="00DB32D7">
      <w:pPr>
        <w:pStyle w:val="ListNumber"/>
        <w:numPr>
          <w:ilvl w:val="0"/>
          <w:numId w:val="29"/>
        </w:numPr>
        <w:rPr>
          <w:lang w:eastAsia="ja-JP"/>
        </w:rPr>
      </w:pPr>
      <w:r>
        <w:rPr>
          <w:lang w:eastAsia="ja-JP"/>
        </w:rPr>
        <w:t>The review of existing cost-sharing arrangements and the potential for implementation of new funding arrangements for all biosecurity activities. Consideration should be given to relevant National Biosecurity Committee projects including:</w:t>
      </w:r>
    </w:p>
    <w:p w14:paraId="6072B528" w14:textId="1A04F207" w:rsidR="00E05D8B" w:rsidRDefault="00D00AB3" w:rsidP="00DB32D7">
      <w:pPr>
        <w:pStyle w:val="ListNumber2"/>
        <w:numPr>
          <w:ilvl w:val="1"/>
          <w:numId w:val="29"/>
        </w:numPr>
        <w:rPr>
          <w:lang w:eastAsia="ja-JP"/>
        </w:rPr>
      </w:pPr>
      <w:r>
        <w:rPr>
          <w:lang w:eastAsia="ja-JP"/>
        </w:rPr>
        <w:t>t</w:t>
      </w:r>
      <w:r w:rsidR="00E05D8B">
        <w:rPr>
          <w:lang w:eastAsia="ja-JP"/>
        </w:rPr>
        <w:t>he National Framework for Cost Sharing Biosecurity Activities</w:t>
      </w:r>
    </w:p>
    <w:p w14:paraId="2B9CB23F" w14:textId="1C0CD402" w:rsidR="00E05D8B" w:rsidRDefault="00D00AB3" w:rsidP="00DB32D7">
      <w:pPr>
        <w:pStyle w:val="ListNumber2"/>
        <w:numPr>
          <w:ilvl w:val="1"/>
          <w:numId w:val="29"/>
        </w:numPr>
        <w:rPr>
          <w:lang w:eastAsia="ja-JP"/>
        </w:rPr>
      </w:pPr>
      <w:r>
        <w:rPr>
          <w:lang w:eastAsia="ja-JP"/>
        </w:rPr>
        <w:t>t</w:t>
      </w:r>
      <w:r w:rsidR="00E05D8B">
        <w:rPr>
          <w:lang w:eastAsia="ja-JP"/>
        </w:rPr>
        <w:t>he national portfolio investment optimisation model, and</w:t>
      </w:r>
    </w:p>
    <w:p w14:paraId="356EF840" w14:textId="09CB34E4" w:rsidR="00E05D8B" w:rsidRDefault="00D00AB3" w:rsidP="00DB32D7">
      <w:pPr>
        <w:pStyle w:val="ListNumber2"/>
        <w:numPr>
          <w:ilvl w:val="1"/>
          <w:numId w:val="29"/>
        </w:numPr>
        <w:rPr>
          <w:lang w:eastAsia="ja-JP"/>
        </w:rPr>
      </w:pPr>
      <w:r>
        <w:rPr>
          <w:lang w:eastAsia="ja-JP"/>
        </w:rPr>
        <w:lastRenderedPageBreak/>
        <w:t>t</w:t>
      </w:r>
      <w:r w:rsidR="00E05D8B">
        <w:rPr>
          <w:lang w:eastAsia="ja-JP"/>
        </w:rPr>
        <w:t>he national stocktake of biosecurity investment.</w:t>
      </w:r>
    </w:p>
    <w:p w14:paraId="7D366F29" w14:textId="77777777" w:rsidR="00E05D8B" w:rsidRDefault="00E05D8B" w:rsidP="00DB32D7">
      <w:pPr>
        <w:pStyle w:val="ListNumber"/>
        <w:numPr>
          <w:ilvl w:val="0"/>
          <w:numId w:val="29"/>
        </w:numPr>
        <w:rPr>
          <w:lang w:eastAsia="ja-JP"/>
        </w:rPr>
      </w:pPr>
      <w:r>
        <w:rPr>
          <w:lang w:eastAsia="ja-JP"/>
        </w:rPr>
        <w:t>The development of measurable indicators to assess whether the national system is achieving its objectives, and to identify where adjustments are needed. Consideration should be given to the availability of appropriate and consistent data.</w:t>
      </w:r>
    </w:p>
    <w:p w14:paraId="72F103D9" w14:textId="4659ACE0" w:rsidR="007B738A" w:rsidRPr="00590407" w:rsidRDefault="007B738A" w:rsidP="007B738A">
      <w:pPr>
        <w:pStyle w:val="Caption"/>
        <w:keepNext w:val="0"/>
        <w:widowControl w:val="0"/>
        <w:rPr>
          <w:sz w:val="22"/>
          <w:szCs w:val="22"/>
          <w:lang w:eastAsia="ja-JP"/>
        </w:rPr>
      </w:pPr>
      <w:r w:rsidRPr="00590407">
        <w:rPr>
          <w:sz w:val="22"/>
          <w:szCs w:val="22"/>
        </w:rPr>
        <w:t xml:space="preserve">Table </w:t>
      </w:r>
      <w:r w:rsidRPr="00590407">
        <w:rPr>
          <w:sz w:val="22"/>
          <w:szCs w:val="22"/>
        </w:rPr>
        <w:fldChar w:fldCharType="begin"/>
      </w:r>
      <w:r w:rsidRPr="00590407">
        <w:rPr>
          <w:sz w:val="22"/>
          <w:szCs w:val="22"/>
        </w:rPr>
        <w:instrText xml:space="preserve"> SEQ Table \* ARABIC </w:instrText>
      </w:r>
      <w:r w:rsidRPr="00590407">
        <w:rPr>
          <w:sz w:val="22"/>
          <w:szCs w:val="22"/>
        </w:rPr>
        <w:fldChar w:fldCharType="separate"/>
      </w:r>
      <w:r w:rsidR="008303E2">
        <w:rPr>
          <w:noProof/>
          <w:sz w:val="22"/>
          <w:szCs w:val="22"/>
        </w:rPr>
        <w:t>13</w:t>
      </w:r>
      <w:r w:rsidRPr="00590407">
        <w:rPr>
          <w:noProof/>
          <w:sz w:val="22"/>
          <w:szCs w:val="22"/>
        </w:rPr>
        <w:fldChar w:fldCharType="end"/>
      </w:r>
      <w:r w:rsidRPr="00590407">
        <w:rPr>
          <w:sz w:val="22"/>
          <w:szCs w:val="22"/>
        </w:rPr>
        <w:t xml:space="preserve">: Where </w:t>
      </w:r>
      <w:r w:rsidR="00143546" w:rsidRPr="00590407">
        <w:rPr>
          <w:sz w:val="22"/>
          <w:szCs w:val="22"/>
        </w:rPr>
        <w:t>this</w:t>
      </w:r>
      <w:r w:rsidRPr="00590407">
        <w:rPr>
          <w:sz w:val="22"/>
          <w:szCs w:val="22"/>
        </w:rPr>
        <w:t xml:space="preserve"> review’s terms of reference are addressed in the Draft Report</w:t>
      </w:r>
    </w:p>
    <w:tbl>
      <w:tblPr>
        <w:tblStyle w:val="TableGrid"/>
        <w:tblW w:w="850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379"/>
      </w:tblGrid>
      <w:tr w:rsidR="004C6E1A" w:rsidRPr="0098052D" w14:paraId="23611BDC" w14:textId="77777777" w:rsidTr="006F70C0">
        <w:trPr>
          <w:tblHeader/>
        </w:trPr>
        <w:tc>
          <w:tcPr>
            <w:tcW w:w="2127" w:type="dxa"/>
          </w:tcPr>
          <w:p w14:paraId="4902B68E" w14:textId="41D7EA4C" w:rsidR="004C6E1A" w:rsidRPr="006F70C0" w:rsidRDefault="004C6E1A" w:rsidP="00563216">
            <w:pPr>
              <w:pStyle w:val="TableHeading"/>
              <w:keepNext w:val="0"/>
              <w:widowControl w:val="0"/>
              <w:rPr>
                <w:sz w:val="22"/>
              </w:rPr>
            </w:pPr>
            <w:r w:rsidRPr="006F70C0">
              <w:rPr>
                <w:sz w:val="22"/>
              </w:rPr>
              <w:t>Term of reference</w:t>
            </w:r>
          </w:p>
        </w:tc>
        <w:tc>
          <w:tcPr>
            <w:tcW w:w="6379" w:type="dxa"/>
          </w:tcPr>
          <w:p w14:paraId="0822353D" w14:textId="1CF1E6A2" w:rsidR="004C6E1A" w:rsidRPr="006F70C0" w:rsidRDefault="00870360" w:rsidP="00870360">
            <w:pPr>
              <w:pStyle w:val="TableHeading"/>
              <w:keepNext w:val="0"/>
              <w:widowControl w:val="0"/>
              <w:rPr>
                <w:sz w:val="22"/>
              </w:rPr>
            </w:pPr>
            <w:r>
              <w:rPr>
                <w:sz w:val="22"/>
              </w:rPr>
              <w:t>Where a</w:t>
            </w:r>
            <w:r w:rsidR="004C6E1A" w:rsidRPr="006F70C0">
              <w:rPr>
                <w:sz w:val="22"/>
              </w:rPr>
              <w:t>ddressed</w:t>
            </w:r>
          </w:p>
        </w:tc>
      </w:tr>
      <w:tr w:rsidR="004C6E1A" w:rsidRPr="0098052D" w14:paraId="002A643F" w14:textId="77777777" w:rsidTr="006F70C0">
        <w:tc>
          <w:tcPr>
            <w:tcW w:w="2127" w:type="dxa"/>
          </w:tcPr>
          <w:p w14:paraId="374EB4E3" w14:textId="045696A1" w:rsidR="004C6E1A" w:rsidRPr="006F70C0" w:rsidRDefault="004C6E1A" w:rsidP="00C058A1">
            <w:pPr>
              <w:pStyle w:val="TableText"/>
              <w:rPr>
                <w:sz w:val="17"/>
                <w:szCs w:val="17"/>
              </w:rPr>
            </w:pPr>
            <w:r w:rsidRPr="006F70C0">
              <w:rPr>
                <w:sz w:val="17"/>
                <w:szCs w:val="17"/>
              </w:rPr>
              <w:t>1..</w:t>
            </w:r>
          </w:p>
        </w:tc>
        <w:tc>
          <w:tcPr>
            <w:tcW w:w="6379" w:type="dxa"/>
          </w:tcPr>
          <w:p w14:paraId="617E26CE" w14:textId="1AD05B11" w:rsidR="004C6E1A" w:rsidRPr="006F70C0" w:rsidRDefault="00C058A1" w:rsidP="0056569E">
            <w:pPr>
              <w:pStyle w:val="TableText"/>
              <w:widowControl w:val="0"/>
              <w:rPr>
                <w:sz w:val="17"/>
                <w:szCs w:val="17"/>
              </w:rPr>
            </w:pPr>
            <w:r w:rsidRPr="006F70C0">
              <w:rPr>
                <w:sz w:val="17"/>
                <w:szCs w:val="17"/>
              </w:rPr>
              <w:t xml:space="preserve">The 2012 IGAB: </w:t>
            </w:r>
            <w:r w:rsidR="004C6E1A" w:rsidRPr="006F70C0">
              <w:rPr>
                <w:sz w:val="17"/>
                <w:szCs w:val="17"/>
              </w:rPr>
              <w:t>1.</w:t>
            </w:r>
            <w:r w:rsidRPr="006F70C0">
              <w:rPr>
                <w:sz w:val="17"/>
                <w:szCs w:val="17"/>
              </w:rPr>
              <w:t>3</w:t>
            </w:r>
            <w:r w:rsidR="004C6E1A" w:rsidRPr="006F70C0">
              <w:rPr>
                <w:sz w:val="17"/>
                <w:szCs w:val="17"/>
              </w:rPr>
              <w:t xml:space="preserve"> </w:t>
            </w:r>
          </w:p>
          <w:p w14:paraId="3FA38B79" w14:textId="57D6D03F" w:rsidR="004C6E1A" w:rsidRPr="006F70C0" w:rsidRDefault="00C058A1" w:rsidP="00C058A1">
            <w:pPr>
              <w:pStyle w:val="TableText"/>
              <w:widowControl w:val="0"/>
              <w:rPr>
                <w:sz w:val="17"/>
                <w:szCs w:val="17"/>
              </w:rPr>
            </w:pPr>
            <w:r w:rsidRPr="006F70C0">
              <w:rPr>
                <w:sz w:val="17"/>
                <w:szCs w:val="17"/>
              </w:rPr>
              <w:t>A future IGAB: 10.2</w:t>
            </w:r>
          </w:p>
        </w:tc>
      </w:tr>
      <w:tr w:rsidR="004C6E1A" w:rsidRPr="0098052D" w14:paraId="6C5AC2F0" w14:textId="77777777" w:rsidTr="006F70C0">
        <w:tc>
          <w:tcPr>
            <w:tcW w:w="2127" w:type="dxa"/>
          </w:tcPr>
          <w:p w14:paraId="75547CB5" w14:textId="5939575E" w:rsidR="004C6E1A" w:rsidRPr="006F70C0" w:rsidRDefault="00C058A1" w:rsidP="00C058A1">
            <w:pPr>
              <w:pStyle w:val="TableText"/>
              <w:rPr>
                <w:sz w:val="17"/>
                <w:szCs w:val="17"/>
              </w:rPr>
            </w:pPr>
            <w:r w:rsidRPr="006F70C0">
              <w:rPr>
                <w:sz w:val="17"/>
                <w:szCs w:val="17"/>
              </w:rPr>
              <w:t>2.</w:t>
            </w:r>
          </w:p>
        </w:tc>
        <w:tc>
          <w:tcPr>
            <w:tcW w:w="6379" w:type="dxa"/>
          </w:tcPr>
          <w:p w14:paraId="454111F5" w14:textId="3B38F4DA" w:rsidR="004C6E1A" w:rsidRPr="006F70C0" w:rsidRDefault="004C6E1A" w:rsidP="00C058A1">
            <w:pPr>
              <w:pStyle w:val="TableText"/>
              <w:widowControl w:val="0"/>
              <w:rPr>
                <w:sz w:val="17"/>
                <w:szCs w:val="17"/>
              </w:rPr>
            </w:pPr>
            <w:r w:rsidRPr="006F70C0">
              <w:rPr>
                <w:sz w:val="17"/>
                <w:szCs w:val="17"/>
              </w:rPr>
              <w:t>Suitability of the IGAB</w:t>
            </w:r>
            <w:r w:rsidR="00C058A1" w:rsidRPr="006F70C0">
              <w:rPr>
                <w:sz w:val="17"/>
                <w:szCs w:val="17"/>
              </w:rPr>
              <w:t>:</w:t>
            </w:r>
            <w:r w:rsidRPr="006F70C0">
              <w:rPr>
                <w:sz w:val="17"/>
                <w:szCs w:val="17"/>
              </w:rPr>
              <w:t xml:space="preserve"> 10.2</w:t>
            </w:r>
          </w:p>
        </w:tc>
      </w:tr>
      <w:tr w:rsidR="004C6E1A" w:rsidRPr="0098052D" w14:paraId="7E381BC8" w14:textId="77777777" w:rsidTr="006F70C0">
        <w:tc>
          <w:tcPr>
            <w:tcW w:w="2127" w:type="dxa"/>
          </w:tcPr>
          <w:p w14:paraId="70F55058" w14:textId="10B33FE9" w:rsidR="004C6E1A" w:rsidRPr="006F70C0" w:rsidRDefault="004C6E1A" w:rsidP="00C058A1">
            <w:pPr>
              <w:pStyle w:val="TableText"/>
              <w:rPr>
                <w:sz w:val="17"/>
                <w:szCs w:val="17"/>
              </w:rPr>
            </w:pPr>
            <w:r w:rsidRPr="006F70C0">
              <w:rPr>
                <w:sz w:val="17"/>
                <w:szCs w:val="17"/>
              </w:rPr>
              <w:t xml:space="preserve">3. </w:t>
            </w:r>
          </w:p>
        </w:tc>
        <w:tc>
          <w:tcPr>
            <w:tcW w:w="6379" w:type="dxa"/>
          </w:tcPr>
          <w:p w14:paraId="0522C543" w14:textId="77777777" w:rsidR="00C058A1" w:rsidRPr="006F70C0" w:rsidRDefault="00C058A1" w:rsidP="0056569E">
            <w:pPr>
              <w:pStyle w:val="TableText"/>
              <w:widowControl w:val="0"/>
              <w:rPr>
                <w:sz w:val="17"/>
                <w:szCs w:val="17"/>
              </w:rPr>
            </w:pPr>
            <w:r w:rsidRPr="006F70C0">
              <w:rPr>
                <w:sz w:val="17"/>
                <w:szCs w:val="17"/>
              </w:rPr>
              <w:t xml:space="preserve">Future risks: </w:t>
            </w:r>
            <w:r w:rsidR="004C6E1A" w:rsidRPr="006F70C0">
              <w:rPr>
                <w:sz w:val="17"/>
                <w:szCs w:val="17"/>
              </w:rPr>
              <w:t>1.2</w:t>
            </w:r>
          </w:p>
          <w:p w14:paraId="0E183430" w14:textId="65F20DEB" w:rsidR="004C6E1A" w:rsidRPr="006F70C0" w:rsidRDefault="00C058A1" w:rsidP="0056569E">
            <w:pPr>
              <w:pStyle w:val="TableText"/>
              <w:widowControl w:val="0"/>
              <w:rPr>
                <w:sz w:val="17"/>
                <w:szCs w:val="17"/>
              </w:rPr>
            </w:pPr>
            <w:r w:rsidRPr="006F70C0">
              <w:rPr>
                <w:sz w:val="17"/>
                <w:szCs w:val="17"/>
              </w:rPr>
              <w:t xml:space="preserve">Determining priorities: </w:t>
            </w:r>
            <w:r w:rsidR="004C6E1A" w:rsidRPr="006F70C0">
              <w:rPr>
                <w:sz w:val="17"/>
                <w:szCs w:val="17"/>
              </w:rPr>
              <w:t>5.1</w:t>
            </w:r>
          </w:p>
          <w:p w14:paraId="5196BE6C" w14:textId="6F4F82AB" w:rsidR="004C6E1A" w:rsidRPr="006F70C0" w:rsidRDefault="00917161" w:rsidP="0056569E">
            <w:pPr>
              <w:pStyle w:val="TableText"/>
              <w:widowControl w:val="0"/>
              <w:rPr>
                <w:sz w:val="17"/>
                <w:szCs w:val="17"/>
              </w:rPr>
            </w:pPr>
            <w:r w:rsidRPr="006F70C0">
              <w:rPr>
                <w:sz w:val="17"/>
                <w:szCs w:val="17"/>
              </w:rPr>
              <w:t xml:space="preserve">Resource allocation: </w:t>
            </w:r>
            <w:r w:rsidR="004C6E1A" w:rsidRPr="006F70C0">
              <w:rPr>
                <w:sz w:val="17"/>
                <w:szCs w:val="17"/>
              </w:rPr>
              <w:t>8.1</w:t>
            </w:r>
            <w:r w:rsidRPr="006F70C0">
              <w:rPr>
                <w:sz w:val="17"/>
                <w:szCs w:val="17"/>
              </w:rPr>
              <w:t>;</w:t>
            </w:r>
            <w:r w:rsidR="004C6E1A" w:rsidRPr="006F70C0">
              <w:rPr>
                <w:sz w:val="17"/>
                <w:szCs w:val="17"/>
              </w:rPr>
              <w:t xml:space="preserve"> 8.3</w:t>
            </w:r>
          </w:p>
          <w:p w14:paraId="1F141CCA" w14:textId="2B10765A" w:rsidR="004C6E1A" w:rsidRPr="006F70C0" w:rsidRDefault="004C6E1A" w:rsidP="0056569E">
            <w:pPr>
              <w:pStyle w:val="TableText"/>
              <w:widowControl w:val="0"/>
              <w:rPr>
                <w:sz w:val="17"/>
                <w:szCs w:val="17"/>
              </w:rPr>
            </w:pPr>
            <w:r w:rsidRPr="006F70C0">
              <w:rPr>
                <w:sz w:val="17"/>
                <w:szCs w:val="17"/>
              </w:rPr>
              <w:t>Marke</w:t>
            </w:r>
            <w:r w:rsidR="00917161" w:rsidRPr="006F70C0">
              <w:rPr>
                <w:sz w:val="17"/>
                <w:szCs w:val="17"/>
              </w:rPr>
              <w:t>t access: 3.1</w:t>
            </w:r>
          </w:p>
          <w:p w14:paraId="61A125E8" w14:textId="559D3CEB" w:rsidR="004C6E1A" w:rsidRPr="006F70C0" w:rsidRDefault="00917161" w:rsidP="00917161">
            <w:pPr>
              <w:pStyle w:val="TableText"/>
              <w:widowControl w:val="0"/>
              <w:rPr>
                <w:sz w:val="17"/>
                <w:szCs w:val="17"/>
              </w:rPr>
            </w:pPr>
            <w:r w:rsidRPr="006F70C0">
              <w:rPr>
                <w:sz w:val="17"/>
                <w:szCs w:val="17"/>
              </w:rPr>
              <w:t xml:space="preserve">Innovation: </w:t>
            </w:r>
            <w:r w:rsidR="004C6E1A" w:rsidRPr="006F70C0">
              <w:rPr>
                <w:sz w:val="17"/>
                <w:szCs w:val="17"/>
              </w:rPr>
              <w:t>6.1</w:t>
            </w:r>
          </w:p>
        </w:tc>
      </w:tr>
      <w:tr w:rsidR="004C6E1A" w:rsidRPr="0098052D" w14:paraId="31069158" w14:textId="77777777" w:rsidTr="006F70C0">
        <w:tc>
          <w:tcPr>
            <w:tcW w:w="2127" w:type="dxa"/>
          </w:tcPr>
          <w:p w14:paraId="498EB414" w14:textId="2BE204E9" w:rsidR="004C6E1A" w:rsidRPr="006F70C0" w:rsidRDefault="004C6E1A" w:rsidP="004C6E1A">
            <w:pPr>
              <w:pStyle w:val="TableText"/>
              <w:rPr>
                <w:sz w:val="17"/>
                <w:szCs w:val="17"/>
              </w:rPr>
            </w:pPr>
            <w:r w:rsidRPr="006F70C0">
              <w:rPr>
                <w:sz w:val="17"/>
                <w:szCs w:val="17"/>
              </w:rPr>
              <w:t xml:space="preserve">4. </w:t>
            </w:r>
          </w:p>
        </w:tc>
        <w:tc>
          <w:tcPr>
            <w:tcW w:w="6379" w:type="dxa"/>
          </w:tcPr>
          <w:p w14:paraId="029F36D1" w14:textId="17B504F0" w:rsidR="004C6E1A" w:rsidRPr="006F70C0" w:rsidRDefault="00AD5BA2" w:rsidP="00AD5BA2">
            <w:pPr>
              <w:pStyle w:val="TableText"/>
              <w:widowControl w:val="0"/>
              <w:rPr>
                <w:sz w:val="17"/>
                <w:szCs w:val="17"/>
              </w:rPr>
            </w:pPr>
            <w:r>
              <w:rPr>
                <w:sz w:val="17"/>
                <w:szCs w:val="17"/>
              </w:rPr>
              <w:t>National S</w:t>
            </w:r>
            <w:r w:rsidR="004C6E1A" w:rsidRPr="006F70C0">
              <w:rPr>
                <w:sz w:val="17"/>
                <w:szCs w:val="17"/>
              </w:rPr>
              <w:t xml:space="preserve">tatement </w:t>
            </w:r>
            <w:r w:rsidR="00917161" w:rsidRPr="006F70C0">
              <w:rPr>
                <w:sz w:val="17"/>
                <w:szCs w:val="17"/>
              </w:rPr>
              <w:t xml:space="preserve">of </w:t>
            </w:r>
            <w:r>
              <w:rPr>
                <w:sz w:val="17"/>
                <w:szCs w:val="17"/>
              </w:rPr>
              <w:t>I</w:t>
            </w:r>
            <w:r w:rsidR="00917161" w:rsidRPr="006F70C0">
              <w:rPr>
                <w:sz w:val="17"/>
                <w:szCs w:val="17"/>
              </w:rPr>
              <w:t xml:space="preserve">ntent: </w:t>
            </w:r>
            <w:r w:rsidR="004C6E1A" w:rsidRPr="006F70C0">
              <w:rPr>
                <w:sz w:val="17"/>
                <w:szCs w:val="17"/>
              </w:rPr>
              <w:t>2.3</w:t>
            </w:r>
          </w:p>
        </w:tc>
      </w:tr>
      <w:tr w:rsidR="004C6E1A" w:rsidRPr="0098052D" w14:paraId="6576DC0A" w14:textId="77777777" w:rsidTr="006F70C0">
        <w:tc>
          <w:tcPr>
            <w:tcW w:w="2127" w:type="dxa"/>
          </w:tcPr>
          <w:p w14:paraId="6402B742" w14:textId="166A654C" w:rsidR="004C6E1A" w:rsidRPr="006F70C0" w:rsidRDefault="004C6E1A" w:rsidP="00C058A1">
            <w:pPr>
              <w:pStyle w:val="TableText"/>
              <w:rPr>
                <w:sz w:val="17"/>
                <w:szCs w:val="17"/>
              </w:rPr>
            </w:pPr>
            <w:r w:rsidRPr="006F70C0">
              <w:rPr>
                <w:sz w:val="17"/>
                <w:szCs w:val="17"/>
              </w:rPr>
              <w:t>5.</w:t>
            </w:r>
          </w:p>
        </w:tc>
        <w:tc>
          <w:tcPr>
            <w:tcW w:w="6379" w:type="dxa"/>
          </w:tcPr>
          <w:p w14:paraId="16479C5A" w14:textId="6DF74553" w:rsidR="004C6E1A" w:rsidRPr="006F70C0" w:rsidRDefault="00447D73" w:rsidP="00C058A1">
            <w:pPr>
              <w:pStyle w:val="TableText"/>
              <w:widowControl w:val="0"/>
              <w:rPr>
                <w:sz w:val="17"/>
                <w:szCs w:val="17"/>
              </w:rPr>
            </w:pPr>
            <w:r>
              <w:rPr>
                <w:sz w:val="17"/>
                <w:szCs w:val="17"/>
              </w:rPr>
              <w:t>R</w:t>
            </w:r>
            <w:r w:rsidR="00C058A1" w:rsidRPr="006F70C0">
              <w:rPr>
                <w:sz w:val="17"/>
                <w:szCs w:val="17"/>
              </w:rPr>
              <w:t xml:space="preserve">oles and responsibilities: </w:t>
            </w:r>
            <w:r w:rsidR="004C6E1A" w:rsidRPr="006F70C0">
              <w:rPr>
                <w:sz w:val="17"/>
                <w:szCs w:val="17"/>
              </w:rPr>
              <w:t>2.1</w:t>
            </w:r>
          </w:p>
          <w:p w14:paraId="573D4B19" w14:textId="71126D4B" w:rsidR="00C058A1" w:rsidRPr="006F70C0" w:rsidRDefault="00447D73" w:rsidP="00C058A1">
            <w:pPr>
              <w:pStyle w:val="TableText"/>
              <w:widowControl w:val="0"/>
              <w:rPr>
                <w:sz w:val="17"/>
                <w:szCs w:val="17"/>
              </w:rPr>
            </w:pPr>
            <w:r>
              <w:rPr>
                <w:sz w:val="17"/>
                <w:szCs w:val="17"/>
              </w:rPr>
              <w:t>S</w:t>
            </w:r>
            <w:r w:rsidR="00C058A1" w:rsidRPr="006F70C0">
              <w:rPr>
                <w:sz w:val="17"/>
                <w:szCs w:val="17"/>
              </w:rPr>
              <w:t>hared responsibility: 2.1</w:t>
            </w:r>
          </w:p>
        </w:tc>
      </w:tr>
      <w:tr w:rsidR="004C6E1A" w:rsidRPr="0098052D" w14:paraId="52EF26C9" w14:textId="77777777" w:rsidTr="006F70C0">
        <w:tc>
          <w:tcPr>
            <w:tcW w:w="2127" w:type="dxa"/>
          </w:tcPr>
          <w:p w14:paraId="4748CFAA" w14:textId="484721E9" w:rsidR="004C6E1A" w:rsidRPr="006F70C0" w:rsidRDefault="00563216" w:rsidP="00563216">
            <w:pPr>
              <w:pStyle w:val="TableText"/>
              <w:rPr>
                <w:sz w:val="17"/>
                <w:szCs w:val="17"/>
              </w:rPr>
            </w:pPr>
            <w:r w:rsidRPr="006F70C0">
              <w:rPr>
                <w:sz w:val="17"/>
                <w:szCs w:val="17"/>
              </w:rPr>
              <w:t>6.</w:t>
            </w:r>
          </w:p>
        </w:tc>
        <w:tc>
          <w:tcPr>
            <w:tcW w:w="6379" w:type="dxa"/>
          </w:tcPr>
          <w:p w14:paraId="0ABCDFB1" w14:textId="55E85534" w:rsidR="00C058A1" w:rsidRPr="006F70C0" w:rsidRDefault="004C6E1A" w:rsidP="0056569E">
            <w:pPr>
              <w:pStyle w:val="TableText"/>
              <w:widowControl w:val="0"/>
              <w:rPr>
                <w:sz w:val="17"/>
                <w:szCs w:val="17"/>
              </w:rPr>
            </w:pPr>
            <w:r w:rsidRPr="006F70C0">
              <w:rPr>
                <w:sz w:val="17"/>
                <w:szCs w:val="17"/>
              </w:rPr>
              <w:t xml:space="preserve">Funding </w:t>
            </w:r>
            <w:r w:rsidR="00C058A1" w:rsidRPr="006F70C0">
              <w:rPr>
                <w:sz w:val="17"/>
                <w:szCs w:val="17"/>
              </w:rPr>
              <w:t xml:space="preserve">arrangements: </w:t>
            </w:r>
            <w:r w:rsidRPr="006F70C0">
              <w:rPr>
                <w:sz w:val="17"/>
                <w:szCs w:val="17"/>
              </w:rPr>
              <w:t>8</w:t>
            </w:r>
            <w:r w:rsidR="006374E5" w:rsidRPr="006F70C0">
              <w:rPr>
                <w:sz w:val="17"/>
                <w:szCs w:val="17"/>
              </w:rPr>
              <w:t>.3</w:t>
            </w:r>
            <w:r w:rsidRPr="006F70C0">
              <w:rPr>
                <w:sz w:val="17"/>
                <w:szCs w:val="17"/>
              </w:rPr>
              <w:t xml:space="preserve"> </w:t>
            </w:r>
          </w:p>
          <w:p w14:paraId="1344363C" w14:textId="3E6408B3" w:rsidR="00C058A1" w:rsidRPr="006F70C0" w:rsidRDefault="00447D73" w:rsidP="006374E5">
            <w:pPr>
              <w:pStyle w:val="TableText"/>
              <w:widowControl w:val="0"/>
              <w:rPr>
                <w:sz w:val="17"/>
                <w:szCs w:val="17"/>
              </w:rPr>
            </w:pPr>
            <w:r>
              <w:rPr>
                <w:sz w:val="17"/>
                <w:szCs w:val="17"/>
              </w:rPr>
              <w:t>R</w:t>
            </w:r>
            <w:r w:rsidR="00C058A1" w:rsidRPr="006F70C0">
              <w:rPr>
                <w:sz w:val="17"/>
                <w:szCs w:val="17"/>
              </w:rPr>
              <w:t>elevant NBC projects: 8.2</w:t>
            </w:r>
            <w:r w:rsidR="006374E5" w:rsidRPr="006F70C0">
              <w:rPr>
                <w:sz w:val="17"/>
                <w:szCs w:val="17"/>
              </w:rPr>
              <w:t>–3</w:t>
            </w:r>
          </w:p>
          <w:p w14:paraId="4F538A58" w14:textId="27D479E1" w:rsidR="00563216" w:rsidRPr="006F70C0" w:rsidRDefault="00447D73" w:rsidP="00563216">
            <w:pPr>
              <w:pStyle w:val="TableText"/>
              <w:widowControl w:val="0"/>
              <w:rPr>
                <w:sz w:val="17"/>
                <w:szCs w:val="17"/>
              </w:rPr>
            </w:pPr>
            <w:r>
              <w:rPr>
                <w:sz w:val="17"/>
                <w:szCs w:val="17"/>
              </w:rPr>
              <w:t>S</w:t>
            </w:r>
            <w:r w:rsidR="00563216" w:rsidRPr="006F70C0">
              <w:rPr>
                <w:sz w:val="17"/>
                <w:szCs w:val="17"/>
              </w:rPr>
              <w:t>ustainable funding opportunities: 8.4</w:t>
            </w:r>
          </w:p>
        </w:tc>
      </w:tr>
      <w:tr w:rsidR="004C6E1A" w:rsidRPr="00CD06D9" w14:paraId="41B6D10F" w14:textId="77777777" w:rsidTr="006F70C0">
        <w:tc>
          <w:tcPr>
            <w:tcW w:w="2127" w:type="dxa"/>
          </w:tcPr>
          <w:p w14:paraId="3BAFDE89" w14:textId="28A0C486" w:rsidR="004C6E1A" w:rsidRPr="006F70C0" w:rsidRDefault="004C6E1A" w:rsidP="00563216">
            <w:pPr>
              <w:pStyle w:val="TableText"/>
              <w:rPr>
                <w:sz w:val="17"/>
                <w:szCs w:val="17"/>
              </w:rPr>
            </w:pPr>
            <w:r w:rsidRPr="006F70C0">
              <w:rPr>
                <w:sz w:val="17"/>
                <w:szCs w:val="17"/>
              </w:rPr>
              <w:t xml:space="preserve">7. </w:t>
            </w:r>
          </w:p>
        </w:tc>
        <w:tc>
          <w:tcPr>
            <w:tcW w:w="6379" w:type="dxa"/>
          </w:tcPr>
          <w:p w14:paraId="1945C33D" w14:textId="77777777" w:rsidR="004C6E1A" w:rsidRPr="006F70C0" w:rsidRDefault="004C6E1A" w:rsidP="00C058A1">
            <w:pPr>
              <w:pStyle w:val="TableText"/>
              <w:widowControl w:val="0"/>
              <w:rPr>
                <w:sz w:val="17"/>
                <w:szCs w:val="17"/>
              </w:rPr>
            </w:pPr>
            <w:r w:rsidRPr="006F70C0">
              <w:rPr>
                <w:sz w:val="17"/>
                <w:szCs w:val="17"/>
              </w:rPr>
              <w:t xml:space="preserve">Performance </w:t>
            </w:r>
            <w:r w:rsidR="00C058A1" w:rsidRPr="006F70C0">
              <w:rPr>
                <w:sz w:val="17"/>
                <w:szCs w:val="17"/>
              </w:rPr>
              <w:t>and reporting: 9.2</w:t>
            </w:r>
          </w:p>
          <w:p w14:paraId="64F90EBA" w14:textId="6AF81759" w:rsidR="00563216" w:rsidRPr="006F70C0" w:rsidRDefault="00563216" w:rsidP="00C058A1">
            <w:pPr>
              <w:pStyle w:val="TableText"/>
              <w:widowControl w:val="0"/>
              <w:rPr>
                <w:sz w:val="17"/>
                <w:szCs w:val="17"/>
              </w:rPr>
            </w:pPr>
            <w:r w:rsidRPr="006F70C0">
              <w:rPr>
                <w:sz w:val="17"/>
                <w:szCs w:val="17"/>
              </w:rPr>
              <w:t>Knowledge and data: 9.3</w:t>
            </w:r>
          </w:p>
        </w:tc>
      </w:tr>
    </w:tbl>
    <w:p w14:paraId="18DA0CC4" w14:textId="7203B885" w:rsidR="00E138C3" w:rsidRDefault="00E138C3" w:rsidP="007B738A">
      <w:pPr>
        <w:pStyle w:val="FigureTableNoteSource"/>
        <w:rPr>
          <w:lang w:eastAsia="ja-JP"/>
        </w:rPr>
      </w:pPr>
      <w:r>
        <w:rPr>
          <w:lang w:eastAsia="ja-JP"/>
        </w:rPr>
        <w:t xml:space="preserve">Note: As outlined in the Discussion Paper, some aspects of the national biosecurity system are not being considered as part of this </w:t>
      </w:r>
      <w:r w:rsidR="0056569E">
        <w:rPr>
          <w:lang w:eastAsia="ja-JP"/>
        </w:rPr>
        <w:t>R</w:t>
      </w:r>
      <w:r w:rsidR="001451D2">
        <w:rPr>
          <w:lang w:eastAsia="ja-JP"/>
        </w:rPr>
        <w:t>eview, including:</w:t>
      </w:r>
    </w:p>
    <w:p w14:paraId="00287AE5" w14:textId="470F7410" w:rsidR="00E138C3" w:rsidRDefault="00E138C3" w:rsidP="007B738A">
      <w:pPr>
        <w:pStyle w:val="FigureTableNoteSource"/>
        <w:numPr>
          <w:ilvl w:val="0"/>
          <w:numId w:val="31"/>
        </w:numPr>
        <w:ind w:left="357" w:hanging="357"/>
        <w:rPr>
          <w:lang w:eastAsia="ja-JP"/>
        </w:rPr>
      </w:pPr>
      <w:r>
        <w:rPr>
          <w:lang w:eastAsia="ja-JP"/>
        </w:rPr>
        <w:t>biosecurity arrang</w:t>
      </w:r>
      <w:r w:rsidR="001451D2">
        <w:rPr>
          <w:lang w:eastAsia="ja-JP"/>
        </w:rPr>
        <w:t>ements specific to human health</w:t>
      </w:r>
    </w:p>
    <w:p w14:paraId="2BFF65CE" w14:textId="52AD2009" w:rsidR="00E138C3" w:rsidRDefault="00E138C3" w:rsidP="007B738A">
      <w:pPr>
        <w:pStyle w:val="FigureTableNoteSource"/>
        <w:numPr>
          <w:ilvl w:val="0"/>
          <w:numId w:val="31"/>
        </w:numPr>
        <w:ind w:left="357" w:hanging="357"/>
        <w:rPr>
          <w:lang w:eastAsia="ja-JP"/>
        </w:rPr>
      </w:pPr>
      <w:r>
        <w:rPr>
          <w:lang w:eastAsia="ja-JP"/>
        </w:rPr>
        <w:t>biosecuri</w:t>
      </w:r>
      <w:r w:rsidR="001451D2">
        <w:rPr>
          <w:lang w:eastAsia="ja-JP"/>
        </w:rPr>
        <w:t>ty Import Risk Analyses (BIRAs)</w:t>
      </w:r>
    </w:p>
    <w:p w14:paraId="7FF155AB" w14:textId="62F8679D" w:rsidR="00E138C3" w:rsidRDefault="00E138C3" w:rsidP="007B738A">
      <w:pPr>
        <w:pStyle w:val="FigureTableNoteSource"/>
        <w:numPr>
          <w:ilvl w:val="0"/>
          <w:numId w:val="31"/>
        </w:numPr>
        <w:ind w:left="357" w:hanging="357"/>
        <w:rPr>
          <w:lang w:eastAsia="ja-JP"/>
        </w:rPr>
      </w:pPr>
      <w:r>
        <w:rPr>
          <w:lang w:eastAsia="ja-JP"/>
        </w:rPr>
        <w:t>comprehensive revie</w:t>
      </w:r>
      <w:r w:rsidR="001451D2">
        <w:rPr>
          <w:lang w:eastAsia="ja-JP"/>
        </w:rPr>
        <w:t>ws of emergency responses deeds</w:t>
      </w:r>
    </w:p>
    <w:p w14:paraId="6870746F" w14:textId="23D87C2D" w:rsidR="00E138C3" w:rsidRDefault="00E138C3" w:rsidP="007B738A">
      <w:pPr>
        <w:pStyle w:val="FigureTableNoteSource"/>
        <w:numPr>
          <w:ilvl w:val="0"/>
          <w:numId w:val="31"/>
        </w:numPr>
        <w:ind w:left="357" w:hanging="357"/>
        <w:rPr>
          <w:lang w:eastAsia="ja-JP"/>
        </w:rPr>
      </w:pPr>
      <w:r>
        <w:rPr>
          <w:lang w:eastAsia="ja-JP"/>
        </w:rPr>
        <w:t>response plans, such as the Australian Veterin</w:t>
      </w:r>
      <w:r w:rsidR="001451D2">
        <w:rPr>
          <w:lang w:eastAsia="ja-JP"/>
        </w:rPr>
        <w:t>ary Emergency Plan (AUSVETPLAN)</w:t>
      </w:r>
    </w:p>
    <w:p w14:paraId="3D2FB525" w14:textId="7F7FD147" w:rsidR="00E138C3" w:rsidRDefault="00E138C3" w:rsidP="007B738A">
      <w:pPr>
        <w:pStyle w:val="FigureTableNoteSource"/>
        <w:numPr>
          <w:ilvl w:val="0"/>
          <w:numId w:val="31"/>
        </w:numPr>
        <w:ind w:left="357" w:hanging="357"/>
        <w:rPr>
          <w:lang w:eastAsia="ja-JP"/>
        </w:rPr>
      </w:pPr>
      <w:r>
        <w:rPr>
          <w:lang w:eastAsia="ja-JP"/>
        </w:rPr>
        <w:t>matters to do with specif</w:t>
      </w:r>
      <w:r w:rsidR="001451D2">
        <w:rPr>
          <w:lang w:eastAsia="ja-JP"/>
        </w:rPr>
        <w:t>ic biosecurity legislation, and</w:t>
      </w:r>
    </w:p>
    <w:p w14:paraId="6A4518B7" w14:textId="77777777" w:rsidR="00E138C3" w:rsidRPr="00E05D8B" w:rsidRDefault="00E138C3" w:rsidP="007B738A">
      <w:pPr>
        <w:pStyle w:val="FigureTableNoteSource"/>
        <w:numPr>
          <w:ilvl w:val="0"/>
          <w:numId w:val="31"/>
        </w:numPr>
        <w:ind w:left="357" w:hanging="357"/>
        <w:rPr>
          <w:lang w:eastAsia="ja-JP"/>
        </w:rPr>
      </w:pPr>
      <w:r>
        <w:rPr>
          <w:lang w:eastAsia="ja-JP"/>
        </w:rPr>
        <w:t>matters to do with Australia’s international obligations relating to biosecurity.</w:t>
      </w:r>
    </w:p>
    <w:p w14:paraId="77D2213C" w14:textId="4C1A9CB7" w:rsidR="00E05D8B" w:rsidRDefault="00E05D8B" w:rsidP="00210276">
      <w:pPr>
        <w:pStyle w:val="Heading2"/>
        <w:numPr>
          <w:ilvl w:val="0"/>
          <w:numId w:val="0"/>
        </w:numPr>
        <w:ind w:left="709" w:hanging="709"/>
      </w:pPr>
      <w:bookmarkStart w:id="251" w:name="_Toc430782161"/>
      <w:bookmarkStart w:id="252" w:name="_Toc469654766"/>
      <w:r>
        <w:lastRenderedPageBreak/>
        <w:t>Appendix B:</w:t>
      </w:r>
      <w:r w:rsidR="00596255">
        <w:t xml:space="preserve"> </w:t>
      </w:r>
      <w:r w:rsidR="00F50BD0">
        <w:t>Review panel b</w:t>
      </w:r>
      <w:r>
        <w:t>iographies</w:t>
      </w:r>
      <w:bookmarkEnd w:id="252"/>
    </w:p>
    <w:p w14:paraId="5351E532" w14:textId="77777777" w:rsidR="00E05D8B" w:rsidRPr="00E05D8B" w:rsidRDefault="00E05D8B" w:rsidP="00E05D8B">
      <w:pPr>
        <w:rPr>
          <w:rStyle w:val="Strong"/>
          <w:lang w:eastAsia="ja-JP"/>
        </w:rPr>
      </w:pPr>
      <w:r w:rsidRPr="00E05D8B">
        <w:rPr>
          <w:rStyle w:val="Strong"/>
          <w:lang w:eastAsia="ja-JP"/>
        </w:rPr>
        <w:t>Dr Wendy Craik AM (Chair)</w:t>
      </w:r>
    </w:p>
    <w:p w14:paraId="07D2864F" w14:textId="75E476A6" w:rsidR="00D73C51" w:rsidRDefault="00D73C51" w:rsidP="00D73C51">
      <w:pPr>
        <w:rPr>
          <w:lang w:eastAsia="ja-JP"/>
        </w:rPr>
      </w:pPr>
      <w:r>
        <w:rPr>
          <w:lang w:eastAsia="ja-JP"/>
        </w:rPr>
        <w:t xml:space="preserve">Dr Craik has </w:t>
      </w:r>
      <w:r w:rsidR="00AD5BA2">
        <w:rPr>
          <w:lang w:eastAsia="ja-JP"/>
        </w:rPr>
        <w:t xml:space="preserve">more than </w:t>
      </w:r>
      <w:r>
        <w:rPr>
          <w:lang w:eastAsia="ja-JP"/>
        </w:rPr>
        <w:t>25 years</w:t>
      </w:r>
      <w:r w:rsidR="003B1A0F">
        <w:rPr>
          <w:lang w:eastAsia="ja-JP"/>
        </w:rPr>
        <w:t>’</w:t>
      </w:r>
      <w:r>
        <w:rPr>
          <w:lang w:eastAsia="ja-JP"/>
        </w:rPr>
        <w:t xml:space="preserve"> experience in senior roles in public policy, particularly on issues related to natural resource management. She is currently Chair of the Climate Change Authority, Deputy Chancellor for the University of South Australia (2010–2018), Chair of the NSW Marine Estate Management Authority, Board Member of the Australian Farm Institute and Member Advisory Board for the Centre for Strategy and Governance.</w:t>
      </w:r>
    </w:p>
    <w:p w14:paraId="327741B1" w14:textId="77777777" w:rsidR="00D73C51" w:rsidRDefault="00D73C51" w:rsidP="00D73C51">
      <w:pPr>
        <w:rPr>
          <w:lang w:eastAsia="ja-JP"/>
        </w:rPr>
      </w:pPr>
      <w:r>
        <w:rPr>
          <w:lang w:eastAsia="ja-JP"/>
        </w:rPr>
        <w:t>She has an extensive record of executive level appointments in both public and private sectors, most recently as a Commissioner of the Productivity Commission (2009–2014). Prior to this, Wendy was CEO of the Murray Darling Basin Commission (2004–2008) and Executive Director of the National Farmers’ Federation (1995–2000). Other previous roles include President of the National Competition Council, board member for Dairy Australia, Chair of the Australian Rural Leadership Foundation, Chair of the Australian Fisheries Management Authority and Chair of the National Rural Advisory Council.</w:t>
      </w:r>
    </w:p>
    <w:p w14:paraId="241FF799" w14:textId="77777777" w:rsidR="00E05D8B" w:rsidRPr="00E05D8B" w:rsidRDefault="00E05D8B" w:rsidP="00E05D8B">
      <w:pPr>
        <w:rPr>
          <w:rStyle w:val="Strong"/>
          <w:lang w:eastAsia="ja-JP"/>
        </w:rPr>
      </w:pPr>
      <w:r w:rsidRPr="00E05D8B">
        <w:rPr>
          <w:rStyle w:val="Strong"/>
          <w:lang w:eastAsia="ja-JP"/>
        </w:rPr>
        <w:t>Mr David Palmer</w:t>
      </w:r>
    </w:p>
    <w:p w14:paraId="7BD9F398" w14:textId="77777777" w:rsidR="003D625D" w:rsidRDefault="003D625D" w:rsidP="003D625D">
      <w:pPr>
        <w:rPr>
          <w:lang w:eastAsia="ja-JP"/>
        </w:rPr>
      </w:pPr>
      <w:r>
        <w:rPr>
          <w:lang w:eastAsia="ja-JP"/>
        </w:rPr>
        <w:t>Mr Palmer is currently the Chair of the NSW Biosecurity Advisory Committee and the Board of the NSW Rural Assistance Authority. Mr Palmer is also an independent director on the Board of Animal Health Australia, the Invasive Animals CRC and the Greater Sydney Local Land Services.</w:t>
      </w:r>
    </w:p>
    <w:p w14:paraId="0257463C" w14:textId="7133D900" w:rsidR="00E05D8B" w:rsidRDefault="003D625D" w:rsidP="003D625D">
      <w:pPr>
        <w:rPr>
          <w:lang w:eastAsia="ja-JP"/>
        </w:rPr>
      </w:pPr>
      <w:r>
        <w:rPr>
          <w:lang w:eastAsia="ja-JP"/>
        </w:rPr>
        <w:t>He is the former Managing Director of Meat and Livestock Australia and spent six years as the Executive Director of the Cattle Council of Australia. Other previous work includes the chairmanship of the Australia-Korea Foundation, and employment with the NSW Meat Industry Authority, the NSW Farmer’s Association, and the Australian Meat &amp; Livestock Corporation.</w:t>
      </w:r>
    </w:p>
    <w:p w14:paraId="692E1E5F" w14:textId="77777777" w:rsidR="00E05D8B" w:rsidRPr="00E05D8B" w:rsidRDefault="00E05D8B" w:rsidP="00E05D8B">
      <w:pPr>
        <w:rPr>
          <w:rStyle w:val="Strong"/>
          <w:lang w:eastAsia="ja-JP"/>
        </w:rPr>
      </w:pPr>
      <w:r w:rsidRPr="00E05D8B">
        <w:rPr>
          <w:rStyle w:val="Strong"/>
          <w:lang w:eastAsia="ja-JP"/>
        </w:rPr>
        <w:t>Dr Richard Sheldrake AM</w:t>
      </w:r>
    </w:p>
    <w:p w14:paraId="295013A8" w14:textId="77777777" w:rsidR="00E05D8B" w:rsidRDefault="00E05D8B" w:rsidP="00E05D8B">
      <w:pPr>
        <w:rPr>
          <w:lang w:eastAsia="ja-JP"/>
        </w:rPr>
      </w:pPr>
      <w:r>
        <w:rPr>
          <w:lang w:eastAsia="ja-JP"/>
        </w:rPr>
        <w:t>Dr Sheldrake is the Former Director General of the New South Wales Department of Primary Industries. Prior to this appointment Dr Sheldrake had been Director-General of the NSW Departments of Industry and Investment, Natural Resources and Agriculture. He has led the various departments in service delivery, policy development, compliance and regulation, research and development and technology transfer across a broad range of fields.</w:t>
      </w:r>
    </w:p>
    <w:p w14:paraId="000EE927" w14:textId="77777777" w:rsidR="00E05D8B" w:rsidRDefault="00E05D8B" w:rsidP="00E05D8B">
      <w:pPr>
        <w:rPr>
          <w:lang w:eastAsia="ja-JP"/>
        </w:rPr>
      </w:pPr>
      <w:r>
        <w:rPr>
          <w:lang w:eastAsia="ja-JP"/>
        </w:rPr>
        <w:t>Dr Sheldrake has played a role in developing and guiding state and national policy in areas such as carbon offsets; plant and animal biosecurity; agricultural research and development; drought policy; rural and regional service delivery, native forest management; native vegetation; fisheries resource management; efficient water use; sustainable land use; and, export market development.</w:t>
      </w:r>
    </w:p>
    <w:p w14:paraId="57133DD4" w14:textId="77777777" w:rsidR="00E05D8B" w:rsidRPr="00E05D8B" w:rsidRDefault="00E05D8B" w:rsidP="00E05D8B">
      <w:pPr>
        <w:rPr>
          <w:lang w:eastAsia="ja-JP"/>
        </w:rPr>
      </w:pPr>
      <w:r>
        <w:rPr>
          <w:lang w:eastAsia="ja-JP"/>
        </w:rPr>
        <w:t>He has previously held the offices of Commissioner of the Murray Darling Basin Commission, NSW Commissioner for Soil Conservation and NSW Commissioner of Forests. Dr Sheldrake was previously a Director of the Pig Research and Development Corporation and Animal Health Australia Limited and Chair of the Primary Industries Health Committee.</w:t>
      </w:r>
    </w:p>
    <w:p w14:paraId="1837E4DB" w14:textId="77777777" w:rsidR="0070601C" w:rsidRDefault="0070601C" w:rsidP="00210276">
      <w:pPr>
        <w:pStyle w:val="Heading2"/>
        <w:numPr>
          <w:ilvl w:val="0"/>
          <w:numId w:val="0"/>
        </w:numPr>
        <w:ind w:left="709" w:hanging="709"/>
      </w:pPr>
      <w:bookmarkStart w:id="253" w:name="_Appendix_C:_Public"/>
      <w:bookmarkStart w:id="254" w:name="_Ref468449481"/>
      <w:bookmarkStart w:id="255" w:name="_Ref468449496"/>
      <w:bookmarkStart w:id="256" w:name="_Ref468449504"/>
      <w:bookmarkStart w:id="257" w:name="_Toc469654767"/>
      <w:bookmarkEnd w:id="253"/>
      <w:r>
        <w:lastRenderedPageBreak/>
        <w:t xml:space="preserve">Appendix C: </w:t>
      </w:r>
      <w:r w:rsidR="00280A78">
        <w:t>Public</w:t>
      </w:r>
      <w:r>
        <w:t xml:space="preserve"> consultation</w:t>
      </w:r>
      <w:bookmarkEnd w:id="254"/>
      <w:bookmarkEnd w:id="255"/>
      <w:bookmarkEnd w:id="256"/>
      <w:bookmarkEnd w:id="257"/>
    </w:p>
    <w:p w14:paraId="335369D2" w14:textId="77777777" w:rsidR="0070601C" w:rsidRPr="0070601C" w:rsidRDefault="0070601C" w:rsidP="0070601C">
      <w:pPr>
        <w:rPr>
          <w:rStyle w:val="Strong"/>
          <w:lang w:eastAsia="ja-JP"/>
        </w:rPr>
      </w:pPr>
      <w:r w:rsidRPr="0070601C">
        <w:rPr>
          <w:rStyle w:val="Strong"/>
          <w:lang w:eastAsia="ja-JP"/>
        </w:rPr>
        <w:t>Consultation process</w:t>
      </w:r>
    </w:p>
    <w:p w14:paraId="220F62F9" w14:textId="1A7B0C0C" w:rsidR="00280A78" w:rsidRDefault="00862086" w:rsidP="00280A78">
      <w:pPr>
        <w:rPr>
          <w:lang w:eastAsia="ja-JP"/>
        </w:rPr>
      </w:pPr>
      <w:r>
        <w:rPr>
          <w:lang w:eastAsia="ja-JP"/>
        </w:rPr>
        <w:t>Over</w:t>
      </w:r>
      <w:r w:rsidR="00280A78">
        <w:rPr>
          <w:lang w:eastAsia="ja-JP"/>
        </w:rPr>
        <w:t xml:space="preserve"> </w:t>
      </w:r>
      <w:r w:rsidR="00280A78" w:rsidRPr="00AD25F6">
        <w:rPr>
          <w:lang w:eastAsia="ja-JP"/>
        </w:rPr>
        <w:t>65</w:t>
      </w:r>
      <w:r w:rsidR="00280A78">
        <w:rPr>
          <w:lang w:eastAsia="ja-JP"/>
        </w:rPr>
        <w:t xml:space="preserve"> submissions were received in response to the Review Panel’s Discussion Paper released in May 2016 (</w:t>
      </w:r>
      <w:r w:rsidR="00280A78">
        <w:rPr>
          <w:lang w:eastAsia="ja-JP"/>
        </w:rPr>
        <w:fldChar w:fldCharType="begin"/>
      </w:r>
      <w:r w:rsidR="00280A78">
        <w:rPr>
          <w:lang w:eastAsia="ja-JP"/>
        </w:rPr>
        <w:instrText xml:space="preserve"> REF _Ref467676710 \h </w:instrText>
      </w:r>
      <w:r w:rsidR="00280A78">
        <w:rPr>
          <w:lang w:eastAsia="ja-JP"/>
        </w:rPr>
      </w:r>
      <w:r w:rsidR="00280A78">
        <w:rPr>
          <w:lang w:eastAsia="ja-JP"/>
        </w:rPr>
        <w:fldChar w:fldCharType="separate"/>
      </w:r>
      <w:r w:rsidR="008303E2" w:rsidRPr="00590407">
        <w:t xml:space="preserve">Table </w:t>
      </w:r>
      <w:r w:rsidR="008303E2">
        <w:rPr>
          <w:noProof/>
        </w:rPr>
        <w:t>14</w:t>
      </w:r>
      <w:r w:rsidR="00280A78">
        <w:rPr>
          <w:lang w:eastAsia="ja-JP"/>
        </w:rPr>
        <w:fldChar w:fldCharType="end"/>
      </w:r>
      <w:r w:rsidR="00280A78">
        <w:rPr>
          <w:lang w:eastAsia="ja-JP"/>
        </w:rPr>
        <w:t xml:space="preserve">). Non-confidential submissions can be found at </w:t>
      </w:r>
      <w:hyperlink r:id="rId51" w:history="1">
        <w:r w:rsidR="00280A78" w:rsidRPr="00A2489B">
          <w:rPr>
            <w:rStyle w:val="Hyperlink"/>
            <w:lang w:eastAsia="ja-JP"/>
          </w:rPr>
          <w:t>IGAB Review</w:t>
        </w:r>
      </w:hyperlink>
      <w:r w:rsidR="00280A78">
        <w:rPr>
          <w:lang w:eastAsia="ja-JP"/>
        </w:rPr>
        <w:t xml:space="preserve"> on the Australian Government Department of Agriculture and Water Resources website.</w:t>
      </w:r>
    </w:p>
    <w:p w14:paraId="4354C173" w14:textId="0D951C57" w:rsidR="00280A78" w:rsidRPr="00590407" w:rsidRDefault="00280A78" w:rsidP="00280A78">
      <w:pPr>
        <w:pStyle w:val="Caption"/>
        <w:rPr>
          <w:sz w:val="22"/>
          <w:szCs w:val="22"/>
        </w:rPr>
      </w:pPr>
      <w:bookmarkStart w:id="258" w:name="_Ref467676710"/>
      <w:bookmarkStart w:id="259" w:name="_Toc468176734"/>
      <w:r w:rsidRPr="00590407">
        <w:rPr>
          <w:sz w:val="22"/>
          <w:szCs w:val="22"/>
        </w:rPr>
        <w:t xml:space="preserve">Table </w:t>
      </w:r>
      <w:r w:rsidR="00D56373" w:rsidRPr="00590407">
        <w:rPr>
          <w:sz w:val="22"/>
          <w:szCs w:val="22"/>
        </w:rPr>
        <w:fldChar w:fldCharType="begin"/>
      </w:r>
      <w:r w:rsidR="00D56373" w:rsidRPr="00590407">
        <w:rPr>
          <w:sz w:val="22"/>
          <w:szCs w:val="22"/>
        </w:rPr>
        <w:instrText xml:space="preserve"> SEQ Table \* ARABIC </w:instrText>
      </w:r>
      <w:r w:rsidR="00D56373" w:rsidRPr="00590407">
        <w:rPr>
          <w:sz w:val="22"/>
          <w:szCs w:val="22"/>
        </w:rPr>
        <w:fldChar w:fldCharType="separate"/>
      </w:r>
      <w:r w:rsidR="008303E2">
        <w:rPr>
          <w:noProof/>
          <w:sz w:val="22"/>
          <w:szCs w:val="22"/>
        </w:rPr>
        <w:t>14</w:t>
      </w:r>
      <w:r w:rsidR="00D56373" w:rsidRPr="00590407">
        <w:rPr>
          <w:noProof/>
          <w:sz w:val="22"/>
          <w:szCs w:val="22"/>
        </w:rPr>
        <w:fldChar w:fldCharType="end"/>
      </w:r>
      <w:bookmarkEnd w:id="258"/>
      <w:r w:rsidRPr="00590407">
        <w:rPr>
          <w:sz w:val="22"/>
          <w:szCs w:val="22"/>
        </w:rPr>
        <w:t xml:space="preserve"> </w:t>
      </w:r>
      <w:r w:rsidR="00DE7128">
        <w:rPr>
          <w:sz w:val="22"/>
          <w:szCs w:val="22"/>
        </w:rPr>
        <w:t>S</w:t>
      </w:r>
      <w:r w:rsidRPr="00590407">
        <w:rPr>
          <w:sz w:val="22"/>
          <w:szCs w:val="22"/>
        </w:rPr>
        <w:t>ubmissions</w:t>
      </w:r>
      <w:bookmarkEnd w:id="259"/>
      <w:r w:rsidRPr="00590407">
        <w:rPr>
          <w:sz w:val="22"/>
          <w:szCs w:val="22"/>
        </w:rPr>
        <w:t xml:space="preserve"> </w:t>
      </w:r>
      <w:r w:rsidR="00C07A4F">
        <w:rPr>
          <w:sz w:val="22"/>
          <w:szCs w:val="22"/>
        </w:rPr>
        <w:t>received</w:t>
      </w:r>
    </w:p>
    <w:tbl>
      <w:tblPr>
        <w:tblStyle w:val="TableGrid"/>
        <w:tblW w:w="0" w:type="auto"/>
        <w:tblBorders>
          <w:left w:val="none" w:sz="0" w:space="0" w:color="auto"/>
          <w:right w:val="none" w:sz="0" w:space="0" w:color="auto"/>
          <w:insideH w:val="none" w:sz="0" w:space="0" w:color="auto"/>
        </w:tblBorders>
        <w:tblLook w:val="04A0" w:firstRow="1" w:lastRow="0" w:firstColumn="1" w:lastColumn="0" w:noHBand="0" w:noVBand="1"/>
      </w:tblPr>
      <w:tblGrid>
        <w:gridCol w:w="4839"/>
        <w:gridCol w:w="4231"/>
      </w:tblGrid>
      <w:tr w:rsidR="00943E1E" w:rsidRPr="00B11944" w14:paraId="56FCCB96" w14:textId="77777777" w:rsidTr="00943E1E">
        <w:trPr>
          <w:tblHeader/>
        </w:trPr>
        <w:tc>
          <w:tcPr>
            <w:tcW w:w="4839" w:type="dxa"/>
          </w:tcPr>
          <w:p w14:paraId="605F71F7" w14:textId="4058C8CA" w:rsidR="00943E1E" w:rsidRPr="00F741E3" w:rsidRDefault="00943E1E" w:rsidP="00943E1E">
            <w:pPr>
              <w:pStyle w:val="TableHeading"/>
              <w:rPr>
                <w:lang w:eastAsia="ja-JP"/>
              </w:rPr>
            </w:pPr>
            <w:r>
              <w:rPr>
                <w:lang w:eastAsia="ja-JP"/>
              </w:rPr>
              <w:t>Organisation/individual</w:t>
            </w:r>
          </w:p>
        </w:tc>
        <w:tc>
          <w:tcPr>
            <w:tcW w:w="4231" w:type="dxa"/>
          </w:tcPr>
          <w:p w14:paraId="48A40265" w14:textId="6992635E" w:rsidR="00943E1E" w:rsidRPr="006D2680" w:rsidRDefault="00943E1E" w:rsidP="00943E1E">
            <w:pPr>
              <w:pStyle w:val="TableHeading"/>
              <w:rPr>
                <w:lang w:eastAsia="ja-JP"/>
              </w:rPr>
            </w:pPr>
            <w:r w:rsidRPr="00943E1E">
              <w:rPr>
                <w:lang w:eastAsia="ja-JP"/>
              </w:rPr>
              <w:t>Organisation/individual</w:t>
            </w:r>
          </w:p>
        </w:tc>
      </w:tr>
      <w:tr w:rsidR="00661C3B" w:rsidRPr="00B11944" w14:paraId="3D808961" w14:textId="77777777" w:rsidTr="00661C3B">
        <w:tc>
          <w:tcPr>
            <w:tcW w:w="4839" w:type="dxa"/>
          </w:tcPr>
          <w:p w14:paraId="258E2E33" w14:textId="77777777" w:rsidR="00661C3B" w:rsidRPr="006D2680" w:rsidRDefault="00661C3B" w:rsidP="00661C3B">
            <w:pPr>
              <w:pStyle w:val="TableText"/>
              <w:rPr>
                <w:lang w:eastAsia="ja-JP"/>
              </w:rPr>
            </w:pPr>
            <w:r w:rsidRPr="00F741E3">
              <w:rPr>
                <w:lang w:eastAsia="ja-JP"/>
              </w:rPr>
              <w:t>Australian Capital Territory Government (Environment, Planning and Sustainable Development Directorate)</w:t>
            </w:r>
          </w:p>
        </w:tc>
        <w:tc>
          <w:tcPr>
            <w:tcW w:w="4231" w:type="dxa"/>
          </w:tcPr>
          <w:p w14:paraId="5A8F10B3" w14:textId="77777777" w:rsidR="00661C3B" w:rsidRPr="006D2680" w:rsidRDefault="00661C3B" w:rsidP="00661C3B">
            <w:pPr>
              <w:pStyle w:val="TableText"/>
              <w:rPr>
                <w:lang w:eastAsia="ja-JP"/>
              </w:rPr>
            </w:pPr>
            <w:r w:rsidRPr="006D2680">
              <w:rPr>
                <w:lang w:eastAsia="ja-JP"/>
              </w:rPr>
              <w:t>Queensland Tourism Industry Council Limited</w:t>
            </w:r>
          </w:p>
        </w:tc>
      </w:tr>
      <w:tr w:rsidR="00661C3B" w:rsidRPr="00B11944" w14:paraId="64FF6DCC" w14:textId="77777777" w:rsidTr="00661C3B">
        <w:tc>
          <w:tcPr>
            <w:tcW w:w="4839" w:type="dxa"/>
          </w:tcPr>
          <w:p w14:paraId="07232CBA" w14:textId="77777777" w:rsidR="00661C3B" w:rsidRPr="006D2680" w:rsidRDefault="00661C3B" w:rsidP="00661C3B">
            <w:pPr>
              <w:pStyle w:val="TableText"/>
              <w:rPr>
                <w:lang w:eastAsia="ja-JP"/>
              </w:rPr>
            </w:pPr>
            <w:r w:rsidRPr="006D2680">
              <w:rPr>
                <w:lang w:eastAsia="ja-JP"/>
              </w:rPr>
              <w:t>Adelaide and Mt Lofty Ranges Natural Resources Management Board</w:t>
            </w:r>
          </w:p>
        </w:tc>
        <w:tc>
          <w:tcPr>
            <w:tcW w:w="4231" w:type="dxa"/>
          </w:tcPr>
          <w:p w14:paraId="6B7790EB" w14:textId="77777777" w:rsidR="00661C3B" w:rsidRPr="006D2680" w:rsidRDefault="00661C3B" w:rsidP="00661C3B">
            <w:pPr>
              <w:pStyle w:val="TableText"/>
              <w:rPr>
                <w:lang w:eastAsia="ja-JP"/>
              </w:rPr>
            </w:pPr>
            <w:r w:rsidRPr="006D2680">
              <w:rPr>
                <w:lang w:eastAsia="ja-JP"/>
              </w:rPr>
              <w:t>Quinn, Nelson</w:t>
            </w:r>
          </w:p>
        </w:tc>
      </w:tr>
      <w:tr w:rsidR="00661C3B" w:rsidRPr="00B11944" w14:paraId="12F95D9D" w14:textId="77777777" w:rsidTr="00661C3B">
        <w:tc>
          <w:tcPr>
            <w:tcW w:w="4839" w:type="dxa"/>
          </w:tcPr>
          <w:p w14:paraId="362410A3" w14:textId="77777777" w:rsidR="00661C3B" w:rsidRPr="006D2680" w:rsidRDefault="00661C3B" w:rsidP="00661C3B">
            <w:pPr>
              <w:pStyle w:val="TableText"/>
              <w:rPr>
                <w:lang w:eastAsia="ja-JP"/>
              </w:rPr>
            </w:pPr>
            <w:r w:rsidRPr="006D2680">
              <w:rPr>
                <w:lang w:eastAsia="ja-JP"/>
              </w:rPr>
              <w:t>AgForce Queensland</w:t>
            </w:r>
          </w:p>
        </w:tc>
        <w:tc>
          <w:tcPr>
            <w:tcW w:w="4231" w:type="dxa"/>
          </w:tcPr>
          <w:p w14:paraId="209F1BC7" w14:textId="77777777" w:rsidR="00661C3B" w:rsidRPr="006D2680" w:rsidRDefault="00661C3B" w:rsidP="00661C3B">
            <w:pPr>
              <w:pStyle w:val="TableText"/>
              <w:rPr>
                <w:lang w:eastAsia="ja-JP"/>
              </w:rPr>
            </w:pPr>
            <w:r w:rsidRPr="006D2680">
              <w:rPr>
                <w:lang w:eastAsia="ja-JP"/>
              </w:rPr>
              <w:t>Ridley, Wayne</w:t>
            </w:r>
          </w:p>
        </w:tc>
      </w:tr>
      <w:tr w:rsidR="00661C3B" w:rsidRPr="00B11944" w14:paraId="1ED1C360" w14:textId="77777777" w:rsidTr="00661C3B">
        <w:tc>
          <w:tcPr>
            <w:tcW w:w="4839" w:type="dxa"/>
          </w:tcPr>
          <w:p w14:paraId="03890BFB" w14:textId="77777777" w:rsidR="00661C3B" w:rsidRPr="006D2680" w:rsidRDefault="00661C3B" w:rsidP="00661C3B">
            <w:pPr>
              <w:pStyle w:val="TableText"/>
              <w:rPr>
                <w:lang w:eastAsia="ja-JP"/>
              </w:rPr>
            </w:pPr>
            <w:r w:rsidRPr="006D2680">
              <w:rPr>
                <w:lang w:eastAsia="ja-JP"/>
              </w:rPr>
              <w:t>Animal Health Australia Limited</w:t>
            </w:r>
          </w:p>
        </w:tc>
        <w:tc>
          <w:tcPr>
            <w:tcW w:w="4231" w:type="dxa"/>
          </w:tcPr>
          <w:p w14:paraId="3B9D5BA6" w14:textId="77777777" w:rsidR="00661C3B" w:rsidRPr="006D2680" w:rsidRDefault="00661C3B" w:rsidP="00661C3B">
            <w:pPr>
              <w:pStyle w:val="TableText"/>
              <w:rPr>
                <w:lang w:eastAsia="ja-JP"/>
              </w:rPr>
            </w:pPr>
            <w:r w:rsidRPr="006D2680">
              <w:rPr>
                <w:lang w:eastAsia="ja-JP"/>
              </w:rPr>
              <w:t>RSPCA Australia</w:t>
            </w:r>
          </w:p>
        </w:tc>
      </w:tr>
      <w:tr w:rsidR="00661C3B" w:rsidRPr="00B11944" w14:paraId="5CF5F1B5" w14:textId="77777777" w:rsidTr="00661C3B">
        <w:tc>
          <w:tcPr>
            <w:tcW w:w="4839" w:type="dxa"/>
          </w:tcPr>
          <w:p w14:paraId="70410C12" w14:textId="77777777" w:rsidR="00661C3B" w:rsidRPr="006D2680" w:rsidRDefault="00661C3B" w:rsidP="00661C3B">
            <w:pPr>
              <w:pStyle w:val="TableText"/>
              <w:rPr>
                <w:lang w:eastAsia="ja-JP"/>
              </w:rPr>
            </w:pPr>
            <w:r w:rsidRPr="006D2680">
              <w:rPr>
                <w:lang w:eastAsia="ja-JP"/>
              </w:rPr>
              <w:t>Australian Barramundi Farmers Association</w:t>
            </w:r>
          </w:p>
        </w:tc>
        <w:tc>
          <w:tcPr>
            <w:tcW w:w="4231" w:type="dxa"/>
          </w:tcPr>
          <w:p w14:paraId="0A78F259" w14:textId="77777777" w:rsidR="00661C3B" w:rsidRPr="006D2680" w:rsidRDefault="00661C3B" w:rsidP="00DB32D7">
            <w:pPr>
              <w:pStyle w:val="TableText"/>
              <w:rPr>
                <w:lang w:eastAsia="ja-JP"/>
              </w:rPr>
            </w:pPr>
            <w:r w:rsidRPr="006D2680">
              <w:rPr>
                <w:lang w:eastAsia="ja-JP"/>
              </w:rPr>
              <w:t>Sheepmeat Council of Australia and WoolProducers Australia Limited</w:t>
            </w:r>
          </w:p>
        </w:tc>
      </w:tr>
      <w:tr w:rsidR="00661C3B" w:rsidRPr="00B11944" w14:paraId="18B8F0F8" w14:textId="77777777" w:rsidTr="00661C3B">
        <w:tc>
          <w:tcPr>
            <w:tcW w:w="4839" w:type="dxa"/>
          </w:tcPr>
          <w:p w14:paraId="6246A17E" w14:textId="77777777" w:rsidR="00661C3B" w:rsidRPr="006D2680" w:rsidRDefault="00661C3B" w:rsidP="00661C3B">
            <w:pPr>
              <w:pStyle w:val="TableText"/>
              <w:rPr>
                <w:lang w:eastAsia="ja-JP"/>
              </w:rPr>
            </w:pPr>
            <w:r w:rsidRPr="006D2680">
              <w:rPr>
                <w:lang w:eastAsia="ja-JP"/>
              </w:rPr>
              <w:t>Australian Forest Products Association</w:t>
            </w:r>
          </w:p>
        </w:tc>
        <w:tc>
          <w:tcPr>
            <w:tcW w:w="4231" w:type="dxa"/>
          </w:tcPr>
          <w:p w14:paraId="4AAE3876" w14:textId="77777777" w:rsidR="00661C3B" w:rsidRPr="006D2680" w:rsidRDefault="00661C3B" w:rsidP="00661C3B">
            <w:pPr>
              <w:pStyle w:val="TableText"/>
              <w:rPr>
                <w:lang w:eastAsia="ja-JP"/>
              </w:rPr>
            </w:pPr>
            <w:r w:rsidRPr="006D2680">
              <w:rPr>
                <w:lang w:eastAsia="ja-JP"/>
              </w:rPr>
              <w:t>Slowgrove, Gary</w:t>
            </w:r>
          </w:p>
        </w:tc>
      </w:tr>
      <w:tr w:rsidR="00661C3B" w:rsidRPr="00BE56A1" w14:paraId="3E360323" w14:textId="77777777" w:rsidTr="00661C3B">
        <w:tc>
          <w:tcPr>
            <w:tcW w:w="4839" w:type="dxa"/>
          </w:tcPr>
          <w:p w14:paraId="0A01155E" w14:textId="2B2D7C58" w:rsidR="00661C3B" w:rsidRPr="006D2680" w:rsidRDefault="00661C3B" w:rsidP="00661C3B">
            <w:pPr>
              <w:pStyle w:val="TableText"/>
              <w:rPr>
                <w:lang w:eastAsia="ja-JP"/>
              </w:rPr>
            </w:pPr>
            <w:r w:rsidRPr="006D2680">
              <w:rPr>
                <w:lang w:eastAsia="ja-JP"/>
              </w:rPr>
              <w:t>Australian Forest Products Association’s subcommittee o</w:t>
            </w:r>
            <w:r w:rsidR="000060EA">
              <w:rPr>
                <w:lang w:eastAsia="ja-JP"/>
              </w:rPr>
              <w:t>n Forest Health and Biosecurity</w:t>
            </w:r>
          </w:p>
        </w:tc>
        <w:tc>
          <w:tcPr>
            <w:tcW w:w="4231" w:type="dxa"/>
          </w:tcPr>
          <w:p w14:paraId="669D5E42" w14:textId="77777777" w:rsidR="00661C3B" w:rsidRPr="006D2680" w:rsidRDefault="00661C3B" w:rsidP="00661C3B">
            <w:pPr>
              <w:pStyle w:val="TableText"/>
              <w:rPr>
                <w:lang w:eastAsia="ja-JP"/>
              </w:rPr>
            </w:pPr>
            <w:r w:rsidRPr="009D18E4">
              <w:rPr>
                <w:lang w:eastAsia="ja-JP"/>
              </w:rPr>
              <w:t>South Australian Government</w:t>
            </w:r>
          </w:p>
        </w:tc>
      </w:tr>
      <w:tr w:rsidR="00661C3B" w:rsidRPr="00B11944" w14:paraId="1B13EB71" w14:textId="77777777" w:rsidTr="00661C3B">
        <w:tc>
          <w:tcPr>
            <w:tcW w:w="4839" w:type="dxa"/>
          </w:tcPr>
          <w:p w14:paraId="3923248A" w14:textId="77777777" w:rsidR="00661C3B" w:rsidRPr="006D2680" w:rsidRDefault="00661C3B" w:rsidP="00661C3B">
            <w:pPr>
              <w:pStyle w:val="TableText"/>
              <w:rPr>
                <w:lang w:eastAsia="ja-JP"/>
              </w:rPr>
            </w:pPr>
            <w:r w:rsidRPr="008D594D">
              <w:rPr>
                <w:lang w:eastAsia="ja-JP"/>
              </w:rPr>
              <w:t>Australian Government (Department of Agriculture and Water Resources; Department of the Environment and Energy)</w:t>
            </w:r>
          </w:p>
        </w:tc>
        <w:tc>
          <w:tcPr>
            <w:tcW w:w="4231" w:type="dxa"/>
          </w:tcPr>
          <w:p w14:paraId="143D9F46" w14:textId="77777777" w:rsidR="00661C3B" w:rsidRPr="006D2680" w:rsidRDefault="00661C3B" w:rsidP="00661C3B">
            <w:pPr>
              <w:pStyle w:val="TableText"/>
              <w:rPr>
                <w:lang w:eastAsia="ja-JP"/>
              </w:rPr>
            </w:pPr>
            <w:r w:rsidRPr="006D2680">
              <w:rPr>
                <w:lang w:eastAsia="ja-JP"/>
              </w:rPr>
              <w:t>Southern Cross Cargo Proprietary Limited</w:t>
            </w:r>
          </w:p>
        </w:tc>
      </w:tr>
      <w:tr w:rsidR="00661C3B" w:rsidRPr="00B11944" w14:paraId="67A6D837" w14:textId="77777777" w:rsidTr="00661C3B">
        <w:tc>
          <w:tcPr>
            <w:tcW w:w="4839" w:type="dxa"/>
          </w:tcPr>
          <w:p w14:paraId="663C0B91" w14:textId="77777777" w:rsidR="00661C3B" w:rsidRPr="006D2680" w:rsidRDefault="00661C3B" w:rsidP="00661C3B">
            <w:pPr>
              <w:pStyle w:val="TableText"/>
              <w:rPr>
                <w:lang w:eastAsia="ja-JP"/>
              </w:rPr>
            </w:pPr>
            <w:r w:rsidRPr="006D2680">
              <w:rPr>
                <w:lang w:eastAsia="ja-JP"/>
              </w:rPr>
              <w:t>Australian Lot Feeders’ Association</w:t>
            </w:r>
          </w:p>
        </w:tc>
        <w:tc>
          <w:tcPr>
            <w:tcW w:w="4231" w:type="dxa"/>
          </w:tcPr>
          <w:p w14:paraId="28949863" w14:textId="77777777" w:rsidR="00661C3B" w:rsidRPr="006D2680" w:rsidRDefault="00661C3B" w:rsidP="00661C3B">
            <w:pPr>
              <w:pStyle w:val="TableText"/>
              <w:rPr>
                <w:lang w:eastAsia="ja-JP"/>
              </w:rPr>
            </w:pPr>
            <w:r w:rsidRPr="006D2680">
              <w:rPr>
                <w:lang w:eastAsia="ja-JP"/>
              </w:rPr>
              <w:t>Southern Gulf NRM Limited</w:t>
            </w:r>
          </w:p>
        </w:tc>
      </w:tr>
      <w:tr w:rsidR="00661C3B" w:rsidRPr="00B11944" w14:paraId="4A518873" w14:textId="77777777" w:rsidTr="00661C3B">
        <w:tc>
          <w:tcPr>
            <w:tcW w:w="4839" w:type="dxa"/>
          </w:tcPr>
          <w:p w14:paraId="06C1B669" w14:textId="77777777" w:rsidR="00661C3B" w:rsidRPr="006D2680" w:rsidRDefault="00661C3B" w:rsidP="00661C3B">
            <w:pPr>
              <w:pStyle w:val="TableText"/>
              <w:rPr>
                <w:lang w:eastAsia="ja-JP"/>
              </w:rPr>
            </w:pPr>
            <w:r w:rsidRPr="006D2680">
              <w:rPr>
                <w:lang w:eastAsia="ja-JP"/>
              </w:rPr>
              <w:t>Australian Pork Limited</w:t>
            </w:r>
          </w:p>
        </w:tc>
        <w:tc>
          <w:tcPr>
            <w:tcW w:w="4231" w:type="dxa"/>
          </w:tcPr>
          <w:p w14:paraId="507F9A5B" w14:textId="77777777" w:rsidR="00661C3B" w:rsidRPr="006D2680" w:rsidRDefault="00661C3B" w:rsidP="00661C3B">
            <w:pPr>
              <w:pStyle w:val="TableText"/>
              <w:rPr>
                <w:lang w:eastAsia="ja-JP"/>
              </w:rPr>
            </w:pPr>
            <w:r w:rsidRPr="006D2680">
              <w:rPr>
                <w:lang w:eastAsia="ja-JP"/>
              </w:rPr>
              <w:t>Strawberry Growers Association of Western Australia Incorporated</w:t>
            </w:r>
          </w:p>
        </w:tc>
      </w:tr>
      <w:tr w:rsidR="00661C3B" w:rsidRPr="00B11944" w14:paraId="7CA0EB3B" w14:textId="77777777" w:rsidTr="00661C3B">
        <w:tc>
          <w:tcPr>
            <w:tcW w:w="4839" w:type="dxa"/>
          </w:tcPr>
          <w:p w14:paraId="34EC7321" w14:textId="77777777" w:rsidR="00661C3B" w:rsidRPr="006D2680" w:rsidRDefault="00661C3B" w:rsidP="00661C3B">
            <w:pPr>
              <w:pStyle w:val="TableText"/>
              <w:rPr>
                <w:lang w:eastAsia="ja-JP"/>
              </w:rPr>
            </w:pPr>
            <w:r w:rsidRPr="006D2680">
              <w:rPr>
                <w:lang w:eastAsia="ja-JP"/>
              </w:rPr>
              <w:t>Australian Seed Federation Limited</w:t>
            </w:r>
          </w:p>
        </w:tc>
        <w:tc>
          <w:tcPr>
            <w:tcW w:w="4231" w:type="dxa"/>
          </w:tcPr>
          <w:p w14:paraId="6E097A2C" w14:textId="77777777" w:rsidR="00661C3B" w:rsidRPr="006D2680" w:rsidRDefault="00661C3B" w:rsidP="00661C3B">
            <w:pPr>
              <w:pStyle w:val="TableText"/>
              <w:rPr>
                <w:lang w:eastAsia="ja-JP"/>
              </w:rPr>
            </w:pPr>
            <w:r w:rsidRPr="006D2680">
              <w:rPr>
                <w:lang w:eastAsia="ja-JP"/>
              </w:rPr>
              <w:t>Sydney Airport Limited</w:t>
            </w:r>
          </w:p>
        </w:tc>
      </w:tr>
      <w:tr w:rsidR="00661C3B" w:rsidRPr="00B11944" w14:paraId="5E4CFB23" w14:textId="77777777" w:rsidTr="00661C3B">
        <w:tc>
          <w:tcPr>
            <w:tcW w:w="4839" w:type="dxa"/>
          </w:tcPr>
          <w:p w14:paraId="446D4360" w14:textId="77777777" w:rsidR="00661C3B" w:rsidRPr="006D2680" w:rsidRDefault="00661C3B" w:rsidP="00661C3B">
            <w:pPr>
              <w:pStyle w:val="TableText"/>
              <w:rPr>
                <w:lang w:eastAsia="ja-JP"/>
              </w:rPr>
            </w:pPr>
            <w:r w:rsidRPr="006D2680">
              <w:rPr>
                <w:lang w:eastAsia="ja-JP"/>
              </w:rPr>
              <w:t>Australian Walnut Industry Association Incorporated, Chestnuts Australia Inc., Hazelnut Growers of Australia Inc., and Pistachio Growers’ Association Inc.</w:t>
            </w:r>
          </w:p>
        </w:tc>
        <w:tc>
          <w:tcPr>
            <w:tcW w:w="4231" w:type="dxa"/>
          </w:tcPr>
          <w:p w14:paraId="2EBE86FA" w14:textId="77777777" w:rsidR="00661C3B" w:rsidRPr="006D2680" w:rsidRDefault="00661C3B" w:rsidP="00661C3B">
            <w:pPr>
              <w:pStyle w:val="TableText"/>
              <w:rPr>
                <w:lang w:eastAsia="ja-JP"/>
              </w:rPr>
            </w:pPr>
            <w:r w:rsidRPr="006D2680">
              <w:rPr>
                <w:lang w:eastAsia="ja-JP"/>
              </w:rPr>
              <w:t>Teys Australia Proprietary Limited</w:t>
            </w:r>
          </w:p>
        </w:tc>
      </w:tr>
      <w:tr w:rsidR="00661C3B" w:rsidRPr="00B11944" w14:paraId="0AEA8360" w14:textId="77777777" w:rsidTr="00661C3B">
        <w:tc>
          <w:tcPr>
            <w:tcW w:w="4839" w:type="dxa"/>
          </w:tcPr>
          <w:p w14:paraId="4A4B5125" w14:textId="4C9621C6" w:rsidR="00661C3B" w:rsidRPr="006D2680" w:rsidRDefault="00661C3B" w:rsidP="00661C3B">
            <w:pPr>
              <w:pStyle w:val="TableText"/>
              <w:rPr>
                <w:lang w:eastAsia="ja-JP"/>
              </w:rPr>
            </w:pPr>
            <w:r w:rsidRPr="006D2680">
              <w:rPr>
                <w:lang w:eastAsia="ja-JP"/>
              </w:rPr>
              <w:t>Blue Rib</w:t>
            </w:r>
            <w:r w:rsidR="000060EA">
              <w:rPr>
                <w:lang w:eastAsia="ja-JP"/>
              </w:rPr>
              <w:t>bon Group</w:t>
            </w:r>
          </w:p>
        </w:tc>
        <w:tc>
          <w:tcPr>
            <w:tcW w:w="4231" w:type="dxa"/>
          </w:tcPr>
          <w:p w14:paraId="4674D3B4" w14:textId="77777777" w:rsidR="00661C3B" w:rsidRPr="006D2680" w:rsidRDefault="00661C3B" w:rsidP="00661C3B">
            <w:pPr>
              <w:pStyle w:val="TableText"/>
              <w:rPr>
                <w:lang w:eastAsia="ja-JP"/>
              </w:rPr>
            </w:pPr>
            <w:r w:rsidRPr="006D2680">
              <w:rPr>
                <w:lang w:eastAsia="ja-JP"/>
              </w:rPr>
              <w:t>The Australian Veterinary Association Limited</w:t>
            </w:r>
          </w:p>
        </w:tc>
      </w:tr>
      <w:tr w:rsidR="00661C3B" w:rsidRPr="00B11944" w14:paraId="513EEF7D" w14:textId="77777777" w:rsidTr="00661C3B">
        <w:tc>
          <w:tcPr>
            <w:tcW w:w="4839" w:type="dxa"/>
          </w:tcPr>
          <w:p w14:paraId="61BEAB53" w14:textId="77777777" w:rsidR="00661C3B" w:rsidRPr="006D2680" w:rsidRDefault="00661C3B" w:rsidP="00661C3B">
            <w:pPr>
              <w:pStyle w:val="TableText"/>
              <w:rPr>
                <w:lang w:eastAsia="ja-JP"/>
              </w:rPr>
            </w:pPr>
            <w:r w:rsidRPr="006D2680">
              <w:rPr>
                <w:lang w:eastAsia="ja-JP"/>
              </w:rPr>
              <w:t>Biosecurity Council of Western Australia</w:t>
            </w:r>
          </w:p>
        </w:tc>
        <w:tc>
          <w:tcPr>
            <w:tcW w:w="4231" w:type="dxa"/>
          </w:tcPr>
          <w:p w14:paraId="6ABF8ADB" w14:textId="77777777" w:rsidR="00661C3B" w:rsidRPr="006D2680" w:rsidRDefault="00661C3B" w:rsidP="00661C3B">
            <w:pPr>
              <w:pStyle w:val="TableText"/>
              <w:rPr>
                <w:lang w:eastAsia="ja-JP"/>
              </w:rPr>
            </w:pPr>
            <w:r w:rsidRPr="006D2680">
              <w:rPr>
                <w:lang w:eastAsia="ja-JP"/>
              </w:rPr>
              <w:t>The Tasmanian Salmonid Growers Association Limited</w:t>
            </w:r>
          </w:p>
        </w:tc>
      </w:tr>
      <w:tr w:rsidR="00661C3B" w:rsidRPr="00B11944" w14:paraId="6C937AD9" w14:textId="77777777" w:rsidTr="00661C3B">
        <w:tc>
          <w:tcPr>
            <w:tcW w:w="4839" w:type="dxa"/>
          </w:tcPr>
          <w:p w14:paraId="767678E1" w14:textId="77777777" w:rsidR="00661C3B" w:rsidRPr="006D2680" w:rsidRDefault="00661C3B" w:rsidP="00661C3B">
            <w:pPr>
              <w:pStyle w:val="TableText"/>
              <w:rPr>
                <w:lang w:eastAsia="ja-JP"/>
              </w:rPr>
            </w:pPr>
            <w:r w:rsidRPr="006D2680">
              <w:rPr>
                <w:lang w:eastAsia="ja-JP"/>
              </w:rPr>
              <w:t>Cattle Council of Australia</w:t>
            </w:r>
          </w:p>
        </w:tc>
        <w:tc>
          <w:tcPr>
            <w:tcW w:w="4231" w:type="dxa"/>
          </w:tcPr>
          <w:p w14:paraId="3A085436" w14:textId="77777777" w:rsidR="00661C3B" w:rsidRPr="006D2680" w:rsidRDefault="00661C3B" w:rsidP="00661C3B">
            <w:pPr>
              <w:pStyle w:val="TableText"/>
              <w:rPr>
                <w:lang w:eastAsia="ja-JP"/>
              </w:rPr>
            </w:pPr>
            <w:r w:rsidRPr="006D2680">
              <w:rPr>
                <w:lang w:eastAsia="ja-JP"/>
              </w:rPr>
              <w:t>The Tourism and Transport Forum Australia Limited</w:t>
            </w:r>
          </w:p>
        </w:tc>
      </w:tr>
      <w:tr w:rsidR="00661C3B" w:rsidRPr="00BE56A1" w14:paraId="61BD3D4D" w14:textId="77777777" w:rsidTr="00661C3B">
        <w:tc>
          <w:tcPr>
            <w:tcW w:w="4839" w:type="dxa"/>
          </w:tcPr>
          <w:p w14:paraId="70DCD1DD" w14:textId="77777777" w:rsidR="00661C3B" w:rsidRPr="006D2680" w:rsidRDefault="00661C3B" w:rsidP="00661C3B">
            <w:pPr>
              <w:pStyle w:val="TableText"/>
              <w:rPr>
                <w:lang w:eastAsia="ja-JP"/>
              </w:rPr>
            </w:pPr>
            <w:r w:rsidRPr="006D2680">
              <w:rPr>
                <w:lang w:eastAsia="ja-JP"/>
              </w:rPr>
              <w:t>Dairy Australia Limited and Australian Dairy Farmers</w:t>
            </w:r>
          </w:p>
        </w:tc>
        <w:tc>
          <w:tcPr>
            <w:tcW w:w="4231" w:type="dxa"/>
          </w:tcPr>
          <w:p w14:paraId="626BEF03" w14:textId="77777777" w:rsidR="00661C3B" w:rsidRPr="006D2680" w:rsidRDefault="00661C3B" w:rsidP="00661C3B">
            <w:pPr>
              <w:pStyle w:val="TableText"/>
              <w:rPr>
                <w:lang w:eastAsia="ja-JP"/>
              </w:rPr>
            </w:pPr>
            <w:r w:rsidRPr="006D2680">
              <w:rPr>
                <w:lang w:eastAsia="ja-JP"/>
              </w:rPr>
              <w:t>The University of Sydney</w:t>
            </w:r>
          </w:p>
        </w:tc>
      </w:tr>
      <w:tr w:rsidR="00661C3B" w:rsidRPr="00BE56A1" w14:paraId="05D59ABD" w14:textId="77777777" w:rsidTr="00661C3B">
        <w:tc>
          <w:tcPr>
            <w:tcW w:w="4839" w:type="dxa"/>
          </w:tcPr>
          <w:p w14:paraId="33E58C70" w14:textId="77777777" w:rsidR="00661C3B" w:rsidRPr="006D2680" w:rsidRDefault="00661C3B" w:rsidP="00661C3B">
            <w:pPr>
              <w:pStyle w:val="TableText"/>
              <w:rPr>
                <w:lang w:eastAsia="ja-JP"/>
              </w:rPr>
            </w:pPr>
            <w:r w:rsidRPr="006D2680">
              <w:rPr>
                <w:lang w:eastAsia="ja-JP"/>
              </w:rPr>
              <w:t>Dreamtime Wholesale Nursery</w:t>
            </w:r>
          </w:p>
        </w:tc>
        <w:tc>
          <w:tcPr>
            <w:tcW w:w="4231" w:type="dxa"/>
          </w:tcPr>
          <w:p w14:paraId="084979E2" w14:textId="77777777" w:rsidR="00661C3B" w:rsidRPr="006D2680" w:rsidRDefault="00661C3B" w:rsidP="00661C3B">
            <w:pPr>
              <w:pStyle w:val="TableText"/>
              <w:rPr>
                <w:lang w:eastAsia="ja-JP"/>
              </w:rPr>
            </w:pPr>
            <w:r w:rsidRPr="006D2680">
              <w:rPr>
                <w:lang w:eastAsia="ja-JP"/>
              </w:rPr>
              <w:t>The Western Australian Farmers Federation Incorporated</w:t>
            </w:r>
          </w:p>
        </w:tc>
      </w:tr>
      <w:tr w:rsidR="00661C3B" w:rsidRPr="00BE56A1" w14:paraId="17A8C330" w14:textId="77777777" w:rsidTr="00661C3B">
        <w:tc>
          <w:tcPr>
            <w:tcW w:w="4839" w:type="dxa"/>
          </w:tcPr>
          <w:p w14:paraId="6E9DEAA5" w14:textId="77777777" w:rsidR="00661C3B" w:rsidRPr="006D2680" w:rsidRDefault="00661C3B" w:rsidP="00661C3B">
            <w:pPr>
              <w:pStyle w:val="TableText"/>
              <w:rPr>
                <w:lang w:eastAsia="ja-JP"/>
              </w:rPr>
            </w:pPr>
            <w:r w:rsidRPr="006D2680">
              <w:rPr>
                <w:lang w:eastAsia="ja-JP"/>
              </w:rPr>
              <w:t>Export Council of Australia</w:t>
            </w:r>
          </w:p>
        </w:tc>
        <w:tc>
          <w:tcPr>
            <w:tcW w:w="4231" w:type="dxa"/>
          </w:tcPr>
          <w:p w14:paraId="3B3FBFAA" w14:textId="77777777" w:rsidR="00661C3B" w:rsidRPr="00183FBD" w:rsidRDefault="00661C3B" w:rsidP="00661C3B">
            <w:pPr>
              <w:pStyle w:val="TableText"/>
              <w:rPr>
                <w:lang w:eastAsia="ja-JP"/>
              </w:rPr>
            </w:pPr>
            <w:r w:rsidRPr="00183FBD">
              <w:rPr>
                <w:lang w:eastAsia="ja-JP"/>
              </w:rPr>
              <w:t>Victorian Government (Agriculture Victoria, Department of Economic Development, Jobs, Transport and Resources)</w:t>
            </w:r>
          </w:p>
        </w:tc>
      </w:tr>
      <w:tr w:rsidR="00661C3B" w:rsidRPr="00B11944" w14:paraId="714FF6A7" w14:textId="77777777" w:rsidTr="00661C3B">
        <w:tc>
          <w:tcPr>
            <w:tcW w:w="4839" w:type="dxa"/>
          </w:tcPr>
          <w:p w14:paraId="4054C787" w14:textId="77777777" w:rsidR="00661C3B" w:rsidRPr="006D2680" w:rsidRDefault="00661C3B" w:rsidP="00661C3B">
            <w:pPr>
              <w:pStyle w:val="TableText"/>
              <w:rPr>
                <w:lang w:eastAsia="ja-JP"/>
              </w:rPr>
            </w:pPr>
            <w:r w:rsidRPr="006D2680">
              <w:rPr>
                <w:lang w:eastAsia="ja-JP"/>
              </w:rPr>
              <w:t>Flower Association of Queensland Incorporated</w:t>
            </w:r>
          </w:p>
        </w:tc>
        <w:tc>
          <w:tcPr>
            <w:tcW w:w="4231" w:type="dxa"/>
          </w:tcPr>
          <w:p w14:paraId="0F775DA3" w14:textId="5FE7721E" w:rsidR="00661C3B" w:rsidRPr="006D2680" w:rsidRDefault="00661C3B" w:rsidP="00661C3B">
            <w:pPr>
              <w:pStyle w:val="TableText"/>
              <w:rPr>
                <w:lang w:eastAsia="ja-JP"/>
              </w:rPr>
            </w:pPr>
            <w:r w:rsidRPr="006D2680">
              <w:rPr>
                <w:lang w:eastAsia="ja-JP"/>
              </w:rPr>
              <w:t>Voice of Horticulture Limited</w:t>
            </w:r>
          </w:p>
        </w:tc>
      </w:tr>
      <w:tr w:rsidR="00661C3B" w:rsidRPr="00B11944" w14:paraId="1EC72702" w14:textId="77777777" w:rsidTr="00661C3B">
        <w:tc>
          <w:tcPr>
            <w:tcW w:w="4839" w:type="dxa"/>
          </w:tcPr>
          <w:p w14:paraId="23B6469A" w14:textId="77777777" w:rsidR="00661C3B" w:rsidRPr="006D2680" w:rsidRDefault="00661C3B" w:rsidP="00661C3B">
            <w:pPr>
              <w:pStyle w:val="TableText"/>
              <w:rPr>
                <w:lang w:eastAsia="ja-JP"/>
              </w:rPr>
            </w:pPr>
            <w:r w:rsidRPr="006D2680">
              <w:rPr>
                <w:lang w:eastAsia="ja-JP"/>
              </w:rPr>
              <w:t>Greatrex, Chris</w:t>
            </w:r>
          </w:p>
        </w:tc>
        <w:tc>
          <w:tcPr>
            <w:tcW w:w="4231" w:type="dxa"/>
          </w:tcPr>
          <w:p w14:paraId="22BF4502" w14:textId="77777777" w:rsidR="00661C3B" w:rsidRPr="006D2680" w:rsidRDefault="00661C3B" w:rsidP="00661C3B">
            <w:pPr>
              <w:pStyle w:val="TableText"/>
              <w:rPr>
                <w:lang w:eastAsia="ja-JP"/>
              </w:rPr>
            </w:pPr>
            <w:r w:rsidRPr="006D2680">
              <w:rPr>
                <w:lang w:eastAsia="ja-JP"/>
              </w:rPr>
              <w:t>West Australian Pork Producers’ Association Incorporated</w:t>
            </w:r>
          </w:p>
        </w:tc>
      </w:tr>
      <w:tr w:rsidR="00661C3B" w:rsidRPr="00B11944" w14:paraId="531C5C9F" w14:textId="77777777" w:rsidTr="00661C3B">
        <w:tc>
          <w:tcPr>
            <w:tcW w:w="4839" w:type="dxa"/>
          </w:tcPr>
          <w:p w14:paraId="593043ED" w14:textId="77777777" w:rsidR="00661C3B" w:rsidRPr="006D2680" w:rsidRDefault="00661C3B" w:rsidP="00661C3B">
            <w:pPr>
              <w:pStyle w:val="TableText"/>
              <w:rPr>
                <w:lang w:eastAsia="ja-JP"/>
              </w:rPr>
            </w:pPr>
            <w:r w:rsidRPr="006D2680">
              <w:rPr>
                <w:lang w:eastAsia="ja-JP"/>
              </w:rPr>
              <w:t>Hills Orchard Improvement Group Incorporated</w:t>
            </w:r>
          </w:p>
        </w:tc>
        <w:tc>
          <w:tcPr>
            <w:tcW w:w="4231" w:type="dxa"/>
          </w:tcPr>
          <w:p w14:paraId="2BAAD0E3" w14:textId="77777777" w:rsidR="00661C3B" w:rsidRPr="00183FBD" w:rsidRDefault="00661C3B" w:rsidP="00661C3B">
            <w:pPr>
              <w:pStyle w:val="TableText"/>
              <w:rPr>
                <w:lang w:eastAsia="ja-JP"/>
              </w:rPr>
            </w:pPr>
            <w:r w:rsidRPr="00183FBD">
              <w:rPr>
                <w:lang w:eastAsia="ja-JP"/>
              </w:rPr>
              <w:t>Western Australian Government</w:t>
            </w:r>
          </w:p>
        </w:tc>
      </w:tr>
      <w:tr w:rsidR="00661C3B" w:rsidRPr="00B11944" w14:paraId="33D86346" w14:textId="77777777" w:rsidTr="00661C3B">
        <w:tc>
          <w:tcPr>
            <w:tcW w:w="4839" w:type="dxa"/>
          </w:tcPr>
          <w:p w14:paraId="021A1688" w14:textId="77777777" w:rsidR="00661C3B" w:rsidRPr="006D2680" w:rsidRDefault="00661C3B" w:rsidP="00661C3B">
            <w:pPr>
              <w:pStyle w:val="TableText"/>
              <w:rPr>
                <w:lang w:eastAsia="ja-JP"/>
              </w:rPr>
            </w:pPr>
            <w:r w:rsidRPr="006D2680">
              <w:rPr>
                <w:lang w:eastAsia="ja-JP"/>
              </w:rPr>
              <w:t>Invasive Species Council Incorporated</w:t>
            </w:r>
          </w:p>
        </w:tc>
        <w:tc>
          <w:tcPr>
            <w:tcW w:w="4231" w:type="dxa"/>
          </w:tcPr>
          <w:p w14:paraId="3DDF1FEC" w14:textId="77777777" w:rsidR="00661C3B" w:rsidRPr="006D2680" w:rsidRDefault="00661C3B" w:rsidP="00661C3B">
            <w:pPr>
              <w:pStyle w:val="TableText"/>
              <w:rPr>
                <w:lang w:eastAsia="ja-JP"/>
              </w:rPr>
            </w:pPr>
            <w:r w:rsidRPr="006D2680">
              <w:rPr>
                <w:lang w:eastAsia="ja-JP"/>
              </w:rPr>
              <w:t>Western Australian Agricultural Produce Commission Stonefruit Committee</w:t>
            </w:r>
          </w:p>
        </w:tc>
      </w:tr>
      <w:tr w:rsidR="00661C3B" w:rsidRPr="00B11944" w14:paraId="210F05D9" w14:textId="77777777" w:rsidTr="00661C3B">
        <w:tc>
          <w:tcPr>
            <w:tcW w:w="4839" w:type="dxa"/>
          </w:tcPr>
          <w:p w14:paraId="0F654A4D" w14:textId="77777777" w:rsidR="00661C3B" w:rsidRPr="006D2680" w:rsidRDefault="00661C3B" w:rsidP="00661C3B">
            <w:pPr>
              <w:pStyle w:val="TableText"/>
              <w:rPr>
                <w:lang w:eastAsia="ja-JP"/>
              </w:rPr>
            </w:pPr>
            <w:r w:rsidRPr="006D2680">
              <w:rPr>
                <w:lang w:eastAsia="ja-JP"/>
              </w:rPr>
              <w:lastRenderedPageBreak/>
              <w:t>National Farmers’ Federation Limited</w:t>
            </w:r>
          </w:p>
        </w:tc>
        <w:tc>
          <w:tcPr>
            <w:tcW w:w="4231" w:type="dxa"/>
          </w:tcPr>
          <w:p w14:paraId="3BE02598" w14:textId="77777777" w:rsidR="00661C3B" w:rsidRPr="006D2680" w:rsidRDefault="00661C3B" w:rsidP="00661C3B">
            <w:pPr>
              <w:pStyle w:val="TableText"/>
              <w:rPr>
                <w:lang w:eastAsia="ja-JP"/>
              </w:rPr>
            </w:pPr>
            <w:r w:rsidRPr="006D2680">
              <w:rPr>
                <w:lang w:eastAsia="ja-JP"/>
              </w:rPr>
              <w:t>Western Australian Local Government Association</w:t>
            </w:r>
          </w:p>
        </w:tc>
      </w:tr>
      <w:tr w:rsidR="00661C3B" w:rsidRPr="00B11944" w14:paraId="3E5A3CD8" w14:textId="77777777" w:rsidTr="00661C3B">
        <w:tc>
          <w:tcPr>
            <w:tcW w:w="4839" w:type="dxa"/>
          </w:tcPr>
          <w:p w14:paraId="58601033" w14:textId="77777777" w:rsidR="00661C3B" w:rsidRPr="006D2680" w:rsidRDefault="00661C3B" w:rsidP="00661C3B">
            <w:pPr>
              <w:pStyle w:val="TableText"/>
              <w:rPr>
                <w:lang w:eastAsia="ja-JP"/>
              </w:rPr>
            </w:pPr>
            <w:r w:rsidRPr="006D2680">
              <w:rPr>
                <w:lang w:eastAsia="ja-JP"/>
              </w:rPr>
              <w:t>Nature Conservation Society of South Australia Incorporated</w:t>
            </w:r>
          </w:p>
        </w:tc>
        <w:tc>
          <w:tcPr>
            <w:tcW w:w="4231" w:type="dxa"/>
          </w:tcPr>
          <w:p w14:paraId="785A6178" w14:textId="77777777" w:rsidR="00661C3B" w:rsidRPr="006D2680" w:rsidRDefault="00661C3B" w:rsidP="00661C3B">
            <w:pPr>
              <w:pStyle w:val="TableText"/>
              <w:rPr>
                <w:lang w:eastAsia="ja-JP"/>
              </w:rPr>
            </w:pPr>
            <w:r w:rsidRPr="006D2680">
              <w:rPr>
                <w:lang w:eastAsia="ja-JP"/>
              </w:rPr>
              <w:t>Wildlife Health Australia Incorporated</w:t>
            </w:r>
          </w:p>
        </w:tc>
      </w:tr>
      <w:tr w:rsidR="00661C3B" w:rsidRPr="00B11944" w14:paraId="0AD30C6E" w14:textId="77777777" w:rsidTr="00661C3B">
        <w:tc>
          <w:tcPr>
            <w:tcW w:w="4839" w:type="dxa"/>
          </w:tcPr>
          <w:p w14:paraId="26DCF4E0" w14:textId="77777777" w:rsidR="00661C3B" w:rsidRPr="006D2680" w:rsidRDefault="00661C3B" w:rsidP="00661C3B">
            <w:pPr>
              <w:pStyle w:val="TableText"/>
              <w:rPr>
                <w:lang w:eastAsia="ja-JP"/>
              </w:rPr>
            </w:pPr>
            <w:r w:rsidRPr="006D2680">
              <w:rPr>
                <w:lang w:eastAsia="ja-JP"/>
              </w:rPr>
              <w:t>Northern Territory Farmers Association Incorporated</w:t>
            </w:r>
          </w:p>
        </w:tc>
        <w:tc>
          <w:tcPr>
            <w:tcW w:w="4231" w:type="dxa"/>
          </w:tcPr>
          <w:p w14:paraId="05AAF704" w14:textId="77777777" w:rsidR="00661C3B" w:rsidRPr="006D2680" w:rsidRDefault="00661C3B" w:rsidP="00661C3B">
            <w:pPr>
              <w:pStyle w:val="TableText"/>
              <w:rPr>
                <w:lang w:eastAsia="ja-JP"/>
              </w:rPr>
            </w:pPr>
            <w:r w:rsidRPr="006D2680">
              <w:rPr>
                <w:lang w:eastAsia="ja-JP"/>
              </w:rPr>
              <w:t>Wildlife Preservation Society of Queensland Incorporated</w:t>
            </w:r>
          </w:p>
        </w:tc>
      </w:tr>
      <w:tr w:rsidR="00661C3B" w:rsidRPr="00B11944" w14:paraId="618B1F6A" w14:textId="77777777" w:rsidTr="00661C3B">
        <w:tc>
          <w:tcPr>
            <w:tcW w:w="4839" w:type="dxa"/>
          </w:tcPr>
          <w:p w14:paraId="5D907F5F" w14:textId="77777777" w:rsidR="00661C3B" w:rsidRPr="006D2680" w:rsidRDefault="00661C3B" w:rsidP="00661C3B">
            <w:pPr>
              <w:pStyle w:val="TableText"/>
              <w:rPr>
                <w:lang w:eastAsia="ja-JP"/>
              </w:rPr>
            </w:pPr>
            <w:r w:rsidRPr="009D18E4">
              <w:rPr>
                <w:lang w:eastAsia="ja-JP"/>
              </w:rPr>
              <w:t>New South Wales Government Department of Primary Industries</w:t>
            </w:r>
          </w:p>
        </w:tc>
        <w:tc>
          <w:tcPr>
            <w:tcW w:w="4231" w:type="dxa"/>
          </w:tcPr>
          <w:p w14:paraId="0B734E2F" w14:textId="77777777" w:rsidR="00661C3B" w:rsidRPr="006D2680" w:rsidRDefault="00661C3B" w:rsidP="00661C3B">
            <w:pPr>
              <w:pStyle w:val="TableText"/>
              <w:rPr>
                <w:lang w:eastAsia="ja-JP"/>
              </w:rPr>
            </w:pPr>
            <w:r w:rsidRPr="006D2680">
              <w:rPr>
                <w:lang w:eastAsia="ja-JP"/>
              </w:rPr>
              <w:t>Wine Tasmania</w:t>
            </w:r>
          </w:p>
        </w:tc>
      </w:tr>
      <w:tr w:rsidR="00661C3B" w:rsidRPr="00B11944" w14:paraId="506337C1" w14:textId="77777777" w:rsidTr="00661C3B">
        <w:tc>
          <w:tcPr>
            <w:tcW w:w="4839" w:type="dxa"/>
          </w:tcPr>
          <w:p w14:paraId="31410425" w14:textId="77777777" w:rsidR="00661C3B" w:rsidRPr="006D2680" w:rsidRDefault="00661C3B" w:rsidP="00661C3B">
            <w:pPr>
              <w:pStyle w:val="TableText"/>
              <w:rPr>
                <w:lang w:eastAsia="ja-JP"/>
              </w:rPr>
            </w:pPr>
            <w:r w:rsidRPr="006D2680">
              <w:rPr>
                <w:lang w:eastAsia="ja-JP"/>
              </w:rPr>
              <w:t>Nursery and Garden Industry Association Australia Limited</w:t>
            </w:r>
          </w:p>
        </w:tc>
        <w:tc>
          <w:tcPr>
            <w:tcW w:w="4231" w:type="dxa"/>
          </w:tcPr>
          <w:p w14:paraId="2648C2BB" w14:textId="77777777" w:rsidR="00661C3B" w:rsidRPr="009D18E4" w:rsidRDefault="00661C3B" w:rsidP="00661C3B">
            <w:pPr>
              <w:pStyle w:val="TableText"/>
              <w:rPr>
                <w:i/>
                <w:lang w:eastAsia="ja-JP"/>
              </w:rPr>
            </w:pPr>
            <w:r w:rsidRPr="009D18E4">
              <w:rPr>
                <w:i/>
                <w:lang w:eastAsia="ja-JP"/>
              </w:rPr>
              <w:t>Confidential submissions (7)</w:t>
            </w:r>
          </w:p>
        </w:tc>
      </w:tr>
      <w:tr w:rsidR="00661C3B" w:rsidRPr="00B11944" w14:paraId="731C7069" w14:textId="77777777" w:rsidTr="00661C3B">
        <w:tc>
          <w:tcPr>
            <w:tcW w:w="4839" w:type="dxa"/>
          </w:tcPr>
          <w:p w14:paraId="095ECD52" w14:textId="77777777" w:rsidR="00661C3B" w:rsidRPr="006D2680" w:rsidRDefault="00661C3B" w:rsidP="00661C3B">
            <w:pPr>
              <w:pStyle w:val="TableText"/>
              <w:rPr>
                <w:lang w:eastAsia="ja-JP"/>
              </w:rPr>
            </w:pPr>
            <w:r w:rsidRPr="006D2680">
              <w:rPr>
                <w:lang w:eastAsia="ja-JP"/>
              </w:rPr>
              <w:t>Plant Biosecurity Cooperative Research Centre</w:t>
            </w:r>
          </w:p>
        </w:tc>
        <w:tc>
          <w:tcPr>
            <w:tcW w:w="4231" w:type="dxa"/>
          </w:tcPr>
          <w:p w14:paraId="14F76CFA" w14:textId="77777777" w:rsidR="00661C3B" w:rsidRPr="006D2680" w:rsidRDefault="00661C3B" w:rsidP="00661C3B">
            <w:pPr>
              <w:pStyle w:val="TableText"/>
              <w:rPr>
                <w:lang w:eastAsia="ja-JP"/>
              </w:rPr>
            </w:pPr>
          </w:p>
        </w:tc>
      </w:tr>
      <w:tr w:rsidR="00661C3B" w:rsidRPr="00B11944" w14:paraId="638BC654" w14:textId="77777777" w:rsidTr="00661C3B">
        <w:tc>
          <w:tcPr>
            <w:tcW w:w="4839" w:type="dxa"/>
          </w:tcPr>
          <w:p w14:paraId="251151D3" w14:textId="77777777" w:rsidR="00661C3B" w:rsidRPr="006D2680" w:rsidRDefault="00661C3B" w:rsidP="00661C3B">
            <w:pPr>
              <w:pStyle w:val="TableText"/>
              <w:rPr>
                <w:lang w:eastAsia="ja-JP"/>
              </w:rPr>
            </w:pPr>
            <w:r w:rsidRPr="006D2680">
              <w:rPr>
                <w:lang w:eastAsia="ja-JP"/>
              </w:rPr>
              <w:t>Plant Health Australia Limited</w:t>
            </w:r>
          </w:p>
        </w:tc>
        <w:tc>
          <w:tcPr>
            <w:tcW w:w="4231" w:type="dxa"/>
          </w:tcPr>
          <w:p w14:paraId="247CD1DD" w14:textId="77777777" w:rsidR="00661C3B" w:rsidRPr="006D2680" w:rsidRDefault="00661C3B" w:rsidP="00661C3B">
            <w:pPr>
              <w:pStyle w:val="TableText"/>
              <w:rPr>
                <w:lang w:eastAsia="ja-JP"/>
              </w:rPr>
            </w:pPr>
          </w:p>
        </w:tc>
      </w:tr>
      <w:tr w:rsidR="00661C3B" w:rsidRPr="00B11944" w14:paraId="20C4F1E4" w14:textId="77777777" w:rsidTr="00661C3B">
        <w:tc>
          <w:tcPr>
            <w:tcW w:w="4839" w:type="dxa"/>
          </w:tcPr>
          <w:p w14:paraId="04446374" w14:textId="77777777" w:rsidR="00661C3B" w:rsidRPr="006D2680" w:rsidRDefault="00661C3B" w:rsidP="00661C3B">
            <w:pPr>
              <w:pStyle w:val="TableText"/>
              <w:rPr>
                <w:lang w:eastAsia="ja-JP"/>
              </w:rPr>
            </w:pPr>
            <w:r w:rsidRPr="006D2680">
              <w:rPr>
                <w:lang w:eastAsia="ja-JP"/>
              </w:rPr>
              <w:t xml:space="preserve">Ports Australia </w:t>
            </w:r>
          </w:p>
        </w:tc>
        <w:tc>
          <w:tcPr>
            <w:tcW w:w="4231" w:type="dxa"/>
          </w:tcPr>
          <w:p w14:paraId="4EA811F0" w14:textId="77777777" w:rsidR="00661C3B" w:rsidRPr="006D2680" w:rsidRDefault="00661C3B" w:rsidP="00661C3B">
            <w:pPr>
              <w:pStyle w:val="TableText"/>
              <w:rPr>
                <w:lang w:eastAsia="ja-JP"/>
              </w:rPr>
            </w:pPr>
          </w:p>
        </w:tc>
      </w:tr>
      <w:tr w:rsidR="00661C3B" w:rsidRPr="00B11944" w14:paraId="7DF5E8E3" w14:textId="77777777" w:rsidTr="00661C3B">
        <w:tc>
          <w:tcPr>
            <w:tcW w:w="4839" w:type="dxa"/>
          </w:tcPr>
          <w:p w14:paraId="3E80792A" w14:textId="77777777" w:rsidR="00661C3B" w:rsidRPr="006D2680" w:rsidRDefault="00661C3B" w:rsidP="00661C3B">
            <w:pPr>
              <w:pStyle w:val="TableText"/>
              <w:rPr>
                <w:lang w:eastAsia="ja-JP"/>
              </w:rPr>
            </w:pPr>
            <w:r w:rsidRPr="006D2680">
              <w:rPr>
                <w:lang w:eastAsia="ja-JP"/>
              </w:rPr>
              <w:t>Pratley, James</w:t>
            </w:r>
          </w:p>
        </w:tc>
        <w:tc>
          <w:tcPr>
            <w:tcW w:w="4231" w:type="dxa"/>
          </w:tcPr>
          <w:p w14:paraId="61B52915" w14:textId="77777777" w:rsidR="00661C3B" w:rsidRPr="006D2680" w:rsidRDefault="00661C3B" w:rsidP="00661C3B">
            <w:pPr>
              <w:pStyle w:val="TableText"/>
              <w:rPr>
                <w:lang w:eastAsia="ja-JP"/>
              </w:rPr>
            </w:pPr>
          </w:p>
        </w:tc>
      </w:tr>
      <w:tr w:rsidR="00661C3B" w:rsidRPr="00B11944" w14:paraId="17F9CDC8" w14:textId="77777777" w:rsidTr="00661C3B">
        <w:tc>
          <w:tcPr>
            <w:tcW w:w="4839" w:type="dxa"/>
          </w:tcPr>
          <w:p w14:paraId="5DF439A2" w14:textId="77777777" w:rsidR="00661C3B" w:rsidRPr="006D2680" w:rsidRDefault="00661C3B" w:rsidP="00661C3B">
            <w:pPr>
              <w:pStyle w:val="TableText"/>
              <w:rPr>
                <w:lang w:eastAsia="ja-JP"/>
              </w:rPr>
            </w:pPr>
            <w:r w:rsidRPr="009D18E4">
              <w:rPr>
                <w:lang w:eastAsia="ja-JP"/>
              </w:rPr>
              <w:t>Queensland Government Department of Agriculture and Fisheries</w:t>
            </w:r>
          </w:p>
        </w:tc>
        <w:tc>
          <w:tcPr>
            <w:tcW w:w="4231" w:type="dxa"/>
          </w:tcPr>
          <w:p w14:paraId="7D53EEB7" w14:textId="77777777" w:rsidR="00661C3B" w:rsidRPr="009D18E4" w:rsidRDefault="00661C3B" w:rsidP="00661C3B">
            <w:pPr>
              <w:pStyle w:val="TableText"/>
              <w:rPr>
                <w:i/>
                <w:lang w:eastAsia="ja-JP"/>
              </w:rPr>
            </w:pPr>
          </w:p>
        </w:tc>
      </w:tr>
    </w:tbl>
    <w:p w14:paraId="65582953" w14:textId="77777777" w:rsidR="00280A78" w:rsidRDefault="00280A78" w:rsidP="0070601C">
      <w:pPr>
        <w:rPr>
          <w:lang w:eastAsia="ja-JP"/>
        </w:rPr>
      </w:pPr>
    </w:p>
    <w:p w14:paraId="023653C9" w14:textId="77777777" w:rsidR="00280A78" w:rsidRDefault="00280A78" w:rsidP="0070601C">
      <w:pPr>
        <w:rPr>
          <w:lang w:eastAsia="ja-JP"/>
        </w:rPr>
      </w:pPr>
      <w:r>
        <w:rPr>
          <w:lang w:eastAsia="ja-JP"/>
        </w:rPr>
        <w:t>The Review Panel has consulted a range of stakeholders in the preparation of the Draft Report (</w:t>
      </w:r>
      <w:r>
        <w:rPr>
          <w:lang w:eastAsia="ja-JP"/>
        </w:rPr>
        <w:fldChar w:fldCharType="begin"/>
      </w:r>
      <w:r>
        <w:rPr>
          <w:lang w:eastAsia="ja-JP"/>
        </w:rPr>
        <w:instrText xml:space="preserve"> REF _Ref467676835 \h </w:instrText>
      </w:r>
      <w:r>
        <w:rPr>
          <w:lang w:eastAsia="ja-JP"/>
        </w:rPr>
      </w:r>
      <w:r>
        <w:rPr>
          <w:lang w:eastAsia="ja-JP"/>
        </w:rPr>
        <w:fldChar w:fldCharType="separate"/>
      </w:r>
      <w:r w:rsidR="008303E2" w:rsidRPr="00590407">
        <w:t xml:space="preserve">Table </w:t>
      </w:r>
      <w:r w:rsidR="008303E2">
        <w:rPr>
          <w:noProof/>
        </w:rPr>
        <w:t>15</w:t>
      </w:r>
      <w:r>
        <w:rPr>
          <w:lang w:eastAsia="ja-JP"/>
        </w:rPr>
        <w:fldChar w:fldCharType="end"/>
      </w:r>
      <w:r>
        <w:rPr>
          <w:lang w:eastAsia="ja-JP"/>
        </w:rPr>
        <w:t>):</w:t>
      </w:r>
    </w:p>
    <w:p w14:paraId="7938F871" w14:textId="77777777" w:rsidR="00280A78" w:rsidRPr="00590407" w:rsidRDefault="00280A78" w:rsidP="00280A78">
      <w:pPr>
        <w:pStyle w:val="Caption"/>
        <w:rPr>
          <w:sz w:val="22"/>
          <w:szCs w:val="22"/>
          <w:lang w:eastAsia="ja-JP"/>
        </w:rPr>
      </w:pPr>
      <w:bookmarkStart w:id="260" w:name="_Ref467676835"/>
      <w:bookmarkStart w:id="261" w:name="_Toc468176735"/>
      <w:r w:rsidRPr="00590407">
        <w:rPr>
          <w:sz w:val="22"/>
          <w:szCs w:val="22"/>
        </w:rPr>
        <w:t xml:space="preserve">Table </w:t>
      </w:r>
      <w:r w:rsidR="00D56373" w:rsidRPr="00590407">
        <w:rPr>
          <w:sz w:val="22"/>
          <w:szCs w:val="22"/>
        </w:rPr>
        <w:fldChar w:fldCharType="begin"/>
      </w:r>
      <w:r w:rsidR="00D56373" w:rsidRPr="00590407">
        <w:rPr>
          <w:sz w:val="22"/>
          <w:szCs w:val="22"/>
        </w:rPr>
        <w:instrText xml:space="preserve"> SEQ Table \* ARABIC </w:instrText>
      </w:r>
      <w:r w:rsidR="00D56373" w:rsidRPr="00590407">
        <w:rPr>
          <w:sz w:val="22"/>
          <w:szCs w:val="22"/>
        </w:rPr>
        <w:fldChar w:fldCharType="separate"/>
      </w:r>
      <w:r w:rsidR="008303E2">
        <w:rPr>
          <w:noProof/>
          <w:sz w:val="22"/>
          <w:szCs w:val="22"/>
        </w:rPr>
        <w:t>15</w:t>
      </w:r>
      <w:r w:rsidR="00D56373" w:rsidRPr="00590407">
        <w:rPr>
          <w:noProof/>
          <w:sz w:val="22"/>
          <w:szCs w:val="22"/>
        </w:rPr>
        <w:fldChar w:fldCharType="end"/>
      </w:r>
      <w:bookmarkEnd w:id="260"/>
      <w:r w:rsidRPr="00590407">
        <w:rPr>
          <w:sz w:val="22"/>
          <w:szCs w:val="22"/>
        </w:rPr>
        <w:t>: Stakeholders consulted</w:t>
      </w:r>
      <w:bookmarkEnd w:id="261"/>
      <w:r w:rsidRPr="00590407">
        <w:rPr>
          <w:sz w:val="22"/>
          <w:szCs w:val="22"/>
        </w:rPr>
        <w:t xml:space="preserve"> </w:t>
      </w:r>
    </w:p>
    <w:tbl>
      <w:tblPr>
        <w:tblStyle w:val="TableGrid"/>
        <w:tblW w:w="0" w:type="auto"/>
        <w:tblBorders>
          <w:left w:val="none" w:sz="0" w:space="0" w:color="auto"/>
          <w:right w:val="none" w:sz="0" w:space="0" w:color="auto"/>
          <w:insideH w:val="none" w:sz="0" w:space="0" w:color="auto"/>
        </w:tblBorders>
        <w:tblLook w:val="04A0" w:firstRow="1" w:lastRow="0" w:firstColumn="1" w:lastColumn="0" w:noHBand="0" w:noVBand="1"/>
      </w:tblPr>
      <w:tblGrid>
        <w:gridCol w:w="4829"/>
        <w:gridCol w:w="4241"/>
      </w:tblGrid>
      <w:tr w:rsidR="00943E1E" w:rsidRPr="00A31657" w14:paraId="25327D73" w14:textId="77777777" w:rsidTr="00943E1E">
        <w:trPr>
          <w:tblHeader/>
        </w:trPr>
        <w:tc>
          <w:tcPr>
            <w:tcW w:w="4829" w:type="dxa"/>
          </w:tcPr>
          <w:p w14:paraId="4B8DCCE3" w14:textId="6659F5EF" w:rsidR="00943E1E" w:rsidRPr="00A31657" w:rsidRDefault="00943E1E" w:rsidP="00943E1E">
            <w:pPr>
              <w:pStyle w:val="TableHeading"/>
            </w:pPr>
            <w:r>
              <w:t>Organisation/individual</w:t>
            </w:r>
          </w:p>
        </w:tc>
        <w:tc>
          <w:tcPr>
            <w:tcW w:w="4241" w:type="dxa"/>
          </w:tcPr>
          <w:p w14:paraId="19F9F4D6" w14:textId="40FB3C57" w:rsidR="00943E1E" w:rsidRPr="00A31657" w:rsidRDefault="00943E1E" w:rsidP="00943E1E">
            <w:pPr>
              <w:pStyle w:val="TableHeading"/>
            </w:pPr>
            <w:r w:rsidRPr="00943E1E">
              <w:t>Organisation/individual</w:t>
            </w:r>
          </w:p>
        </w:tc>
      </w:tr>
      <w:tr w:rsidR="00661C3B" w:rsidRPr="00A31657" w14:paraId="242B4869" w14:textId="77777777" w:rsidTr="00661C3B">
        <w:tc>
          <w:tcPr>
            <w:tcW w:w="4829" w:type="dxa"/>
          </w:tcPr>
          <w:p w14:paraId="19A010A0" w14:textId="77777777" w:rsidR="00661C3B" w:rsidRPr="00A31657" w:rsidRDefault="00661C3B" w:rsidP="00661C3B">
            <w:pPr>
              <w:pStyle w:val="TableText"/>
            </w:pPr>
            <w:r w:rsidRPr="00A31657">
              <w:t>AgForce Queensland</w:t>
            </w:r>
          </w:p>
        </w:tc>
        <w:tc>
          <w:tcPr>
            <w:tcW w:w="4241" w:type="dxa"/>
          </w:tcPr>
          <w:p w14:paraId="2CAA8133" w14:textId="77777777" w:rsidR="00661C3B" w:rsidRPr="00A31657" w:rsidRDefault="00661C3B" w:rsidP="00661C3B">
            <w:pPr>
              <w:pStyle w:val="TableText"/>
            </w:pPr>
            <w:r w:rsidRPr="00A31657">
              <w:t>PrimeSafe (Victoria)</w:t>
            </w:r>
          </w:p>
        </w:tc>
      </w:tr>
      <w:tr w:rsidR="00661C3B" w:rsidRPr="00A31657" w14:paraId="5E763122" w14:textId="77777777" w:rsidTr="00661C3B">
        <w:tc>
          <w:tcPr>
            <w:tcW w:w="4829" w:type="dxa"/>
          </w:tcPr>
          <w:p w14:paraId="2B85B78B" w14:textId="77777777" w:rsidR="00661C3B" w:rsidRPr="00A31657" w:rsidRDefault="00661C3B" w:rsidP="00661AA0">
            <w:pPr>
              <w:pStyle w:val="TableText"/>
            </w:pPr>
            <w:r w:rsidRPr="00A31657">
              <w:t xml:space="preserve">Agility Logistics </w:t>
            </w:r>
            <w:r w:rsidR="00661AA0">
              <w:t>Pty Ltd</w:t>
            </w:r>
          </w:p>
        </w:tc>
        <w:tc>
          <w:tcPr>
            <w:tcW w:w="4241" w:type="dxa"/>
          </w:tcPr>
          <w:p w14:paraId="43DF0957" w14:textId="77777777" w:rsidR="00661C3B" w:rsidRPr="00A31657" w:rsidRDefault="00661C3B" w:rsidP="00661C3B">
            <w:pPr>
              <w:pStyle w:val="TableText"/>
            </w:pPr>
            <w:r w:rsidRPr="00A31657">
              <w:t xml:space="preserve">Queensland Dairyfarmers’ Organisation </w:t>
            </w:r>
            <w:r w:rsidR="00661AA0">
              <w:t>Ltd</w:t>
            </w:r>
          </w:p>
        </w:tc>
      </w:tr>
      <w:tr w:rsidR="00661C3B" w:rsidRPr="00A31657" w14:paraId="2A9F6D6D" w14:textId="77777777" w:rsidTr="00661C3B">
        <w:tc>
          <w:tcPr>
            <w:tcW w:w="4829" w:type="dxa"/>
          </w:tcPr>
          <w:p w14:paraId="7747E015" w14:textId="77777777" w:rsidR="00661C3B" w:rsidRPr="00A31657" w:rsidRDefault="00661C3B" w:rsidP="00661AA0">
            <w:pPr>
              <w:pStyle w:val="TableText"/>
            </w:pPr>
            <w:r w:rsidRPr="00A31657">
              <w:t xml:space="preserve">Animal Health Australia </w:t>
            </w:r>
            <w:r w:rsidR="00661AA0">
              <w:t>Ltd</w:t>
            </w:r>
          </w:p>
        </w:tc>
        <w:tc>
          <w:tcPr>
            <w:tcW w:w="4241" w:type="dxa"/>
          </w:tcPr>
          <w:p w14:paraId="1B6C73B3" w14:textId="77777777" w:rsidR="00661C3B" w:rsidRPr="00A31657" w:rsidRDefault="00661C3B" w:rsidP="00661AA0">
            <w:pPr>
              <w:pStyle w:val="TableText"/>
            </w:pPr>
            <w:r w:rsidRPr="00A31657">
              <w:t xml:space="preserve">Queensland Murray-Darling Committee </w:t>
            </w:r>
            <w:r w:rsidR="00661AA0">
              <w:t>Inc.</w:t>
            </w:r>
          </w:p>
        </w:tc>
      </w:tr>
      <w:tr w:rsidR="00661C3B" w:rsidRPr="00A31657" w14:paraId="0A26FD80" w14:textId="77777777" w:rsidTr="00661C3B">
        <w:tc>
          <w:tcPr>
            <w:tcW w:w="4829" w:type="dxa"/>
          </w:tcPr>
          <w:p w14:paraId="4135A871" w14:textId="77777777" w:rsidR="00661C3B" w:rsidRPr="00A31657" w:rsidRDefault="00661C3B" w:rsidP="00661C3B">
            <w:pPr>
              <w:pStyle w:val="TableText"/>
            </w:pPr>
            <w:r w:rsidRPr="00A31657">
              <w:t xml:space="preserve">Apple and Pear Australia </w:t>
            </w:r>
            <w:r w:rsidR="00661AA0">
              <w:t>Ltd</w:t>
            </w:r>
          </w:p>
        </w:tc>
        <w:tc>
          <w:tcPr>
            <w:tcW w:w="4241" w:type="dxa"/>
          </w:tcPr>
          <w:p w14:paraId="428BD995" w14:textId="77777777" w:rsidR="00661C3B" w:rsidRPr="00A31657" w:rsidRDefault="00661C3B" w:rsidP="00661C3B">
            <w:pPr>
              <w:pStyle w:val="TableText"/>
            </w:pPr>
            <w:r w:rsidRPr="00A31657">
              <w:t xml:space="preserve">Queensland Tourism Industry Council </w:t>
            </w:r>
            <w:r w:rsidR="00661AA0">
              <w:t>Ltd</w:t>
            </w:r>
          </w:p>
        </w:tc>
      </w:tr>
      <w:tr w:rsidR="00661C3B" w:rsidRPr="00A31657" w14:paraId="24E72BA5" w14:textId="77777777" w:rsidTr="00661C3B">
        <w:tc>
          <w:tcPr>
            <w:tcW w:w="4829" w:type="dxa"/>
          </w:tcPr>
          <w:p w14:paraId="14D7DF36" w14:textId="77777777" w:rsidR="00661C3B" w:rsidRPr="00A31657" w:rsidRDefault="00661C3B" w:rsidP="00661C3B">
            <w:pPr>
              <w:pStyle w:val="TableText"/>
            </w:pPr>
            <w:r w:rsidRPr="00A31657">
              <w:t>Australian Chicken Growers Council</w:t>
            </w:r>
          </w:p>
        </w:tc>
        <w:tc>
          <w:tcPr>
            <w:tcW w:w="4241" w:type="dxa"/>
          </w:tcPr>
          <w:p w14:paraId="389AC793" w14:textId="77777777" w:rsidR="00661C3B" w:rsidRPr="00A31657" w:rsidRDefault="00661C3B" w:rsidP="00661C3B">
            <w:pPr>
              <w:pStyle w:val="TableText"/>
            </w:pPr>
            <w:r>
              <w:t>Reid Fruits</w:t>
            </w:r>
          </w:p>
        </w:tc>
      </w:tr>
      <w:tr w:rsidR="00661C3B" w:rsidRPr="00A31657" w14:paraId="6DF90730" w14:textId="77777777" w:rsidTr="00661C3B">
        <w:tc>
          <w:tcPr>
            <w:tcW w:w="4829" w:type="dxa"/>
          </w:tcPr>
          <w:p w14:paraId="5382193B" w14:textId="77777777" w:rsidR="00661C3B" w:rsidRPr="00A31657" w:rsidRDefault="00661C3B" w:rsidP="00661AA0">
            <w:pPr>
              <w:pStyle w:val="TableText"/>
            </w:pPr>
            <w:r w:rsidRPr="00A31657">
              <w:t xml:space="preserve">Australian Egg Corporation </w:t>
            </w:r>
            <w:r w:rsidR="00661AA0">
              <w:t>Ltd</w:t>
            </w:r>
          </w:p>
        </w:tc>
        <w:tc>
          <w:tcPr>
            <w:tcW w:w="4241" w:type="dxa"/>
          </w:tcPr>
          <w:p w14:paraId="410EC06E" w14:textId="77777777" w:rsidR="00661C3B" w:rsidRPr="00A31657" w:rsidRDefault="00661C3B" w:rsidP="00661C3B">
            <w:pPr>
              <w:pStyle w:val="TableText"/>
            </w:pPr>
            <w:r w:rsidRPr="00A31657">
              <w:t>Sheepmeat Council of Australia</w:t>
            </w:r>
          </w:p>
        </w:tc>
      </w:tr>
      <w:tr w:rsidR="00661C3B" w:rsidRPr="00A31657" w14:paraId="25EB98F0" w14:textId="77777777" w:rsidTr="00661C3B">
        <w:tc>
          <w:tcPr>
            <w:tcW w:w="4829" w:type="dxa"/>
          </w:tcPr>
          <w:p w14:paraId="0595A45E" w14:textId="77777777" w:rsidR="00661C3B" w:rsidRPr="00A31657" w:rsidRDefault="00661C3B" w:rsidP="00661C3B">
            <w:pPr>
              <w:pStyle w:val="TableText"/>
            </w:pPr>
            <w:r w:rsidRPr="00A31657">
              <w:t>Australian Farm Institute</w:t>
            </w:r>
          </w:p>
        </w:tc>
        <w:tc>
          <w:tcPr>
            <w:tcW w:w="4241" w:type="dxa"/>
          </w:tcPr>
          <w:p w14:paraId="58CF5B3A" w14:textId="77777777" w:rsidR="00661C3B" w:rsidRPr="00A31657" w:rsidRDefault="00661C3B" w:rsidP="00661C3B">
            <w:pPr>
              <w:pStyle w:val="TableText"/>
            </w:pPr>
            <w:r w:rsidRPr="00A31657">
              <w:t xml:space="preserve">Shipping Australia </w:t>
            </w:r>
            <w:r w:rsidR="00661AA0">
              <w:t>Ltd</w:t>
            </w:r>
          </w:p>
        </w:tc>
      </w:tr>
      <w:tr w:rsidR="00661C3B" w:rsidRPr="00A31657" w14:paraId="40303284" w14:textId="77777777" w:rsidTr="00661C3B">
        <w:tc>
          <w:tcPr>
            <w:tcW w:w="4829" w:type="dxa"/>
          </w:tcPr>
          <w:p w14:paraId="5A56F2FF" w14:textId="77777777" w:rsidR="00661C3B" w:rsidRPr="00A31657" w:rsidRDefault="00661C3B" w:rsidP="00661AA0">
            <w:pPr>
              <w:pStyle w:val="TableText"/>
            </w:pPr>
            <w:r w:rsidRPr="00A31657">
              <w:t xml:space="preserve">Australian Federation of International Forwarders </w:t>
            </w:r>
            <w:r w:rsidR="00661AA0">
              <w:t>Ltd</w:t>
            </w:r>
          </w:p>
        </w:tc>
        <w:tc>
          <w:tcPr>
            <w:tcW w:w="4241" w:type="dxa"/>
          </w:tcPr>
          <w:p w14:paraId="54B5093C" w14:textId="77777777" w:rsidR="00661C3B" w:rsidRPr="00A31657" w:rsidRDefault="00661C3B" w:rsidP="00661AA0">
            <w:pPr>
              <w:pStyle w:val="TableText"/>
            </w:pPr>
            <w:r w:rsidRPr="00A31657">
              <w:t xml:space="preserve">South Australian Freight Council </w:t>
            </w:r>
            <w:r w:rsidR="00661AA0">
              <w:t>Inc.</w:t>
            </w:r>
          </w:p>
        </w:tc>
      </w:tr>
      <w:tr w:rsidR="00661C3B" w:rsidRPr="00A31657" w14:paraId="2EE19DFE" w14:textId="77777777" w:rsidTr="00661C3B">
        <w:tc>
          <w:tcPr>
            <w:tcW w:w="4829" w:type="dxa"/>
          </w:tcPr>
          <w:p w14:paraId="140EC520" w14:textId="77777777" w:rsidR="00661C3B" w:rsidRPr="00A31657" w:rsidRDefault="00661C3B" w:rsidP="00661AA0">
            <w:pPr>
              <w:pStyle w:val="TableText"/>
            </w:pPr>
            <w:r w:rsidRPr="00A31657">
              <w:t xml:space="preserve">Australian Fodder Industry Association </w:t>
            </w:r>
            <w:r w:rsidR="00661AA0">
              <w:t>Ltd</w:t>
            </w:r>
          </w:p>
        </w:tc>
        <w:tc>
          <w:tcPr>
            <w:tcW w:w="4241" w:type="dxa"/>
          </w:tcPr>
          <w:p w14:paraId="15AD27EE" w14:textId="77777777" w:rsidR="00661C3B" w:rsidRPr="00A31657" w:rsidRDefault="00661C3B" w:rsidP="00661AA0">
            <w:pPr>
              <w:pStyle w:val="TableText"/>
            </w:pPr>
            <w:r w:rsidRPr="00A31657">
              <w:t>South Australia Oyster Growers Association Inc</w:t>
            </w:r>
            <w:r w:rsidR="00661AA0">
              <w:t>.</w:t>
            </w:r>
          </w:p>
        </w:tc>
      </w:tr>
      <w:tr w:rsidR="00661C3B" w:rsidRPr="00A31657" w14:paraId="30247144" w14:textId="77777777" w:rsidTr="00661C3B">
        <w:tc>
          <w:tcPr>
            <w:tcW w:w="4829" w:type="dxa"/>
          </w:tcPr>
          <w:p w14:paraId="2076EC85" w14:textId="77777777" w:rsidR="00661C3B" w:rsidRPr="00A31657" w:rsidRDefault="00661C3B" w:rsidP="00661C3B">
            <w:pPr>
              <w:pStyle w:val="TableText"/>
            </w:pPr>
            <w:r w:rsidRPr="00A31657">
              <w:t>Australian Forest Products Association</w:t>
            </w:r>
          </w:p>
        </w:tc>
        <w:tc>
          <w:tcPr>
            <w:tcW w:w="4241" w:type="dxa"/>
          </w:tcPr>
          <w:p w14:paraId="0D5C7C97" w14:textId="77777777" w:rsidR="00661C3B" w:rsidRPr="00A31657" w:rsidRDefault="00661C3B" w:rsidP="00661AA0">
            <w:pPr>
              <w:pStyle w:val="TableText"/>
            </w:pPr>
            <w:r w:rsidRPr="00A31657">
              <w:t xml:space="preserve">South Australia Rock Lobster Advisory Council </w:t>
            </w:r>
            <w:r w:rsidR="00661AA0">
              <w:t>Inc.</w:t>
            </w:r>
          </w:p>
        </w:tc>
      </w:tr>
      <w:tr w:rsidR="00661C3B" w:rsidRPr="00A31657" w14:paraId="7D935315" w14:textId="77777777" w:rsidTr="00661C3B">
        <w:tc>
          <w:tcPr>
            <w:tcW w:w="4829" w:type="dxa"/>
          </w:tcPr>
          <w:p w14:paraId="011A1154" w14:textId="77777777" w:rsidR="00661C3B" w:rsidRPr="00A31657" w:rsidRDefault="00661C3B" w:rsidP="00661C3B">
            <w:pPr>
              <w:pStyle w:val="TableText"/>
            </w:pPr>
            <w:r w:rsidRPr="00A31657">
              <w:t>Australian Grain Exporters Association</w:t>
            </w:r>
          </w:p>
        </w:tc>
        <w:tc>
          <w:tcPr>
            <w:tcW w:w="4241" w:type="dxa"/>
          </w:tcPr>
          <w:p w14:paraId="60176BE6" w14:textId="77777777" w:rsidR="00661C3B" w:rsidRPr="00A31657" w:rsidRDefault="00661C3B" w:rsidP="00661AA0">
            <w:pPr>
              <w:pStyle w:val="TableText"/>
            </w:pPr>
            <w:r w:rsidRPr="00A31657">
              <w:t xml:space="preserve">Strawberry Growers Association of Western Australia </w:t>
            </w:r>
            <w:r w:rsidR="00661AA0">
              <w:t>Inc.</w:t>
            </w:r>
          </w:p>
        </w:tc>
      </w:tr>
      <w:tr w:rsidR="00661C3B" w:rsidRPr="00A31657" w14:paraId="463B2C77" w14:textId="77777777" w:rsidTr="00661C3B">
        <w:tc>
          <w:tcPr>
            <w:tcW w:w="4829" w:type="dxa"/>
          </w:tcPr>
          <w:p w14:paraId="17E753F4" w14:textId="77777777" w:rsidR="00661C3B" w:rsidRPr="00A31657" w:rsidRDefault="00661C3B" w:rsidP="00661C3B">
            <w:pPr>
              <w:pStyle w:val="TableText"/>
            </w:pPr>
            <w:r w:rsidRPr="00A31657">
              <w:t>Australian Horse Industry Council</w:t>
            </w:r>
          </w:p>
        </w:tc>
        <w:tc>
          <w:tcPr>
            <w:tcW w:w="4241" w:type="dxa"/>
          </w:tcPr>
          <w:p w14:paraId="208C6CEB" w14:textId="77777777" w:rsidR="00661C3B" w:rsidRPr="00A31657" w:rsidRDefault="00661C3B" w:rsidP="00661AA0">
            <w:pPr>
              <w:pStyle w:val="TableText"/>
            </w:pPr>
            <w:r w:rsidRPr="00A31657">
              <w:t xml:space="preserve">Sugar Australia </w:t>
            </w:r>
            <w:r w:rsidR="00661AA0">
              <w:t>Pty Ltd</w:t>
            </w:r>
          </w:p>
        </w:tc>
      </w:tr>
      <w:tr w:rsidR="00661C3B" w:rsidRPr="00A31657" w14:paraId="13E5050D" w14:textId="77777777" w:rsidTr="00661C3B">
        <w:tc>
          <w:tcPr>
            <w:tcW w:w="4829" w:type="dxa"/>
          </w:tcPr>
          <w:p w14:paraId="6725BACD" w14:textId="77777777" w:rsidR="00661C3B" w:rsidRPr="00A31657" w:rsidRDefault="00661C3B" w:rsidP="00661AA0">
            <w:pPr>
              <w:pStyle w:val="TableText"/>
            </w:pPr>
            <w:r w:rsidRPr="00A31657">
              <w:t xml:space="preserve">Australian Horticulture Exporters Association </w:t>
            </w:r>
            <w:r w:rsidR="00661AA0">
              <w:t>Ltd</w:t>
            </w:r>
          </w:p>
        </w:tc>
        <w:tc>
          <w:tcPr>
            <w:tcW w:w="4241" w:type="dxa"/>
          </w:tcPr>
          <w:p w14:paraId="2D7C480E" w14:textId="77777777" w:rsidR="00661C3B" w:rsidRPr="00A31657" w:rsidRDefault="00661C3B" w:rsidP="00661C3B">
            <w:pPr>
              <w:pStyle w:val="TableText"/>
            </w:pPr>
            <w:r w:rsidRPr="00A31657">
              <w:t>Tasmanian Seafood Industry Council</w:t>
            </w:r>
          </w:p>
        </w:tc>
      </w:tr>
      <w:tr w:rsidR="00661C3B" w:rsidRPr="00A31657" w14:paraId="40FB6F06" w14:textId="77777777" w:rsidTr="00661C3B">
        <w:tc>
          <w:tcPr>
            <w:tcW w:w="4829" w:type="dxa"/>
          </w:tcPr>
          <w:p w14:paraId="53FF6D88" w14:textId="77777777" w:rsidR="00661C3B" w:rsidRPr="00A31657" w:rsidRDefault="00661C3B" w:rsidP="00661C3B">
            <w:pPr>
              <w:pStyle w:val="TableText"/>
            </w:pPr>
            <w:r w:rsidRPr="00A31657">
              <w:t xml:space="preserve">Australian Local Government Association </w:t>
            </w:r>
            <w:r w:rsidR="00661AA0">
              <w:t>Ltd</w:t>
            </w:r>
          </w:p>
        </w:tc>
        <w:tc>
          <w:tcPr>
            <w:tcW w:w="4241" w:type="dxa"/>
          </w:tcPr>
          <w:p w14:paraId="0919E1E3" w14:textId="77777777" w:rsidR="00661C3B" w:rsidRPr="00A31657" w:rsidRDefault="00661C3B" w:rsidP="00661C3B">
            <w:pPr>
              <w:pStyle w:val="TableText"/>
            </w:pPr>
            <w:r w:rsidRPr="00A31657">
              <w:t xml:space="preserve">The Australian Veterinary Association </w:t>
            </w:r>
            <w:r w:rsidR="00661AA0">
              <w:t>Ltd</w:t>
            </w:r>
          </w:p>
        </w:tc>
      </w:tr>
      <w:tr w:rsidR="00661C3B" w:rsidRPr="00A31657" w14:paraId="38890C4A" w14:textId="77777777" w:rsidTr="00661C3B">
        <w:tc>
          <w:tcPr>
            <w:tcW w:w="4829" w:type="dxa"/>
          </w:tcPr>
          <w:p w14:paraId="08DEFD71" w14:textId="77777777" w:rsidR="00661C3B" w:rsidRPr="00A31657" w:rsidRDefault="00661C3B" w:rsidP="00661C3B">
            <w:pPr>
              <w:pStyle w:val="TableText"/>
            </w:pPr>
            <w:r w:rsidRPr="00A31657">
              <w:t xml:space="preserve">Australian Mango Industry Association </w:t>
            </w:r>
            <w:r w:rsidR="00661AA0">
              <w:t>Ltd</w:t>
            </w:r>
          </w:p>
        </w:tc>
        <w:tc>
          <w:tcPr>
            <w:tcW w:w="4241" w:type="dxa"/>
          </w:tcPr>
          <w:p w14:paraId="6DAD9DBB" w14:textId="77777777" w:rsidR="00661C3B" w:rsidRPr="00A31657" w:rsidRDefault="00661C3B" w:rsidP="00661C3B">
            <w:pPr>
              <w:pStyle w:val="TableText"/>
            </w:pPr>
            <w:r w:rsidRPr="00A31657">
              <w:t>The Australian Veterinary Association, Western Australian Division</w:t>
            </w:r>
          </w:p>
        </w:tc>
      </w:tr>
      <w:tr w:rsidR="00661C3B" w:rsidRPr="00A31657" w14:paraId="13796179" w14:textId="77777777" w:rsidTr="00661C3B">
        <w:tc>
          <w:tcPr>
            <w:tcW w:w="4829" w:type="dxa"/>
          </w:tcPr>
          <w:p w14:paraId="7CA9485F" w14:textId="77777777" w:rsidR="00661C3B" w:rsidRPr="00A31657" w:rsidRDefault="00661C3B" w:rsidP="00661C3B">
            <w:pPr>
              <w:pStyle w:val="TableText"/>
            </w:pPr>
            <w:r w:rsidRPr="00A31657">
              <w:t>Australian Meat Industry Council</w:t>
            </w:r>
          </w:p>
        </w:tc>
        <w:tc>
          <w:tcPr>
            <w:tcW w:w="4241" w:type="dxa"/>
          </w:tcPr>
          <w:p w14:paraId="054A6E62" w14:textId="77777777" w:rsidR="00661C3B" w:rsidRPr="00A31657" w:rsidRDefault="00661C3B" w:rsidP="00661AA0">
            <w:pPr>
              <w:pStyle w:val="TableText"/>
            </w:pPr>
            <w:r w:rsidRPr="00A31657">
              <w:t xml:space="preserve">The Commercial Egg Producers’ Association of Western Australia </w:t>
            </w:r>
            <w:r w:rsidR="00661AA0">
              <w:t>Inc.</w:t>
            </w:r>
          </w:p>
        </w:tc>
      </w:tr>
      <w:tr w:rsidR="00661C3B" w:rsidRPr="00A31657" w14:paraId="5202AFB3" w14:textId="77777777" w:rsidTr="00661C3B">
        <w:tc>
          <w:tcPr>
            <w:tcW w:w="4829" w:type="dxa"/>
          </w:tcPr>
          <w:p w14:paraId="329D1774" w14:textId="77777777" w:rsidR="00661C3B" w:rsidRPr="00A31657" w:rsidRDefault="00661C3B" w:rsidP="00661C3B">
            <w:pPr>
              <w:pStyle w:val="TableText"/>
            </w:pPr>
            <w:r w:rsidRPr="00A31657">
              <w:t xml:space="preserve">Australian Nurserymen’s Fruit Improvement Company </w:t>
            </w:r>
            <w:r w:rsidR="00661AA0">
              <w:t>Ltd</w:t>
            </w:r>
          </w:p>
        </w:tc>
        <w:tc>
          <w:tcPr>
            <w:tcW w:w="4241" w:type="dxa"/>
          </w:tcPr>
          <w:p w14:paraId="4F999555" w14:textId="77777777" w:rsidR="00661C3B" w:rsidRPr="00A31657" w:rsidRDefault="00661C3B" w:rsidP="00661AA0">
            <w:pPr>
              <w:pStyle w:val="TableText"/>
            </w:pPr>
            <w:r w:rsidRPr="00A31657">
              <w:t xml:space="preserve">The Northern Territory Livestock Exporters Association </w:t>
            </w:r>
            <w:r w:rsidR="00661AA0">
              <w:t>Inc.</w:t>
            </w:r>
          </w:p>
        </w:tc>
      </w:tr>
      <w:tr w:rsidR="00661C3B" w:rsidRPr="00A31657" w14:paraId="3B850C80" w14:textId="77777777" w:rsidTr="00661C3B">
        <w:tc>
          <w:tcPr>
            <w:tcW w:w="4829" w:type="dxa"/>
          </w:tcPr>
          <w:p w14:paraId="4C1B4D5A" w14:textId="77777777" w:rsidR="00661C3B" w:rsidRPr="00A31657" w:rsidRDefault="00661C3B" w:rsidP="00661AA0">
            <w:pPr>
              <w:pStyle w:val="TableText"/>
            </w:pPr>
            <w:r w:rsidRPr="00A31657">
              <w:t xml:space="preserve">Australian Prawn Farmers Association </w:t>
            </w:r>
            <w:r w:rsidR="00661AA0">
              <w:t>Inc.</w:t>
            </w:r>
          </w:p>
        </w:tc>
        <w:tc>
          <w:tcPr>
            <w:tcW w:w="4241" w:type="dxa"/>
          </w:tcPr>
          <w:p w14:paraId="4E73620B" w14:textId="77777777" w:rsidR="00661C3B" w:rsidRPr="00A31657" w:rsidRDefault="00661C3B" w:rsidP="00661C3B">
            <w:pPr>
              <w:pStyle w:val="TableText"/>
            </w:pPr>
            <w:r w:rsidRPr="00A31657">
              <w:t xml:space="preserve">The Tasmanian Salmonid Growers Association </w:t>
            </w:r>
            <w:r w:rsidR="00661AA0">
              <w:t>Ltd</w:t>
            </w:r>
          </w:p>
        </w:tc>
      </w:tr>
      <w:tr w:rsidR="00661C3B" w:rsidRPr="00A31657" w14:paraId="044828C4" w14:textId="77777777" w:rsidTr="00661C3B">
        <w:tc>
          <w:tcPr>
            <w:tcW w:w="4829" w:type="dxa"/>
          </w:tcPr>
          <w:p w14:paraId="7A3D4F6E" w14:textId="77777777" w:rsidR="00661C3B" w:rsidRPr="00A31657" w:rsidRDefault="00661C3B" w:rsidP="00661AA0">
            <w:pPr>
              <w:pStyle w:val="TableText"/>
            </w:pPr>
            <w:r w:rsidRPr="00A31657">
              <w:t xml:space="preserve">Australian Wool Innovation </w:t>
            </w:r>
            <w:r w:rsidR="00661AA0">
              <w:t>Ltd</w:t>
            </w:r>
          </w:p>
        </w:tc>
        <w:tc>
          <w:tcPr>
            <w:tcW w:w="4241" w:type="dxa"/>
          </w:tcPr>
          <w:p w14:paraId="1D1D335D" w14:textId="77777777" w:rsidR="00661C3B" w:rsidRPr="00A31657" w:rsidRDefault="00661C3B" w:rsidP="00661C3B">
            <w:pPr>
              <w:pStyle w:val="TableText"/>
            </w:pPr>
            <w:r w:rsidRPr="00A31657">
              <w:t>The University of Melbourne, Centre of Excellence for Biosecurity Risk Analysis</w:t>
            </w:r>
          </w:p>
        </w:tc>
      </w:tr>
      <w:tr w:rsidR="00661C3B" w:rsidRPr="00A31657" w14:paraId="03DD22DB" w14:textId="77777777" w:rsidTr="00661C3B">
        <w:tc>
          <w:tcPr>
            <w:tcW w:w="4829" w:type="dxa"/>
          </w:tcPr>
          <w:p w14:paraId="5F50A099" w14:textId="77777777" w:rsidR="00661C3B" w:rsidRPr="00A31657" w:rsidRDefault="00661C3B" w:rsidP="00661C3B">
            <w:pPr>
              <w:pStyle w:val="TableText"/>
            </w:pPr>
            <w:r w:rsidRPr="00A31657">
              <w:lastRenderedPageBreak/>
              <w:t>AUSVEG</w:t>
            </w:r>
          </w:p>
        </w:tc>
        <w:tc>
          <w:tcPr>
            <w:tcW w:w="4241" w:type="dxa"/>
          </w:tcPr>
          <w:p w14:paraId="332DECAB" w14:textId="77777777" w:rsidR="00661C3B" w:rsidRPr="00A31657" w:rsidRDefault="00661C3B" w:rsidP="00661AA0">
            <w:pPr>
              <w:pStyle w:val="TableText"/>
            </w:pPr>
            <w:r w:rsidRPr="00A31657">
              <w:t xml:space="preserve">The Western Australian Farmers Federation </w:t>
            </w:r>
            <w:r w:rsidR="00661AA0">
              <w:t>Inc.</w:t>
            </w:r>
          </w:p>
        </w:tc>
      </w:tr>
      <w:tr w:rsidR="00661C3B" w:rsidRPr="00A31657" w14:paraId="746595B2" w14:textId="77777777" w:rsidTr="00661C3B">
        <w:tc>
          <w:tcPr>
            <w:tcW w:w="4829" w:type="dxa"/>
          </w:tcPr>
          <w:p w14:paraId="558EF104" w14:textId="77777777" w:rsidR="00661C3B" w:rsidRPr="00A31657" w:rsidRDefault="00661C3B" w:rsidP="00661C3B">
            <w:pPr>
              <w:pStyle w:val="TableText"/>
            </w:pPr>
            <w:r w:rsidRPr="00A31657">
              <w:t xml:space="preserve">Avocados Australia </w:t>
            </w:r>
            <w:r w:rsidR="00661AA0">
              <w:t>Ltd</w:t>
            </w:r>
          </w:p>
        </w:tc>
        <w:tc>
          <w:tcPr>
            <w:tcW w:w="4241" w:type="dxa"/>
          </w:tcPr>
          <w:p w14:paraId="67C10EE7" w14:textId="77777777" w:rsidR="00661C3B" w:rsidRPr="00A31657" w:rsidRDefault="00661C3B" w:rsidP="00661AA0">
            <w:pPr>
              <w:pStyle w:val="TableText"/>
            </w:pPr>
            <w:r w:rsidRPr="00A31657">
              <w:t xml:space="preserve">The Western Australian Fishing Industry Council </w:t>
            </w:r>
            <w:r w:rsidR="00661AA0">
              <w:t>Inc.</w:t>
            </w:r>
          </w:p>
        </w:tc>
      </w:tr>
      <w:tr w:rsidR="00661C3B" w:rsidRPr="00A31657" w14:paraId="3F67C5F5" w14:textId="77777777" w:rsidTr="00661C3B">
        <w:tc>
          <w:tcPr>
            <w:tcW w:w="4829" w:type="dxa"/>
          </w:tcPr>
          <w:p w14:paraId="782CCF70" w14:textId="77777777" w:rsidR="00661C3B" w:rsidRPr="00A31657" w:rsidRDefault="00661C3B" w:rsidP="00661AA0">
            <w:pPr>
              <w:pStyle w:val="TableText"/>
            </w:pPr>
            <w:r w:rsidRPr="00A31657">
              <w:t xml:space="preserve">Balco Australia </w:t>
            </w:r>
            <w:r w:rsidR="00661AA0">
              <w:t>Pty Ltd</w:t>
            </w:r>
          </w:p>
        </w:tc>
        <w:tc>
          <w:tcPr>
            <w:tcW w:w="4241" w:type="dxa"/>
          </w:tcPr>
          <w:p w14:paraId="6A1EEC9A" w14:textId="77777777" w:rsidR="00661C3B" w:rsidRPr="00A31657" w:rsidRDefault="00661C3B" w:rsidP="00661C3B">
            <w:pPr>
              <w:pStyle w:val="TableText"/>
            </w:pPr>
            <w:r w:rsidRPr="00A31657">
              <w:t>Vegetables WA</w:t>
            </w:r>
          </w:p>
        </w:tc>
      </w:tr>
      <w:tr w:rsidR="00661C3B" w:rsidRPr="00A31657" w14:paraId="449960C4" w14:textId="77777777" w:rsidTr="00661C3B">
        <w:tc>
          <w:tcPr>
            <w:tcW w:w="4829" w:type="dxa"/>
          </w:tcPr>
          <w:p w14:paraId="0B222512" w14:textId="77777777" w:rsidR="00661C3B" w:rsidRPr="00A31657" w:rsidRDefault="00661C3B" w:rsidP="00661AA0">
            <w:pPr>
              <w:pStyle w:val="TableText"/>
            </w:pPr>
            <w:r w:rsidRPr="00A31657">
              <w:t xml:space="preserve">Barossa Grape and Wine Association </w:t>
            </w:r>
            <w:r w:rsidR="00661AA0">
              <w:t>Inc.</w:t>
            </w:r>
          </w:p>
        </w:tc>
        <w:tc>
          <w:tcPr>
            <w:tcW w:w="4241" w:type="dxa"/>
          </w:tcPr>
          <w:p w14:paraId="37F4C795" w14:textId="77777777" w:rsidR="00661C3B" w:rsidRPr="00A31657" w:rsidRDefault="00661C3B" w:rsidP="00661C3B">
            <w:pPr>
              <w:pStyle w:val="TableText"/>
            </w:pPr>
            <w:r w:rsidRPr="00A31657">
              <w:t>Vinehealth Australia (formerly the Phylloxera and Grape Industry Board of South Australia)</w:t>
            </w:r>
          </w:p>
        </w:tc>
      </w:tr>
      <w:tr w:rsidR="00661C3B" w:rsidRPr="00A31657" w14:paraId="3ECD26F3" w14:textId="77777777" w:rsidTr="00661C3B">
        <w:tc>
          <w:tcPr>
            <w:tcW w:w="4829" w:type="dxa"/>
          </w:tcPr>
          <w:p w14:paraId="4B221D8A" w14:textId="77777777" w:rsidR="00661C3B" w:rsidRPr="00A31657" w:rsidRDefault="00661C3B" w:rsidP="00661AA0">
            <w:pPr>
              <w:pStyle w:val="TableText"/>
            </w:pPr>
            <w:r w:rsidRPr="00A31657">
              <w:t xml:space="preserve">Beechworth Honey </w:t>
            </w:r>
            <w:r w:rsidR="00661AA0">
              <w:t>Pty Ltd</w:t>
            </w:r>
          </w:p>
        </w:tc>
        <w:tc>
          <w:tcPr>
            <w:tcW w:w="4241" w:type="dxa"/>
          </w:tcPr>
          <w:p w14:paraId="76D404E8" w14:textId="77777777" w:rsidR="00661C3B" w:rsidRPr="00A31657" w:rsidRDefault="00661C3B" w:rsidP="00661AA0">
            <w:pPr>
              <w:pStyle w:val="TableText"/>
            </w:pPr>
            <w:r w:rsidRPr="00A31657">
              <w:t xml:space="preserve">Viterra </w:t>
            </w:r>
            <w:r w:rsidR="00661AA0">
              <w:t>Pty Ltd</w:t>
            </w:r>
          </w:p>
        </w:tc>
      </w:tr>
      <w:tr w:rsidR="00661C3B" w:rsidRPr="00A31657" w14:paraId="2D095078" w14:textId="77777777" w:rsidTr="00661C3B">
        <w:tc>
          <w:tcPr>
            <w:tcW w:w="4829" w:type="dxa"/>
          </w:tcPr>
          <w:p w14:paraId="5F5C1D0E" w14:textId="77777777" w:rsidR="00661C3B" w:rsidRPr="00A31657" w:rsidRDefault="00661C3B" w:rsidP="00661C3B">
            <w:pPr>
              <w:pStyle w:val="TableText"/>
            </w:pPr>
            <w:r w:rsidRPr="00A31657">
              <w:t>Blue Ribbon Group</w:t>
            </w:r>
          </w:p>
        </w:tc>
        <w:tc>
          <w:tcPr>
            <w:tcW w:w="4241" w:type="dxa"/>
          </w:tcPr>
          <w:p w14:paraId="6BD387B0" w14:textId="77777777" w:rsidR="00661C3B" w:rsidRPr="00A31657" w:rsidRDefault="00661C3B" w:rsidP="00661AA0">
            <w:pPr>
              <w:pStyle w:val="TableText"/>
            </w:pPr>
            <w:r w:rsidRPr="00A31657">
              <w:t xml:space="preserve">Weed Society of Queensland </w:t>
            </w:r>
            <w:r w:rsidR="00661AA0">
              <w:t>Inc.</w:t>
            </w:r>
          </w:p>
        </w:tc>
      </w:tr>
      <w:tr w:rsidR="00661C3B" w:rsidRPr="00A31657" w14:paraId="69E35502" w14:textId="77777777" w:rsidTr="00661C3B">
        <w:tc>
          <w:tcPr>
            <w:tcW w:w="4829" w:type="dxa"/>
          </w:tcPr>
          <w:p w14:paraId="5960C3DD" w14:textId="77777777" w:rsidR="00661C3B" w:rsidRPr="00A31657" w:rsidRDefault="00661C3B" w:rsidP="00661C3B">
            <w:pPr>
              <w:pStyle w:val="TableText"/>
            </w:pPr>
            <w:r w:rsidRPr="00A31657">
              <w:t>Brisbane City Council</w:t>
            </w:r>
          </w:p>
        </w:tc>
        <w:tc>
          <w:tcPr>
            <w:tcW w:w="4241" w:type="dxa"/>
          </w:tcPr>
          <w:p w14:paraId="7046DEEE" w14:textId="77777777" w:rsidR="00661C3B" w:rsidRPr="00A31657" w:rsidRDefault="00661C3B" w:rsidP="00661C3B">
            <w:pPr>
              <w:pStyle w:val="TableText"/>
            </w:pPr>
            <w:r w:rsidRPr="00A31657">
              <w:t>WA Citrus</w:t>
            </w:r>
          </w:p>
        </w:tc>
      </w:tr>
      <w:tr w:rsidR="00661C3B" w:rsidRPr="00A31657" w14:paraId="20513493" w14:textId="77777777" w:rsidTr="00661C3B">
        <w:tc>
          <w:tcPr>
            <w:tcW w:w="4829" w:type="dxa"/>
          </w:tcPr>
          <w:p w14:paraId="51411401" w14:textId="77777777" w:rsidR="00661C3B" w:rsidRPr="00A31657" w:rsidRDefault="00661C3B" w:rsidP="00661C3B">
            <w:pPr>
              <w:pStyle w:val="TableText"/>
            </w:pPr>
            <w:r w:rsidRPr="00A31657">
              <w:t>Canegrowers</w:t>
            </w:r>
          </w:p>
        </w:tc>
        <w:tc>
          <w:tcPr>
            <w:tcW w:w="4241" w:type="dxa"/>
          </w:tcPr>
          <w:p w14:paraId="48A941E1" w14:textId="77777777" w:rsidR="00661C3B" w:rsidRPr="00A31657" w:rsidRDefault="00661C3B" w:rsidP="00661C3B">
            <w:pPr>
              <w:pStyle w:val="TableText"/>
            </w:pPr>
            <w:r w:rsidRPr="00A31657">
              <w:t>Western Australia Local Government Association</w:t>
            </w:r>
          </w:p>
        </w:tc>
      </w:tr>
      <w:tr w:rsidR="00661C3B" w:rsidRPr="00A31657" w14:paraId="3FFBD4B6" w14:textId="77777777" w:rsidTr="00661C3B">
        <w:tc>
          <w:tcPr>
            <w:tcW w:w="4829" w:type="dxa"/>
          </w:tcPr>
          <w:p w14:paraId="665AAB17" w14:textId="77777777" w:rsidR="00661C3B" w:rsidRPr="00A31657" w:rsidRDefault="00661C3B" w:rsidP="00661C3B">
            <w:pPr>
              <w:pStyle w:val="TableText"/>
            </w:pPr>
            <w:r w:rsidRPr="00A31657">
              <w:t>Cattle Council of Australia</w:t>
            </w:r>
          </w:p>
        </w:tc>
        <w:tc>
          <w:tcPr>
            <w:tcW w:w="4241" w:type="dxa"/>
          </w:tcPr>
          <w:p w14:paraId="3F627A55" w14:textId="77777777" w:rsidR="00661C3B" w:rsidRPr="00A31657" w:rsidRDefault="00661C3B" w:rsidP="00661AA0">
            <w:pPr>
              <w:pStyle w:val="TableText"/>
            </w:pPr>
            <w:r w:rsidRPr="00A31657">
              <w:t xml:space="preserve">Wildcatch Fisheries SA </w:t>
            </w:r>
            <w:r w:rsidR="00661AA0">
              <w:t>Inc.</w:t>
            </w:r>
          </w:p>
        </w:tc>
      </w:tr>
      <w:tr w:rsidR="00661C3B" w:rsidRPr="00A31657" w14:paraId="62F8E10E" w14:textId="77777777" w:rsidTr="00661C3B">
        <w:tc>
          <w:tcPr>
            <w:tcW w:w="4829" w:type="dxa"/>
          </w:tcPr>
          <w:p w14:paraId="3B1C2F0C" w14:textId="77777777" w:rsidR="00661C3B" w:rsidRPr="00A31657" w:rsidRDefault="00661C3B" w:rsidP="00661C3B">
            <w:pPr>
              <w:pStyle w:val="TableText"/>
            </w:pPr>
            <w:r w:rsidRPr="00A31657">
              <w:t>Charles Sturt University</w:t>
            </w:r>
          </w:p>
        </w:tc>
        <w:tc>
          <w:tcPr>
            <w:tcW w:w="4241" w:type="dxa"/>
          </w:tcPr>
          <w:p w14:paraId="4345AC89" w14:textId="77777777" w:rsidR="00661C3B" w:rsidRPr="00A31657" w:rsidRDefault="00661C3B" w:rsidP="00661AA0">
            <w:pPr>
              <w:pStyle w:val="TableText"/>
            </w:pPr>
            <w:r w:rsidRPr="00A31657">
              <w:t xml:space="preserve">Wildlife Preservation Society of Queensland </w:t>
            </w:r>
            <w:r w:rsidR="00661AA0">
              <w:t>Inc.</w:t>
            </w:r>
          </w:p>
        </w:tc>
      </w:tr>
      <w:tr w:rsidR="00661C3B" w:rsidRPr="00A31657" w14:paraId="4175D8FA" w14:textId="77777777" w:rsidTr="00661C3B">
        <w:tc>
          <w:tcPr>
            <w:tcW w:w="4829" w:type="dxa"/>
          </w:tcPr>
          <w:p w14:paraId="00DEB566" w14:textId="77777777" w:rsidR="00661C3B" w:rsidRPr="00A31657" w:rsidRDefault="00661C3B" w:rsidP="00661AA0">
            <w:pPr>
              <w:pStyle w:val="TableText"/>
            </w:pPr>
            <w:r w:rsidRPr="00A31657">
              <w:t xml:space="preserve">Coles Supermarkets Australia </w:t>
            </w:r>
            <w:r w:rsidR="00661AA0">
              <w:t>Pty Ltd</w:t>
            </w:r>
          </w:p>
        </w:tc>
        <w:tc>
          <w:tcPr>
            <w:tcW w:w="4241" w:type="dxa"/>
          </w:tcPr>
          <w:p w14:paraId="7AE1BF53" w14:textId="77777777" w:rsidR="00661C3B" w:rsidRPr="00C82614" w:rsidRDefault="00661C3B" w:rsidP="00661C3B">
            <w:pPr>
              <w:pStyle w:val="TableText"/>
            </w:pPr>
            <w:r w:rsidRPr="00A31657">
              <w:t xml:space="preserve">Woolworths </w:t>
            </w:r>
            <w:r w:rsidR="00661AA0">
              <w:t>Ltd</w:t>
            </w:r>
          </w:p>
        </w:tc>
      </w:tr>
      <w:tr w:rsidR="00661C3B" w:rsidRPr="00A31657" w14:paraId="7051A6BF" w14:textId="77777777" w:rsidTr="00661C3B">
        <w:tc>
          <w:tcPr>
            <w:tcW w:w="4829" w:type="dxa"/>
          </w:tcPr>
          <w:p w14:paraId="6111BD91" w14:textId="77777777" w:rsidR="00661C3B" w:rsidRPr="00A31657" w:rsidRDefault="00661C3B" w:rsidP="00661C3B">
            <w:pPr>
              <w:pStyle w:val="TableText"/>
            </w:pPr>
            <w:r w:rsidRPr="00A31657">
              <w:t>CSIRO</w:t>
            </w:r>
          </w:p>
        </w:tc>
        <w:tc>
          <w:tcPr>
            <w:tcW w:w="4241" w:type="dxa"/>
          </w:tcPr>
          <w:p w14:paraId="00A26036" w14:textId="77777777" w:rsidR="00661C3B" w:rsidRPr="00D94AF8" w:rsidRDefault="00661C3B" w:rsidP="00661C3B">
            <w:pPr>
              <w:pStyle w:val="TableText"/>
              <w:rPr>
                <w:b/>
                <w:lang w:eastAsia="ja-JP"/>
              </w:rPr>
            </w:pPr>
            <w:r w:rsidRPr="00D94AF8">
              <w:rPr>
                <w:b/>
                <w:lang w:eastAsia="ja-JP"/>
              </w:rPr>
              <w:t>Government agencies</w:t>
            </w:r>
          </w:p>
        </w:tc>
      </w:tr>
      <w:tr w:rsidR="00661C3B" w:rsidRPr="00A31657" w14:paraId="3CA8D365" w14:textId="77777777" w:rsidTr="00661C3B">
        <w:tc>
          <w:tcPr>
            <w:tcW w:w="4829" w:type="dxa"/>
          </w:tcPr>
          <w:p w14:paraId="0776D0E5" w14:textId="77777777" w:rsidR="00661C3B" w:rsidRPr="00A31657" w:rsidRDefault="00661C3B" w:rsidP="00661C3B">
            <w:pPr>
              <w:pStyle w:val="TableText"/>
            </w:pPr>
            <w:r w:rsidRPr="00A31657">
              <w:t>Curtin University</w:t>
            </w:r>
          </w:p>
        </w:tc>
        <w:tc>
          <w:tcPr>
            <w:tcW w:w="4241" w:type="dxa"/>
          </w:tcPr>
          <w:p w14:paraId="7438A898" w14:textId="77777777" w:rsidR="00661C3B" w:rsidRPr="00D94AF8" w:rsidRDefault="00661C3B" w:rsidP="00661C3B">
            <w:pPr>
              <w:pStyle w:val="TableText"/>
              <w:rPr>
                <w:i/>
                <w:lang w:eastAsia="ja-JP"/>
              </w:rPr>
            </w:pPr>
            <w:r w:rsidRPr="00D94AF8">
              <w:rPr>
                <w:i/>
                <w:lang w:eastAsia="ja-JP"/>
              </w:rPr>
              <w:t>Australian Government</w:t>
            </w:r>
          </w:p>
        </w:tc>
      </w:tr>
      <w:tr w:rsidR="00661C3B" w:rsidRPr="00A31657" w14:paraId="1C564375" w14:textId="77777777" w:rsidTr="00661C3B">
        <w:tc>
          <w:tcPr>
            <w:tcW w:w="4829" w:type="dxa"/>
          </w:tcPr>
          <w:p w14:paraId="33C28D0E" w14:textId="77777777" w:rsidR="00661C3B" w:rsidRPr="00A31657" w:rsidRDefault="00661C3B" w:rsidP="00661AA0">
            <w:pPr>
              <w:pStyle w:val="TableText"/>
            </w:pPr>
            <w:r w:rsidRPr="00A31657">
              <w:t xml:space="preserve">Customs Brokers and Forwarders Council of Australia </w:t>
            </w:r>
            <w:r w:rsidR="00661AA0">
              <w:t>Inc.</w:t>
            </w:r>
          </w:p>
        </w:tc>
        <w:tc>
          <w:tcPr>
            <w:tcW w:w="4241" w:type="dxa"/>
          </w:tcPr>
          <w:p w14:paraId="49AA10E0" w14:textId="77777777" w:rsidR="00661C3B" w:rsidRPr="00D94AF8" w:rsidRDefault="00661C3B" w:rsidP="00661C3B">
            <w:pPr>
              <w:pStyle w:val="TableText"/>
              <w:rPr>
                <w:lang w:eastAsia="ja-JP"/>
              </w:rPr>
            </w:pPr>
            <w:r w:rsidRPr="00D94AF8">
              <w:rPr>
                <w:lang w:eastAsia="ja-JP"/>
              </w:rPr>
              <w:t>Department of Agriculture and Water Resources</w:t>
            </w:r>
          </w:p>
        </w:tc>
      </w:tr>
      <w:tr w:rsidR="00661C3B" w:rsidRPr="00A31657" w14:paraId="0F3ED1FB" w14:textId="77777777" w:rsidTr="00661C3B">
        <w:tc>
          <w:tcPr>
            <w:tcW w:w="4829" w:type="dxa"/>
          </w:tcPr>
          <w:p w14:paraId="3466B06D" w14:textId="77777777" w:rsidR="00661C3B" w:rsidRPr="00A31657" w:rsidRDefault="00661C3B" w:rsidP="00661C3B">
            <w:pPr>
              <w:pStyle w:val="TableText"/>
            </w:pPr>
            <w:r w:rsidRPr="00A31657">
              <w:t>Dairy Australia Limited and Australian Dairy Farmers</w:t>
            </w:r>
          </w:p>
        </w:tc>
        <w:tc>
          <w:tcPr>
            <w:tcW w:w="4241" w:type="dxa"/>
          </w:tcPr>
          <w:p w14:paraId="628B2607" w14:textId="77777777" w:rsidR="00661C3B" w:rsidRPr="00D94AF8" w:rsidRDefault="00661C3B" w:rsidP="00661C3B">
            <w:pPr>
              <w:pStyle w:val="TableText"/>
              <w:rPr>
                <w:lang w:eastAsia="ja-JP"/>
              </w:rPr>
            </w:pPr>
            <w:r w:rsidRPr="00D94AF8">
              <w:rPr>
                <w:lang w:eastAsia="ja-JP"/>
              </w:rPr>
              <w:t>Department of Foreign Affairs and Trade</w:t>
            </w:r>
          </w:p>
        </w:tc>
      </w:tr>
      <w:tr w:rsidR="00661C3B" w:rsidRPr="00A31657" w14:paraId="7AD9119B" w14:textId="77777777" w:rsidTr="00661C3B">
        <w:tc>
          <w:tcPr>
            <w:tcW w:w="4829" w:type="dxa"/>
          </w:tcPr>
          <w:p w14:paraId="780A5230" w14:textId="77777777" w:rsidR="00661C3B" w:rsidRPr="00A31657" w:rsidRDefault="00661C3B" w:rsidP="00661C3B">
            <w:pPr>
              <w:pStyle w:val="TableText"/>
            </w:pPr>
            <w:r w:rsidRPr="00A31657">
              <w:t xml:space="preserve">Dairy NSW </w:t>
            </w:r>
            <w:r w:rsidR="00661AA0">
              <w:t>Ltd</w:t>
            </w:r>
          </w:p>
        </w:tc>
        <w:tc>
          <w:tcPr>
            <w:tcW w:w="4241" w:type="dxa"/>
          </w:tcPr>
          <w:p w14:paraId="3EFFEAA2" w14:textId="77777777" w:rsidR="00661C3B" w:rsidRPr="00D94AF8" w:rsidRDefault="00661C3B" w:rsidP="00661C3B">
            <w:pPr>
              <w:pStyle w:val="TableText"/>
              <w:rPr>
                <w:lang w:eastAsia="ja-JP"/>
              </w:rPr>
            </w:pPr>
            <w:r w:rsidRPr="00D94AF8">
              <w:rPr>
                <w:lang w:eastAsia="ja-JP"/>
              </w:rPr>
              <w:t>Department of Health</w:t>
            </w:r>
          </w:p>
        </w:tc>
      </w:tr>
      <w:tr w:rsidR="00661C3B" w:rsidRPr="00A31657" w14:paraId="537682A4" w14:textId="77777777" w:rsidTr="00661C3B">
        <w:tc>
          <w:tcPr>
            <w:tcW w:w="4829" w:type="dxa"/>
          </w:tcPr>
          <w:p w14:paraId="74854F75" w14:textId="77777777" w:rsidR="00661C3B" w:rsidRPr="00A31657" w:rsidRDefault="00661C3B" w:rsidP="00661C3B">
            <w:pPr>
              <w:pStyle w:val="TableText"/>
            </w:pPr>
            <w:r w:rsidRPr="00A31657">
              <w:t>Darwin Port</w:t>
            </w:r>
          </w:p>
        </w:tc>
        <w:tc>
          <w:tcPr>
            <w:tcW w:w="4241" w:type="dxa"/>
          </w:tcPr>
          <w:p w14:paraId="394627ED" w14:textId="77777777" w:rsidR="00661C3B" w:rsidRPr="00D94AF8" w:rsidRDefault="00661C3B" w:rsidP="00661C3B">
            <w:pPr>
              <w:pStyle w:val="TableText"/>
              <w:rPr>
                <w:lang w:eastAsia="ja-JP"/>
              </w:rPr>
            </w:pPr>
            <w:r w:rsidRPr="00D94AF8">
              <w:rPr>
                <w:lang w:eastAsia="ja-JP"/>
              </w:rPr>
              <w:t>Department of Immigration and Border Protection</w:t>
            </w:r>
          </w:p>
        </w:tc>
      </w:tr>
      <w:tr w:rsidR="00661C3B" w:rsidRPr="00A31657" w14:paraId="1B3F1742" w14:textId="77777777" w:rsidTr="00661C3B">
        <w:tc>
          <w:tcPr>
            <w:tcW w:w="4829" w:type="dxa"/>
          </w:tcPr>
          <w:p w14:paraId="047EBBBA" w14:textId="77777777" w:rsidR="00661C3B" w:rsidRPr="00A31657" w:rsidRDefault="00661C3B" w:rsidP="00661C3B">
            <w:pPr>
              <w:pStyle w:val="TableText"/>
            </w:pPr>
            <w:r w:rsidRPr="00A31657">
              <w:t>Export Council of Australia</w:t>
            </w:r>
          </w:p>
        </w:tc>
        <w:tc>
          <w:tcPr>
            <w:tcW w:w="4241" w:type="dxa"/>
          </w:tcPr>
          <w:p w14:paraId="0CF48280" w14:textId="77777777" w:rsidR="00661C3B" w:rsidRPr="00D94AF8" w:rsidRDefault="00661C3B" w:rsidP="00661C3B">
            <w:pPr>
              <w:pStyle w:val="TableText"/>
              <w:rPr>
                <w:lang w:eastAsia="ja-JP"/>
              </w:rPr>
            </w:pPr>
            <w:r w:rsidRPr="00D94AF8">
              <w:rPr>
                <w:lang w:eastAsia="ja-JP"/>
              </w:rPr>
              <w:t>Department of the Environment and Energy</w:t>
            </w:r>
          </w:p>
        </w:tc>
      </w:tr>
      <w:tr w:rsidR="00661C3B" w:rsidRPr="00A31657" w14:paraId="238A5AB6" w14:textId="77777777" w:rsidTr="00661C3B">
        <w:tc>
          <w:tcPr>
            <w:tcW w:w="4829" w:type="dxa"/>
          </w:tcPr>
          <w:p w14:paraId="5E6BFFA3" w14:textId="77777777" w:rsidR="00661C3B" w:rsidRPr="00A31657" w:rsidRDefault="00661C3B" w:rsidP="00661C3B">
            <w:pPr>
              <w:pStyle w:val="TableText"/>
            </w:pPr>
            <w:r w:rsidRPr="00A31657">
              <w:t xml:space="preserve">Farm Pride Foods </w:t>
            </w:r>
            <w:r w:rsidR="00661AA0">
              <w:t>Ltd</w:t>
            </w:r>
          </w:p>
        </w:tc>
        <w:tc>
          <w:tcPr>
            <w:tcW w:w="4241" w:type="dxa"/>
          </w:tcPr>
          <w:p w14:paraId="703B070C" w14:textId="77777777" w:rsidR="00661C3B" w:rsidRPr="00D94AF8" w:rsidRDefault="00661C3B" w:rsidP="00661C3B">
            <w:pPr>
              <w:pStyle w:val="TableText"/>
              <w:rPr>
                <w:i/>
                <w:lang w:eastAsia="ja-JP"/>
              </w:rPr>
            </w:pPr>
            <w:r w:rsidRPr="00D94AF8">
              <w:rPr>
                <w:i/>
                <w:lang w:eastAsia="ja-JP"/>
              </w:rPr>
              <w:t>New South Wales Government</w:t>
            </w:r>
          </w:p>
        </w:tc>
      </w:tr>
      <w:tr w:rsidR="00661C3B" w:rsidRPr="00A31657" w14:paraId="00C503D3" w14:textId="77777777" w:rsidTr="00661C3B">
        <w:tc>
          <w:tcPr>
            <w:tcW w:w="4829" w:type="dxa"/>
          </w:tcPr>
          <w:p w14:paraId="0DC6BBA2" w14:textId="77777777" w:rsidR="00661C3B" w:rsidRPr="00A31657" w:rsidRDefault="00661C3B" w:rsidP="00661AA0">
            <w:pPr>
              <w:pStyle w:val="TableText"/>
            </w:pPr>
            <w:r w:rsidRPr="00A31657">
              <w:t xml:space="preserve">Ferguson Australia </w:t>
            </w:r>
            <w:r w:rsidR="00661AA0">
              <w:t>Pty Ltd.</w:t>
            </w:r>
          </w:p>
        </w:tc>
        <w:tc>
          <w:tcPr>
            <w:tcW w:w="4241" w:type="dxa"/>
          </w:tcPr>
          <w:p w14:paraId="1C18DC38" w14:textId="77777777" w:rsidR="00661C3B" w:rsidRPr="00D94AF8" w:rsidRDefault="00661C3B" w:rsidP="00661C3B">
            <w:pPr>
              <w:pStyle w:val="TableText"/>
              <w:rPr>
                <w:lang w:eastAsia="ja-JP"/>
              </w:rPr>
            </w:pPr>
            <w:r w:rsidRPr="00D94AF8">
              <w:rPr>
                <w:lang w:eastAsia="ja-JP"/>
              </w:rPr>
              <w:t>Department of Premier and Cabinet</w:t>
            </w:r>
          </w:p>
        </w:tc>
      </w:tr>
      <w:tr w:rsidR="00661C3B" w:rsidRPr="00A31657" w14:paraId="43186A34" w14:textId="77777777" w:rsidTr="00661C3B">
        <w:tc>
          <w:tcPr>
            <w:tcW w:w="4829" w:type="dxa"/>
          </w:tcPr>
          <w:p w14:paraId="213060F7" w14:textId="77777777" w:rsidR="00661C3B" w:rsidRPr="00A31657" w:rsidRDefault="00661C3B" w:rsidP="00661AA0">
            <w:pPr>
              <w:pStyle w:val="TableText"/>
            </w:pPr>
            <w:r w:rsidRPr="00A31657">
              <w:t xml:space="preserve">Fruit Growers Tasmania </w:t>
            </w:r>
            <w:r w:rsidR="00661AA0">
              <w:t>Inc.</w:t>
            </w:r>
          </w:p>
        </w:tc>
        <w:tc>
          <w:tcPr>
            <w:tcW w:w="4241" w:type="dxa"/>
          </w:tcPr>
          <w:p w14:paraId="580496C2" w14:textId="77777777" w:rsidR="00661C3B" w:rsidRPr="00D94AF8" w:rsidRDefault="00661C3B" w:rsidP="00661C3B">
            <w:pPr>
              <w:pStyle w:val="TableText"/>
              <w:rPr>
                <w:lang w:eastAsia="ja-JP"/>
              </w:rPr>
            </w:pPr>
            <w:r w:rsidRPr="00D94AF8">
              <w:rPr>
                <w:lang w:eastAsia="ja-JP"/>
              </w:rPr>
              <w:t>Department of Primary Industries</w:t>
            </w:r>
          </w:p>
        </w:tc>
      </w:tr>
      <w:tr w:rsidR="00661C3B" w:rsidRPr="00A31657" w14:paraId="2963E9EF" w14:textId="77777777" w:rsidTr="00661C3B">
        <w:tc>
          <w:tcPr>
            <w:tcW w:w="4829" w:type="dxa"/>
          </w:tcPr>
          <w:p w14:paraId="1AAF2742" w14:textId="77777777" w:rsidR="00661C3B" w:rsidRPr="00A31657" w:rsidRDefault="00661C3B" w:rsidP="00661C3B">
            <w:pPr>
              <w:pStyle w:val="TableText"/>
            </w:pPr>
            <w:r w:rsidRPr="00A31657">
              <w:t xml:space="preserve">Fruit West Co-operative </w:t>
            </w:r>
            <w:r w:rsidR="00661AA0">
              <w:t>Ltd</w:t>
            </w:r>
          </w:p>
        </w:tc>
        <w:tc>
          <w:tcPr>
            <w:tcW w:w="4241" w:type="dxa"/>
          </w:tcPr>
          <w:p w14:paraId="4C81C4B3" w14:textId="77777777" w:rsidR="00661C3B" w:rsidRPr="00D94AF8" w:rsidRDefault="00661C3B" w:rsidP="00661C3B">
            <w:pPr>
              <w:pStyle w:val="TableText"/>
              <w:rPr>
                <w:lang w:eastAsia="ja-JP"/>
              </w:rPr>
            </w:pPr>
            <w:r w:rsidRPr="00D94AF8">
              <w:rPr>
                <w:lang w:eastAsia="ja-JP"/>
              </w:rPr>
              <w:t>Office of Environment and Heritage</w:t>
            </w:r>
          </w:p>
        </w:tc>
      </w:tr>
      <w:tr w:rsidR="00661C3B" w:rsidRPr="00A31657" w14:paraId="7AD9F89E" w14:textId="77777777" w:rsidTr="00661C3B">
        <w:tc>
          <w:tcPr>
            <w:tcW w:w="4829" w:type="dxa"/>
          </w:tcPr>
          <w:p w14:paraId="791246AB" w14:textId="77777777" w:rsidR="00661C3B" w:rsidRPr="00A31657" w:rsidRDefault="00661C3B" w:rsidP="00661C3B">
            <w:pPr>
              <w:pStyle w:val="TableText"/>
            </w:pPr>
            <w:r w:rsidRPr="00A31657">
              <w:t>Grain Growers Limited</w:t>
            </w:r>
          </w:p>
        </w:tc>
        <w:tc>
          <w:tcPr>
            <w:tcW w:w="4241" w:type="dxa"/>
          </w:tcPr>
          <w:p w14:paraId="4D2E0DF3" w14:textId="77777777" w:rsidR="00661C3B" w:rsidRPr="00D94AF8" w:rsidRDefault="00661C3B" w:rsidP="00661C3B">
            <w:pPr>
              <w:pStyle w:val="TableText"/>
              <w:rPr>
                <w:lang w:eastAsia="ja-JP"/>
              </w:rPr>
            </w:pPr>
            <w:r w:rsidRPr="00D94AF8">
              <w:rPr>
                <w:lang w:eastAsia="ja-JP"/>
              </w:rPr>
              <w:t>Natural Resources Commission*</w:t>
            </w:r>
          </w:p>
        </w:tc>
      </w:tr>
      <w:tr w:rsidR="00661C3B" w:rsidRPr="00A31657" w14:paraId="4C0B90C3" w14:textId="77777777" w:rsidTr="00661C3B">
        <w:tc>
          <w:tcPr>
            <w:tcW w:w="4829" w:type="dxa"/>
          </w:tcPr>
          <w:p w14:paraId="1723C155" w14:textId="77777777" w:rsidR="00661C3B" w:rsidRPr="00A31657" w:rsidRDefault="00661C3B" w:rsidP="00661AA0">
            <w:pPr>
              <w:pStyle w:val="TableText"/>
            </w:pPr>
            <w:r w:rsidRPr="00A31657">
              <w:t xml:space="preserve">Grain Industry Association of Western Australia </w:t>
            </w:r>
            <w:r w:rsidR="00661AA0">
              <w:t>Inc.</w:t>
            </w:r>
          </w:p>
        </w:tc>
        <w:tc>
          <w:tcPr>
            <w:tcW w:w="4241" w:type="dxa"/>
          </w:tcPr>
          <w:p w14:paraId="51BC9E23" w14:textId="77777777" w:rsidR="00661C3B" w:rsidRPr="00D94AF8" w:rsidRDefault="00661C3B" w:rsidP="00661C3B">
            <w:pPr>
              <w:pStyle w:val="TableText"/>
              <w:rPr>
                <w:i/>
                <w:lang w:eastAsia="ja-JP"/>
              </w:rPr>
            </w:pPr>
            <w:r w:rsidRPr="00D94AF8">
              <w:rPr>
                <w:i/>
                <w:lang w:eastAsia="ja-JP"/>
              </w:rPr>
              <w:t>Victorian Government</w:t>
            </w:r>
          </w:p>
        </w:tc>
      </w:tr>
      <w:tr w:rsidR="00661C3B" w:rsidRPr="00A31657" w14:paraId="65BFC5A5" w14:textId="77777777" w:rsidTr="00661C3B">
        <w:tc>
          <w:tcPr>
            <w:tcW w:w="4829" w:type="dxa"/>
          </w:tcPr>
          <w:p w14:paraId="72BD5FD4" w14:textId="77777777" w:rsidR="00661C3B" w:rsidRPr="00A31657" w:rsidRDefault="00661C3B" w:rsidP="00661C3B">
            <w:pPr>
              <w:pStyle w:val="TableText"/>
            </w:pPr>
            <w:r w:rsidRPr="00A31657">
              <w:t>Grains Research and Development Corporation</w:t>
            </w:r>
          </w:p>
        </w:tc>
        <w:tc>
          <w:tcPr>
            <w:tcW w:w="4241" w:type="dxa"/>
          </w:tcPr>
          <w:p w14:paraId="661243CC" w14:textId="77777777" w:rsidR="00661C3B" w:rsidRPr="00D94AF8" w:rsidRDefault="00661C3B" w:rsidP="00661C3B">
            <w:pPr>
              <w:pStyle w:val="TableText"/>
              <w:rPr>
                <w:b/>
                <w:i/>
                <w:lang w:eastAsia="ja-JP"/>
              </w:rPr>
            </w:pPr>
            <w:r w:rsidRPr="00D94AF8">
              <w:rPr>
                <w:lang w:eastAsia="ja-JP"/>
              </w:rPr>
              <w:t>Department of Economic Development, Jobs, Transport and Resources</w:t>
            </w:r>
          </w:p>
        </w:tc>
      </w:tr>
      <w:tr w:rsidR="00661C3B" w:rsidRPr="00A31657" w14:paraId="2C3E29A6" w14:textId="77777777" w:rsidTr="00661C3B">
        <w:tc>
          <w:tcPr>
            <w:tcW w:w="4829" w:type="dxa"/>
          </w:tcPr>
          <w:p w14:paraId="090E314C" w14:textId="77777777" w:rsidR="00661C3B" w:rsidRPr="00A31657" w:rsidRDefault="00661C3B" w:rsidP="00661C3B">
            <w:pPr>
              <w:pStyle w:val="TableText"/>
            </w:pPr>
            <w:r w:rsidRPr="00A31657">
              <w:t xml:space="preserve">Grains Industry Market Access Forum </w:t>
            </w:r>
            <w:r w:rsidR="00661AA0">
              <w:t>Ltd</w:t>
            </w:r>
          </w:p>
        </w:tc>
        <w:tc>
          <w:tcPr>
            <w:tcW w:w="4241" w:type="dxa"/>
          </w:tcPr>
          <w:p w14:paraId="0085E8BC" w14:textId="77777777" w:rsidR="00661C3B" w:rsidRPr="00D94AF8" w:rsidRDefault="00661C3B" w:rsidP="00661C3B">
            <w:pPr>
              <w:pStyle w:val="TableText"/>
              <w:rPr>
                <w:lang w:eastAsia="ja-JP"/>
              </w:rPr>
            </w:pPr>
            <w:r w:rsidRPr="00D94AF8">
              <w:rPr>
                <w:lang w:eastAsia="ja-JP"/>
              </w:rPr>
              <w:t>Department of Environment, Land, Water and Planning</w:t>
            </w:r>
          </w:p>
        </w:tc>
      </w:tr>
      <w:tr w:rsidR="00661C3B" w:rsidRPr="00A31657" w14:paraId="26D5C3A6" w14:textId="77777777" w:rsidTr="00661C3B">
        <w:tc>
          <w:tcPr>
            <w:tcW w:w="4829" w:type="dxa"/>
          </w:tcPr>
          <w:p w14:paraId="67D0855E" w14:textId="77777777" w:rsidR="00661C3B" w:rsidRPr="00A31657" w:rsidRDefault="00661C3B" w:rsidP="00661C3B">
            <w:pPr>
              <w:pStyle w:val="TableText"/>
            </w:pPr>
            <w:r w:rsidRPr="00A31657">
              <w:t>Growcom Australia</w:t>
            </w:r>
          </w:p>
        </w:tc>
        <w:tc>
          <w:tcPr>
            <w:tcW w:w="4241" w:type="dxa"/>
          </w:tcPr>
          <w:p w14:paraId="4599581A" w14:textId="77777777" w:rsidR="00661C3B" w:rsidRPr="00D94AF8" w:rsidRDefault="00661C3B" w:rsidP="00661C3B">
            <w:pPr>
              <w:pStyle w:val="TableText"/>
              <w:rPr>
                <w:lang w:eastAsia="ja-JP"/>
              </w:rPr>
            </w:pPr>
            <w:r w:rsidRPr="00D94AF8">
              <w:rPr>
                <w:lang w:eastAsia="ja-JP"/>
              </w:rPr>
              <w:t>Department of Premier and Cabinet</w:t>
            </w:r>
          </w:p>
        </w:tc>
      </w:tr>
      <w:tr w:rsidR="00661C3B" w:rsidRPr="00A31657" w14:paraId="2CE589A2" w14:textId="77777777" w:rsidTr="00661C3B">
        <w:tc>
          <w:tcPr>
            <w:tcW w:w="4829" w:type="dxa"/>
          </w:tcPr>
          <w:p w14:paraId="71BF87DA" w14:textId="77777777" w:rsidR="00661C3B" w:rsidRPr="00A31657" w:rsidRDefault="00661C3B" w:rsidP="00661AA0">
            <w:pPr>
              <w:pStyle w:val="TableText"/>
            </w:pPr>
            <w:r w:rsidRPr="00A31657">
              <w:t xml:space="preserve">Hills Orchard Improvement Group </w:t>
            </w:r>
            <w:r w:rsidR="00661AA0">
              <w:t>Inc.</w:t>
            </w:r>
          </w:p>
        </w:tc>
        <w:tc>
          <w:tcPr>
            <w:tcW w:w="4241" w:type="dxa"/>
          </w:tcPr>
          <w:p w14:paraId="5BCB9A26" w14:textId="77777777" w:rsidR="00661C3B" w:rsidRPr="00D94AF8" w:rsidRDefault="00661C3B" w:rsidP="00661C3B">
            <w:pPr>
              <w:pStyle w:val="TableText"/>
              <w:rPr>
                <w:lang w:eastAsia="ja-JP"/>
              </w:rPr>
            </w:pPr>
            <w:r w:rsidRPr="00D94AF8">
              <w:rPr>
                <w:lang w:eastAsia="ja-JP"/>
              </w:rPr>
              <w:t>Department of Treasury and Finance</w:t>
            </w:r>
          </w:p>
        </w:tc>
      </w:tr>
      <w:tr w:rsidR="00661C3B" w:rsidRPr="00A31657" w14:paraId="5B82B857" w14:textId="77777777" w:rsidTr="00661C3B">
        <w:tc>
          <w:tcPr>
            <w:tcW w:w="4829" w:type="dxa"/>
          </w:tcPr>
          <w:p w14:paraId="7CDDDFEB" w14:textId="77777777" w:rsidR="00661C3B" w:rsidRPr="00A31657" w:rsidRDefault="00661C3B" w:rsidP="00661C3B">
            <w:pPr>
              <w:pStyle w:val="TableText"/>
            </w:pPr>
            <w:r w:rsidRPr="00A31657">
              <w:t>HortEx</w:t>
            </w:r>
          </w:p>
        </w:tc>
        <w:tc>
          <w:tcPr>
            <w:tcW w:w="4241" w:type="dxa"/>
          </w:tcPr>
          <w:p w14:paraId="66E432EE" w14:textId="77777777" w:rsidR="00661C3B" w:rsidRPr="00D94AF8" w:rsidRDefault="00661C3B" w:rsidP="00661C3B">
            <w:pPr>
              <w:pStyle w:val="TableText"/>
              <w:rPr>
                <w:i/>
                <w:lang w:eastAsia="ja-JP"/>
              </w:rPr>
            </w:pPr>
            <w:r w:rsidRPr="00D94AF8">
              <w:rPr>
                <w:i/>
                <w:lang w:eastAsia="ja-JP"/>
              </w:rPr>
              <w:t>Queensland Government</w:t>
            </w:r>
          </w:p>
        </w:tc>
      </w:tr>
      <w:tr w:rsidR="00661C3B" w:rsidRPr="00A31657" w14:paraId="374FC647" w14:textId="77777777" w:rsidTr="00661C3B">
        <w:tc>
          <w:tcPr>
            <w:tcW w:w="4829" w:type="dxa"/>
          </w:tcPr>
          <w:p w14:paraId="40E6C051" w14:textId="77777777" w:rsidR="00661C3B" w:rsidRPr="00A31657" w:rsidRDefault="00661C3B" w:rsidP="00661AA0">
            <w:pPr>
              <w:pStyle w:val="TableText"/>
            </w:pPr>
            <w:r w:rsidRPr="00A31657">
              <w:t xml:space="preserve">Humpty Doo Barramundi </w:t>
            </w:r>
            <w:r w:rsidR="00661AA0">
              <w:t>Pty Ltd</w:t>
            </w:r>
          </w:p>
        </w:tc>
        <w:tc>
          <w:tcPr>
            <w:tcW w:w="4241" w:type="dxa"/>
          </w:tcPr>
          <w:p w14:paraId="6F6CADAD" w14:textId="77777777" w:rsidR="00661C3B" w:rsidRPr="00D94AF8" w:rsidRDefault="00661C3B" w:rsidP="00661C3B">
            <w:pPr>
              <w:pStyle w:val="TableText"/>
              <w:rPr>
                <w:lang w:eastAsia="ja-JP"/>
              </w:rPr>
            </w:pPr>
            <w:r w:rsidRPr="00D94AF8">
              <w:rPr>
                <w:lang w:eastAsia="ja-JP"/>
              </w:rPr>
              <w:t>Department of Agriculture and Fisheries</w:t>
            </w:r>
          </w:p>
        </w:tc>
      </w:tr>
      <w:tr w:rsidR="00661C3B" w:rsidRPr="00A31657" w14:paraId="7C9F063E" w14:textId="77777777" w:rsidTr="00661C3B">
        <w:tc>
          <w:tcPr>
            <w:tcW w:w="4829" w:type="dxa"/>
          </w:tcPr>
          <w:p w14:paraId="0A765229" w14:textId="77777777" w:rsidR="00661C3B" w:rsidRPr="00A31657" w:rsidRDefault="00661C3B" w:rsidP="00661C3B">
            <w:pPr>
              <w:pStyle w:val="TableText"/>
            </w:pPr>
            <w:r w:rsidRPr="00A31657">
              <w:t>HVP Plantations</w:t>
            </w:r>
          </w:p>
        </w:tc>
        <w:tc>
          <w:tcPr>
            <w:tcW w:w="4241" w:type="dxa"/>
          </w:tcPr>
          <w:p w14:paraId="783AA37E" w14:textId="77777777" w:rsidR="00661C3B" w:rsidRPr="00D94AF8" w:rsidRDefault="00661C3B" w:rsidP="00661C3B">
            <w:pPr>
              <w:pStyle w:val="TableText"/>
              <w:rPr>
                <w:lang w:eastAsia="ja-JP"/>
              </w:rPr>
            </w:pPr>
            <w:r w:rsidRPr="00D94AF8">
              <w:rPr>
                <w:lang w:eastAsia="ja-JP"/>
              </w:rPr>
              <w:t>Department of the Premier and Cabinet</w:t>
            </w:r>
          </w:p>
        </w:tc>
      </w:tr>
      <w:tr w:rsidR="00661C3B" w:rsidRPr="00A31657" w14:paraId="149CFFA1" w14:textId="77777777" w:rsidTr="00661C3B">
        <w:tc>
          <w:tcPr>
            <w:tcW w:w="4829" w:type="dxa"/>
          </w:tcPr>
          <w:p w14:paraId="7BBF60E5" w14:textId="77777777" w:rsidR="00661C3B" w:rsidRPr="00A31657" w:rsidRDefault="00661C3B" w:rsidP="00661AA0">
            <w:pPr>
              <w:pStyle w:val="TableText"/>
            </w:pPr>
            <w:r w:rsidRPr="00A31657">
              <w:t xml:space="preserve">Ingham’s </w:t>
            </w:r>
            <w:r w:rsidR="00661AA0">
              <w:t>Pty Ltd</w:t>
            </w:r>
          </w:p>
        </w:tc>
        <w:tc>
          <w:tcPr>
            <w:tcW w:w="4241" w:type="dxa"/>
          </w:tcPr>
          <w:p w14:paraId="77F53271" w14:textId="77777777" w:rsidR="00661C3B" w:rsidRPr="00D94AF8" w:rsidRDefault="00661C3B" w:rsidP="00661C3B">
            <w:pPr>
              <w:pStyle w:val="TableText"/>
              <w:rPr>
                <w:lang w:eastAsia="ja-JP"/>
              </w:rPr>
            </w:pPr>
            <w:r w:rsidRPr="00D94AF8">
              <w:rPr>
                <w:lang w:eastAsia="ja-JP"/>
              </w:rPr>
              <w:t>Queensland Treasury</w:t>
            </w:r>
          </w:p>
        </w:tc>
      </w:tr>
      <w:tr w:rsidR="00661C3B" w:rsidRPr="00A31657" w14:paraId="5BDFC66A" w14:textId="77777777" w:rsidTr="00661C3B">
        <w:tc>
          <w:tcPr>
            <w:tcW w:w="4829" w:type="dxa"/>
          </w:tcPr>
          <w:p w14:paraId="66079096" w14:textId="77777777" w:rsidR="00661C3B" w:rsidRPr="00A31657" w:rsidRDefault="00661C3B" w:rsidP="00661C3B">
            <w:pPr>
              <w:pStyle w:val="TableText"/>
            </w:pPr>
            <w:r w:rsidRPr="00A31657">
              <w:t>Invasive Animals Cooperative Research Centre</w:t>
            </w:r>
          </w:p>
        </w:tc>
        <w:tc>
          <w:tcPr>
            <w:tcW w:w="4241" w:type="dxa"/>
          </w:tcPr>
          <w:p w14:paraId="4B42C72C" w14:textId="77777777" w:rsidR="00661C3B" w:rsidRPr="00D94AF8" w:rsidRDefault="00661C3B" w:rsidP="00661C3B">
            <w:pPr>
              <w:pStyle w:val="TableText"/>
              <w:rPr>
                <w:i/>
                <w:lang w:eastAsia="ja-JP"/>
              </w:rPr>
            </w:pPr>
            <w:r w:rsidRPr="00D94AF8">
              <w:rPr>
                <w:i/>
                <w:lang w:eastAsia="ja-JP"/>
              </w:rPr>
              <w:t>South Australian Government</w:t>
            </w:r>
          </w:p>
        </w:tc>
      </w:tr>
      <w:tr w:rsidR="00661C3B" w:rsidRPr="00A31657" w14:paraId="1921DDAE" w14:textId="77777777" w:rsidTr="00661C3B">
        <w:tc>
          <w:tcPr>
            <w:tcW w:w="4829" w:type="dxa"/>
          </w:tcPr>
          <w:p w14:paraId="32CBABC6" w14:textId="77777777" w:rsidR="00661C3B" w:rsidRPr="00A31657" w:rsidRDefault="00661C3B" w:rsidP="00661C3B">
            <w:pPr>
              <w:pStyle w:val="TableText"/>
            </w:pPr>
            <w:r w:rsidRPr="00A31657">
              <w:t>Invasive Species Council (also representing the Nature Conservation Council of NSW)</w:t>
            </w:r>
          </w:p>
        </w:tc>
        <w:tc>
          <w:tcPr>
            <w:tcW w:w="4241" w:type="dxa"/>
          </w:tcPr>
          <w:p w14:paraId="4A89878C" w14:textId="77777777" w:rsidR="00661C3B" w:rsidRPr="00D94AF8" w:rsidRDefault="00661C3B" w:rsidP="00661C3B">
            <w:pPr>
              <w:pStyle w:val="TableText"/>
              <w:rPr>
                <w:lang w:eastAsia="ja-JP"/>
              </w:rPr>
            </w:pPr>
            <w:r w:rsidRPr="00D94AF8">
              <w:rPr>
                <w:lang w:eastAsia="ja-JP"/>
              </w:rPr>
              <w:t>Department of Environment, Water and Natural Resources</w:t>
            </w:r>
          </w:p>
        </w:tc>
      </w:tr>
      <w:tr w:rsidR="00661C3B" w:rsidRPr="00A31657" w14:paraId="3616FC9F" w14:textId="77777777" w:rsidTr="00661C3B">
        <w:tc>
          <w:tcPr>
            <w:tcW w:w="4829" w:type="dxa"/>
          </w:tcPr>
          <w:p w14:paraId="43420B31" w14:textId="77777777" w:rsidR="00661C3B" w:rsidRPr="00A31657" w:rsidRDefault="00661C3B" w:rsidP="00661AA0">
            <w:pPr>
              <w:pStyle w:val="TableText"/>
            </w:pPr>
            <w:r w:rsidRPr="00A31657">
              <w:t xml:space="preserve">Livestock Biosecurity Network </w:t>
            </w:r>
            <w:r w:rsidR="00661AA0">
              <w:t xml:space="preserve">Pty </w:t>
            </w:r>
            <w:r w:rsidR="00661AA0" w:rsidRPr="00661AA0">
              <w:t>Ltd</w:t>
            </w:r>
          </w:p>
        </w:tc>
        <w:tc>
          <w:tcPr>
            <w:tcW w:w="4241" w:type="dxa"/>
          </w:tcPr>
          <w:p w14:paraId="57B42C5E" w14:textId="77777777" w:rsidR="00661C3B" w:rsidRPr="00D94AF8" w:rsidRDefault="00661C3B" w:rsidP="00661C3B">
            <w:pPr>
              <w:pStyle w:val="TableText"/>
              <w:rPr>
                <w:lang w:eastAsia="ja-JP"/>
              </w:rPr>
            </w:pPr>
            <w:r w:rsidRPr="00D94AF8">
              <w:rPr>
                <w:lang w:eastAsia="ja-JP"/>
              </w:rPr>
              <w:t>Department of the Premier and Cabinet</w:t>
            </w:r>
          </w:p>
        </w:tc>
      </w:tr>
      <w:tr w:rsidR="00661C3B" w:rsidRPr="00A31657" w14:paraId="06B20C8F" w14:textId="77777777" w:rsidTr="00661C3B">
        <w:tc>
          <w:tcPr>
            <w:tcW w:w="4829" w:type="dxa"/>
          </w:tcPr>
          <w:p w14:paraId="2AE63DE0" w14:textId="77777777" w:rsidR="00661C3B" w:rsidRPr="00A31657" w:rsidRDefault="00661C3B" w:rsidP="00661C3B">
            <w:pPr>
              <w:pStyle w:val="TableText"/>
            </w:pPr>
            <w:r w:rsidRPr="00A31657">
              <w:t xml:space="preserve">Manbullo Mangoes </w:t>
            </w:r>
          </w:p>
        </w:tc>
        <w:tc>
          <w:tcPr>
            <w:tcW w:w="4241" w:type="dxa"/>
          </w:tcPr>
          <w:p w14:paraId="5DE0733E" w14:textId="77777777" w:rsidR="00661C3B" w:rsidRPr="00D94AF8" w:rsidRDefault="00661C3B" w:rsidP="00661C3B">
            <w:pPr>
              <w:pStyle w:val="TableText"/>
              <w:rPr>
                <w:lang w:eastAsia="ja-JP"/>
              </w:rPr>
            </w:pPr>
            <w:r w:rsidRPr="00D94AF8">
              <w:rPr>
                <w:lang w:eastAsia="ja-JP"/>
              </w:rPr>
              <w:t>Department of Primary Industry and Regions</w:t>
            </w:r>
          </w:p>
        </w:tc>
      </w:tr>
      <w:tr w:rsidR="00661C3B" w:rsidRPr="00A31657" w14:paraId="063D463F" w14:textId="77777777" w:rsidTr="00661C3B">
        <w:tc>
          <w:tcPr>
            <w:tcW w:w="4829" w:type="dxa"/>
          </w:tcPr>
          <w:p w14:paraId="7798872A" w14:textId="77777777" w:rsidR="00661C3B" w:rsidRPr="00A31657" w:rsidRDefault="00661C3B" w:rsidP="00661AA0">
            <w:pPr>
              <w:pStyle w:val="TableText"/>
            </w:pPr>
            <w:r w:rsidRPr="00A31657">
              <w:t xml:space="preserve">McCain Foods (Aust.) </w:t>
            </w:r>
            <w:r w:rsidR="00661AA0">
              <w:t>Pty Ltd</w:t>
            </w:r>
          </w:p>
        </w:tc>
        <w:tc>
          <w:tcPr>
            <w:tcW w:w="4241" w:type="dxa"/>
          </w:tcPr>
          <w:p w14:paraId="31863F75" w14:textId="77777777" w:rsidR="00661C3B" w:rsidRPr="00D94AF8" w:rsidRDefault="00661C3B" w:rsidP="00661C3B">
            <w:pPr>
              <w:pStyle w:val="TableText"/>
              <w:rPr>
                <w:lang w:eastAsia="ja-JP"/>
              </w:rPr>
            </w:pPr>
            <w:r w:rsidRPr="00D94AF8">
              <w:rPr>
                <w:lang w:eastAsia="ja-JP"/>
              </w:rPr>
              <w:t>Department of Treasury and Finance</w:t>
            </w:r>
          </w:p>
        </w:tc>
      </w:tr>
      <w:tr w:rsidR="00661C3B" w:rsidRPr="00A31657" w14:paraId="42A818D4" w14:textId="77777777" w:rsidTr="00661C3B">
        <w:tc>
          <w:tcPr>
            <w:tcW w:w="4829" w:type="dxa"/>
          </w:tcPr>
          <w:p w14:paraId="77BC9116" w14:textId="77777777" w:rsidR="00661C3B" w:rsidRPr="00A31657" w:rsidRDefault="00661C3B" w:rsidP="00661AA0">
            <w:pPr>
              <w:pStyle w:val="TableText"/>
            </w:pPr>
            <w:r w:rsidRPr="00A31657">
              <w:lastRenderedPageBreak/>
              <w:t xml:space="preserve">McLaren Vale Grape, Wine and Tourism Industry Association </w:t>
            </w:r>
            <w:r w:rsidR="00661AA0">
              <w:t>Inc.</w:t>
            </w:r>
          </w:p>
        </w:tc>
        <w:tc>
          <w:tcPr>
            <w:tcW w:w="4241" w:type="dxa"/>
          </w:tcPr>
          <w:p w14:paraId="1816EDA9" w14:textId="77777777" w:rsidR="00661C3B" w:rsidRPr="00D94AF8" w:rsidRDefault="00661C3B" w:rsidP="00661C3B">
            <w:pPr>
              <w:pStyle w:val="TableText"/>
              <w:rPr>
                <w:i/>
                <w:lang w:eastAsia="ja-JP"/>
              </w:rPr>
            </w:pPr>
            <w:r w:rsidRPr="00D94AF8">
              <w:rPr>
                <w:i/>
                <w:lang w:eastAsia="ja-JP"/>
              </w:rPr>
              <w:t>Western Australian Government</w:t>
            </w:r>
          </w:p>
        </w:tc>
      </w:tr>
      <w:tr w:rsidR="00661C3B" w:rsidRPr="00A31657" w14:paraId="7F239FE4" w14:textId="77777777" w:rsidTr="00661C3B">
        <w:tc>
          <w:tcPr>
            <w:tcW w:w="4829" w:type="dxa"/>
          </w:tcPr>
          <w:p w14:paraId="45CD4BD7" w14:textId="77777777" w:rsidR="00661C3B" w:rsidRPr="00A31657" w:rsidRDefault="00661C3B" w:rsidP="00661C3B">
            <w:pPr>
              <w:pStyle w:val="TableText"/>
            </w:pPr>
            <w:r w:rsidRPr="00A31657">
              <w:t xml:space="preserve">Meat and Livestock Australia </w:t>
            </w:r>
            <w:r w:rsidR="00661AA0">
              <w:t>Ltd</w:t>
            </w:r>
          </w:p>
        </w:tc>
        <w:tc>
          <w:tcPr>
            <w:tcW w:w="4241" w:type="dxa"/>
          </w:tcPr>
          <w:p w14:paraId="6FE3543D" w14:textId="77777777" w:rsidR="00661C3B" w:rsidRPr="00D94AF8" w:rsidRDefault="00661C3B" w:rsidP="00661C3B">
            <w:pPr>
              <w:pStyle w:val="TableText"/>
              <w:rPr>
                <w:lang w:eastAsia="ja-JP"/>
              </w:rPr>
            </w:pPr>
            <w:r w:rsidRPr="00D94AF8">
              <w:rPr>
                <w:lang w:eastAsia="ja-JP"/>
              </w:rPr>
              <w:t>Department of Agriculture and Food</w:t>
            </w:r>
          </w:p>
        </w:tc>
      </w:tr>
      <w:tr w:rsidR="00661C3B" w:rsidRPr="00A31657" w14:paraId="35EF7A28" w14:textId="77777777" w:rsidTr="00661C3B">
        <w:tc>
          <w:tcPr>
            <w:tcW w:w="4829" w:type="dxa"/>
          </w:tcPr>
          <w:p w14:paraId="14B9F839" w14:textId="77777777" w:rsidR="00661C3B" w:rsidRPr="00A31657" w:rsidRDefault="00661C3B" w:rsidP="00661C3B">
            <w:pPr>
              <w:pStyle w:val="TableText"/>
            </w:pPr>
            <w:r w:rsidRPr="00A31657">
              <w:t xml:space="preserve">Murray Goulburn Co-operative Co. </w:t>
            </w:r>
            <w:r w:rsidR="00661AA0">
              <w:t>Ltd</w:t>
            </w:r>
          </w:p>
        </w:tc>
        <w:tc>
          <w:tcPr>
            <w:tcW w:w="4241" w:type="dxa"/>
          </w:tcPr>
          <w:p w14:paraId="3D746911" w14:textId="77777777" w:rsidR="00661C3B" w:rsidRPr="00D94AF8" w:rsidRDefault="00661C3B" w:rsidP="00661C3B">
            <w:pPr>
              <w:pStyle w:val="TableText"/>
              <w:rPr>
                <w:lang w:eastAsia="ja-JP"/>
              </w:rPr>
            </w:pPr>
            <w:r w:rsidRPr="00D94AF8">
              <w:rPr>
                <w:lang w:eastAsia="ja-JP"/>
              </w:rPr>
              <w:t>Department of Environment Regulation</w:t>
            </w:r>
          </w:p>
        </w:tc>
      </w:tr>
      <w:tr w:rsidR="00661C3B" w:rsidRPr="00A31657" w14:paraId="66AF950E" w14:textId="77777777" w:rsidTr="00661C3B">
        <w:tc>
          <w:tcPr>
            <w:tcW w:w="4829" w:type="dxa"/>
          </w:tcPr>
          <w:p w14:paraId="3F2E2739" w14:textId="77777777" w:rsidR="00661C3B" w:rsidRPr="00A31657" w:rsidRDefault="00661C3B" w:rsidP="00661C3B">
            <w:pPr>
              <w:pStyle w:val="TableText"/>
            </w:pPr>
            <w:r w:rsidRPr="00A31657">
              <w:t xml:space="preserve">National Farmers’ Federation </w:t>
            </w:r>
            <w:r w:rsidR="00661AA0">
              <w:t>Ltd</w:t>
            </w:r>
          </w:p>
        </w:tc>
        <w:tc>
          <w:tcPr>
            <w:tcW w:w="4241" w:type="dxa"/>
          </w:tcPr>
          <w:p w14:paraId="68A3959D" w14:textId="77777777" w:rsidR="00661C3B" w:rsidRPr="00D94AF8" w:rsidRDefault="00661C3B" w:rsidP="00661C3B">
            <w:pPr>
              <w:pStyle w:val="TableText"/>
              <w:rPr>
                <w:lang w:eastAsia="ja-JP"/>
              </w:rPr>
            </w:pPr>
            <w:r w:rsidRPr="00D94AF8">
              <w:rPr>
                <w:lang w:eastAsia="ja-JP"/>
              </w:rPr>
              <w:t>Department of Fisheries</w:t>
            </w:r>
          </w:p>
        </w:tc>
      </w:tr>
      <w:tr w:rsidR="00661C3B" w:rsidRPr="00A31657" w14:paraId="4D01F8F5" w14:textId="77777777" w:rsidTr="00661C3B">
        <w:tc>
          <w:tcPr>
            <w:tcW w:w="4829" w:type="dxa"/>
          </w:tcPr>
          <w:p w14:paraId="78F61EF0" w14:textId="77777777" w:rsidR="00661C3B" w:rsidRPr="00A31657" w:rsidRDefault="00661C3B" w:rsidP="00661C3B">
            <w:pPr>
              <w:pStyle w:val="TableText"/>
            </w:pPr>
            <w:r>
              <w:t>Natural Resource Management Regions Australia</w:t>
            </w:r>
          </w:p>
        </w:tc>
        <w:tc>
          <w:tcPr>
            <w:tcW w:w="4241" w:type="dxa"/>
          </w:tcPr>
          <w:p w14:paraId="150DC9C3" w14:textId="77777777" w:rsidR="00661C3B" w:rsidRPr="00D94AF8" w:rsidRDefault="00661C3B" w:rsidP="00661C3B">
            <w:pPr>
              <w:pStyle w:val="TableText"/>
              <w:rPr>
                <w:lang w:eastAsia="ja-JP"/>
              </w:rPr>
            </w:pPr>
            <w:r w:rsidRPr="00D94AF8">
              <w:rPr>
                <w:lang w:eastAsia="ja-JP"/>
              </w:rPr>
              <w:t>Department of Parks and Wildlife</w:t>
            </w:r>
          </w:p>
        </w:tc>
      </w:tr>
      <w:tr w:rsidR="00661C3B" w:rsidRPr="00A31657" w14:paraId="5DE92EDD" w14:textId="77777777" w:rsidTr="00661C3B">
        <w:tc>
          <w:tcPr>
            <w:tcW w:w="4829" w:type="dxa"/>
          </w:tcPr>
          <w:p w14:paraId="5FB8B4E8" w14:textId="77777777" w:rsidR="00661C3B" w:rsidRPr="00A31657" w:rsidRDefault="00661C3B" w:rsidP="00661C3B">
            <w:pPr>
              <w:pStyle w:val="TableText"/>
            </w:pPr>
            <w:r w:rsidRPr="00A31657">
              <w:t xml:space="preserve">North Queensland Bulk Ports Corporation </w:t>
            </w:r>
            <w:r w:rsidR="00661AA0">
              <w:t>Ltd</w:t>
            </w:r>
          </w:p>
        </w:tc>
        <w:tc>
          <w:tcPr>
            <w:tcW w:w="4241" w:type="dxa"/>
          </w:tcPr>
          <w:p w14:paraId="4C010352" w14:textId="77777777" w:rsidR="00661C3B" w:rsidRPr="00D94AF8" w:rsidRDefault="00661C3B" w:rsidP="00661C3B">
            <w:pPr>
              <w:pStyle w:val="TableText"/>
              <w:rPr>
                <w:lang w:eastAsia="ja-JP"/>
              </w:rPr>
            </w:pPr>
            <w:r w:rsidRPr="00D94AF8">
              <w:rPr>
                <w:lang w:eastAsia="ja-JP"/>
              </w:rPr>
              <w:t>Department of State Development</w:t>
            </w:r>
          </w:p>
        </w:tc>
      </w:tr>
      <w:tr w:rsidR="00661C3B" w:rsidRPr="00A31657" w14:paraId="3A6EF8E9" w14:textId="77777777" w:rsidTr="00661C3B">
        <w:tc>
          <w:tcPr>
            <w:tcW w:w="4829" w:type="dxa"/>
          </w:tcPr>
          <w:p w14:paraId="55B7B877" w14:textId="77777777" w:rsidR="00661C3B" w:rsidRPr="00A31657" w:rsidRDefault="00661C3B" w:rsidP="00661AA0">
            <w:pPr>
              <w:pStyle w:val="TableText"/>
            </w:pPr>
            <w:r w:rsidRPr="00A31657">
              <w:t xml:space="preserve">Northern Territory Beekeepers Association </w:t>
            </w:r>
            <w:r w:rsidR="00661AA0">
              <w:t>Inc.</w:t>
            </w:r>
          </w:p>
        </w:tc>
        <w:tc>
          <w:tcPr>
            <w:tcW w:w="4241" w:type="dxa"/>
          </w:tcPr>
          <w:p w14:paraId="042C8174" w14:textId="77777777" w:rsidR="00661C3B" w:rsidRPr="00D94AF8" w:rsidRDefault="00661C3B" w:rsidP="00661C3B">
            <w:pPr>
              <w:pStyle w:val="TableText"/>
              <w:rPr>
                <w:lang w:eastAsia="ja-JP"/>
              </w:rPr>
            </w:pPr>
            <w:r w:rsidRPr="00D94AF8">
              <w:rPr>
                <w:lang w:eastAsia="ja-JP"/>
              </w:rPr>
              <w:t>Department of the Premier and Cabinet</w:t>
            </w:r>
          </w:p>
        </w:tc>
      </w:tr>
      <w:tr w:rsidR="00142359" w:rsidRPr="00A31657" w14:paraId="1D27B9B9" w14:textId="77777777" w:rsidTr="00661C3B">
        <w:tc>
          <w:tcPr>
            <w:tcW w:w="4829" w:type="dxa"/>
          </w:tcPr>
          <w:p w14:paraId="4E4FDE35" w14:textId="77777777" w:rsidR="00142359" w:rsidRPr="00A31657" w:rsidRDefault="00142359" w:rsidP="00142359">
            <w:pPr>
              <w:pStyle w:val="TableText"/>
            </w:pPr>
            <w:r w:rsidRPr="00A31657">
              <w:t xml:space="preserve">Northern Territory Cattlemen’s Association </w:t>
            </w:r>
            <w:r w:rsidR="00661AA0">
              <w:t>Inc.</w:t>
            </w:r>
          </w:p>
        </w:tc>
        <w:tc>
          <w:tcPr>
            <w:tcW w:w="4241" w:type="dxa"/>
          </w:tcPr>
          <w:p w14:paraId="690C6FBE" w14:textId="77777777" w:rsidR="00142359" w:rsidRPr="00D94AF8" w:rsidRDefault="00142359" w:rsidP="00142359">
            <w:pPr>
              <w:pStyle w:val="TableText"/>
              <w:rPr>
                <w:lang w:eastAsia="ja-JP"/>
              </w:rPr>
            </w:pPr>
            <w:r w:rsidRPr="00D94AF8">
              <w:rPr>
                <w:lang w:eastAsia="ja-JP"/>
              </w:rPr>
              <w:t>Department of Treasury</w:t>
            </w:r>
          </w:p>
        </w:tc>
      </w:tr>
      <w:tr w:rsidR="00142359" w:rsidRPr="00A31657" w14:paraId="5CAE26A6" w14:textId="77777777" w:rsidTr="00661C3B">
        <w:tc>
          <w:tcPr>
            <w:tcW w:w="4829" w:type="dxa"/>
          </w:tcPr>
          <w:p w14:paraId="180C9EB0" w14:textId="77777777" w:rsidR="00142359" w:rsidRPr="00A31657" w:rsidRDefault="00142359" w:rsidP="00142359">
            <w:pPr>
              <w:pStyle w:val="TableText"/>
            </w:pPr>
            <w:r w:rsidRPr="00A31657">
              <w:t xml:space="preserve">Northern Territory Farmers Association </w:t>
            </w:r>
            <w:r w:rsidR="00661AA0">
              <w:t>Inc.</w:t>
            </w:r>
          </w:p>
        </w:tc>
        <w:tc>
          <w:tcPr>
            <w:tcW w:w="4241" w:type="dxa"/>
          </w:tcPr>
          <w:p w14:paraId="37308D6C" w14:textId="77777777" w:rsidR="00142359" w:rsidRPr="00D94AF8" w:rsidRDefault="00142359" w:rsidP="00142359">
            <w:pPr>
              <w:pStyle w:val="TableText"/>
              <w:rPr>
                <w:lang w:eastAsia="ja-JP"/>
              </w:rPr>
            </w:pPr>
            <w:r w:rsidRPr="00D94AF8">
              <w:rPr>
                <w:lang w:eastAsia="ja-JP"/>
              </w:rPr>
              <w:t>Forest Products Commission</w:t>
            </w:r>
          </w:p>
        </w:tc>
      </w:tr>
      <w:tr w:rsidR="00142359" w:rsidRPr="00A31657" w14:paraId="6BC1B3C2" w14:textId="77777777" w:rsidTr="00661C3B">
        <w:tc>
          <w:tcPr>
            <w:tcW w:w="4829" w:type="dxa"/>
          </w:tcPr>
          <w:p w14:paraId="200D93E9" w14:textId="77777777" w:rsidR="00142359" w:rsidRPr="00A31657" w:rsidRDefault="00142359" w:rsidP="00142359">
            <w:pPr>
              <w:pStyle w:val="TableText"/>
            </w:pPr>
            <w:r w:rsidRPr="00A31657">
              <w:t>Northern Territory Pastoral Land Board</w:t>
            </w:r>
          </w:p>
        </w:tc>
        <w:tc>
          <w:tcPr>
            <w:tcW w:w="4241" w:type="dxa"/>
          </w:tcPr>
          <w:p w14:paraId="43F010CF" w14:textId="77777777" w:rsidR="00142359" w:rsidRPr="00D94AF8" w:rsidRDefault="00142359" w:rsidP="00142359">
            <w:pPr>
              <w:pStyle w:val="TableText"/>
              <w:rPr>
                <w:lang w:eastAsia="ja-JP"/>
              </w:rPr>
            </w:pPr>
            <w:r w:rsidRPr="00D94AF8">
              <w:rPr>
                <w:lang w:eastAsia="ja-JP"/>
              </w:rPr>
              <w:t>Biosecurity Council of WA*</w:t>
            </w:r>
          </w:p>
        </w:tc>
      </w:tr>
      <w:tr w:rsidR="00142359" w:rsidRPr="00A31657" w14:paraId="4EBE1371" w14:textId="77777777" w:rsidTr="00661C3B">
        <w:tc>
          <w:tcPr>
            <w:tcW w:w="4829" w:type="dxa"/>
          </w:tcPr>
          <w:p w14:paraId="0119FC29" w14:textId="77777777" w:rsidR="00142359" w:rsidRPr="00A31657" w:rsidRDefault="00142359" w:rsidP="00142359">
            <w:pPr>
              <w:pStyle w:val="TableText"/>
            </w:pPr>
            <w:r w:rsidRPr="00A31657">
              <w:t>Nursery and Garden Industry Victoria</w:t>
            </w:r>
          </w:p>
        </w:tc>
        <w:tc>
          <w:tcPr>
            <w:tcW w:w="4241" w:type="dxa"/>
          </w:tcPr>
          <w:p w14:paraId="5CEB6CE9" w14:textId="77777777" w:rsidR="00142359" w:rsidRPr="00D94AF8" w:rsidRDefault="00142359" w:rsidP="00142359">
            <w:pPr>
              <w:pStyle w:val="TableText"/>
              <w:rPr>
                <w:i/>
                <w:lang w:eastAsia="ja-JP"/>
              </w:rPr>
            </w:pPr>
            <w:r w:rsidRPr="00D94AF8">
              <w:rPr>
                <w:i/>
                <w:lang w:eastAsia="ja-JP"/>
              </w:rPr>
              <w:t>Tasmanian Government</w:t>
            </w:r>
          </w:p>
        </w:tc>
      </w:tr>
      <w:tr w:rsidR="00142359" w:rsidRPr="00A31657" w14:paraId="30F8AAAB" w14:textId="77777777" w:rsidTr="00661C3B">
        <w:tc>
          <w:tcPr>
            <w:tcW w:w="4829" w:type="dxa"/>
          </w:tcPr>
          <w:p w14:paraId="6CFCB176" w14:textId="77777777" w:rsidR="00142359" w:rsidRPr="00A31657" w:rsidRDefault="00142359" w:rsidP="00142359">
            <w:pPr>
              <w:pStyle w:val="TableText"/>
            </w:pPr>
            <w:r w:rsidRPr="00A31657">
              <w:t>Nursery and Garden Industry Western Australia</w:t>
            </w:r>
          </w:p>
        </w:tc>
        <w:tc>
          <w:tcPr>
            <w:tcW w:w="4241" w:type="dxa"/>
          </w:tcPr>
          <w:p w14:paraId="3530ECC9" w14:textId="77777777" w:rsidR="00142359" w:rsidRPr="00D94AF8" w:rsidRDefault="00142359" w:rsidP="00142359">
            <w:pPr>
              <w:pStyle w:val="TableText"/>
              <w:rPr>
                <w:lang w:eastAsia="ja-JP"/>
              </w:rPr>
            </w:pPr>
            <w:r w:rsidRPr="00D94AF8">
              <w:rPr>
                <w:lang w:eastAsia="ja-JP"/>
              </w:rPr>
              <w:t>Department of Primary Industries, Parks, Water and Environment</w:t>
            </w:r>
          </w:p>
        </w:tc>
      </w:tr>
      <w:tr w:rsidR="00142359" w:rsidRPr="00A31657" w14:paraId="391E0852" w14:textId="77777777" w:rsidTr="00661C3B">
        <w:tc>
          <w:tcPr>
            <w:tcW w:w="4829" w:type="dxa"/>
          </w:tcPr>
          <w:p w14:paraId="4EB83F2E" w14:textId="77777777" w:rsidR="00142359" w:rsidRPr="00A31657" w:rsidRDefault="00142359" w:rsidP="00661AA0">
            <w:pPr>
              <w:pStyle w:val="TableText"/>
            </w:pPr>
            <w:r w:rsidRPr="00A31657">
              <w:t xml:space="preserve">OneFortyOne Plantations </w:t>
            </w:r>
            <w:r w:rsidR="00661AA0">
              <w:t>Pty Ltd</w:t>
            </w:r>
          </w:p>
        </w:tc>
        <w:tc>
          <w:tcPr>
            <w:tcW w:w="4241" w:type="dxa"/>
          </w:tcPr>
          <w:p w14:paraId="0D5CB87B" w14:textId="77777777" w:rsidR="00142359" w:rsidRPr="00D94AF8" w:rsidRDefault="00142359" w:rsidP="00142359">
            <w:pPr>
              <w:pStyle w:val="TableText"/>
              <w:rPr>
                <w:i/>
                <w:lang w:eastAsia="ja-JP"/>
              </w:rPr>
            </w:pPr>
            <w:r w:rsidRPr="00D94AF8">
              <w:rPr>
                <w:i/>
                <w:lang w:eastAsia="ja-JP"/>
              </w:rPr>
              <w:t>Northern Territory Government</w:t>
            </w:r>
          </w:p>
        </w:tc>
      </w:tr>
      <w:tr w:rsidR="00142359" w:rsidRPr="00A31657" w14:paraId="6A555CB9" w14:textId="77777777" w:rsidTr="00661C3B">
        <w:tc>
          <w:tcPr>
            <w:tcW w:w="4829" w:type="dxa"/>
          </w:tcPr>
          <w:p w14:paraId="50321020" w14:textId="77777777" w:rsidR="00142359" w:rsidRPr="00A31657" w:rsidRDefault="00142359" w:rsidP="00142359">
            <w:pPr>
              <w:pStyle w:val="TableText"/>
            </w:pPr>
            <w:r w:rsidRPr="00A31657">
              <w:t>Oysters Tasmania</w:t>
            </w:r>
          </w:p>
        </w:tc>
        <w:tc>
          <w:tcPr>
            <w:tcW w:w="4241" w:type="dxa"/>
          </w:tcPr>
          <w:p w14:paraId="2BA16967" w14:textId="77777777" w:rsidR="00142359" w:rsidRPr="00D94AF8" w:rsidRDefault="00142359" w:rsidP="00142359">
            <w:pPr>
              <w:pStyle w:val="TableText"/>
              <w:rPr>
                <w:lang w:eastAsia="ja-JP"/>
              </w:rPr>
            </w:pPr>
            <w:r w:rsidRPr="00D94AF8">
              <w:rPr>
                <w:lang w:eastAsia="ja-JP"/>
              </w:rPr>
              <w:t>Department of Primary Industry and Fisheries</w:t>
            </w:r>
          </w:p>
        </w:tc>
      </w:tr>
      <w:tr w:rsidR="00142359" w:rsidRPr="00A31657" w14:paraId="1CA0A372" w14:textId="77777777" w:rsidTr="00661C3B">
        <w:tc>
          <w:tcPr>
            <w:tcW w:w="4829" w:type="dxa"/>
          </w:tcPr>
          <w:p w14:paraId="67D309E9" w14:textId="77777777" w:rsidR="00142359" w:rsidRPr="00A31657" w:rsidRDefault="00142359" w:rsidP="00142359">
            <w:pPr>
              <w:pStyle w:val="TableText"/>
            </w:pPr>
            <w:r w:rsidRPr="00A31657">
              <w:t xml:space="preserve">Parmalat Australia </w:t>
            </w:r>
            <w:r w:rsidR="00661AA0">
              <w:t>Pty Ltd</w:t>
            </w:r>
          </w:p>
        </w:tc>
        <w:tc>
          <w:tcPr>
            <w:tcW w:w="4241" w:type="dxa"/>
          </w:tcPr>
          <w:p w14:paraId="26300E48" w14:textId="77777777" w:rsidR="00142359" w:rsidRPr="00D94AF8" w:rsidRDefault="00142359" w:rsidP="00142359">
            <w:pPr>
              <w:pStyle w:val="TableText"/>
              <w:rPr>
                <w:lang w:eastAsia="ja-JP"/>
              </w:rPr>
            </w:pPr>
            <w:r w:rsidRPr="00D94AF8">
              <w:rPr>
                <w:lang w:eastAsia="ja-JP"/>
              </w:rPr>
              <w:t>Department of Land Resource Management</w:t>
            </w:r>
          </w:p>
        </w:tc>
      </w:tr>
      <w:tr w:rsidR="00142359" w:rsidRPr="00A31657" w14:paraId="5712C88C" w14:textId="77777777" w:rsidTr="00661C3B">
        <w:tc>
          <w:tcPr>
            <w:tcW w:w="4829" w:type="dxa"/>
          </w:tcPr>
          <w:p w14:paraId="59AB043C" w14:textId="77777777" w:rsidR="00142359" w:rsidRPr="00A31657" w:rsidRDefault="00142359" w:rsidP="00142359">
            <w:pPr>
              <w:pStyle w:val="TableText"/>
            </w:pPr>
            <w:r w:rsidRPr="00A31657">
              <w:t xml:space="preserve">Consolidated Pastoral Company </w:t>
            </w:r>
            <w:r w:rsidR="00661AA0">
              <w:t>Pty Ltd</w:t>
            </w:r>
          </w:p>
        </w:tc>
        <w:tc>
          <w:tcPr>
            <w:tcW w:w="4241" w:type="dxa"/>
          </w:tcPr>
          <w:p w14:paraId="10CE5801" w14:textId="77777777" w:rsidR="00142359" w:rsidRPr="00D94AF8" w:rsidRDefault="00142359" w:rsidP="00142359">
            <w:pPr>
              <w:pStyle w:val="TableText"/>
              <w:rPr>
                <w:lang w:eastAsia="ja-JP"/>
              </w:rPr>
            </w:pPr>
            <w:r w:rsidRPr="00D94AF8">
              <w:rPr>
                <w:lang w:eastAsia="ja-JP"/>
              </w:rPr>
              <w:t>Northern Australia Development Office</w:t>
            </w:r>
          </w:p>
        </w:tc>
      </w:tr>
      <w:tr w:rsidR="00142359" w:rsidRPr="00A31657" w14:paraId="2CB973A8" w14:textId="77777777" w:rsidTr="00661C3B">
        <w:tc>
          <w:tcPr>
            <w:tcW w:w="4829" w:type="dxa"/>
          </w:tcPr>
          <w:p w14:paraId="06A486D1" w14:textId="77777777" w:rsidR="00142359" w:rsidRPr="00A31657" w:rsidRDefault="00142359" w:rsidP="00661AA0">
            <w:pPr>
              <w:pStyle w:val="TableText"/>
            </w:pPr>
            <w:r w:rsidRPr="00A31657">
              <w:t xml:space="preserve">Pearl Producers Association </w:t>
            </w:r>
            <w:r w:rsidR="00661AA0">
              <w:t>Inc.</w:t>
            </w:r>
          </w:p>
        </w:tc>
        <w:tc>
          <w:tcPr>
            <w:tcW w:w="4241" w:type="dxa"/>
          </w:tcPr>
          <w:p w14:paraId="70D4BF3D" w14:textId="77777777" w:rsidR="00142359" w:rsidRPr="00D94AF8" w:rsidRDefault="00142359" w:rsidP="00142359">
            <w:pPr>
              <w:pStyle w:val="TableText"/>
              <w:rPr>
                <w:i/>
                <w:lang w:eastAsia="ja-JP"/>
              </w:rPr>
            </w:pPr>
            <w:r w:rsidRPr="00D94AF8">
              <w:rPr>
                <w:i/>
                <w:lang w:eastAsia="ja-JP"/>
              </w:rPr>
              <w:t>Australian Capital Territory Government</w:t>
            </w:r>
          </w:p>
        </w:tc>
      </w:tr>
      <w:tr w:rsidR="00142359" w:rsidRPr="00A31657" w14:paraId="4C24FAA7" w14:textId="77777777" w:rsidTr="00661C3B">
        <w:tc>
          <w:tcPr>
            <w:tcW w:w="4829" w:type="dxa"/>
          </w:tcPr>
          <w:p w14:paraId="6196CE78" w14:textId="77777777" w:rsidR="00142359" w:rsidRPr="00A31657" w:rsidRDefault="00142359" w:rsidP="00142359">
            <w:pPr>
              <w:pStyle w:val="TableText"/>
            </w:pPr>
            <w:r w:rsidRPr="00A31657">
              <w:t>Plant Biosecurity Cooperative Research Centre</w:t>
            </w:r>
          </w:p>
        </w:tc>
        <w:tc>
          <w:tcPr>
            <w:tcW w:w="4241" w:type="dxa"/>
          </w:tcPr>
          <w:p w14:paraId="717BB4A5" w14:textId="77777777" w:rsidR="00142359" w:rsidRPr="00D94AF8" w:rsidRDefault="00142359" w:rsidP="00142359">
            <w:pPr>
              <w:pStyle w:val="TableText"/>
              <w:rPr>
                <w:lang w:eastAsia="ja-JP"/>
              </w:rPr>
            </w:pPr>
            <w:r w:rsidRPr="00D94AF8">
              <w:rPr>
                <w:lang w:eastAsia="ja-JP"/>
              </w:rPr>
              <w:t>Territory and Municipal Services Directorate</w:t>
            </w:r>
          </w:p>
          <w:p w14:paraId="31CE2317" w14:textId="77777777" w:rsidR="00142359" w:rsidRPr="00D94AF8" w:rsidRDefault="00142359" w:rsidP="00142359">
            <w:pPr>
              <w:pStyle w:val="TableText"/>
              <w:rPr>
                <w:lang w:eastAsia="ja-JP"/>
              </w:rPr>
            </w:pPr>
            <w:r w:rsidRPr="00D94AF8">
              <w:rPr>
                <w:lang w:eastAsia="ja-JP"/>
              </w:rPr>
              <w:t>(from 1 July 2016, Environment, Planning and Sustainable Development Directorate)</w:t>
            </w:r>
          </w:p>
        </w:tc>
      </w:tr>
      <w:tr w:rsidR="00142359" w:rsidRPr="00A31657" w14:paraId="3F9FA476" w14:textId="77777777" w:rsidTr="00661C3B">
        <w:tc>
          <w:tcPr>
            <w:tcW w:w="4829" w:type="dxa"/>
          </w:tcPr>
          <w:p w14:paraId="41B0B594" w14:textId="77777777" w:rsidR="00142359" w:rsidRPr="00A31657" w:rsidRDefault="00142359" w:rsidP="00661AA0">
            <w:pPr>
              <w:pStyle w:val="TableText"/>
            </w:pPr>
            <w:r w:rsidRPr="00A31657">
              <w:t xml:space="preserve">Plant Health Australia </w:t>
            </w:r>
            <w:r w:rsidR="00661AA0">
              <w:t>Ltd.</w:t>
            </w:r>
          </w:p>
        </w:tc>
        <w:tc>
          <w:tcPr>
            <w:tcW w:w="4241" w:type="dxa"/>
          </w:tcPr>
          <w:p w14:paraId="3332D199" w14:textId="77777777" w:rsidR="00142359" w:rsidRPr="00D94AF8" w:rsidRDefault="00142359" w:rsidP="00142359">
            <w:pPr>
              <w:pStyle w:val="TableText"/>
              <w:rPr>
                <w:lang w:eastAsia="ja-JP"/>
              </w:rPr>
            </w:pPr>
          </w:p>
        </w:tc>
      </w:tr>
      <w:tr w:rsidR="00142359" w:rsidRPr="00A31657" w14:paraId="5FC56685" w14:textId="77777777" w:rsidTr="00661C3B">
        <w:tc>
          <w:tcPr>
            <w:tcW w:w="4829" w:type="dxa"/>
          </w:tcPr>
          <w:p w14:paraId="6A752073" w14:textId="77777777" w:rsidR="00142359" w:rsidRPr="00A31657" w:rsidRDefault="00142359" w:rsidP="00661AA0">
            <w:pPr>
              <w:pStyle w:val="TableText"/>
            </w:pPr>
            <w:r w:rsidRPr="00A31657">
              <w:t xml:space="preserve">Pork South Australia </w:t>
            </w:r>
            <w:r w:rsidR="00661AA0">
              <w:t>Inc.</w:t>
            </w:r>
          </w:p>
        </w:tc>
        <w:tc>
          <w:tcPr>
            <w:tcW w:w="4241" w:type="dxa"/>
          </w:tcPr>
          <w:p w14:paraId="2A6AD6F6" w14:textId="77777777" w:rsidR="00142359" w:rsidRPr="00D94AF8" w:rsidRDefault="00142359" w:rsidP="00142359">
            <w:pPr>
              <w:pStyle w:val="TableText"/>
              <w:rPr>
                <w:lang w:eastAsia="ja-JP"/>
              </w:rPr>
            </w:pPr>
          </w:p>
        </w:tc>
      </w:tr>
      <w:tr w:rsidR="00142359" w:rsidRPr="00A31657" w14:paraId="08DB85E6" w14:textId="77777777" w:rsidTr="00661C3B">
        <w:tc>
          <w:tcPr>
            <w:tcW w:w="4829" w:type="dxa"/>
          </w:tcPr>
          <w:p w14:paraId="32FADD46" w14:textId="77777777" w:rsidR="00142359" w:rsidRPr="00A31657" w:rsidRDefault="00142359" w:rsidP="00142359">
            <w:pPr>
              <w:pStyle w:val="TableText"/>
            </w:pPr>
            <w:r w:rsidRPr="00A31657">
              <w:t>Ports Australia</w:t>
            </w:r>
          </w:p>
        </w:tc>
        <w:tc>
          <w:tcPr>
            <w:tcW w:w="4241" w:type="dxa"/>
          </w:tcPr>
          <w:p w14:paraId="5D07A1EA" w14:textId="77777777" w:rsidR="00142359" w:rsidRPr="00D94AF8" w:rsidRDefault="00142359" w:rsidP="00142359">
            <w:pPr>
              <w:pStyle w:val="TableText"/>
              <w:rPr>
                <w:lang w:eastAsia="ja-JP"/>
              </w:rPr>
            </w:pPr>
          </w:p>
        </w:tc>
      </w:tr>
    </w:tbl>
    <w:p w14:paraId="68AC6DA4" w14:textId="77777777" w:rsidR="00280A78" w:rsidRDefault="00280A78" w:rsidP="00280A78">
      <w:pPr>
        <w:pStyle w:val="FigureTableNoteSource"/>
        <w:rPr>
          <w:lang w:eastAsia="ja-JP"/>
        </w:rPr>
      </w:pPr>
      <w:r>
        <w:rPr>
          <w:lang w:eastAsia="ja-JP"/>
        </w:rPr>
        <w:t xml:space="preserve">* </w:t>
      </w:r>
      <w:r w:rsidR="00080652">
        <w:rPr>
          <w:lang w:eastAsia="ja-JP"/>
        </w:rPr>
        <w:t xml:space="preserve">Other </w:t>
      </w:r>
      <w:r>
        <w:rPr>
          <w:lang w:eastAsia="ja-JP"/>
        </w:rPr>
        <w:t>government entity.</w:t>
      </w:r>
    </w:p>
    <w:p w14:paraId="39F72969" w14:textId="77777777" w:rsidR="00280A78" w:rsidRDefault="00280A78" w:rsidP="0070601C">
      <w:pPr>
        <w:rPr>
          <w:lang w:eastAsia="ja-JP"/>
        </w:rPr>
      </w:pPr>
    </w:p>
    <w:p w14:paraId="59FC6C26" w14:textId="77777777" w:rsidR="00280A78" w:rsidRDefault="00280A78" w:rsidP="00210276">
      <w:pPr>
        <w:pStyle w:val="Heading2"/>
        <w:numPr>
          <w:ilvl w:val="0"/>
          <w:numId w:val="0"/>
        </w:numPr>
        <w:ind w:left="709" w:hanging="709"/>
        <w:sectPr w:rsidR="00280A78" w:rsidSect="00635857">
          <w:pgSz w:w="11906" w:h="16838"/>
          <w:pgMar w:top="1418" w:right="1418" w:bottom="1418" w:left="1418" w:header="567" w:footer="283" w:gutter="0"/>
          <w:cols w:space="708"/>
          <w:docGrid w:linePitch="360"/>
        </w:sectPr>
      </w:pPr>
      <w:bookmarkStart w:id="262" w:name="_Appendix_E:_Risk"/>
      <w:bookmarkEnd w:id="262"/>
    </w:p>
    <w:p w14:paraId="43CDC0D3" w14:textId="3DF13734" w:rsidR="00993ED6" w:rsidRDefault="00993ED6" w:rsidP="00210276">
      <w:pPr>
        <w:pStyle w:val="Heading2"/>
        <w:numPr>
          <w:ilvl w:val="0"/>
          <w:numId w:val="0"/>
        </w:numPr>
        <w:ind w:left="709" w:hanging="709"/>
      </w:pPr>
      <w:bookmarkStart w:id="263" w:name="_Appendix_D:_Risk"/>
      <w:bookmarkStart w:id="264" w:name="_Toc469654768"/>
      <w:bookmarkEnd w:id="263"/>
      <w:r>
        <w:lastRenderedPageBreak/>
        <w:t xml:space="preserve">Appendix </w:t>
      </w:r>
      <w:r w:rsidR="00280A78">
        <w:t>D</w:t>
      </w:r>
      <w:r>
        <w:t>: R</w:t>
      </w:r>
      <w:r w:rsidR="00E96F29">
        <w:t>isk Return Resource Allocation m</w:t>
      </w:r>
      <w:r>
        <w:t>odel</w:t>
      </w:r>
      <w:bookmarkEnd w:id="264"/>
    </w:p>
    <w:p w14:paraId="476B4262" w14:textId="77777777" w:rsidR="00993ED6" w:rsidRDefault="00993ED6" w:rsidP="00993ED6">
      <w:pPr>
        <w:rPr>
          <w:lang w:eastAsia="ja-JP"/>
        </w:rPr>
      </w:pPr>
      <w:r>
        <w:rPr>
          <w:lang w:eastAsia="ja-JP"/>
        </w:rPr>
        <w:t>The Risk Return Resource Allocation (RRRA) model was developed to provide advice to the Australian Government Department of Agriculture and Water Resources on the return, in terms of reduced risk, for its investment in controls to manage biosecurity risk and improved confidence that resources are allocated to achieve the greatest risk reduction.</w:t>
      </w:r>
    </w:p>
    <w:p w14:paraId="78DE7A5F" w14:textId="77777777" w:rsidR="00993ED6" w:rsidRDefault="00993ED6" w:rsidP="00993ED6">
      <w:pPr>
        <w:rPr>
          <w:lang w:eastAsia="ja-JP"/>
        </w:rPr>
      </w:pPr>
      <w:r>
        <w:rPr>
          <w:lang w:eastAsia="ja-JP"/>
        </w:rPr>
        <w:t>The RRRA model is composed of a collection of interacting sub-models. A model for each entry pathway is used to describe the means by which an organism can enter Australia and the effect of biosecurity controls in modifying entry likelihood. Post-entry models determine the probability that establishment and spread will occur, and the consequences for agriculture and other sectors. The model combines the frequency of entry, establishment and spread of each organism with the consequence to determine risk.</w:t>
      </w:r>
    </w:p>
    <w:p w14:paraId="0A098760" w14:textId="77777777" w:rsidR="00993ED6" w:rsidRDefault="00993ED6" w:rsidP="00993ED6">
      <w:pPr>
        <w:rPr>
          <w:lang w:eastAsia="ja-JP"/>
        </w:rPr>
      </w:pPr>
      <w:r>
        <w:rPr>
          <w:lang w:eastAsia="ja-JP"/>
        </w:rPr>
        <w:t>The model considers</w:t>
      </w:r>
      <w:r w:rsidR="003F22A8">
        <w:rPr>
          <w:lang w:eastAsia="ja-JP"/>
        </w:rPr>
        <w:t xml:space="preserve"> four types of</w:t>
      </w:r>
      <w:r>
        <w:rPr>
          <w:lang w:eastAsia="ja-JP"/>
        </w:rPr>
        <w:t xml:space="preserve"> departmental investment</w:t>
      </w:r>
      <w:r w:rsidR="003F22A8">
        <w:rPr>
          <w:lang w:eastAsia="ja-JP"/>
        </w:rPr>
        <w:t xml:space="preserve"> in</w:t>
      </w:r>
      <w:r>
        <w:rPr>
          <w:lang w:eastAsia="ja-JP"/>
        </w:rPr>
        <w:t xml:space="preserve"> biosecurity controls</w:t>
      </w:r>
      <w:r w:rsidR="003F22A8">
        <w:rPr>
          <w:lang w:eastAsia="ja-JP"/>
        </w:rPr>
        <w:t>:</w:t>
      </w:r>
    </w:p>
    <w:p w14:paraId="2A9B20E7" w14:textId="15F5C112" w:rsidR="00993ED6" w:rsidRDefault="00862086" w:rsidP="00993ED6">
      <w:pPr>
        <w:pStyle w:val="ListBullet"/>
        <w:rPr>
          <w:lang w:eastAsia="ja-JP"/>
        </w:rPr>
      </w:pPr>
      <w:r>
        <w:rPr>
          <w:lang w:eastAsia="ja-JP"/>
        </w:rPr>
        <w:t>p</w:t>
      </w:r>
      <w:r w:rsidR="00993ED6">
        <w:rPr>
          <w:lang w:eastAsia="ja-JP"/>
        </w:rPr>
        <w:t>olicy development</w:t>
      </w:r>
      <w:r w:rsidR="003F22A8">
        <w:rPr>
          <w:lang w:eastAsia="ja-JP"/>
        </w:rPr>
        <w:t>,</w:t>
      </w:r>
      <w:r w:rsidR="00993ED6">
        <w:rPr>
          <w:lang w:eastAsia="ja-JP"/>
        </w:rPr>
        <w:t xml:space="preserve"> intelligence</w:t>
      </w:r>
      <w:r w:rsidR="003F22A8">
        <w:rPr>
          <w:lang w:eastAsia="ja-JP"/>
        </w:rPr>
        <w:t xml:space="preserve"> and communication</w:t>
      </w:r>
      <w:r w:rsidR="00993ED6">
        <w:rPr>
          <w:lang w:eastAsia="ja-JP"/>
        </w:rPr>
        <w:t>: including import risk analyses, policy reviews, and intelligence monitoring</w:t>
      </w:r>
      <w:r w:rsidR="003F22A8">
        <w:rPr>
          <w:lang w:eastAsia="ja-JP"/>
        </w:rPr>
        <w:t xml:space="preserve"> and</w:t>
      </w:r>
      <w:r>
        <w:rPr>
          <w:lang w:eastAsia="ja-JP"/>
        </w:rPr>
        <w:t xml:space="preserve"> stakeholder engagement</w:t>
      </w:r>
    </w:p>
    <w:p w14:paraId="1C4A0C25" w14:textId="0ED6468E" w:rsidR="00993ED6" w:rsidRDefault="00862086" w:rsidP="00993ED6">
      <w:pPr>
        <w:pStyle w:val="ListBullet"/>
        <w:rPr>
          <w:lang w:eastAsia="ja-JP"/>
        </w:rPr>
      </w:pPr>
      <w:r>
        <w:rPr>
          <w:lang w:eastAsia="ja-JP"/>
        </w:rPr>
        <w:t>p</w:t>
      </w:r>
      <w:r w:rsidR="00993ED6">
        <w:rPr>
          <w:lang w:eastAsia="ja-JP"/>
        </w:rPr>
        <w:t>re-border processes: those activities required to meet import condition</w:t>
      </w:r>
      <w:r>
        <w:rPr>
          <w:lang w:eastAsia="ja-JP"/>
        </w:rPr>
        <w:t>s prior to arrival in Australia</w:t>
      </w:r>
    </w:p>
    <w:p w14:paraId="5FC0B331" w14:textId="56460B45" w:rsidR="00993ED6" w:rsidRDefault="00862086" w:rsidP="00993ED6">
      <w:pPr>
        <w:pStyle w:val="ListBullet"/>
        <w:rPr>
          <w:lang w:eastAsia="ja-JP"/>
        </w:rPr>
      </w:pPr>
      <w:r>
        <w:rPr>
          <w:lang w:eastAsia="ja-JP"/>
        </w:rPr>
        <w:t>c</w:t>
      </w:r>
      <w:r w:rsidR="00993ED6">
        <w:rPr>
          <w:lang w:eastAsia="ja-JP"/>
        </w:rPr>
        <w:t>learance activities: at border activities to manage biosecurity risk including document assessment, inspection, treatment, destruction, e</w:t>
      </w:r>
      <w:r>
        <w:rPr>
          <w:lang w:eastAsia="ja-JP"/>
        </w:rPr>
        <w:t>xport and post-entry quarantine</w:t>
      </w:r>
    </w:p>
    <w:p w14:paraId="7EA75123" w14:textId="4B237D2E" w:rsidR="00993ED6" w:rsidRDefault="00862086" w:rsidP="00993ED6">
      <w:pPr>
        <w:pStyle w:val="ListBullet"/>
        <w:rPr>
          <w:lang w:eastAsia="ja-JP"/>
        </w:rPr>
      </w:pPr>
      <w:r>
        <w:rPr>
          <w:lang w:eastAsia="ja-JP"/>
        </w:rPr>
        <w:t>p</w:t>
      </w:r>
      <w:r w:rsidR="00993ED6">
        <w:rPr>
          <w:lang w:eastAsia="ja-JP"/>
        </w:rPr>
        <w:t>ost-border activities: including surveillance, preparedness and response functions.</w:t>
      </w:r>
    </w:p>
    <w:p w14:paraId="73E0B2F5" w14:textId="5817884D" w:rsidR="00993ED6" w:rsidRDefault="003F22A8" w:rsidP="00993ED6">
      <w:pPr>
        <w:rPr>
          <w:lang w:eastAsia="ja-JP"/>
        </w:rPr>
      </w:pPr>
      <w:r>
        <w:rPr>
          <w:lang w:eastAsia="ja-JP"/>
        </w:rPr>
        <w:t xml:space="preserve">In the </w:t>
      </w:r>
      <w:r w:rsidR="00993ED6">
        <w:rPr>
          <w:lang w:eastAsia="ja-JP"/>
        </w:rPr>
        <w:t>RRRA</w:t>
      </w:r>
      <w:r>
        <w:rPr>
          <w:lang w:eastAsia="ja-JP"/>
        </w:rPr>
        <w:t xml:space="preserve"> model, an</w:t>
      </w:r>
      <w:r w:rsidR="00993ED6">
        <w:rPr>
          <w:lang w:eastAsia="ja-JP"/>
        </w:rPr>
        <w:t xml:space="preserve"> organism of biosecurity concern (organism) can represent groups of species, such as ‘broadacre beetles’ or ‘livestock bacteria’. It can also represent special case species that warrant direct consideration, such as foot</w:t>
      </w:r>
      <w:r w:rsidR="00933868">
        <w:rPr>
          <w:lang w:eastAsia="ja-JP"/>
        </w:rPr>
        <w:t>-</w:t>
      </w:r>
      <w:r w:rsidR="00993ED6">
        <w:rPr>
          <w:lang w:eastAsia="ja-JP"/>
        </w:rPr>
        <w:t>and</w:t>
      </w:r>
      <w:r w:rsidR="00933868">
        <w:rPr>
          <w:lang w:eastAsia="ja-JP"/>
        </w:rPr>
        <w:t>-</w:t>
      </w:r>
      <w:r w:rsidR="00993ED6">
        <w:rPr>
          <w:lang w:eastAsia="ja-JP"/>
        </w:rPr>
        <w:t>mouth disease or khapra beetle. Every organism that could enter or emerge in Australia via one or more pathways and have some probability of establishing, spreading and generating consequenc</w:t>
      </w:r>
      <w:r w:rsidR="004E7FA2">
        <w:rPr>
          <w:lang w:eastAsia="ja-JP"/>
        </w:rPr>
        <w:t>es is represented in the model.</w:t>
      </w:r>
    </w:p>
    <w:p w14:paraId="0E3E5BF7" w14:textId="77777777" w:rsidR="00993ED6" w:rsidRPr="00993ED6" w:rsidRDefault="00993ED6" w:rsidP="00993ED6">
      <w:pPr>
        <w:rPr>
          <w:lang w:eastAsia="ja-JP"/>
        </w:rPr>
      </w:pPr>
      <w:r>
        <w:rPr>
          <w:lang w:eastAsia="ja-JP"/>
        </w:rPr>
        <w:t>All possible consequences are considered within the RRRA model, including for agricultural industries, domesticated and companion animals, environment, infrastructure and produced goods, human health and social impacts.</w:t>
      </w:r>
    </w:p>
    <w:p w14:paraId="095AC90F" w14:textId="77777777" w:rsidR="0049641D" w:rsidRDefault="0049641D" w:rsidP="00210276">
      <w:pPr>
        <w:pStyle w:val="Heading2"/>
        <w:numPr>
          <w:ilvl w:val="0"/>
          <w:numId w:val="0"/>
        </w:numPr>
        <w:ind w:left="709" w:hanging="709"/>
      </w:pPr>
      <w:bookmarkStart w:id="265" w:name="_Appendix_F:_Biosecurity"/>
      <w:bookmarkStart w:id="266" w:name="_Toc469654769"/>
      <w:bookmarkEnd w:id="265"/>
      <w:r>
        <w:lastRenderedPageBreak/>
        <w:t xml:space="preserve">Appendix </w:t>
      </w:r>
      <w:r w:rsidR="00280A78">
        <w:t>E</w:t>
      </w:r>
      <w:r>
        <w:t>: Biosecurity performance frameworks: national government examples</w:t>
      </w:r>
      <w:bookmarkEnd w:id="266"/>
    </w:p>
    <w:p w14:paraId="7ADFEC02" w14:textId="77777777" w:rsidR="00FE613D" w:rsidRPr="00FE613D" w:rsidRDefault="00FE613D" w:rsidP="00FE613D">
      <w:pPr>
        <w:rPr>
          <w:rStyle w:val="Strong"/>
          <w:lang w:eastAsia="ja-JP"/>
        </w:rPr>
      </w:pPr>
      <w:r w:rsidRPr="00FE613D">
        <w:rPr>
          <w:rStyle w:val="Strong"/>
        </w:rPr>
        <w:t>1. Australian Government (Department of Agriculture and Water Resources)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E613D" w:rsidRPr="0049641D" w14:paraId="0A719848" w14:textId="77777777" w:rsidTr="008823D1">
        <w:tc>
          <w:tcPr>
            <w:tcW w:w="4530" w:type="dxa"/>
          </w:tcPr>
          <w:p w14:paraId="7B6E0554" w14:textId="7AC0DDFF" w:rsidR="00FE613D" w:rsidRPr="0049641D" w:rsidRDefault="00FE613D" w:rsidP="008823D1">
            <w:pPr>
              <w:pStyle w:val="TableHeading"/>
              <w:rPr>
                <w:lang w:eastAsia="ja-JP"/>
              </w:rPr>
            </w:pPr>
            <w:r w:rsidRPr="0049641D">
              <w:rPr>
                <w:lang w:eastAsia="ja-JP"/>
              </w:rPr>
              <w:t>Strategic o</w:t>
            </w:r>
            <w:r w:rsidR="00862086">
              <w:rPr>
                <w:lang w:eastAsia="ja-JP"/>
              </w:rPr>
              <w:t>bjectives (biosecurity related)</w:t>
            </w:r>
          </w:p>
        </w:tc>
        <w:tc>
          <w:tcPr>
            <w:tcW w:w="4530" w:type="dxa"/>
          </w:tcPr>
          <w:p w14:paraId="46CF6A6A" w14:textId="77777777" w:rsidR="00FE613D" w:rsidRDefault="00FE613D" w:rsidP="008823D1">
            <w:pPr>
              <w:pStyle w:val="TableText"/>
              <w:rPr>
                <w:lang w:eastAsia="ja-JP"/>
              </w:rPr>
            </w:pPr>
            <w:r w:rsidRPr="0049641D">
              <w:rPr>
                <w:lang w:eastAsia="ja-JP"/>
              </w:rPr>
              <w:t>Managing biosecurity and imported food risk</w:t>
            </w:r>
          </w:p>
          <w:p w14:paraId="1E324AF0" w14:textId="77777777" w:rsidR="00FE613D" w:rsidRPr="0049641D" w:rsidRDefault="00FE613D" w:rsidP="00DC435D">
            <w:pPr>
              <w:pStyle w:val="TableText"/>
              <w:rPr>
                <w:lang w:eastAsia="ja-JP"/>
              </w:rPr>
            </w:pPr>
            <w:r w:rsidRPr="0049641D">
              <w:rPr>
                <w:lang w:eastAsia="ja-JP"/>
              </w:rPr>
              <w:t>Expanding agricultural, fisheries and forestry exports (</w:t>
            </w:r>
            <w:r w:rsidR="00DC435D">
              <w:rPr>
                <w:lang w:eastAsia="ja-JP"/>
              </w:rPr>
              <w:t>Note:</w:t>
            </w:r>
            <w:r w:rsidRPr="0049641D">
              <w:rPr>
                <w:lang w:eastAsia="ja-JP"/>
              </w:rPr>
              <w:t xml:space="preserve"> certification only elements details below)</w:t>
            </w:r>
          </w:p>
        </w:tc>
      </w:tr>
      <w:tr w:rsidR="00FE613D" w:rsidRPr="0049641D" w14:paraId="073E88E4" w14:textId="77777777" w:rsidTr="00F52D2F">
        <w:tc>
          <w:tcPr>
            <w:tcW w:w="4530" w:type="dxa"/>
            <w:tcBorders>
              <w:bottom w:val="single" w:sz="4" w:space="0" w:color="auto"/>
            </w:tcBorders>
          </w:tcPr>
          <w:p w14:paraId="42EBB362" w14:textId="0549A07C" w:rsidR="00FE613D" w:rsidRPr="0049641D" w:rsidRDefault="00862086" w:rsidP="008823D1">
            <w:pPr>
              <w:pStyle w:val="TableHeading"/>
              <w:rPr>
                <w:lang w:eastAsia="ja-JP"/>
              </w:rPr>
            </w:pPr>
            <w:r>
              <w:rPr>
                <w:lang w:eastAsia="ja-JP"/>
              </w:rPr>
              <w:t>Outcomes expectations</w:t>
            </w:r>
          </w:p>
        </w:tc>
        <w:tc>
          <w:tcPr>
            <w:tcW w:w="4530" w:type="dxa"/>
            <w:tcBorders>
              <w:bottom w:val="single" w:sz="4" w:space="0" w:color="auto"/>
            </w:tcBorders>
          </w:tcPr>
          <w:p w14:paraId="674D9D67" w14:textId="77777777" w:rsidR="00FE613D" w:rsidRDefault="00FE613D" w:rsidP="008823D1">
            <w:pPr>
              <w:pStyle w:val="TableText"/>
              <w:rPr>
                <w:lang w:eastAsia="ja-JP"/>
              </w:rPr>
            </w:pPr>
            <w:r w:rsidRPr="0049641D">
              <w:rPr>
                <w:lang w:eastAsia="ja-JP"/>
              </w:rPr>
              <w:t>Use evidence-based risk management to ensure the safe movement into and out of Australia of people, animals, plants, food and cargo</w:t>
            </w:r>
          </w:p>
          <w:p w14:paraId="279C5A5A" w14:textId="77777777" w:rsidR="00FE613D" w:rsidRDefault="00FE613D" w:rsidP="008823D1">
            <w:pPr>
              <w:pStyle w:val="TableText"/>
              <w:rPr>
                <w:lang w:eastAsia="ja-JP"/>
              </w:rPr>
            </w:pPr>
            <w:r w:rsidRPr="0049641D">
              <w:rPr>
                <w:lang w:eastAsia="ja-JP"/>
              </w:rPr>
              <w:t>Coordinate emergency responses to exotic pest and disease incursions</w:t>
            </w:r>
          </w:p>
          <w:p w14:paraId="3442F1AF" w14:textId="77777777" w:rsidR="00FE613D" w:rsidRPr="0049641D" w:rsidRDefault="00FE613D" w:rsidP="008823D1">
            <w:pPr>
              <w:pStyle w:val="TableText"/>
              <w:rPr>
                <w:lang w:eastAsia="ja-JP"/>
              </w:rPr>
            </w:pPr>
            <w:r w:rsidRPr="0049641D">
              <w:rPr>
                <w:lang w:eastAsia="ja-JP"/>
              </w:rPr>
              <w:t>Provide certification of exports to meet importing country requirements</w:t>
            </w:r>
          </w:p>
        </w:tc>
      </w:tr>
      <w:tr w:rsidR="00FE613D" w:rsidRPr="0049641D" w14:paraId="4DF7C15F" w14:textId="77777777" w:rsidTr="00F52D2F">
        <w:trPr>
          <w:tblHeader/>
        </w:trPr>
        <w:tc>
          <w:tcPr>
            <w:tcW w:w="4530" w:type="dxa"/>
            <w:tcBorders>
              <w:top w:val="single" w:sz="4" w:space="0" w:color="auto"/>
              <w:bottom w:val="single" w:sz="4" w:space="0" w:color="auto"/>
            </w:tcBorders>
          </w:tcPr>
          <w:p w14:paraId="4126E06F" w14:textId="77777777" w:rsidR="00FE613D" w:rsidRPr="0049641D" w:rsidRDefault="00FE613D" w:rsidP="008823D1">
            <w:pPr>
              <w:pStyle w:val="TableHeading"/>
              <w:rPr>
                <w:lang w:eastAsia="ja-JP"/>
              </w:rPr>
            </w:pPr>
            <w:r w:rsidRPr="0049641D">
              <w:rPr>
                <w:lang w:eastAsia="ja-JP"/>
              </w:rPr>
              <w:t>Performance measures:</w:t>
            </w:r>
          </w:p>
        </w:tc>
        <w:tc>
          <w:tcPr>
            <w:tcW w:w="4530" w:type="dxa"/>
            <w:tcBorders>
              <w:top w:val="single" w:sz="4" w:space="0" w:color="auto"/>
              <w:bottom w:val="single" w:sz="4" w:space="0" w:color="auto"/>
            </w:tcBorders>
          </w:tcPr>
          <w:p w14:paraId="0B7CCE01" w14:textId="77777777" w:rsidR="00FE613D" w:rsidRPr="0049641D" w:rsidRDefault="00FE613D" w:rsidP="008823D1">
            <w:pPr>
              <w:pStyle w:val="TableHeading"/>
              <w:rPr>
                <w:lang w:eastAsia="ja-JP"/>
              </w:rPr>
            </w:pPr>
            <w:r w:rsidRPr="0049641D">
              <w:rPr>
                <w:lang w:eastAsia="ja-JP"/>
              </w:rPr>
              <w:t>Targets</w:t>
            </w:r>
          </w:p>
        </w:tc>
      </w:tr>
      <w:tr w:rsidR="00FE613D" w:rsidRPr="0049641D" w14:paraId="3966CB28" w14:textId="77777777" w:rsidTr="00F52D2F">
        <w:tc>
          <w:tcPr>
            <w:tcW w:w="4530" w:type="dxa"/>
            <w:tcBorders>
              <w:top w:val="single" w:sz="4" w:space="0" w:color="auto"/>
            </w:tcBorders>
          </w:tcPr>
          <w:p w14:paraId="34C23E84" w14:textId="54117F63" w:rsidR="00FE613D" w:rsidRPr="0049641D" w:rsidRDefault="00FE613D" w:rsidP="008823D1">
            <w:pPr>
              <w:pStyle w:val="TableText"/>
              <w:rPr>
                <w:lang w:eastAsia="ja-JP"/>
              </w:rPr>
            </w:pPr>
            <w:r w:rsidRPr="0049641D">
              <w:rPr>
                <w:lang w:eastAsia="ja-JP"/>
              </w:rPr>
              <w:t xml:space="preserve">Australia maintains a favourable pest and disease status </w:t>
            </w:r>
            <w:r w:rsidRPr="005B5940">
              <w:rPr>
                <w:b/>
                <w:lang w:eastAsia="ja-JP"/>
              </w:rPr>
              <w:t>(a)</w:t>
            </w:r>
          </w:p>
        </w:tc>
        <w:tc>
          <w:tcPr>
            <w:tcW w:w="4530" w:type="dxa"/>
            <w:tcBorders>
              <w:top w:val="single" w:sz="4" w:space="0" w:color="auto"/>
            </w:tcBorders>
          </w:tcPr>
          <w:p w14:paraId="1AE5221A" w14:textId="77777777" w:rsidR="00FE613D" w:rsidRDefault="00FE613D" w:rsidP="008823D1">
            <w:pPr>
              <w:pStyle w:val="TableText"/>
              <w:rPr>
                <w:lang w:eastAsia="ja-JP"/>
              </w:rPr>
            </w:pPr>
            <w:r w:rsidRPr="00952304">
              <w:rPr>
                <w:lang w:eastAsia="ja-JP"/>
              </w:rPr>
              <w:t xml:space="preserve">Qualitative assessment that the nature and impact of animal and plant biosecurity incursions has not significantly harmed Australia’s favourable pest and disease status </w:t>
            </w:r>
            <w:r w:rsidRPr="005B5940">
              <w:rPr>
                <w:b/>
                <w:lang w:eastAsia="ja-JP"/>
              </w:rPr>
              <w:t>(b)</w:t>
            </w:r>
          </w:p>
          <w:p w14:paraId="6359F23F" w14:textId="77777777" w:rsidR="00FE613D" w:rsidRDefault="00FE613D" w:rsidP="008823D1">
            <w:pPr>
              <w:pStyle w:val="TableText"/>
              <w:rPr>
                <w:lang w:eastAsia="ja-JP"/>
              </w:rPr>
            </w:pPr>
            <w:r w:rsidRPr="0049641D">
              <w:rPr>
                <w:lang w:eastAsia="ja-JP"/>
              </w:rPr>
              <w:t>Pest and disease eradication is funded throughout the year based on national priorities</w:t>
            </w:r>
          </w:p>
          <w:p w14:paraId="0CAF3A93" w14:textId="3E671869" w:rsidR="00FE613D" w:rsidRPr="0049641D" w:rsidRDefault="00FE613D" w:rsidP="008823D1">
            <w:pPr>
              <w:pStyle w:val="TableText"/>
              <w:rPr>
                <w:lang w:eastAsia="ja-JP"/>
              </w:rPr>
            </w:pPr>
            <w:r w:rsidRPr="00952304">
              <w:rPr>
                <w:lang w:eastAsia="ja-JP"/>
              </w:rPr>
              <w:t>The Intergovernmental</w:t>
            </w:r>
            <w:r w:rsidR="00615B8C">
              <w:rPr>
                <w:lang w:eastAsia="ja-JP"/>
              </w:rPr>
              <w:t xml:space="preserve"> </w:t>
            </w:r>
            <w:r w:rsidRPr="00952304">
              <w:rPr>
                <w:lang w:eastAsia="ja-JP"/>
              </w:rPr>
              <w:t>Agreement on Biosecurity is found to be effective in managing the national biosecurity system</w:t>
            </w:r>
          </w:p>
        </w:tc>
      </w:tr>
      <w:tr w:rsidR="00FE613D" w:rsidRPr="0049641D" w14:paraId="60BADA75" w14:textId="77777777" w:rsidTr="008823D1">
        <w:tc>
          <w:tcPr>
            <w:tcW w:w="4530" w:type="dxa"/>
          </w:tcPr>
          <w:p w14:paraId="378C8863" w14:textId="77777777" w:rsidR="00FE613D" w:rsidRPr="0049641D" w:rsidRDefault="00FE613D" w:rsidP="008823D1">
            <w:pPr>
              <w:pStyle w:val="TableText"/>
              <w:rPr>
                <w:lang w:eastAsia="ja-JP"/>
              </w:rPr>
            </w:pPr>
            <w:r w:rsidRPr="00952304">
              <w:rPr>
                <w:lang w:eastAsia="ja-JP"/>
              </w:rPr>
              <w:t xml:space="preserve">Export certification meets importing country requirements </w:t>
            </w:r>
            <w:r w:rsidRPr="005B5940">
              <w:rPr>
                <w:b/>
                <w:lang w:eastAsia="ja-JP"/>
              </w:rPr>
              <w:t>(a)</w:t>
            </w:r>
          </w:p>
        </w:tc>
        <w:tc>
          <w:tcPr>
            <w:tcW w:w="4530" w:type="dxa"/>
          </w:tcPr>
          <w:p w14:paraId="2559030D" w14:textId="77777777" w:rsidR="00FE613D" w:rsidRDefault="00FE613D" w:rsidP="008823D1">
            <w:pPr>
              <w:pStyle w:val="TableText"/>
              <w:rPr>
                <w:lang w:eastAsia="ja-JP"/>
              </w:rPr>
            </w:pPr>
            <w:r w:rsidRPr="0049641D">
              <w:rPr>
                <w:lang w:eastAsia="ja-JP"/>
              </w:rPr>
              <w:t>Less than 1% of consignments are rejected as a result of export certification failure</w:t>
            </w:r>
          </w:p>
          <w:p w14:paraId="62D6CF54" w14:textId="77777777" w:rsidR="00FE613D" w:rsidRDefault="00FE613D" w:rsidP="008823D1">
            <w:pPr>
              <w:pStyle w:val="TableText"/>
              <w:rPr>
                <w:lang w:eastAsia="ja-JP"/>
              </w:rPr>
            </w:pPr>
            <w:r w:rsidRPr="00952304">
              <w:rPr>
                <w:lang w:eastAsia="ja-JP"/>
              </w:rPr>
              <w:t>No markets are lost as a consequence of failed departmental certification services</w:t>
            </w:r>
          </w:p>
          <w:p w14:paraId="65DCBFE6" w14:textId="77777777" w:rsidR="00FE613D" w:rsidRPr="0049641D" w:rsidRDefault="00FE613D" w:rsidP="008823D1">
            <w:pPr>
              <w:pStyle w:val="TableText"/>
              <w:rPr>
                <w:lang w:eastAsia="ja-JP"/>
              </w:rPr>
            </w:pPr>
            <w:r w:rsidRPr="00952304">
              <w:rPr>
                <w:lang w:eastAsia="ja-JP"/>
              </w:rPr>
              <w:t>Less than 5% of quota allocations are rejected because of quota certification failures</w:t>
            </w:r>
          </w:p>
        </w:tc>
      </w:tr>
      <w:tr w:rsidR="00FE613D" w:rsidRPr="0049641D" w14:paraId="618850DF" w14:textId="77777777" w:rsidTr="008823D1">
        <w:tc>
          <w:tcPr>
            <w:tcW w:w="4530" w:type="dxa"/>
          </w:tcPr>
          <w:p w14:paraId="7B5B96AA" w14:textId="4A676DD6" w:rsidR="00FE613D" w:rsidRPr="0049641D" w:rsidRDefault="00FE613D" w:rsidP="008823D1">
            <w:pPr>
              <w:pStyle w:val="TableText"/>
              <w:rPr>
                <w:lang w:eastAsia="ja-JP"/>
              </w:rPr>
            </w:pPr>
            <w:r w:rsidRPr="0049641D">
              <w:rPr>
                <w:lang w:eastAsia="ja-JP"/>
              </w:rPr>
              <w:t xml:space="preserve">The effectiveness and efficiency of biosecurity and food interventions on import pathways improves </w:t>
            </w:r>
            <w:r>
              <w:rPr>
                <w:lang w:eastAsia="ja-JP"/>
              </w:rPr>
              <w:t>(c)</w:t>
            </w:r>
          </w:p>
        </w:tc>
        <w:tc>
          <w:tcPr>
            <w:tcW w:w="4530" w:type="dxa"/>
          </w:tcPr>
          <w:p w14:paraId="03AFE1A3" w14:textId="77777777" w:rsidR="00FE613D" w:rsidRDefault="00FE613D" w:rsidP="008823D1">
            <w:pPr>
              <w:pStyle w:val="TableText"/>
              <w:rPr>
                <w:lang w:eastAsia="ja-JP"/>
              </w:rPr>
            </w:pPr>
            <w:r w:rsidRPr="00952304">
              <w:rPr>
                <w:lang w:eastAsia="ja-JP"/>
              </w:rPr>
              <w:t>The post-intervention compliance rate for passengers and mail is maintained or improved</w:t>
            </w:r>
          </w:p>
          <w:p w14:paraId="0D6FD0A8" w14:textId="77777777" w:rsidR="00FE613D" w:rsidRDefault="00FE613D" w:rsidP="008823D1">
            <w:pPr>
              <w:pStyle w:val="TableText"/>
              <w:rPr>
                <w:lang w:eastAsia="ja-JP"/>
              </w:rPr>
            </w:pPr>
            <w:r w:rsidRPr="0049641D">
              <w:rPr>
                <w:lang w:eastAsia="ja-JP"/>
              </w:rPr>
              <w:t xml:space="preserve">Interventions on low-risk pathways are reduced </w:t>
            </w:r>
            <w:r w:rsidRPr="005B5940">
              <w:rPr>
                <w:b/>
                <w:lang w:eastAsia="ja-JP"/>
              </w:rPr>
              <w:t>(d)</w:t>
            </w:r>
          </w:p>
          <w:p w14:paraId="15A4777A" w14:textId="77777777" w:rsidR="00FE613D" w:rsidRPr="0049641D" w:rsidRDefault="00FE613D" w:rsidP="008823D1">
            <w:pPr>
              <w:pStyle w:val="TableText"/>
              <w:rPr>
                <w:lang w:eastAsia="ja-JP"/>
              </w:rPr>
            </w:pPr>
            <w:r w:rsidRPr="00952304">
              <w:rPr>
                <w:lang w:eastAsia="ja-JP"/>
              </w:rPr>
              <w:t>The compliance rate for all food inspected is maintained or improved</w:t>
            </w:r>
          </w:p>
        </w:tc>
      </w:tr>
      <w:tr w:rsidR="00FE613D" w:rsidRPr="0049641D" w14:paraId="5E86B425" w14:textId="77777777" w:rsidTr="008823D1">
        <w:tc>
          <w:tcPr>
            <w:tcW w:w="4530" w:type="dxa"/>
          </w:tcPr>
          <w:p w14:paraId="459354C7" w14:textId="77777777" w:rsidR="00FE613D" w:rsidRPr="0049641D" w:rsidRDefault="00FE613D" w:rsidP="008823D1">
            <w:pPr>
              <w:pStyle w:val="TableText"/>
              <w:rPr>
                <w:lang w:eastAsia="ja-JP"/>
              </w:rPr>
            </w:pPr>
            <w:r w:rsidRPr="00952304">
              <w:rPr>
                <w:lang w:eastAsia="ja-JP"/>
              </w:rPr>
              <w:t>Responses to biosecurity and imported food incidents improves</w:t>
            </w:r>
          </w:p>
        </w:tc>
        <w:tc>
          <w:tcPr>
            <w:tcW w:w="4530" w:type="dxa"/>
          </w:tcPr>
          <w:p w14:paraId="402820FF" w14:textId="77777777" w:rsidR="00FE613D" w:rsidRPr="0049641D" w:rsidRDefault="00FE613D" w:rsidP="008823D1">
            <w:pPr>
              <w:pStyle w:val="TableText"/>
              <w:rPr>
                <w:lang w:eastAsia="ja-JP"/>
              </w:rPr>
            </w:pPr>
            <w:r w:rsidRPr="0049641D">
              <w:rPr>
                <w:lang w:eastAsia="ja-JP"/>
              </w:rPr>
              <w:t>The department assesses that responses to biosecurity and imported food incidents have improved</w:t>
            </w:r>
          </w:p>
        </w:tc>
      </w:tr>
      <w:tr w:rsidR="00FE613D" w:rsidRPr="0049641D" w14:paraId="7E5A711E" w14:textId="77777777" w:rsidTr="008823D1">
        <w:tc>
          <w:tcPr>
            <w:tcW w:w="4530" w:type="dxa"/>
          </w:tcPr>
          <w:p w14:paraId="70B9E3A7" w14:textId="2D0F98D8" w:rsidR="00FE613D" w:rsidRPr="0049641D" w:rsidRDefault="00FE613D" w:rsidP="008823D1">
            <w:pPr>
              <w:pStyle w:val="TableText"/>
              <w:rPr>
                <w:lang w:eastAsia="ja-JP"/>
              </w:rPr>
            </w:pPr>
            <w:r w:rsidRPr="0049641D">
              <w:rPr>
                <w:lang w:eastAsia="ja-JP"/>
              </w:rPr>
              <w:t>Risk assessments for imported goods use science-based risk analysis, drawing on the best available sc</w:t>
            </w:r>
            <w:r w:rsidR="00862086">
              <w:rPr>
                <w:lang w:eastAsia="ja-JP"/>
              </w:rPr>
              <w:t>ientific information and advice</w:t>
            </w:r>
          </w:p>
        </w:tc>
        <w:tc>
          <w:tcPr>
            <w:tcW w:w="4530" w:type="dxa"/>
          </w:tcPr>
          <w:p w14:paraId="36D75812" w14:textId="4892B291" w:rsidR="00FE613D" w:rsidRPr="0049641D" w:rsidRDefault="00FE613D" w:rsidP="00862086">
            <w:pPr>
              <w:pStyle w:val="TableText"/>
              <w:rPr>
                <w:lang w:eastAsia="ja-JP"/>
              </w:rPr>
            </w:pPr>
            <w:r w:rsidRPr="00952304">
              <w:rPr>
                <w:lang w:eastAsia="ja-JP"/>
              </w:rPr>
              <w:t>100% of import risk assessments are conducted in accordance with regulations and the best available science and advice</w:t>
            </w:r>
          </w:p>
        </w:tc>
      </w:tr>
      <w:tr w:rsidR="00FE613D" w:rsidRPr="0049641D" w14:paraId="1AB60599" w14:textId="77777777" w:rsidTr="008823D1">
        <w:tc>
          <w:tcPr>
            <w:tcW w:w="4530" w:type="dxa"/>
          </w:tcPr>
          <w:p w14:paraId="5350CC35" w14:textId="19D4DACD" w:rsidR="00FE613D" w:rsidRPr="0049641D" w:rsidRDefault="00FE613D" w:rsidP="004E7FA2">
            <w:pPr>
              <w:pStyle w:val="TableText"/>
              <w:rPr>
                <w:lang w:eastAsia="ja-JP"/>
              </w:rPr>
            </w:pPr>
            <w:r w:rsidRPr="00952304">
              <w:rPr>
                <w:lang w:eastAsia="ja-JP"/>
              </w:rPr>
              <w:t>The ability of governments, industry and the community to quickly and effectively respond to exotic pest and disease incursions improves</w:t>
            </w:r>
          </w:p>
        </w:tc>
        <w:tc>
          <w:tcPr>
            <w:tcW w:w="4530" w:type="dxa"/>
          </w:tcPr>
          <w:p w14:paraId="5DB6F554" w14:textId="77777777" w:rsidR="00FE613D" w:rsidRDefault="00FE613D" w:rsidP="008823D1">
            <w:pPr>
              <w:pStyle w:val="TableText"/>
              <w:rPr>
                <w:lang w:eastAsia="ja-JP"/>
              </w:rPr>
            </w:pPr>
            <w:r w:rsidRPr="00952304">
              <w:rPr>
                <w:lang w:eastAsia="ja-JP"/>
              </w:rPr>
              <w:t>Responses to pest and disease incursions and outbreaks are managed according to relevant frameworks</w:t>
            </w:r>
          </w:p>
          <w:p w14:paraId="4EEE7CD1" w14:textId="77777777" w:rsidR="00FE613D" w:rsidRDefault="00FE613D" w:rsidP="008823D1">
            <w:pPr>
              <w:pStyle w:val="TableText"/>
              <w:rPr>
                <w:lang w:eastAsia="ja-JP"/>
              </w:rPr>
            </w:pPr>
            <w:r w:rsidRPr="00952304">
              <w:rPr>
                <w:lang w:eastAsia="ja-JP"/>
              </w:rPr>
              <w:t>Requests for rapid response in the event of a significant exotic pest or disease outbreak are responded to immediately</w:t>
            </w:r>
          </w:p>
          <w:p w14:paraId="2E374DF2" w14:textId="77777777" w:rsidR="00FE613D" w:rsidRPr="0049641D" w:rsidRDefault="00FE613D" w:rsidP="008823D1">
            <w:pPr>
              <w:pStyle w:val="TableText"/>
              <w:rPr>
                <w:lang w:eastAsia="ja-JP"/>
              </w:rPr>
            </w:pPr>
            <w:r w:rsidRPr="0049641D">
              <w:rPr>
                <w:lang w:eastAsia="ja-JP"/>
              </w:rPr>
              <w:t xml:space="preserve">100% of priority emergency plans (AUSVETPLAN, AQUAVETPLAN, EMPPLAN and PLANTPLAN) reflect </w:t>
            </w:r>
            <w:r w:rsidRPr="0049641D">
              <w:rPr>
                <w:lang w:eastAsia="ja-JP"/>
              </w:rPr>
              <w:lastRenderedPageBreak/>
              <w:t>contemporary science of emergency responses to plant and animal pests and diseases</w:t>
            </w:r>
          </w:p>
        </w:tc>
      </w:tr>
      <w:tr w:rsidR="00FE613D" w:rsidRPr="0049641D" w14:paraId="7751B6EF" w14:textId="77777777" w:rsidTr="008823D1">
        <w:tc>
          <w:tcPr>
            <w:tcW w:w="4530" w:type="dxa"/>
          </w:tcPr>
          <w:p w14:paraId="54017966" w14:textId="00E0664E" w:rsidR="00FE613D" w:rsidRPr="0049641D" w:rsidRDefault="00FE613D" w:rsidP="008823D1">
            <w:pPr>
              <w:pStyle w:val="TableText"/>
              <w:rPr>
                <w:lang w:eastAsia="ja-JP"/>
              </w:rPr>
            </w:pPr>
            <w:r w:rsidRPr="0049641D">
              <w:rPr>
                <w:lang w:eastAsia="ja-JP"/>
              </w:rPr>
              <w:lastRenderedPageBreak/>
              <w:t>Public awarenes</w:t>
            </w:r>
            <w:r w:rsidR="00862086">
              <w:rPr>
                <w:lang w:eastAsia="ja-JP"/>
              </w:rPr>
              <w:t>s of biosecurity risks improves</w:t>
            </w:r>
          </w:p>
        </w:tc>
        <w:tc>
          <w:tcPr>
            <w:tcW w:w="4530" w:type="dxa"/>
          </w:tcPr>
          <w:p w14:paraId="579B2E72" w14:textId="77777777" w:rsidR="00FE613D" w:rsidRPr="0049641D" w:rsidRDefault="00FE613D" w:rsidP="008823D1">
            <w:pPr>
              <w:pStyle w:val="TableText"/>
              <w:rPr>
                <w:lang w:eastAsia="ja-JP"/>
              </w:rPr>
            </w:pPr>
            <w:r w:rsidRPr="00952304">
              <w:rPr>
                <w:lang w:eastAsia="ja-JP"/>
              </w:rPr>
              <w:t>The number of followers on and the total reach of the Australian Biosecurity Facebook page is maintained or increased</w:t>
            </w:r>
          </w:p>
        </w:tc>
      </w:tr>
    </w:tbl>
    <w:p w14:paraId="14E3E1C4" w14:textId="446B6A07" w:rsidR="00FE613D" w:rsidRDefault="00FE613D" w:rsidP="001F2B0B">
      <w:pPr>
        <w:pStyle w:val="FigureTableNoteSource"/>
        <w:rPr>
          <w:lang w:eastAsia="ja-JP"/>
        </w:rPr>
      </w:pPr>
      <w:r w:rsidRPr="005B5940">
        <w:rPr>
          <w:b/>
          <w:lang w:eastAsia="ja-JP"/>
        </w:rPr>
        <w:t>a</w:t>
      </w:r>
      <w:r>
        <w:rPr>
          <w:lang w:eastAsia="ja-JP"/>
        </w:rPr>
        <w:t xml:space="preserve"> Performance measure and targets published in the Portfolio Budget Statements 2016–17</w:t>
      </w:r>
    </w:p>
    <w:p w14:paraId="0558E842" w14:textId="198E38AA" w:rsidR="00FE613D" w:rsidRDefault="00FE613D" w:rsidP="001F2B0B">
      <w:pPr>
        <w:pStyle w:val="FigureTableNoteSource"/>
        <w:rPr>
          <w:lang w:eastAsia="ja-JP"/>
        </w:rPr>
      </w:pPr>
      <w:r w:rsidRPr="005B5940">
        <w:rPr>
          <w:b/>
          <w:lang w:eastAsia="ja-JP"/>
        </w:rPr>
        <w:t>b</w:t>
      </w:r>
      <w:r>
        <w:rPr>
          <w:lang w:eastAsia="ja-JP"/>
        </w:rPr>
        <w:t xml:space="preserve"> Assessment based on information including OIE (World Organisation for Animal Health) notifications, plant incursions and market access issues directly related to biosecurity</w:t>
      </w:r>
    </w:p>
    <w:p w14:paraId="3ED2ED77" w14:textId="7F138D62" w:rsidR="00FE613D" w:rsidRDefault="00FE613D" w:rsidP="001F2B0B">
      <w:pPr>
        <w:pStyle w:val="FigureTableNoteSource"/>
        <w:rPr>
          <w:lang w:eastAsia="ja-JP"/>
        </w:rPr>
      </w:pPr>
      <w:r w:rsidRPr="005B5940">
        <w:rPr>
          <w:b/>
          <w:lang w:eastAsia="ja-JP"/>
        </w:rPr>
        <w:t>c</w:t>
      </w:r>
      <w:r>
        <w:rPr>
          <w:lang w:eastAsia="ja-JP"/>
        </w:rPr>
        <w:t xml:space="preserve"> Performance measures for post-compliance rates for cargo will be developed</w:t>
      </w:r>
    </w:p>
    <w:p w14:paraId="3CECBEA1" w14:textId="761A843F" w:rsidR="00FE613D" w:rsidRDefault="00FE613D" w:rsidP="001F2B0B">
      <w:pPr>
        <w:pStyle w:val="FigureTableNoteSource"/>
        <w:rPr>
          <w:lang w:eastAsia="ja-JP"/>
        </w:rPr>
      </w:pPr>
      <w:r w:rsidRPr="005B5940">
        <w:rPr>
          <w:b/>
          <w:lang w:eastAsia="ja-JP"/>
        </w:rPr>
        <w:t>d</w:t>
      </w:r>
      <w:r>
        <w:rPr>
          <w:lang w:eastAsia="ja-JP"/>
        </w:rPr>
        <w:t xml:space="preserve"> For imported plant products only</w:t>
      </w:r>
    </w:p>
    <w:p w14:paraId="4BC39964" w14:textId="72867329" w:rsidR="0015243A" w:rsidRPr="0015243A" w:rsidRDefault="0015243A" w:rsidP="0015243A">
      <w:pPr>
        <w:pStyle w:val="FigureTableNoteSource"/>
        <w:rPr>
          <w:lang w:eastAsia="ja-JP"/>
        </w:rPr>
      </w:pPr>
      <w:r>
        <w:rPr>
          <w:lang w:eastAsia="ja-JP"/>
        </w:rPr>
        <w:t xml:space="preserve">Source: </w:t>
      </w:r>
      <w:r>
        <w:t>DAWR 2016; DAWR 2016b</w:t>
      </w:r>
    </w:p>
    <w:p w14:paraId="5438CEC8" w14:textId="77777777" w:rsidR="00FE613D" w:rsidRPr="00FE613D" w:rsidRDefault="00FE613D" w:rsidP="00FE613D">
      <w:pPr>
        <w:rPr>
          <w:rStyle w:val="Strong"/>
        </w:rPr>
      </w:pPr>
      <w:r w:rsidRPr="00FE613D">
        <w:rPr>
          <w:rStyle w:val="Strong"/>
        </w:rPr>
        <w:t>2. New Zealand Government (Ministry for Primary Industries)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E613D" w:rsidRPr="00FE613D" w14:paraId="36A49E8B" w14:textId="77777777" w:rsidTr="002039D0">
        <w:tc>
          <w:tcPr>
            <w:tcW w:w="4530" w:type="dxa"/>
          </w:tcPr>
          <w:p w14:paraId="2261BA68" w14:textId="7F93DD51" w:rsidR="00FE613D" w:rsidRPr="00FE613D" w:rsidRDefault="00FE613D" w:rsidP="00FE613D">
            <w:pPr>
              <w:pStyle w:val="TableHeading"/>
              <w:rPr>
                <w:lang w:eastAsia="ja-JP"/>
              </w:rPr>
            </w:pPr>
            <w:r w:rsidRPr="00FE613D">
              <w:rPr>
                <w:lang w:eastAsia="ja-JP"/>
              </w:rPr>
              <w:t>Long term ou</w:t>
            </w:r>
            <w:r w:rsidR="004E7FA2">
              <w:rPr>
                <w:lang w:eastAsia="ja-JP"/>
              </w:rPr>
              <w:t>tcome</w:t>
            </w:r>
          </w:p>
        </w:tc>
        <w:tc>
          <w:tcPr>
            <w:tcW w:w="4530" w:type="dxa"/>
          </w:tcPr>
          <w:p w14:paraId="13657776" w14:textId="220AE230" w:rsidR="00FE613D" w:rsidRPr="00FE613D" w:rsidRDefault="00FE613D" w:rsidP="00FE613D">
            <w:pPr>
              <w:pStyle w:val="TableText"/>
              <w:rPr>
                <w:lang w:eastAsia="ja-JP"/>
              </w:rPr>
            </w:pPr>
            <w:r w:rsidRPr="00FE613D">
              <w:rPr>
                <w:lang w:eastAsia="ja-JP"/>
              </w:rPr>
              <w:t>Protect from biological risk</w:t>
            </w:r>
          </w:p>
        </w:tc>
      </w:tr>
      <w:tr w:rsidR="00FE613D" w:rsidRPr="00FE613D" w14:paraId="069E1191" w14:textId="77777777" w:rsidTr="002039D0">
        <w:tc>
          <w:tcPr>
            <w:tcW w:w="4530" w:type="dxa"/>
          </w:tcPr>
          <w:p w14:paraId="64630892" w14:textId="77777777" w:rsidR="00FE613D" w:rsidRPr="00FE613D" w:rsidRDefault="00FE613D" w:rsidP="00FE613D">
            <w:pPr>
              <w:pStyle w:val="TableHeading"/>
              <w:rPr>
                <w:lang w:eastAsia="ja-JP"/>
              </w:rPr>
            </w:pPr>
            <w:r w:rsidRPr="00FE613D">
              <w:rPr>
                <w:lang w:eastAsia="ja-JP"/>
              </w:rPr>
              <w:t>Intermediate outcomes:</w:t>
            </w:r>
          </w:p>
        </w:tc>
        <w:tc>
          <w:tcPr>
            <w:tcW w:w="4530" w:type="dxa"/>
          </w:tcPr>
          <w:p w14:paraId="464CAD38" w14:textId="77777777" w:rsidR="00FE613D" w:rsidRPr="00FE613D" w:rsidRDefault="00FE613D" w:rsidP="00FE613D">
            <w:pPr>
              <w:pStyle w:val="TableText"/>
              <w:rPr>
                <w:lang w:eastAsia="ja-JP"/>
              </w:rPr>
            </w:pPr>
            <w:r w:rsidRPr="00FE613D">
              <w:rPr>
                <w:lang w:eastAsia="ja-JP"/>
              </w:rPr>
              <w:t>The primary sector is protected from biological risks through the effective operation of the biosecurity and food safety systems.</w:t>
            </w:r>
          </w:p>
        </w:tc>
      </w:tr>
      <w:tr w:rsidR="00FE613D" w:rsidRPr="00FE613D" w14:paraId="6E472950" w14:textId="77777777" w:rsidTr="002039D0">
        <w:tc>
          <w:tcPr>
            <w:tcW w:w="4530" w:type="dxa"/>
          </w:tcPr>
          <w:p w14:paraId="7914A171" w14:textId="77777777" w:rsidR="00FE613D" w:rsidRPr="00FE613D" w:rsidRDefault="00FE613D" w:rsidP="00FE613D">
            <w:pPr>
              <w:pStyle w:val="TableHeading"/>
              <w:rPr>
                <w:lang w:eastAsia="ja-JP"/>
              </w:rPr>
            </w:pPr>
            <w:r w:rsidRPr="00FE613D">
              <w:rPr>
                <w:lang w:eastAsia="ja-JP"/>
              </w:rPr>
              <w:t>Impacts:</w:t>
            </w:r>
          </w:p>
        </w:tc>
        <w:tc>
          <w:tcPr>
            <w:tcW w:w="4530" w:type="dxa"/>
          </w:tcPr>
          <w:p w14:paraId="27826DFA" w14:textId="77777777" w:rsidR="00FE613D" w:rsidRDefault="00FE613D" w:rsidP="00FE613D">
            <w:pPr>
              <w:pStyle w:val="TableText"/>
              <w:rPr>
                <w:lang w:eastAsia="ja-JP"/>
              </w:rPr>
            </w:pPr>
            <w:r w:rsidRPr="00FE613D">
              <w:rPr>
                <w:lang w:eastAsia="ja-JP"/>
              </w:rPr>
              <w:t>Protecting New Zealand‘s competitive advantage of a pest-free environment</w:t>
            </w:r>
          </w:p>
          <w:p w14:paraId="51C1E876" w14:textId="77777777" w:rsidR="00FE613D" w:rsidRDefault="00FE613D" w:rsidP="00FE613D">
            <w:pPr>
              <w:pStyle w:val="TableText"/>
              <w:rPr>
                <w:lang w:eastAsia="ja-JP"/>
              </w:rPr>
            </w:pPr>
            <w:r w:rsidRPr="00FE613D">
              <w:rPr>
                <w:lang w:eastAsia="ja-JP"/>
              </w:rPr>
              <w:t>Better preparing New Zealand to respond to pest and disease incursions</w:t>
            </w:r>
          </w:p>
          <w:p w14:paraId="16FFCC23" w14:textId="77777777" w:rsidR="00FE613D" w:rsidRPr="00FE613D" w:rsidRDefault="00FE613D" w:rsidP="00FE613D">
            <w:pPr>
              <w:pStyle w:val="TableText"/>
              <w:rPr>
                <w:lang w:eastAsia="ja-JP"/>
              </w:rPr>
            </w:pPr>
            <w:r w:rsidRPr="00FE613D">
              <w:rPr>
                <w:lang w:eastAsia="ja-JP"/>
              </w:rPr>
              <w:t>Increasing voluntary and assisted compliance</w:t>
            </w:r>
          </w:p>
        </w:tc>
      </w:tr>
      <w:tr w:rsidR="00FE613D" w:rsidRPr="00FE613D" w14:paraId="6CF47C28" w14:textId="77777777" w:rsidTr="00F52D2F">
        <w:tc>
          <w:tcPr>
            <w:tcW w:w="4530" w:type="dxa"/>
            <w:tcBorders>
              <w:bottom w:val="single" w:sz="4" w:space="0" w:color="auto"/>
            </w:tcBorders>
          </w:tcPr>
          <w:p w14:paraId="3B08D0A8" w14:textId="77777777" w:rsidR="00FE613D" w:rsidRPr="00FE613D" w:rsidRDefault="00FE613D" w:rsidP="00FE613D">
            <w:pPr>
              <w:pStyle w:val="TableHeading"/>
              <w:rPr>
                <w:lang w:eastAsia="ja-JP"/>
              </w:rPr>
            </w:pPr>
            <w:r w:rsidRPr="00FE613D">
              <w:rPr>
                <w:lang w:eastAsia="ja-JP"/>
              </w:rPr>
              <w:t>Progress indicators:</w:t>
            </w:r>
          </w:p>
        </w:tc>
        <w:tc>
          <w:tcPr>
            <w:tcW w:w="4530" w:type="dxa"/>
            <w:tcBorders>
              <w:bottom w:val="single" w:sz="4" w:space="0" w:color="auto"/>
            </w:tcBorders>
          </w:tcPr>
          <w:p w14:paraId="5C399AC4" w14:textId="77777777" w:rsidR="00FE613D" w:rsidRDefault="00FE613D" w:rsidP="00FE613D">
            <w:pPr>
              <w:pStyle w:val="TableText"/>
              <w:rPr>
                <w:lang w:eastAsia="ja-JP"/>
              </w:rPr>
            </w:pPr>
            <w:r w:rsidRPr="00FE613D">
              <w:rPr>
                <w:lang w:eastAsia="ja-JP"/>
              </w:rPr>
              <w:t>Market access is maintained and opportunities enhanced, with trading partners having confidence in New Zealand’s biosecurity system</w:t>
            </w:r>
          </w:p>
          <w:p w14:paraId="28F333F6" w14:textId="77777777" w:rsidR="00FE613D" w:rsidRDefault="00FE613D" w:rsidP="00FE613D">
            <w:pPr>
              <w:pStyle w:val="TableText"/>
              <w:rPr>
                <w:lang w:eastAsia="ja-JP"/>
              </w:rPr>
            </w:pPr>
            <w:r w:rsidRPr="00FE613D">
              <w:rPr>
                <w:lang w:eastAsia="ja-JP"/>
              </w:rPr>
              <w:t>Health of the biosecurity system is improving</w:t>
            </w:r>
          </w:p>
          <w:p w14:paraId="151D2748" w14:textId="77777777" w:rsidR="00FE613D" w:rsidRDefault="00FE613D" w:rsidP="00FE613D">
            <w:pPr>
              <w:pStyle w:val="TableText"/>
              <w:rPr>
                <w:lang w:eastAsia="ja-JP"/>
              </w:rPr>
            </w:pPr>
            <w:r w:rsidRPr="00FE613D">
              <w:rPr>
                <w:lang w:eastAsia="ja-JP"/>
              </w:rPr>
              <w:t>Number of response plans completed or reviewed</w:t>
            </w:r>
          </w:p>
          <w:p w14:paraId="1A78B081" w14:textId="77777777" w:rsidR="00FE613D" w:rsidRDefault="00FE613D" w:rsidP="00FE613D">
            <w:pPr>
              <w:pStyle w:val="TableText"/>
              <w:rPr>
                <w:lang w:eastAsia="ja-JP"/>
              </w:rPr>
            </w:pPr>
            <w:r w:rsidRPr="00FE613D">
              <w:rPr>
                <w:lang w:eastAsia="ja-JP"/>
              </w:rPr>
              <w:t>Completion of exercise testing readiness for an incursion</w:t>
            </w:r>
          </w:p>
          <w:p w14:paraId="2317F2F2" w14:textId="77777777" w:rsidR="00FE613D" w:rsidRDefault="00FE613D" w:rsidP="00FE613D">
            <w:pPr>
              <w:pStyle w:val="TableText"/>
              <w:rPr>
                <w:lang w:eastAsia="ja-JP"/>
              </w:rPr>
            </w:pPr>
            <w:r w:rsidRPr="00FE613D">
              <w:rPr>
                <w:lang w:eastAsia="ja-JP"/>
              </w:rPr>
              <w:t>Adoption of previous recommendations that lead to faster, more effective responses</w:t>
            </w:r>
          </w:p>
          <w:p w14:paraId="15E77EB4" w14:textId="77CB6909" w:rsidR="00FE613D" w:rsidRPr="00FE613D" w:rsidRDefault="00FE613D" w:rsidP="00862086">
            <w:pPr>
              <w:pStyle w:val="TableText"/>
              <w:rPr>
                <w:lang w:eastAsia="ja-JP"/>
              </w:rPr>
            </w:pPr>
            <w:r w:rsidRPr="00FE613D">
              <w:rPr>
                <w:lang w:eastAsia="ja-JP"/>
              </w:rPr>
              <w:t>Compliance rates with biosecurity requirements increasing</w:t>
            </w:r>
          </w:p>
        </w:tc>
      </w:tr>
      <w:tr w:rsidR="00FE613D" w:rsidRPr="00FE613D" w14:paraId="1B556D5A" w14:textId="77777777" w:rsidTr="00F52D2F">
        <w:trPr>
          <w:tblHeader/>
        </w:trPr>
        <w:tc>
          <w:tcPr>
            <w:tcW w:w="4530" w:type="dxa"/>
            <w:tcBorders>
              <w:top w:val="single" w:sz="4" w:space="0" w:color="auto"/>
              <w:bottom w:val="single" w:sz="4" w:space="0" w:color="auto"/>
            </w:tcBorders>
          </w:tcPr>
          <w:p w14:paraId="4E4DEDC5" w14:textId="77777777" w:rsidR="00FE613D" w:rsidRPr="00FE613D" w:rsidRDefault="00FE613D" w:rsidP="00FE613D">
            <w:pPr>
              <w:pStyle w:val="TableHeading"/>
              <w:rPr>
                <w:lang w:eastAsia="ja-JP"/>
              </w:rPr>
            </w:pPr>
            <w:r w:rsidRPr="00FE613D">
              <w:rPr>
                <w:lang w:eastAsia="ja-JP"/>
              </w:rPr>
              <w:t>Appropriation:</w:t>
            </w:r>
          </w:p>
        </w:tc>
        <w:tc>
          <w:tcPr>
            <w:tcW w:w="4530" w:type="dxa"/>
            <w:tcBorders>
              <w:top w:val="single" w:sz="4" w:space="0" w:color="auto"/>
              <w:bottom w:val="single" w:sz="4" w:space="0" w:color="auto"/>
            </w:tcBorders>
          </w:tcPr>
          <w:p w14:paraId="1EA782E6" w14:textId="77777777" w:rsidR="00FE613D" w:rsidRPr="00FE613D" w:rsidRDefault="00FE613D" w:rsidP="00FE613D">
            <w:pPr>
              <w:pStyle w:val="TableHeading"/>
              <w:rPr>
                <w:lang w:eastAsia="ja-JP"/>
              </w:rPr>
            </w:pPr>
            <w:r w:rsidRPr="00FE613D">
              <w:rPr>
                <w:lang w:eastAsia="ja-JP"/>
              </w:rPr>
              <w:t>Service performance measure</w:t>
            </w:r>
          </w:p>
        </w:tc>
      </w:tr>
      <w:tr w:rsidR="00FE613D" w:rsidRPr="00FE613D" w14:paraId="79636006" w14:textId="77777777" w:rsidTr="00F52D2F">
        <w:tc>
          <w:tcPr>
            <w:tcW w:w="4530" w:type="dxa"/>
            <w:tcBorders>
              <w:top w:val="single" w:sz="4" w:space="0" w:color="auto"/>
            </w:tcBorders>
          </w:tcPr>
          <w:p w14:paraId="3750C739" w14:textId="77777777" w:rsidR="00FE613D" w:rsidRPr="00FE613D" w:rsidRDefault="00FE613D" w:rsidP="002039D0">
            <w:pPr>
              <w:pStyle w:val="TableText"/>
              <w:rPr>
                <w:lang w:eastAsia="ja-JP"/>
              </w:rPr>
            </w:pPr>
            <w:r w:rsidRPr="00FE613D">
              <w:rPr>
                <w:lang w:eastAsia="ja-JP"/>
              </w:rPr>
              <w:t>Biosecurity incursion response and long-term pest management</w:t>
            </w:r>
          </w:p>
        </w:tc>
        <w:tc>
          <w:tcPr>
            <w:tcW w:w="4530" w:type="dxa"/>
            <w:tcBorders>
              <w:top w:val="single" w:sz="4" w:space="0" w:color="auto"/>
            </w:tcBorders>
          </w:tcPr>
          <w:p w14:paraId="30F7B205" w14:textId="77777777" w:rsidR="00FE613D" w:rsidRDefault="00FE613D" w:rsidP="002039D0">
            <w:pPr>
              <w:pStyle w:val="TableText"/>
              <w:rPr>
                <w:lang w:eastAsia="ja-JP"/>
              </w:rPr>
            </w:pPr>
            <w:r w:rsidRPr="00FE613D">
              <w:rPr>
                <w:lang w:eastAsia="ja-JP"/>
              </w:rPr>
              <w:t>Number of Industry sign-up for Government–Industry Agreement deeds</w:t>
            </w:r>
          </w:p>
          <w:p w14:paraId="116F6431" w14:textId="6F94A18C" w:rsidR="00FE613D" w:rsidRPr="00FE613D" w:rsidRDefault="002039D0" w:rsidP="00862086">
            <w:pPr>
              <w:pStyle w:val="TableText"/>
              <w:rPr>
                <w:lang w:eastAsia="ja-JP"/>
              </w:rPr>
            </w:pPr>
            <w:r w:rsidRPr="002039D0">
              <w:rPr>
                <w:lang w:eastAsia="ja-JP"/>
              </w:rPr>
              <w:t>Percentage of key stakeholders are satisfied with major biosecurity responses</w:t>
            </w:r>
          </w:p>
        </w:tc>
      </w:tr>
      <w:tr w:rsidR="00FE613D" w:rsidRPr="00FE613D" w14:paraId="713B7FD4" w14:textId="77777777" w:rsidTr="002039D0">
        <w:tc>
          <w:tcPr>
            <w:tcW w:w="4530" w:type="dxa"/>
          </w:tcPr>
          <w:p w14:paraId="7467B72B" w14:textId="77777777" w:rsidR="00FE613D" w:rsidRPr="00FE613D" w:rsidRDefault="002039D0" w:rsidP="002039D0">
            <w:pPr>
              <w:pStyle w:val="TableText"/>
              <w:rPr>
                <w:lang w:eastAsia="ja-JP"/>
              </w:rPr>
            </w:pPr>
            <w:r w:rsidRPr="002039D0">
              <w:rPr>
                <w:lang w:eastAsia="ja-JP"/>
              </w:rPr>
              <w:t>Border biosecurity monitoring and clearance</w:t>
            </w:r>
          </w:p>
        </w:tc>
        <w:tc>
          <w:tcPr>
            <w:tcW w:w="4530" w:type="dxa"/>
          </w:tcPr>
          <w:p w14:paraId="49EAE987" w14:textId="16940BBB" w:rsidR="00FE613D" w:rsidRDefault="002039D0" w:rsidP="002039D0">
            <w:pPr>
              <w:pStyle w:val="TableText"/>
              <w:rPr>
                <w:lang w:eastAsia="ja-JP"/>
              </w:rPr>
            </w:pPr>
            <w:r w:rsidRPr="002039D0">
              <w:rPr>
                <w:lang w:eastAsia="ja-JP"/>
              </w:rPr>
              <w:t>Percentage of international air passengers that comply with biosecurity requirements by the time they leave the airport</w:t>
            </w:r>
          </w:p>
          <w:p w14:paraId="540DB217" w14:textId="77777777" w:rsidR="002039D0" w:rsidRDefault="002039D0" w:rsidP="002039D0">
            <w:pPr>
              <w:pStyle w:val="TableText"/>
              <w:rPr>
                <w:lang w:eastAsia="ja-JP"/>
              </w:rPr>
            </w:pPr>
            <w:r w:rsidRPr="002039D0">
              <w:rPr>
                <w:lang w:eastAsia="ja-JP"/>
              </w:rPr>
              <w:t>Percentage of international mail that complies with biosecurity requirements by the time it leaves the International Mail Centre</w:t>
            </w:r>
          </w:p>
          <w:p w14:paraId="2C75F23A" w14:textId="77777777" w:rsidR="002039D0" w:rsidRDefault="002039D0" w:rsidP="002039D0">
            <w:pPr>
              <w:pStyle w:val="TableText"/>
              <w:rPr>
                <w:lang w:eastAsia="ja-JP"/>
              </w:rPr>
            </w:pPr>
            <w:r w:rsidRPr="002039D0">
              <w:rPr>
                <w:lang w:eastAsia="ja-JP"/>
              </w:rPr>
              <w:t>Percentage of import clearance processes completed within agreed timeframes</w:t>
            </w:r>
          </w:p>
          <w:p w14:paraId="43DA54B1" w14:textId="77777777" w:rsidR="002039D0" w:rsidRDefault="002039D0" w:rsidP="002039D0">
            <w:pPr>
              <w:pStyle w:val="TableText"/>
              <w:rPr>
                <w:lang w:eastAsia="ja-JP"/>
              </w:rPr>
            </w:pPr>
            <w:r w:rsidRPr="002039D0">
              <w:rPr>
                <w:lang w:eastAsia="ja-JP"/>
              </w:rPr>
              <w:t>Number of identified and mitigated biosecurity risks resulting from targeted evaluations of imported goods</w:t>
            </w:r>
          </w:p>
          <w:p w14:paraId="29EFD7EE" w14:textId="77777777" w:rsidR="002039D0" w:rsidRPr="00FE613D" w:rsidRDefault="002039D0" w:rsidP="002039D0">
            <w:pPr>
              <w:pStyle w:val="TableText"/>
              <w:rPr>
                <w:lang w:eastAsia="ja-JP"/>
              </w:rPr>
            </w:pPr>
            <w:r w:rsidRPr="002039D0">
              <w:rPr>
                <w:lang w:eastAsia="ja-JP"/>
              </w:rPr>
              <w:t>Percentage of costs-recovered external stakeholders rate overall service as 4 out of 5 or higher</w:t>
            </w:r>
          </w:p>
        </w:tc>
      </w:tr>
      <w:tr w:rsidR="00FE613D" w:rsidRPr="00FE613D" w14:paraId="0CB3D6FE" w14:textId="77777777" w:rsidTr="002039D0">
        <w:tc>
          <w:tcPr>
            <w:tcW w:w="4530" w:type="dxa"/>
          </w:tcPr>
          <w:p w14:paraId="12A3D4F7" w14:textId="77777777" w:rsidR="00FE613D" w:rsidRPr="00FE613D" w:rsidRDefault="002039D0" w:rsidP="002039D0">
            <w:pPr>
              <w:pStyle w:val="TableHeading"/>
              <w:rPr>
                <w:lang w:eastAsia="ja-JP"/>
              </w:rPr>
            </w:pPr>
            <w:r w:rsidRPr="002039D0">
              <w:rPr>
                <w:lang w:eastAsia="ja-JP"/>
              </w:rPr>
              <w:lastRenderedPageBreak/>
              <w:t>Border biosecurity systems development and maintenance</w:t>
            </w:r>
            <w:r w:rsidR="00FE613D" w:rsidRPr="00FE613D">
              <w:rPr>
                <w:lang w:eastAsia="ja-JP"/>
              </w:rPr>
              <w:t xml:space="preserve"> </w:t>
            </w:r>
          </w:p>
        </w:tc>
        <w:tc>
          <w:tcPr>
            <w:tcW w:w="4530" w:type="dxa"/>
          </w:tcPr>
          <w:p w14:paraId="322DBF67" w14:textId="77777777" w:rsidR="00FE613D" w:rsidRDefault="002039D0" w:rsidP="002039D0">
            <w:pPr>
              <w:pStyle w:val="TableText"/>
              <w:rPr>
                <w:lang w:eastAsia="ja-JP"/>
              </w:rPr>
            </w:pPr>
            <w:r w:rsidRPr="002039D0">
              <w:rPr>
                <w:lang w:eastAsia="ja-JP"/>
              </w:rPr>
              <w:t>Percentage of OIE</w:t>
            </w:r>
            <w:r>
              <w:rPr>
                <w:lang w:eastAsia="ja-JP"/>
              </w:rPr>
              <w:t>(</w:t>
            </w:r>
            <w:r w:rsidRPr="002039D0">
              <w:rPr>
                <w:lang w:eastAsia="ja-JP"/>
              </w:rPr>
              <w:t>1</w:t>
            </w:r>
            <w:r>
              <w:rPr>
                <w:lang w:eastAsia="ja-JP"/>
              </w:rPr>
              <w:t>)</w:t>
            </w:r>
            <w:r w:rsidRPr="002039D0">
              <w:rPr>
                <w:lang w:eastAsia="ja-JP"/>
              </w:rPr>
              <w:t xml:space="preserve"> and IPPC</w:t>
            </w:r>
            <w:r>
              <w:rPr>
                <w:lang w:eastAsia="ja-JP"/>
              </w:rPr>
              <w:t>(</w:t>
            </w:r>
            <w:r w:rsidRPr="002039D0">
              <w:rPr>
                <w:lang w:eastAsia="ja-JP"/>
              </w:rPr>
              <w:t>2</w:t>
            </w:r>
            <w:r>
              <w:rPr>
                <w:lang w:eastAsia="ja-JP"/>
              </w:rPr>
              <w:t>)</w:t>
            </w:r>
            <w:r w:rsidRPr="002039D0">
              <w:rPr>
                <w:lang w:eastAsia="ja-JP"/>
              </w:rPr>
              <w:t xml:space="preserve"> standards that are accepted by New Zealand</w:t>
            </w:r>
          </w:p>
          <w:p w14:paraId="2014AAB0" w14:textId="77777777" w:rsidR="002039D0" w:rsidRDefault="002039D0" w:rsidP="002039D0">
            <w:pPr>
              <w:pStyle w:val="TableText"/>
              <w:rPr>
                <w:lang w:eastAsia="ja-JP"/>
              </w:rPr>
            </w:pPr>
            <w:r w:rsidRPr="002039D0">
              <w:rPr>
                <w:lang w:eastAsia="ja-JP"/>
              </w:rPr>
              <w:t>Percentage of certificates issued that meet biosecurity technical requirements of importing countries are specified by overseas competent authorities</w:t>
            </w:r>
          </w:p>
          <w:p w14:paraId="53E4D45D" w14:textId="77777777" w:rsidR="002039D0" w:rsidRPr="00FE613D" w:rsidRDefault="002039D0" w:rsidP="002039D0">
            <w:pPr>
              <w:pStyle w:val="TableText"/>
              <w:rPr>
                <w:lang w:eastAsia="ja-JP"/>
              </w:rPr>
            </w:pPr>
            <w:r w:rsidRPr="002039D0">
              <w:rPr>
                <w:lang w:eastAsia="ja-JP"/>
              </w:rPr>
              <w:t>Percentage of milestones met for the Sanitary and Phytosanitary Standards Market Access Programme, as agreed with key meat, dairy, seafood and horticulture sector stakeholders</w:t>
            </w:r>
          </w:p>
        </w:tc>
      </w:tr>
      <w:tr w:rsidR="00FE613D" w:rsidRPr="00FE613D" w14:paraId="7B182B1E" w14:textId="77777777" w:rsidTr="002039D0">
        <w:tc>
          <w:tcPr>
            <w:tcW w:w="4530" w:type="dxa"/>
          </w:tcPr>
          <w:p w14:paraId="6A4B94A1" w14:textId="77777777" w:rsidR="00FE613D" w:rsidRPr="00FE613D" w:rsidRDefault="002039D0" w:rsidP="002039D0">
            <w:pPr>
              <w:pStyle w:val="TableHeading"/>
              <w:rPr>
                <w:lang w:eastAsia="ja-JP"/>
              </w:rPr>
            </w:pPr>
            <w:r w:rsidRPr="002039D0">
              <w:rPr>
                <w:lang w:eastAsia="ja-JP"/>
              </w:rPr>
              <w:t>Domestic biosecurity surveillance</w:t>
            </w:r>
          </w:p>
        </w:tc>
        <w:tc>
          <w:tcPr>
            <w:tcW w:w="4530" w:type="dxa"/>
          </w:tcPr>
          <w:p w14:paraId="7091D3D4" w14:textId="77777777" w:rsidR="00FE613D" w:rsidRDefault="002039D0" w:rsidP="002039D0">
            <w:pPr>
              <w:pStyle w:val="TableText"/>
              <w:rPr>
                <w:lang w:eastAsia="ja-JP"/>
              </w:rPr>
            </w:pPr>
            <w:r w:rsidRPr="002039D0">
              <w:rPr>
                <w:lang w:eastAsia="ja-JP"/>
              </w:rPr>
              <w:t>ISO 17025 accreditation maintained for all laboratory processing, testing and reporting</w:t>
            </w:r>
          </w:p>
          <w:p w14:paraId="25786913" w14:textId="77777777" w:rsidR="002039D0" w:rsidRDefault="002039D0" w:rsidP="002039D0">
            <w:pPr>
              <w:pStyle w:val="TableText"/>
              <w:rPr>
                <w:lang w:eastAsia="ja-JP"/>
              </w:rPr>
            </w:pPr>
            <w:r w:rsidRPr="002039D0">
              <w:rPr>
                <w:lang w:eastAsia="ja-JP"/>
              </w:rPr>
              <w:t>Percentage of incursion investigations reach an outcome decision within specified timeframes</w:t>
            </w:r>
          </w:p>
          <w:p w14:paraId="1763B786" w14:textId="77777777" w:rsidR="002039D0" w:rsidRDefault="002039D0" w:rsidP="002039D0">
            <w:pPr>
              <w:pStyle w:val="TableText"/>
              <w:rPr>
                <w:lang w:eastAsia="ja-JP"/>
              </w:rPr>
            </w:pPr>
            <w:r w:rsidRPr="002039D0">
              <w:rPr>
                <w:lang w:eastAsia="ja-JP"/>
              </w:rPr>
              <w:t>With any suspected high risk or serious pest or disease notification, the investigation commences within 24 hours of notification</w:t>
            </w:r>
          </w:p>
          <w:p w14:paraId="67845D4E" w14:textId="77777777" w:rsidR="002039D0" w:rsidRDefault="002039D0" w:rsidP="002039D0">
            <w:pPr>
              <w:pStyle w:val="TableText"/>
              <w:rPr>
                <w:lang w:eastAsia="ja-JP"/>
              </w:rPr>
            </w:pPr>
            <w:r w:rsidRPr="002039D0">
              <w:rPr>
                <w:lang w:eastAsia="ja-JP"/>
              </w:rPr>
              <w:t>No export markets are closed due to the standard of MPI's active surveillance programs</w:t>
            </w:r>
          </w:p>
          <w:p w14:paraId="5BFC5A11" w14:textId="77777777" w:rsidR="002039D0" w:rsidRPr="00FE613D" w:rsidRDefault="002039D0" w:rsidP="002039D0">
            <w:pPr>
              <w:pStyle w:val="TableText"/>
              <w:rPr>
                <w:lang w:eastAsia="ja-JP"/>
              </w:rPr>
            </w:pPr>
            <w:r w:rsidRPr="002039D0">
              <w:rPr>
                <w:lang w:eastAsia="ja-JP"/>
              </w:rPr>
              <w:t>Specifically targeted pests or diseases are detected early enough to enable effective risk management interventions</w:t>
            </w:r>
          </w:p>
        </w:tc>
      </w:tr>
    </w:tbl>
    <w:p w14:paraId="693B2225" w14:textId="145F7E67" w:rsidR="00FE613D" w:rsidRDefault="002039D0" w:rsidP="00581596">
      <w:pPr>
        <w:pStyle w:val="FigureTableNoteSource"/>
        <w:rPr>
          <w:lang w:eastAsia="ja-JP"/>
        </w:rPr>
      </w:pPr>
      <w:r>
        <w:rPr>
          <w:lang w:eastAsia="ja-JP"/>
        </w:rPr>
        <w:t>(1)</w:t>
      </w:r>
      <w:r w:rsidR="007B705C">
        <w:rPr>
          <w:lang w:eastAsia="ja-JP"/>
        </w:rPr>
        <w:t xml:space="preserve"> </w:t>
      </w:r>
      <w:r w:rsidR="007B705C" w:rsidRPr="007B705C">
        <w:t>OIE</w:t>
      </w:r>
      <w:r w:rsidR="007B705C">
        <w:t>—</w:t>
      </w:r>
      <w:r w:rsidR="00FE613D" w:rsidRPr="007B705C">
        <w:t>World</w:t>
      </w:r>
      <w:r w:rsidR="00FE613D">
        <w:rPr>
          <w:lang w:eastAsia="ja-JP"/>
        </w:rPr>
        <w:t xml:space="preserve"> </w:t>
      </w:r>
      <w:r w:rsidR="007B705C">
        <w:rPr>
          <w:lang w:eastAsia="ja-JP"/>
        </w:rPr>
        <w:t>Organisation for Animal Health</w:t>
      </w:r>
    </w:p>
    <w:p w14:paraId="1C99D636" w14:textId="2E80E1B4" w:rsidR="00FE613D" w:rsidRDefault="002039D0" w:rsidP="00581596">
      <w:pPr>
        <w:pStyle w:val="FigureTableNoteSource"/>
        <w:rPr>
          <w:lang w:eastAsia="ja-JP"/>
        </w:rPr>
      </w:pPr>
      <w:r>
        <w:rPr>
          <w:lang w:eastAsia="ja-JP"/>
        </w:rPr>
        <w:t>(</w:t>
      </w:r>
      <w:r w:rsidR="00FE613D">
        <w:rPr>
          <w:lang w:eastAsia="ja-JP"/>
        </w:rPr>
        <w:t>2</w:t>
      </w:r>
      <w:r>
        <w:rPr>
          <w:lang w:eastAsia="ja-JP"/>
        </w:rPr>
        <w:t>)</w:t>
      </w:r>
      <w:r w:rsidR="00FE613D">
        <w:rPr>
          <w:lang w:eastAsia="ja-JP"/>
        </w:rPr>
        <w:t xml:space="preserve"> </w:t>
      </w:r>
      <w:r w:rsidR="007B705C">
        <w:rPr>
          <w:lang w:eastAsia="ja-JP"/>
        </w:rPr>
        <w:t>IPPC—</w:t>
      </w:r>
      <w:r w:rsidR="00FE613D">
        <w:rPr>
          <w:lang w:eastAsia="ja-JP"/>
        </w:rPr>
        <w:t>International Plant Protection Convention</w:t>
      </w:r>
    </w:p>
    <w:p w14:paraId="361C1E37" w14:textId="741F6BFC" w:rsidR="0015243A" w:rsidRPr="0015243A" w:rsidRDefault="0015243A" w:rsidP="0015243A">
      <w:pPr>
        <w:pStyle w:val="FigureTableNoteSource"/>
        <w:rPr>
          <w:lang w:eastAsia="ja-JP"/>
        </w:rPr>
      </w:pPr>
      <w:r>
        <w:rPr>
          <w:lang w:eastAsia="ja-JP"/>
        </w:rPr>
        <w:t>Source: NZ MPI 2015; NZ MPI 2016</w:t>
      </w:r>
    </w:p>
    <w:p w14:paraId="54BB9741" w14:textId="77777777" w:rsidR="00A2083D" w:rsidRDefault="00A2083D" w:rsidP="00210276">
      <w:pPr>
        <w:pStyle w:val="Heading2"/>
        <w:numPr>
          <w:ilvl w:val="0"/>
          <w:numId w:val="0"/>
        </w:numPr>
        <w:ind w:left="709" w:hanging="709"/>
      </w:pPr>
      <w:bookmarkStart w:id="267" w:name="_Appendix_G:_Submissions"/>
      <w:bookmarkStart w:id="268" w:name="_Appendix_F:_National"/>
      <w:bookmarkStart w:id="269" w:name="_Toc469654770"/>
      <w:bookmarkEnd w:id="267"/>
      <w:bookmarkEnd w:id="268"/>
      <w:r>
        <w:lastRenderedPageBreak/>
        <w:t xml:space="preserve">Appendix </w:t>
      </w:r>
      <w:r w:rsidR="00280A78">
        <w:t>F</w:t>
      </w:r>
      <w:r>
        <w:t>: National biosecurity system at a glance</w:t>
      </w:r>
      <w:bookmarkEnd w:id="269"/>
    </w:p>
    <w:p w14:paraId="1E26745B" w14:textId="77777777" w:rsidR="005B64C9" w:rsidRPr="005B64C9" w:rsidRDefault="005B64C9" w:rsidP="005B64C9">
      <w:r w:rsidRPr="005B64C9">
        <w:t>Chapter 7 identified the limited nature of publicly available information on the status of the national biosecurity system and proposed that national system data and information could be presented in the form of a ‘National biosecurity system at a glance’ summary. It is suggested that the following system metrics and information could form the basis of such a summary report.</w:t>
      </w:r>
    </w:p>
    <w:p w14:paraId="3BA676F3" w14:textId="444A8EEA" w:rsidR="00A2083D" w:rsidRPr="00A2083D" w:rsidRDefault="00A2083D" w:rsidP="00A2083D">
      <w:pPr>
        <w:rPr>
          <w:rStyle w:val="Strong"/>
          <w:lang w:eastAsia="ja-JP"/>
        </w:rPr>
      </w:pPr>
      <w:r w:rsidRPr="00A2083D">
        <w:rPr>
          <w:rStyle w:val="Strong"/>
          <w:lang w:eastAsia="ja-JP"/>
        </w:rPr>
        <w:t>Trade, tourism and transactions</w:t>
      </w:r>
    </w:p>
    <w:p w14:paraId="7C2E160D" w14:textId="533C0440" w:rsidR="00A2083D" w:rsidRDefault="006277B9" w:rsidP="00EB26B9">
      <w:pPr>
        <w:pStyle w:val="ListBullet"/>
        <w:rPr>
          <w:lang w:eastAsia="ja-JP"/>
        </w:rPr>
      </w:pPr>
      <w:r>
        <w:rPr>
          <w:lang w:eastAsia="ja-JP"/>
        </w:rPr>
        <w:t>v</w:t>
      </w:r>
      <w:r w:rsidR="00A2083D">
        <w:rPr>
          <w:lang w:eastAsia="ja-JP"/>
        </w:rPr>
        <w:t>olume and value of imports (goods/merchandise)</w:t>
      </w:r>
    </w:p>
    <w:p w14:paraId="0F10DF65" w14:textId="6BCB377A" w:rsidR="00A2083D" w:rsidRDefault="006277B9" w:rsidP="00EB26B9">
      <w:pPr>
        <w:pStyle w:val="ListBullet"/>
        <w:rPr>
          <w:lang w:eastAsia="ja-JP"/>
        </w:rPr>
      </w:pPr>
      <w:r>
        <w:rPr>
          <w:lang w:eastAsia="ja-JP"/>
        </w:rPr>
        <w:t>g</w:t>
      </w:r>
      <w:r w:rsidR="00A2083D">
        <w:rPr>
          <w:lang w:eastAsia="ja-JP"/>
        </w:rPr>
        <w:t>ross v</w:t>
      </w:r>
      <w:r w:rsidR="007B705C">
        <w:rPr>
          <w:lang w:eastAsia="ja-JP"/>
        </w:rPr>
        <w:t>alue of agricultural production</w:t>
      </w:r>
    </w:p>
    <w:p w14:paraId="1556E41C" w14:textId="044518CC" w:rsidR="00A2083D" w:rsidRDefault="006277B9" w:rsidP="00EB26B9">
      <w:pPr>
        <w:pStyle w:val="ListBullet"/>
        <w:rPr>
          <w:lang w:eastAsia="ja-JP"/>
        </w:rPr>
      </w:pPr>
      <w:r>
        <w:rPr>
          <w:lang w:eastAsia="ja-JP"/>
        </w:rPr>
        <w:t>v</w:t>
      </w:r>
      <w:r w:rsidR="00A2083D">
        <w:rPr>
          <w:lang w:eastAsia="ja-JP"/>
        </w:rPr>
        <w:t>olume and value of agricultural exports</w:t>
      </w:r>
    </w:p>
    <w:p w14:paraId="4179C569" w14:textId="288A7244" w:rsidR="00A2083D" w:rsidRDefault="006277B9" w:rsidP="00EB26B9">
      <w:pPr>
        <w:pStyle w:val="ListBullet"/>
        <w:rPr>
          <w:lang w:eastAsia="ja-JP"/>
        </w:rPr>
      </w:pPr>
      <w:r>
        <w:rPr>
          <w:lang w:eastAsia="ja-JP"/>
        </w:rPr>
        <w:t>i</w:t>
      </w:r>
      <w:r w:rsidR="00A2083D">
        <w:rPr>
          <w:lang w:eastAsia="ja-JP"/>
        </w:rPr>
        <w:t>nbound passenger numbers (air and sea)</w:t>
      </w:r>
      <w:r w:rsidR="00615B8C">
        <w:rPr>
          <w:lang w:eastAsia="ja-JP"/>
        </w:rPr>
        <w:t xml:space="preserve"> </w:t>
      </w:r>
      <w:r w:rsidR="00A2083D">
        <w:rPr>
          <w:lang w:eastAsia="ja-JP"/>
        </w:rPr>
        <w:t>and inbound and domestic tourism numbers and expenditure</w:t>
      </w:r>
    </w:p>
    <w:p w14:paraId="779732AB" w14:textId="7202E1E8" w:rsidR="00A2083D" w:rsidRDefault="006277B9" w:rsidP="00EB26B9">
      <w:pPr>
        <w:pStyle w:val="ListBullet"/>
        <w:rPr>
          <w:lang w:eastAsia="ja-JP"/>
        </w:rPr>
      </w:pPr>
      <w:r>
        <w:rPr>
          <w:lang w:eastAsia="ja-JP"/>
        </w:rPr>
        <w:t>n</w:t>
      </w:r>
      <w:r w:rsidR="00A2083D">
        <w:rPr>
          <w:lang w:eastAsia="ja-JP"/>
        </w:rPr>
        <w:t>umber of cargo consignments (air and sea)</w:t>
      </w:r>
    </w:p>
    <w:p w14:paraId="7E7FCF0A" w14:textId="666FC42B" w:rsidR="00A2083D" w:rsidRDefault="006277B9" w:rsidP="00EB26B9">
      <w:pPr>
        <w:pStyle w:val="ListBullet"/>
        <w:rPr>
          <w:lang w:eastAsia="ja-JP"/>
        </w:rPr>
      </w:pPr>
      <w:r>
        <w:rPr>
          <w:lang w:eastAsia="ja-JP"/>
        </w:rPr>
        <w:t>n</w:t>
      </w:r>
      <w:r w:rsidR="007B705C">
        <w:rPr>
          <w:lang w:eastAsia="ja-JP"/>
        </w:rPr>
        <w:t>umber of international mail</w:t>
      </w:r>
    </w:p>
    <w:p w14:paraId="0836BBD5" w14:textId="77777777" w:rsidR="00A2083D" w:rsidRPr="00EB26B9" w:rsidRDefault="00A2083D" w:rsidP="00A2083D">
      <w:pPr>
        <w:rPr>
          <w:rStyle w:val="Strong"/>
          <w:lang w:eastAsia="ja-JP"/>
        </w:rPr>
      </w:pPr>
      <w:r w:rsidRPr="00EB26B9">
        <w:rPr>
          <w:rStyle w:val="Strong"/>
          <w:lang w:eastAsia="ja-JP"/>
        </w:rPr>
        <w:t>Shared responsibility (descriptive)</w:t>
      </w:r>
    </w:p>
    <w:p w14:paraId="36D07DF9" w14:textId="6C8EB3F2" w:rsidR="00A2083D" w:rsidRDefault="006277B9" w:rsidP="00EB26B9">
      <w:pPr>
        <w:pStyle w:val="ListBullet"/>
        <w:rPr>
          <w:lang w:eastAsia="ja-JP"/>
        </w:rPr>
      </w:pPr>
      <w:r>
        <w:rPr>
          <w:lang w:eastAsia="ja-JP"/>
        </w:rPr>
        <w:t>r</w:t>
      </w:r>
      <w:r w:rsidR="00A2083D">
        <w:rPr>
          <w:lang w:eastAsia="ja-JP"/>
        </w:rPr>
        <w:t>oles and responsi</w:t>
      </w:r>
      <w:r w:rsidR="007B705C">
        <w:rPr>
          <w:lang w:eastAsia="ja-JP"/>
        </w:rPr>
        <w:t>bilities of system participants</w:t>
      </w:r>
    </w:p>
    <w:p w14:paraId="777D77A5" w14:textId="5A007EF7" w:rsidR="00A2083D" w:rsidRDefault="006277B9" w:rsidP="00EB26B9">
      <w:pPr>
        <w:pStyle w:val="ListBullet"/>
        <w:rPr>
          <w:lang w:eastAsia="ja-JP"/>
        </w:rPr>
      </w:pPr>
      <w:r>
        <w:rPr>
          <w:lang w:eastAsia="ja-JP"/>
        </w:rPr>
        <w:t>j</w:t>
      </w:r>
      <w:r w:rsidR="00A2083D">
        <w:rPr>
          <w:lang w:eastAsia="ja-JP"/>
        </w:rPr>
        <w:t>urisdictional core commitments under the IGAB</w:t>
      </w:r>
    </w:p>
    <w:p w14:paraId="2363EC01" w14:textId="6EA1B0C0" w:rsidR="00A2083D" w:rsidRDefault="006277B9" w:rsidP="00EB26B9">
      <w:pPr>
        <w:pStyle w:val="ListBullet"/>
        <w:rPr>
          <w:lang w:eastAsia="ja-JP"/>
        </w:rPr>
      </w:pPr>
      <w:r>
        <w:rPr>
          <w:lang w:eastAsia="ja-JP"/>
        </w:rPr>
        <w:t>i</w:t>
      </w:r>
      <w:r w:rsidR="00A2083D">
        <w:rPr>
          <w:lang w:eastAsia="ja-JP"/>
        </w:rPr>
        <w:t>ndustry and jurisdictions core commitments under emergency response deeds</w:t>
      </w:r>
    </w:p>
    <w:p w14:paraId="4B61ADF7" w14:textId="3437F4BD" w:rsidR="00A2083D" w:rsidRDefault="006277B9" w:rsidP="00EB26B9">
      <w:pPr>
        <w:pStyle w:val="ListBullet"/>
        <w:rPr>
          <w:lang w:eastAsia="ja-JP"/>
        </w:rPr>
      </w:pPr>
      <w:r>
        <w:rPr>
          <w:lang w:eastAsia="ja-JP"/>
        </w:rPr>
        <w:t>c</w:t>
      </w:r>
      <w:r w:rsidR="00A2083D">
        <w:rPr>
          <w:lang w:eastAsia="ja-JP"/>
        </w:rPr>
        <w:t>ompliance rate for exporters, passengers and mail</w:t>
      </w:r>
    </w:p>
    <w:p w14:paraId="7D5BC122" w14:textId="0015D13C" w:rsidR="00A2083D" w:rsidRDefault="006277B9" w:rsidP="00EB26B9">
      <w:pPr>
        <w:pStyle w:val="ListBullet"/>
        <w:rPr>
          <w:lang w:eastAsia="ja-JP"/>
        </w:rPr>
      </w:pPr>
      <w:r>
        <w:rPr>
          <w:lang w:eastAsia="ja-JP"/>
        </w:rPr>
        <w:t>p</w:t>
      </w:r>
      <w:r w:rsidR="00A2083D">
        <w:rPr>
          <w:lang w:eastAsia="ja-JP"/>
        </w:rPr>
        <w:t>ublic awareness of bi</w:t>
      </w:r>
      <w:r w:rsidR="007B705C">
        <w:rPr>
          <w:lang w:eastAsia="ja-JP"/>
        </w:rPr>
        <w:t>osecurity risks and obligations</w:t>
      </w:r>
    </w:p>
    <w:p w14:paraId="440D1E7A" w14:textId="77777777" w:rsidR="00A2083D" w:rsidRPr="00EB26B9" w:rsidRDefault="00A2083D" w:rsidP="00A2083D">
      <w:pPr>
        <w:rPr>
          <w:rStyle w:val="Strong"/>
          <w:lang w:eastAsia="ja-JP"/>
        </w:rPr>
      </w:pPr>
      <w:r w:rsidRPr="00EB26B9">
        <w:rPr>
          <w:rStyle w:val="Strong"/>
          <w:lang w:eastAsia="ja-JP"/>
        </w:rPr>
        <w:t>Market access</w:t>
      </w:r>
    </w:p>
    <w:p w14:paraId="4657022A" w14:textId="1A19B348" w:rsidR="00A2083D" w:rsidRDefault="006277B9" w:rsidP="00EB26B9">
      <w:pPr>
        <w:pStyle w:val="ListBullet"/>
        <w:rPr>
          <w:lang w:eastAsia="ja-JP"/>
        </w:rPr>
      </w:pPr>
      <w:r>
        <w:rPr>
          <w:lang w:eastAsia="ja-JP"/>
        </w:rPr>
        <w:t>m</w:t>
      </w:r>
      <w:r w:rsidR="00A2083D">
        <w:rPr>
          <w:lang w:eastAsia="ja-JP"/>
        </w:rPr>
        <w:t>arket access (value) enabled by Australia’s pest and disease status</w:t>
      </w:r>
    </w:p>
    <w:p w14:paraId="12FAE8EA" w14:textId="03707052" w:rsidR="00A2083D" w:rsidRDefault="006277B9" w:rsidP="00EB26B9">
      <w:pPr>
        <w:pStyle w:val="ListBullet"/>
        <w:rPr>
          <w:lang w:eastAsia="ja-JP"/>
        </w:rPr>
      </w:pPr>
      <w:r>
        <w:rPr>
          <w:lang w:eastAsia="ja-JP"/>
        </w:rPr>
        <w:t>m</w:t>
      </w:r>
      <w:r w:rsidR="00A2083D">
        <w:rPr>
          <w:lang w:eastAsia="ja-JP"/>
        </w:rPr>
        <w:t xml:space="preserve">arket access (value) enabled by accepted </w:t>
      </w:r>
      <w:r w:rsidR="007B705C">
        <w:rPr>
          <w:lang w:eastAsia="ja-JP"/>
        </w:rPr>
        <w:t>proof of freedom demonstrations</w:t>
      </w:r>
    </w:p>
    <w:p w14:paraId="3EC622D0" w14:textId="38848748" w:rsidR="00A2083D" w:rsidRDefault="006277B9" w:rsidP="00EB26B9">
      <w:pPr>
        <w:pStyle w:val="ListBullet"/>
        <w:rPr>
          <w:lang w:eastAsia="ja-JP"/>
        </w:rPr>
      </w:pPr>
      <w:r>
        <w:rPr>
          <w:lang w:eastAsia="ja-JP"/>
        </w:rPr>
        <w:t>n</w:t>
      </w:r>
      <w:r w:rsidR="00A2083D">
        <w:rPr>
          <w:lang w:eastAsia="ja-JP"/>
        </w:rPr>
        <w:t>umber of markets gained, maintained and lost due on biosecurity grounds</w:t>
      </w:r>
    </w:p>
    <w:p w14:paraId="52325C2E" w14:textId="5AAFFFC7" w:rsidR="00A2083D" w:rsidRDefault="006277B9" w:rsidP="00EB26B9">
      <w:pPr>
        <w:pStyle w:val="ListBullet"/>
        <w:rPr>
          <w:lang w:eastAsia="ja-JP"/>
        </w:rPr>
      </w:pPr>
      <w:r>
        <w:rPr>
          <w:lang w:eastAsia="ja-JP"/>
        </w:rPr>
        <w:t>v</w:t>
      </w:r>
      <w:r w:rsidR="00A2083D">
        <w:rPr>
          <w:lang w:eastAsia="ja-JP"/>
        </w:rPr>
        <w:t>alue of markets gained, maintained, and lost due on biosecurity grounds</w:t>
      </w:r>
    </w:p>
    <w:p w14:paraId="710729A6" w14:textId="77777777" w:rsidR="00A2083D" w:rsidRPr="00EB26B9" w:rsidRDefault="00A2083D" w:rsidP="00A2083D">
      <w:pPr>
        <w:rPr>
          <w:rStyle w:val="Strong"/>
          <w:lang w:eastAsia="ja-JP"/>
        </w:rPr>
      </w:pPr>
      <w:r w:rsidRPr="00EB26B9">
        <w:rPr>
          <w:rStyle w:val="Strong"/>
          <w:lang w:eastAsia="ja-JP"/>
        </w:rPr>
        <w:t>Funding and investment</w:t>
      </w:r>
    </w:p>
    <w:p w14:paraId="3AD5B672" w14:textId="19C4E9F1" w:rsidR="00A2083D" w:rsidRDefault="006277B9" w:rsidP="00EB26B9">
      <w:pPr>
        <w:pStyle w:val="ListBullet"/>
        <w:rPr>
          <w:lang w:eastAsia="ja-JP"/>
        </w:rPr>
      </w:pPr>
      <w:r>
        <w:rPr>
          <w:lang w:eastAsia="ja-JP"/>
        </w:rPr>
        <w:t>t</w:t>
      </w:r>
      <w:r w:rsidR="00A2083D">
        <w:rPr>
          <w:lang w:eastAsia="ja-JP"/>
        </w:rPr>
        <w:t>otal investment in biosecurity (all governments; industries, community)</w:t>
      </w:r>
    </w:p>
    <w:p w14:paraId="33C5180B" w14:textId="2D10E07C" w:rsidR="00A2083D" w:rsidRDefault="006277B9" w:rsidP="00EB26B9">
      <w:pPr>
        <w:pStyle w:val="ListBullet"/>
        <w:rPr>
          <w:lang w:eastAsia="ja-JP"/>
        </w:rPr>
      </w:pPr>
      <w:r>
        <w:rPr>
          <w:lang w:eastAsia="ja-JP"/>
        </w:rPr>
        <w:t>c</w:t>
      </w:r>
      <w:r w:rsidR="00A2083D">
        <w:rPr>
          <w:lang w:eastAsia="ja-JP"/>
        </w:rPr>
        <w:t>ost recovery levels for government biosecurity services in each jurisdiction</w:t>
      </w:r>
    </w:p>
    <w:p w14:paraId="2B3835AA" w14:textId="14DEAB0C" w:rsidR="00A2083D" w:rsidRDefault="006277B9" w:rsidP="00EB26B9">
      <w:pPr>
        <w:pStyle w:val="ListBullet"/>
        <w:rPr>
          <w:lang w:eastAsia="ja-JP"/>
        </w:rPr>
      </w:pPr>
      <w:r>
        <w:rPr>
          <w:lang w:eastAsia="ja-JP"/>
        </w:rPr>
        <w:t>a</w:t>
      </w:r>
      <w:r w:rsidR="00A2083D">
        <w:rPr>
          <w:lang w:eastAsia="ja-JP"/>
        </w:rPr>
        <w:t>nnual cost of emergency responses (total for all system participants, total government)</w:t>
      </w:r>
    </w:p>
    <w:p w14:paraId="266F822B" w14:textId="46D4C7C8" w:rsidR="00A2083D" w:rsidRDefault="006277B9" w:rsidP="00EB26B9">
      <w:pPr>
        <w:pStyle w:val="ListBullet"/>
        <w:rPr>
          <w:lang w:eastAsia="ja-JP"/>
        </w:rPr>
      </w:pPr>
      <w:r>
        <w:rPr>
          <w:lang w:eastAsia="ja-JP"/>
        </w:rPr>
        <w:t>e</w:t>
      </w:r>
      <w:r w:rsidR="00A2083D">
        <w:rPr>
          <w:lang w:eastAsia="ja-JP"/>
        </w:rPr>
        <w:t>xam</w:t>
      </w:r>
      <w:r w:rsidR="007B705C">
        <w:rPr>
          <w:lang w:eastAsia="ja-JP"/>
        </w:rPr>
        <w:t>ples of risk return assessments</w:t>
      </w:r>
    </w:p>
    <w:p w14:paraId="1EE16312" w14:textId="78A80ACB" w:rsidR="00A2083D" w:rsidRDefault="006277B9" w:rsidP="00EB26B9">
      <w:pPr>
        <w:pStyle w:val="ListBullet"/>
        <w:rPr>
          <w:lang w:eastAsia="ja-JP"/>
        </w:rPr>
      </w:pPr>
      <w:r>
        <w:rPr>
          <w:lang w:eastAsia="ja-JP"/>
        </w:rPr>
        <w:t>v</w:t>
      </w:r>
      <w:r w:rsidR="00A2083D">
        <w:rPr>
          <w:lang w:eastAsia="ja-JP"/>
        </w:rPr>
        <w:t>alue and proportion of R&amp;D spend on national biosecurity R&amp;I priorities</w:t>
      </w:r>
    </w:p>
    <w:p w14:paraId="47A26CE6" w14:textId="77777777" w:rsidR="00A2083D" w:rsidRPr="00EB26B9" w:rsidRDefault="00A2083D" w:rsidP="00A2083D">
      <w:pPr>
        <w:rPr>
          <w:rStyle w:val="Strong"/>
          <w:lang w:eastAsia="ja-JP"/>
        </w:rPr>
      </w:pPr>
      <w:r w:rsidRPr="00EB26B9">
        <w:rPr>
          <w:rStyle w:val="Strong"/>
          <w:lang w:eastAsia="ja-JP"/>
        </w:rPr>
        <w:lastRenderedPageBreak/>
        <w:t>National Priority pests and diseases</w:t>
      </w:r>
    </w:p>
    <w:p w14:paraId="3D3898B5" w14:textId="2AE36F34" w:rsidR="00A2083D" w:rsidRDefault="006277B9" w:rsidP="00EB26B9">
      <w:pPr>
        <w:pStyle w:val="ListBullet"/>
        <w:rPr>
          <w:lang w:eastAsia="ja-JP"/>
        </w:rPr>
      </w:pPr>
      <w:r>
        <w:rPr>
          <w:lang w:eastAsia="ja-JP"/>
        </w:rPr>
        <w:t>n</w:t>
      </w:r>
      <w:r w:rsidR="00A2083D">
        <w:rPr>
          <w:lang w:eastAsia="ja-JP"/>
        </w:rPr>
        <w:t>umber of national priority pests and diseases – animal, plant, environment</w:t>
      </w:r>
    </w:p>
    <w:p w14:paraId="3F4739D6" w14:textId="6757C02F" w:rsidR="00A2083D" w:rsidRDefault="006277B9" w:rsidP="00EB26B9">
      <w:pPr>
        <w:pStyle w:val="ListBullet"/>
        <w:rPr>
          <w:lang w:eastAsia="ja-JP"/>
        </w:rPr>
      </w:pPr>
      <w:r>
        <w:rPr>
          <w:lang w:eastAsia="ja-JP"/>
        </w:rPr>
        <w:t>n</w:t>
      </w:r>
      <w:r w:rsidR="00A2083D">
        <w:rPr>
          <w:lang w:eastAsia="ja-JP"/>
        </w:rPr>
        <w:t>umber of national priority pests and diseases with known surveillance, monitoring (including pre-border) and diagnostics programs</w:t>
      </w:r>
    </w:p>
    <w:p w14:paraId="2A8297AB" w14:textId="137424D6" w:rsidR="00A2083D" w:rsidRDefault="006277B9" w:rsidP="00EB26B9">
      <w:pPr>
        <w:pStyle w:val="ListBullet"/>
        <w:rPr>
          <w:lang w:eastAsia="ja-JP"/>
        </w:rPr>
      </w:pPr>
      <w:r>
        <w:rPr>
          <w:lang w:eastAsia="ja-JP"/>
        </w:rPr>
        <w:t>n</w:t>
      </w:r>
      <w:r w:rsidR="00A2083D">
        <w:rPr>
          <w:lang w:eastAsia="ja-JP"/>
        </w:rPr>
        <w:t>umber of national priority pests and diseases with cost-sharing arrangements</w:t>
      </w:r>
    </w:p>
    <w:p w14:paraId="6F013530" w14:textId="014C8028" w:rsidR="00A2083D" w:rsidRDefault="006277B9" w:rsidP="00EB26B9">
      <w:pPr>
        <w:pStyle w:val="ListBullet"/>
        <w:rPr>
          <w:lang w:eastAsia="ja-JP"/>
        </w:rPr>
      </w:pPr>
      <w:r>
        <w:rPr>
          <w:lang w:eastAsia="ja-JP"/>
        </w:rPr>
        <w:t>n</w:t>
      </w:r>
      <w:r w:rsidR="00A2083D">
        <w:rPr>
          <w:lang w:eastAsia="ja-JP"/>
        </w:rPr>
        <w:t>umber of exotic species detected</w:t>
      </w:r>
    </w:p>
    <w:p w14:paraId="1C6269E0" w14:textId="49100EC6" w:rsidR="00A2083D" w:rsidRDefault="006277B9" w:rsidP="00EB26B9">
      <w:pPr>
        <w:pStyle w:val="ListBullet"/>
        <w:rPr>
          <w:lang w:eastAsia="ja-JP"/>
        </w:rPr>
      </w:pPr>
      <w:r>
        <w:rPr>
          <w:lang w:eastAsia="ja-JP"/>
        </w:rPr>
        <w:t>n</w:t>
      </w:r>
      <w:r w:rsidR="00A2083D">
        <w:rPr>
          <w:lang w:eastAsia="ja-JP"/>
        </w:rPr>
        <w:t>umber (and examples) of exo</w:t>
      </w:r>
      <w:r w:rsidR="007B705C">
        <w:rPr>
          <w:lang w:eastAsia="ja-JP"/>
        </w:rPr>
        <w:t>tic species detections resolved</w:t>
      </w:r>
    </w:p>
    <w:p w14:paraId="06847E89" w14:textId="6593CE12" w:rsidR="00A2083D" w:rsidRDefault="006277B9" w:rsidP="00EB26B9">
      <w:pPr>
        <w:pStyle w:val="ListBullet"/>
        <w:rPr>
          <w:lang w:eastAsia="ja-JP"/>
        </w:rPr>
      </w:pPr>
      <w:r>
        <w:rPr>
          <w:lang w:eastAsia="ja-JP"/>
        </w:rPr>
        <w:t>e</w:t>
      </w:r>
      <w:r w:rsidR="00A2083D">
        <w:rPr>
          <w:lang w:eastAsia="ja-JP"/>
        </w:rPr>
        <w:t>xamples of time elapsed between suspected detection and diagnosis and decision on action</w:t>
      </w:r>
    </w:p>
    <w:p w14:paraId="23F6FE2D" w14:textId="54F043C4" w:rsidR="00A2083D" w:rsidRDefault="006277B9" w:rsidP="00EB26B9">
      <w:pPr>
        <w:pStyle w:val="ListBullet"/>
        <w:rPr>
          <w:lang w:eastAsia="ja-JP"/>
        </w:rPr>
      </w:pPr>
      <w:r>
        <w:rPr>
          <w:lang w:eastAsia="ja-JP"/>
        </w:rPr>
        <w:t>n</w:t>
      </w:r>
      <w:r w:rsidR="00A2083D">
        <w:rPr>
          <w:lang w:eastAsia="ja-JP"/>
        </w:rPr>
        <w:t>umber of incursions of national priority pests or diseases</w:t>
      </w:r>
    </w:p>
    <w:p w14:paraId="5581C4DC" w14:textId="4DF3BC49" w:rsidR="00A2083D" w:rsidRPr="00A2083D" w:rsidRDefault="006277B9" w:rsidP="00EB26B9">
      <w:pPr>
        <w:pStyle w:val="ListBullet"/>
        <w:rPr>
          <w:lang w:eastAsia="ja-JP"/>
        </w:rPr>
      </w:pPr>
      <w:r>
        <w:rPr>
          <w:lang w:eastAsia="ja-JP"/>
        </w:rPr>
        <w:t>n</w:t>
      </w:r>
      <w:r w:rsidR="00A2083D">
        <w:rPr>
          <w:lang w:eastAsia="ja-JP"/>
        </w:rPr>
        <w:t>umber (and examples) of incursions eradicated/contained/not managed</w:t>
      </w:r>
    </w:p>
    <w:p w14:paraId="6E6A14D2" w14:textId="77777777" w:rsidR="0003507A" w:rsidRDefault="0003507A" w:rsidP="00210276">
      <w:pPr>
        <w:pStyle w:val="Heading2"/>
        <w:numPr>
          <w:ilvl w:val="0"/>
          <w:numId w:val="0"/>
        </w:numPr>
        <w:ind w:left="709" w:hanging="709"/>
      </w:pPr>
      <w:bookmarkStart w:id="270" w:name="_Appendix_H:_Submissions"/>
      <w:bookmarkStart w:id="271" w:name="_Toc469654771"/>
      <w:bookmarkEnd w:id="270"/>
      <w:r>
        <w:lastRenderedPageBreak/>
        <w:t>Glossary</w:t>
      </w:r>
      <w:bookmarkEnd w:id="251"/>
      <w:bookmarkEnd w:id="27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71"/>
      </w:tblGrid>
      <w:tr w:rsidR="000A3EDA" w:rsidRPr="000A3EDA" w14:paraId="4D66891C" w14:textId="77777777" w:rsidTr="00BB2761">
        <w:tc>
          <w:tcPr>
            <w:tcW w:w="2689" w:type="dxa"/>
          </w:tcPr>
          <w:p w14:paraId="76ADA184" w14:textId="6C76C74A" w:rsidR="000A3EDA" w:rsidRPr="000A3EDA" w:rsidRDefault="000A3EDA" w:rsidP="00A257CF">
            <w:pPr>
              <w:pStyle w:val="TableText"/>
              <w:rPr>
                <w:lang w:eastAsia="ja-JP"/>
              </w:rPr>
            </w:pPr>
            <w:r w:rsidRPr="000A3EDA">
              <w:rPr>
                <w:lang w:eastAsia="ja-JP"/>
              </w:rPr>
              <w:t>Appropr</w:t>
            </w:r>
            <w:r w:rsidR="00DF395A">
              <w:rPr>
                <w:lang w:eastAsia="ja-JP"/>
              </w:rPr>
              <w:t>iate Level of Protection (ALOP)</w:t>
            </w:r>
          </w:p>
        </w:tc>
        <w:tc>
          <w:tcPr>
            <w:tcW w:w="6371" w:type="dxa"/>
          </w:tcPr>
          <w:p w14:paraId="7E1A2E13" w14:textId="5757A413" w:rsidR="000A3EDA" w:rsidRPr="000A3EDA" w:rsidRDefault="000A3EDA" w:rsidP="00A257CF">
            <w:pPr>
              <w:pStyle w:val="TableText"/>
              <w:rPr>
                <w:lang w:eastAsia="ja-JP"/>
              </w:rPr>
            </w:pPr>
            <w:r w:rsidRPr="000A3EDA">
              <w:rPr>
                <w:lang w:eastAsia="ja-JP"/>
              </w:rPr>
              <w:t>the level of protection deemed appropriate by a country establishing a sanitary or phytosanitary measure to protect human, animal or plant life or health within its territory (Source: IGAB). The ALOP for Australia is a high level of sanitary and phytosanitary protection aimed at managing and reducing biosecurity risks to a v</w:t>
            </w:r>
            <w:r w:rsidR="00DF395A">
              <w:rPr>
                <w:lang w:eastAsia="ja-JP"/>
              </w:rPr>
              <w:t>ery low level, but not to zero.</w:t>
            </w:r>
          </w:p>
        </w:tc>
      </w:tr>
      <w:tr w:rsidR="000A3EDA" w:rsidRPr="000A3EDA" w14:paraId="16A978F3" w14:textId="77777777" w:rsidTr="00BB2761">
        <w:tc>
          <w:tcPr>
            <w:tcW w:w="2689" w:type="dxa"/>
          </w:tcPr>
          <w:p w14:paraId="71A6DAE6" w14:textId="77777777" w:rsidR="000A3EDA" w:rsidRPr="000A3EDA" w:rsidRDefault="000A3EDA" w:rsidP="00A257CF">
            <w:pPr>
              <w:pStyle w:val="TableText"/>
              <w:rPr>
                <w:lang w:eastAsia="ja-JP"/>
              </w:rPr>
            </w:pPr>
            <w:r w:rsidRPr="000A3EDA">
              <w:rPr>
                <w:lang w:eastAsia="ja-JP"/>
              </w:rPr>
              <w:t>Biosecurity</w:t>
            </w:r>
          </w:p>
        </w:tc>
        <w:tc>
          <w:tcPr>
            <w:tcW w:w="6371" w:type="dxa"/>
          </w:tcPr>
          <w:p w14:paraId="2928A0B1" w14:textId="77777777" w:rsidR="000A3EDA" w:rsidRPr="000A3EDA" w:rsidRDefault="000A3EDA" w:rsidP="00A257CF">
            <w:pPr>
              <w:pStyle w:val="TableText"/>
              <w:rPr>
                <w:lang w:eastAsia="ja-JP"/>
              </w:rPr>
            </w:pPr>
            <w:r w:rsidRPr="000A3EDA">
              <w:rPr>
                <w:lang w:eastAsia="ja-JP"/>
              </w:rPr>
              <w:t>the management of risks to the economy, the environment, and the broader community, of pests and diseases entering, emerging, establishing or spreading (Source: IGAB).</w:t>
            </w:r>
          </w:p>
        </w:tc>
      </w:tr>
      <w:tr w:rsidR="00A257CF" w:rsidRPr="000A3EDA" w14:paraId="44A6C8EA" w14:textId="77777777" w:rsidTr="00BB2761">
        <w:tc>
          <w:tcPr>
            <w:tcW w:w="2689" w:type="dxa"/>
          </w:tcPr>
          <w:p w14:paraId="7E91C329" w14:textId="77777777" w:rsidR="00A257CF" w:rsidRPr="000A3EDA" w:rsidRDefault="00A257CF" w:rsidP="00A257CF">
            <w:pPr>
              <w:pStyle w:val="TableText"/>
              <w:rPr>
                <w:lang w:eastAsia="ja-JP"/>
              </w:rPr>
            </w:pPr>
            <w:r w:rsidRPr="00A257CF">
              <w:rPr>
                <w:lang w:eastAsia="ja-JP"/>
              </w:rPr>
              <w:t>Biosecurity risks</w:t>
            </w:r>
          </w:p>
        </w:tc>
        <w:tc>
          <w:tcPr>
            <w:tcW w:w="6371" w:type="dxa"/>
          </w:tcPr>
          <w:p w14:paraId="38F907A3" w14:textId="77777777" w:rsidR="00A257CF" w:rsidRPr="000A3EDA" w:rsidRDefault="00A257CF" w:rsidP="00A257CF">
            <w:pPr>
              <w:pStyle w:val="TableText"/>
              <w:rPr>
                <w:lang w:eastAsia="ja-JP"/>
              </w:rPr>
            </w:pPr>
            <w:r w:rsidRPr="00A257CF">
              <w:rPr>
                <w:lang w:eastAsia="ja-JP"/>
              </w:rPr>
              <w:t>the potential of a disease or pest entering, emerging, establishing or spreading in Australia; and, the disease or pest causing harm to the environment, or economic or community activities (Source: IGAB).</w:t>
            </w:r>
          </w:p>
        </w:tc>
      </w:tr>
      <w:tr w:rsidR="000A3EDA" w:rsidRPr="000A3EDA" w14:paraId="38B60D23" w14:textId="77777777" w:rsidTr="00BB2761">
        <w:tc>
          <w:tcPr>
            <w:tcW w:w="2689" w:type="dxa"/>
          </w:tcPr>
          <w:p w14:paraId="4D768489" w14:textId="23C8604A" w:rsidR="000A3EDA" w:rsidRPr="000A3EDA" w:rsidRDefault="00A257CF" w:rsidP="00DF395A">
            <w:pPr>
              <w:pStyle w:val="TableText"/>
              <w:rPr>
                <w:lang w:eastAsia="ja-JP"/>
              </w:rPr>
            </w:pPr>
            <w:r w:rsidRPr="00A257CF">
              <w:rPr>
                <w:lang w:eastAsia="ja-JP"/>
              </w:rPr>
              <w:t>Disease</w:t>
            </w:r>
          </w:p>
        </w:tc>
        <w:tc>
          <w:tcPr>
            <w:tcW w:w="6371" w:type="dxa"/>
          </w:tcPr>
          <w:p w14:paraId="56C75934" w14:textId="7A860996" w:rsidR="000A3EDA" w:rsidRPr="000A3EDA" w:rsidRDefault="000A3EDA" w:rsidP="00A257CF">
            <w:pPr>
              <w:pStyle w:val="TableText"/>
              <w:rPr>
                <w:lang w:eastAsia="ja-JP"/>
              </w:rPr>
            </w:pPr>
            <w:r w:rsidRPr="000A3EDA">
              <w:rPr>
                <w:lang w:eastAsia="ja-JP"/>
              </w:rPr>
              <w:t>the presence of a pathogenic agent in a host and/or the clinical manifestation of infection that has had an impact (that is, significant negative consequences) or poses a likely threat of an impact. It includes microorganisms, disease agents, infectious agents and parasites (Source: IGAB).</w:t>
            </w:r>
          </w:p>
        </w:tc>
      </w:tr>
      <w:tr w:rsidR="000A3EDA" w:rsidRPr="000A3EDA" w14:paraId="0C2B58C6" w14:textId="77777777" w:rsidTr="00BB2761">
        <w:tc>
          <w:tcPr>
            <w:tcW w:w="2689" w:type="dxa"/>
          </w:tcPr>
          <w:p w14:paraId="3B22CB1C" w14:textId="2466C0A5" w:rsidR="000A3EDA" w:rsidRPr="000A3EDA" w:rsidRDefault="00DF395A" w:rsidP="00A257CF">
            <w:pPr>
              <w:pStyle w:val="TableText"/>
              <w:rPr>
                <w:lang w:eastAsia="ja-JP"/>
              </w:rPr>
            </w:pPr>
            <w:r>
              <w:rPr>
                <w:lang w:eastAsia="ja-JP"/>
              </w:rPr>
              <w:t>Established pest or disease</w:t>
            </w:r>
          </w:p>
        </w:tc>
        <w:tc>
          <w:tcPr>
            <w:tcW w:w="6371" w:type="dxa"/>
          </w:tcPr>
          <w:p w14:paraId="40D6D161" w14:textId="23E57CFD" w:rsidR="000A3EDA" w:rsidRPr="000A3EDA" w:rsidRDefault="00A257CF" w:rsidP="00A257CF">
            <w:pPr>
              <w:pStyle w:val="TableText"/>
              <w:rPr>
                <w:lang w:eastAsia="ja-JP"/>
              </w:rPr>
            </w:pPr>
            <w:r w:rsidRPr="00A257CF">
              <w:rPr>
                <w:lang w:eastAsia="ja-JP"/>
              </w:rPr>
              <w:t>a pest or disease that is perpetuated, for the foreseeable future, within any area and where it is not feasible (economically and/or technically) to eradicate the pest or disease (Source: IGAB).</w:t>
            </w:r>
          </w:p>
        </w:tc>
      </w:tr>
      <w:tr w:rsidR="00A257CF" w:rsidRPr="000A3EDA" w14:paraId="58A5C396" w14:textId="77777777" w:rsidTr="00BB2761">
        <w:tc>
          <w:tcPr>
            <w:tcW w:w="2689" w:type="dxa"/>
          </w:tcPr>
          <w:p w14:paraId="75F951EF" w14:textId="77777777" w:rsidR="00A257CF" w:rsidRPr="000A3EDA" w:rsidRDefault="00A257CF" w:rsidP="00A257CF">
            <w:pPr>
              <w:pStyle w:val="TableText"/>
              <w:rPr>
                <w:lang w:eastAsia="ja-JP"/>
              </w:rPr>
            </w:pPr>
            <w:r w:rsidRPr="00A257CF">
              <w:rPr>
                <w:lang w:eastAsia="ja-JP"/>
              </w:rPr>
              <w:t>Exotic pest and disease</w:t>
            </w:r>
          </w:p>
        </w:tc>
        <w:tc>
          <w:tcPr>
            <w:tcW w:w="6371" w:type="dxa"/>
          </w:tcPr>
          <w:p w14:paraId="78C92BE4" w14:textId="77777777" w:rsidR="00A257CF" w:rsidRPr="000A3EDA" w:rsidRDefault="00A257CF" w:rsidP="00A257CF">
            <w:pPr>
              <w:pStyle w:val="TableText"/>
              <w:rPr>
                <w:lang w:eastAsia="ja-JP"/>
              </w:rPr>
            </w:pPr>
            <w:r w:rsidRPr="00A257CF">
              <w:rPr>
                <w:lang w:eastAsia="ja-JP"/>
              </w:rPr>
              <w:t>pests and diseases affecting plants or animals (potentially human beings) that do not normally occur in a particular country (Source: adapted from the IGAB).</w:t>
            </w:r>
          </w:p>
        </w:tc>
      </w:tr>
      <w:tr w:rsidR="000A3EDA" w:rsidRPr="000A3EDA" w14:paraId="4E7BE635" w14:textId="77777777" w:rsidTr="00BB2761">
        <w:tc>
          <w:tcPr>
            <w:tcW w:w="2689" w:type="dxa"/>
          </w:tcPr>
          <w:p w14:paraId="6A4D31C6" w14:textId="385B5C02" w:rsidR="000A3EDA" w:rsidRPr="000A3EDA" w:rsidRDefault="00DF395A" w:rsidP="00A257CF">
            <w:pPr>
              <w:pStyle w:val="TableText"/>
              <w:rPr>
                <w:lang w:eastAsia="ja-JP"/>
              </w:rPr>
            </w:pPr>
            <w:r>
              <w:rPr>
                <w:lang w:eastAsia="ja-JP"/>
              </w:rPr>
              <w:t>Incursion</w:t>
            </w:r>
          </w:p>
        </w:tc>
        <w:tc>
          <w:tcPr>
            <w:tcW w:w="6371" w:type="dxa"/>
          </w:tcPr>
          <w:p w14:paraId="2E7B626E" w14:textId="22DCAFF4" w:rsidR="000A3EDA" w:rsidRPr="000A3EDA" w:rsidRDefault="00A257CF" w:rsidP="000B0771">
            <w:pPr>
              <w:pStyle w:val="TableText"/>
              <w:rPr>
                <w:lang w:eastAsia="ja-JP"/>
              </w:rPr>
            </w:pPr>
            <w:r w:rsidRPr="00A257CF">
              <w:rPr>
                <w:lang w:eastAsia="ja-JP"/>
              </w:rPr>
              <w:t xml:space="preserve">an isolated population of a pest or disease recently detected in an area, not known to be established, but expected to survive for the immediate future (Source: adapted from the International Standards on Phytosanitary Measures </w:t>
            </w:r>
            <w:r w:rsidR="003B1A0F">
              <w:rPr>
                <w:lang w:eastAsia="ja-JP"/>
              </w:rPr>
              <w:t>5—</w:t>
            </w:r>
            <w:r w:rsidRPr="00A257CF">
              <w:rPr>
                <w:lang w:eastAsia="ja-JP"/>
              </w:rPr>
              <w:t>Glossary of terms).</w:t>
            </w:r>
          </w:p>
        </w:tc>
      </w:tr>
      <w:tr w:rsidR="00A257CF" w:rsidRPr="000A3EDA" w14:paraId="4DBFF8A7" w14:textId="77777777" w:rsidTr="00BB2761">
        <w:tc>
          <w:tcPr>
            <w:tcW w:w="2689" w:type="dxa"/>
          </w:tcPr>
          <w:p w14:paraId="023B6DB4" w14:textId="77777777" w:rsidR="00A257CF" w:rsidRPr="000A3EDA" w:rsidRDefault="00A257CF" w:rsidP="00A257CF">
            <w:pPr>
              <w:pStyle w:val="TableText"/>
              <w:rPr>
                <w:lang w:eastAsia="ja-JP"/>
              </w:rPr>
            </w:pPr>
            <w:r w:rsidRPr="00A257CF">
              <w:rPr>
                <w:lang w:eastAsia="ja-JP"/>
              </w:rPr>
              <w:t>Intergovernmental Agreement on Biosecurity (IGAB)</w:t>
            </w:r>
          </w:p>
        </w:tc>
        <w:tc>
          <w:tcPr>
            <w:tcW w:w="6371" w:type="dxa"/>
          </w:tcPr>
          <w:p w14:paraId="3CEC3BD4" w14:textId="77777777" w:rsidR="00A257CF" w:rsidRPr="000A3EDA" w:rsidRDefault="00A257CF" w:rsidP="00A257CF">
            <w:pPr>
              <w:pStyle w:val="TableText"/>
              <w:rPr>
                <w:lang w:eastAsia="ja-JP"/>
              </w:rPr>
            </w:pPr>
            <w:r w:rsidRPr="00A257CF">
              <w:rPr>
                <w:lang w:eastAsia="ja-JP"/>
              </w:rPr>
              <w:t>an agreement between the Commonwealth and state and territory governments, except Tasmania. The agreement aims to strengthen the working partnerships between governments, improve the national biosecurity system and minimise the impact of pests and diseases on Australia’s economy, environment and the community.</w:t>
            </w:r>
          </w:p>
        </w:tc>
      </w:tr>
      <w:tr w:rsidR="000A3EDA" w:rsidRPr="000A3EDA" w14:paraId="2E55EBEE" w14:textId="77777777" w:rsidTr="00BB2761">
        <w:tc>
          <w:tcPr>
            <w:tcW w:w="2689" w:type="dxa"/>
          </w:tcPr>
          <w:p w14:paraId="58B2F7D5" w14:textId="77777777" w:rsidR="000A3EDA" w:rsidRPr="000A3EDA" w:rsidRDefault="000A3EDA" w:rsidP="00A257CF">
            <w:pPr>
              <w:pStyle w:val="TableText"/>
              <w:rPr>
                <w:lang w:eastAsia="ja-JP"/>
              </w:rPr>
            </w:pPr>
            <w:r w:rsidRPr="000A3EDA">
              <w:rPr>
                <w:lang w:eastAsia="ja-JP"/>
              </w:rPr>
              <w:t>National biosecurity system</w:t>
            </w:r>
            <w:r w:rsidRPr="000A3EDA">
              <w:rPr>
                <w:lang w:eastAsia="ja-JP"/>
              </w:rPr>
              <w:tab/>
            </w:r>
          </w:p>
        </w:tc>
        <w:tc>
          <w:tcPr>
            <w:tcW w:w="6371" w:type="dxa"/>
          </w:tcPr>
          <w:p w14:paraId="64DA860F" w14:textId="77777777" w:rsidR="000A3EDA" w:rsidRPr="000A3EDA" w:rsidRDefault="00A257CF" w:rsidP="00A257CF">
            <w:pPr>
              <w:pStyle w:val="TableText"/>
              <w:rPr>
                <w:lang w:eastAsia="ja-JP"/>
              </w:rPr>
            </w:pPr>
            <w:r w:rsidRPr="00A257CF">
              <w:rPr>
                <w:lang w:eastAsia="ja-JP"/>
              </w:rPr>
              <w:t>Australia’s biosecurity system encompasses and fully integrates import and export activities, services and functions—into, within, and from Australia—and covers the spectrum of pest and disease threats to Australia’s environment, production and people.</w:t>
            </w:r>
          </w:p>
        </w:tc>
      </w:tr>
      <w:tr w:rsidR="00A257CF" w:rsidRPr="000A3EDA" w14:paraId="484F2333" w14:textId="77777777" w:rsidTr="00BB2761">
        <w:tc>
          <w:tcPr>
            <w:tcW w:w="2689" w:type="dxa"/>
          </w:tcPr>
          <w:p w14:paraId="3148D451" w14:textId="77777777" w:rsidR="00A257CF" w:rsidRPr="000A3EDA" w:rsidRDefault="00A257CF" w:rsidP="00A257CF">
            <w:pPr>
              <w:pStyle w:val="TableText"/>
              <w:rPr>
                <w:lang w:eastAsia="ja-JP"/>
              </w:rPr>
            </w:pPr>
            <w:r w:rsidRPr="00A257CF">
              <w:rPr>
                <w:lang w:eastAsia="ja-JP"/>
              </w:rPr>
              <w:t>Participants</w:t>
            </w:r>
          </w:p>
        </w:tc>
        <w:tc>
          <w:tcPr>
            <w:tcW w:w="6371" w:type="dxa"/>
          </w:tcPr>
          <w:p w14:paraId="5205EC82" w14:textId="7A9104F6" w:rsidR="00A257CF" w:rsidRPr="000A3EDA" w:rsidRDefault="00A257CF" w:rsidP="00CB4F84">
            <w:pPr>
              <w:pStyle w:val="TableText"/>
              <w:rPr>
                <w:lang w:eastAsia="ja-JP"/>
              </w:rPr>
            </w:pPr>
            <w:r w:rsidRPr="00A257CF">
              <w:rPr>
                <w:lang w:eastAsia="ja-JP"/>
              </w:rPr>
              <w:t>stakeholders that in some way, and to varying degrees, interact with Australia’s biosecurity system; including individuals, businesses, sectors and industries, other organisations and governments.</w:t>
            </w:r>
          </w:p>
        </w:tc>
      </w:tr>
      <w:tr w:rsidR="000A3EDA" w:rsidRPr="000A3EDA" w14:paraId="0034AA02" w14:textId="77777777" w:rsidTr="00BB2761">
        <w:tc>
          <w:tcPr>
            <w:tcW w:w="2689" w:type="dxa"/>
          </w:tcPr>
          <w:p w14:paraId="1F062B8E" w14:textId="47D32609" w:rsidR="000A3EDA" w:rsidRPr="000A3EDA" w:rsidRDefault="00DF395A" w:rsidP="00A257CF">
            <w:pPr>
              <w:pStyle w:val="TableText"/>
              <w:rPr>
                <w:lang w:eastAsia="ja-JP"/>
              </w:rPr>
            </w:pPr>
            <w:r>
              <w:rPr>
                <w:lang w:eastAsia="ja-JP"/>
              </w:rPr>
              <w:t>Pest</w:t>
            </w:r>
          </w:p>
        </w:tc>
        <w:tc>
          <w:tcPr>
            <w:tcW w:w="6371" w:type="dxa"/>
          </w:tcPr>
          <w:p w14:paraId="4AC199C3" w14:textId="77777777" w:rsidR="000A3EDA" w:rsidRPr="000A3EDA" w:rsidRDefault="00A257CF" w:rsidP="00A257CF">
            <w:pPr>
              <w:pStyle w:val="TableText"/>
              <w:rPr>
                <w:lang w:eastAsia="ja-JP"/>
              </w:rPr>
            </w:pPr>
            <w:r w:rsidRPr="00A257CF">
              <w:rPr>
                <w:lang w:eastAsia="ja-JP"/>
              </w:rPr>
              <w:t>any species, strain or biotype of the Kingdoms Animalia (excluding human beings), Plantae, Fungi, Monera or Protista that has had an impact (that is, a significant negative consequences), or poses a likely threat to having an impact (Source: IGAB).</w:t>
            </w:r>
          </w:p>
        </w:tc>
      </w:tr>
      <w:tr w:rsidR="00A257CF" w:rsidRPr="000A3EDA" w14:paraId="672A315C" w14:textId="77777777" w:rsidTr="00BB2761">
        <w:tc>
          <w:tcPr>
            <w:tcW w:w="2689" w:type="dxa"/>
          </w:tcPr>
          <w:p w14:paraId="7F6AABDF" w14:textId="77777777" w:rsidR="00A257CF" w:rsidRPr="000A3EDA" w:rsidRDefault="00A257CF" w:rsidP="00A257CF">
            <w:pPr>
              <w:pStyle w:val="TableText"/>
              <w:rPr>
                <w:lang w:eastAsia="ja-JP"/>
              </w:rPr>
            </w:pPr>
            <w:r w:rsidRPr="00A257CF">
              <w:rPr>
                <w:lang w:eastAsia="ja-JP"/>
              </w:rPr>
              <w:t>Shared responsibility</w:t>
            </w:r>
          </w:p>
        </w:tc>
        <w:tc>
          <w:tcPr>
            <w:tcW w:w="6371" w:type="dxa"/>
          </w:tcPr>
          <w:p w14:paraId="3A507D1B" w14:textId="10A40F42" w:rsidR="00A257CF" w:rsidRDefault="00A257CF" w:rsidP="00A257CF">
            <w:pPr>
              <w:pStyle w:val="TableText"/>
              <w:rPr>
                <w:lang w:eastAsia="ja-JP"/>
              </w:rPr>
            </w:pPr>
            <w:r w:rsidRPr="00A257CF">
              <w:rPr>
                <w:lang w:eastAsia="ja-JP"/>
              </w:rPr>
              <w:t xml:space="preserve">a core concept underpinning the national biosecurity system whereby all stakeholders—including Australian governments, industry and the broader community—have important roles and responsibilities in the management of biosecurity risks in Australia. Definition proposed by this </w:t>
            </w:r>
            <w:r w:rsidR="0056569E">
              <w:rPr>
                <w:lang w:eastAsia="ja-JP"/>
              </w:rPr>
              <w:t>R</w:t>
            </w:r>
            <w:r w:rsidRPr="00A257CF">
              <w:rPr>
                <w:lang w:eastAsia="ja-JP"/>
              </w:rPr>
              <w:t>eview:</w:t>
            </w:r>
          </w:p>
          <w:p w14:paraId="3CDC36AC" w14:textId="7E4ABB93" w:rsidR="00A257CF" w:rsidRPr="000A3EDA" w:rsidRDefault="00A257CF" w:rsidP="004C4B46">
            <w:pPr>
              <w:pStyle w:val="TableText"/>
              <w:rPr>
                <w:lang w:eastAsia="ja-JP"/>
              </w:rPr>
            </w:pPr>
            <w:r w:rsidRPr="00A257CF">
              <w:rPr>
                <w:lang w:eastAsia="ja-JP"/>
              </w:rPr>
              <w:t>Shared responsibility means everyone takes responsibility for biosecurity matters under their control. Everyone has an obligation to take action to protect Australia from pests and diseases.</w:t>
            </w:r>
          </w:p>
        </w:tc>
      </w:tr>
    </w:tbl>
    <w:p w14:paraId="58B47E32" w14:textId="77777777" w:rsidR="0003507A" w:rsidRDefault="0003507A" w:rsidP="00210276">
      <w:pPr>
        <w:pStyle w:val="Heading2"/>
        <w:numPr>
          <w:ilvl w:val="0"/>
          <w:numId w:val="0"/>
        </w:numPr>
        <w:ind w:left="709" w:hanging="709"/>
      </w:pPr>
      <w:bookmarkStart w:id="272" w:name="_References"/>
      <w:bookmarkStart w:id="273" w:name="_Toc430782162"/>
      <w:bookmarkStart w:id="274" w:name="_Toc469654772"/>
      <w:bookmarkEnd w:id="272"/>
      <w:r w:rsidRPr="00210276">
        <w:lastRenderedPageBreak/>
        <w:t>References</w:t>
      </w:r>
      <w:bookmarkEnd w:id="273"/>
      <w:bookmarkEnd w:id="274"/>
    </w:p>
    <w:p w14:paraId="1F5A33F6" w14:textId="6E67AF8F" w:rsidR="000E6C2C" w:rsidRPr="0015243A" w:rsidRDefault="000E6C2C" w:rsidP="0002641C">
      <w:bookmarkStart w:id="275" w:name="ABARES_2016"/>
      <w:r w:rsidRPr="0015243A">
        <w:t>ABARES 2016</w:t>
      </w:r>
      <w:bookmarkEnd w:id="275"/>
      <w:r w:rsidRPr="0015243A">
        <w:t xml:space="preserve">, </w:t>
      </w:r>
      <w:r w:rsidRPr="0015243A">
        <w:rPr>
          <w:i/>
        </w:rPr>
        <w:t>Agricultural Commodities: September quarter</w:t>
      </w:r>
      <w:r w:rsidRPr="0015243A">
        <w:t xml:space="preserve"> </w:t>
      </w:r>
      <w:r w:rsidRPr="0015243A">
        <w:rPr>
          <w:i/>
        </w:rPr>
        <w:t>2016</w:t>
      </w:r>
      <w:r w:rsidR="008C299E" w:rsidRPr="0015243A">
        <w:t>,</w:t>
      </w:r>
      <w:r w:rsidRPr="0015243A">
        <w:t xml:space="preserve"> Australian Bureau of Agricultural and Resource Economics and Sciences, Canberra.</w:t>
      </w:r>
    </w:p>
    <w:p w14:paraId="707DB2F8" w14:textId="3030F494" w:rsidR="00452959" w:rsidRPr="0015243A" w:rsidRDefault="00452959" w:rsidP="0002641C">
      <w:bookmarkStart w:id="276" w:name="Antony_et_al_2009"/>
      <w:bookmarkStart w:id="277" w:name="Joint_submission"/>
      <w:bookmarkStart w:id="278" w:name="Beale_et_al_2008"/>
      <w:r w:rsidRPr="0015243A">
        <w:t>Antony</w:t>
      </w:r>
      <w:bookmarkEnd w:id="276"/>
      <w:r w:rsidRPr="0015243A">
        <w:t>, G, Scanlan, J, Francis, A, Kloessing, K &amp; Nguyen, Y 2009</w:t>
      </w:r>
      <w:r w:rsidR="008C299E" w:rsidRPr="0015243A">
        <w:t xml:space="preserve">, </w:t>
      </w:r>
      <w:r w:rsidR="0007154D" w:rsidRPr="0015243A">
        <w:rPr>
          <w:i/>
        </w:rPr>
        <w:t>Revised benefits and costs of eradicating the red imported fire ant</w:t>
      </w:r>
      <w:r w:rsidR="0007154D" w:rsidRPr="0015243A">
        <w:t>, paper presented at 53rd Australian Agricultural and Resource Economics Society conf</w:t>
      </w:r>
      <w:r w:rsidR="002954AA">
        <w:t>erence, Cairns, 10–13 February.</w:t>
      </w:r>
    </w:p>
    <w:p w14:paraId="62881824" w14:textId="77777777" w:rsidR="000E6C2C" w:rsidRPr="0015243A" w:rsidRDefault="000E6C2C" w:rsidP="0002641C">
      <w:bookmarkStart w:id="279" w:name="Australian_Government_2014"/>
      <w:r w:rsidRPr="0015243A">
        <w:t>Australian Government 2014</w:t>
      </w:r>
      <w:bookmarkEnd w:id="279"/>
      <w:r w:rsidRPr="0015243A">
        <w:t xml:space="preserve">, </w:t>
      </w:r>
      <w:r w:rsidRPr="0015243A">
        <w:rPr>
          <w:i/>
        </w:rPr>
        <w:t>Joint submission</w:t>
      </w:r>
      <w:bookmarkEnd w:id="277"/>
      <w:r w:rsidRPr="0015243A">
        <w:rPr>
          <w:i/>
        </w:rPr>
        <w:t xml:space="preserve"> from the Department of Agriculture and Department of the Environment to the Standing Committee on Environment and Communications References Committee inquiry into environmental biosecurity</w:t>
      </w:r>
      <w:r w:rsidRPr="0015243A">
        <w:t>, August 2014, Canberra.</w:t>
      </w:r>
    </w:p>
    <w:p w14:paraId="1A130AA0" w14:textId="77777777" w:rsidR="0002641C" w:rsidRPr="0015243A" w:rsidRDefault="0002641C" w:rsidP="0002641C">
      <w:r w:rsidRPr="0015243A">
        <w:t>Beale, R, Fairbrother, J, Inglis, A &amp; Trebeck, D 2008</w:t>
      </w:r>
      <w:bookmarkEnd w:id="278"/>
      <w:r w:rsidRPr="0015243A">
        <w:t xml:space="preserve">, </w:t>
      </w:r>
      <w:r w:rsidRPr="0015243A">
        <w:rPr>
          <w:i/>
        </w:rPr>
        <w:t>One biosecurity: a working partnership. The independent review of Australia’s quarantine and biosecurity arrangements</w:t>
      </w:r>
      <w:r w:rsidRPr="0015243A">
        <w:t>, Quarantine and Biosecurity Review Panel report to the A</w:t>
      </w:r>
      <w:r w:rsidR="000E6C2C" w:rsidRPr="0015243A">
        <w:t>ustralian Government, Canberra.</w:t>
      </w:r>
    </w:p>
    <w:p w14:paraId="678B6507" w14:textId="77777777" w:rsidR="0002641C" w:rsidRPr="0015243A" w:rsidRDefault="0002641C" w:rsidP="0002641C">
      <w:bookmarkStart w:id="280" w:name="Brooks_2015"/>
      <w:r w:rsidRPr="0015243A">
        <w:t>Brooks, R, Glanville, R &amp; Kompas, T 2015</w:t>
      </w:r>
      <w:bookmarkEnd w:id="280"/>
      <w:r w:rsidRPr="0015243A">
        <w:t xml:space="preserve">, </w:t>
      </w:r>
      <w:r w:rsidRPr="0015243A">
        <w:rPr>
          <w:i/>
        </w:rPr>
        <w:t>Queensland biosecurity capability review, final report to the Queensland Government</w:t>
      </w:r>
      <w:r w:rsidR="00FA79A9" w:rsidRPr="0015243A">
        <w:t>, Brisbane</w:t>
      </w:r>
      <w:r w:rsidRPr="0015243A">
        <w:t>.</w:t>
      </w:r>
    </w:p>
    <w:p w14:paraId="69AFB3A1" w14:textId="64D079EE" w:rsidR="00FA79A9" w:rsidRPr="0015243A" w:rsidRDefault="00FA79A9" w:rsidP="00FA79A9">
      <w:bookmarkStart w:id="281" w:name="Buete_et_al_2013"/>
      <w:bookmarkStart w:id="282" w:name="COAG_1997"/>
      <w:r w:rsidRPr="0015243A">
        <w:t>Buetre</w:t>
      </w:r>
      <w:bookmarkEnd w:id="281"/>
      <w:r w:rsidRPr="0015243A">
        <w:t xml:space="preserve">, B, Wicks, S, Kruger, H, Millist, N, Yainshet, A, Garner, G, Duncan, A, Abdalla, A, Trestrail, C, Hatt, M, Thompson, LJ &amp; Symes, M 2013, </w:t>
      </w:r>
      <w:r w:rsidRPr="0015243A">
        <w:rPr>
          <w:i/>
        </w:rPr>
        <w:t>Potential socio-economic impacts of an outbreak of foot-and-mouth disease in Australia</w:t>
      </w:r>
      <w:r w:rsidRPr="0015243A">
        <w:t>, ABARES research report, Canberra.</w:t>
      </w:r>
    </w:p>
    <w:p w14:paraId="4A514C67" w14:textId="6123AB61" w:rsidR="0091040E" w:rsidRPr="0015243A" w:rsidRDefault="0091040E" w:rsidP="00FA79A9">
      <w:pPr>
        <w:rPr>
          <w:i/>
        </w:rPr>
      </w:pPr>
      <w:bookmarkStart w:id="283" w:name="Chapman_2016"/>
      <w:r w:rsidRPr="0015243A">
        <w:t>Chapman,</w:t>
      </w:r>
      <w:bookmarkEnd w:id="283"/>
      <w:r w:rsidRPr="0015243A">
        <w:t xml:space="preserve"> T 2016, ‘</w:t>
      </w:r>
      <w:r w:rsidRPr="0015243A">
        <w:rPr>
          <w:i/>
        </w:rPr>
        <w:t>Where there is export opportunity there is always a biosecurity risk…is Australian horticulture ready for both?</w:t>
      </w:r>
      <w:r w:rsidRPr="0015243A">
        <w:t>’, Farm Policy Journal, vol.13(3), Spring 2016, pp. 23–31.</w:t>
      </w:r>
    </w:p>
    <w:p w14:paraId="148B0B85" w14:textId="77777777" w:rsidR="00FA79A9" w:rsidRPr="0015243A" w:rsidRDefault="00FA79A9" w:rsidP="00FA79A9">
      <w:r w:rsidRPr="0015243A">
        <w:t xml:space="preserve">COAG 1997, </w:t>
      </w:r>
      <w:r w:rsidRPr="0015243A">
        <w:rPr>
          <w:i/>
        </w:rPr>
        <w:t>Heads of agreement on Commonwealth and State roles and responsibilities for the Environment</w:t>
      </w:r>
      <w:r w:rsidRPr="0015243A">
        <w:t>, Council of Australian Governments, Canberra.</w:t>
      </w:r>
    </w:p>
    <w:p w14:paraId="3545B39A" w14:textId="77777777" w:rsidR="00FA79A9" w:rsidRPr="0015243A" w:rsidRDefault="00FA79A9" w:rsidP="00FA79A9">
      <w:bookmarkStart w:id="284" w:name="COAG_2009"/>
      <w:r w:rsidRPr="0015243A">
        <w:t>COAG 2009</w:t>
      </w:r>
      <w:bookmarkEnd w:id="284"/>
      <w:r w:rsidRPr="0015243A">
        <w:t xml:space="preserve">, </w:t>
      </w:r>
      <w:r w:rsidRPr="0015243A">
        <w:rPr>
          <w:i/>
        </w:rPr>
        <w:t>National Disaster Resilience Statement</w:t>
      </w:r>
      <w:r w:rsidRPr="0015243A">
        <w:t xml:space="preserve">, excerpt from Communiqué, Council of Australian Governments, Brisbane, 7 December 2009, available at </w:t>
      </w:r>
      <w:hyperlink r:id="rId52" w:history="1">
        <w:r w:rsidRPr="0015243A">
          <w:rPr>
            <w:rStyle w:val="Hyperlink"/>
            <w:color w:val="auto"/>
          </w:rPr>
          <w:t>coag.gov.au/node/90</w:t>
        </w:r>
      </w:hyperlink>
      <w:r w:rsidRPr="0015243A">
        <w:t>.</w:t>
      </w:r>
    </w:p>
    <w:p w14:paraId="5B41CF01" w14:textId="2892E51E" w:rsidR="00F77FCC" w:rsidRPr="0015243A" w:rsidRDefault="00F77FCC" w:rsidP="00F77FCC">
      <w:bookmarkStart w:id="285" w:name="Cook_et_al_2013"/>
      <w:r w:rsidRPr="0015243A">
        <w:t>Cooke</w:t>
      </w:r>
      <w:bookmarkEnd w:id="285"/>
      <w:r w:rsidRPr="0015243A">
        <w:t>, BD, Chudleigh P, Simpson</w:t>
      </w:r>
      <w:r w:rsidR="00BB5224">
        <w:t>,</w:t>
      </w:r>
      <w:r w:rsidRPr="0015243A">
        <w:t xml:space="preserve"> S &amp; Saunders</w:t>
      </w:r>
      <w:r w:rsidR="00BB5224">
        <w:t>,</w:t>
      </w:r>
      <w:r w:rsidRPr="0015243A">
        <w:t xml:space="preserve"> G 2013, ‘</w:t>
      </w:r>
      <w:r w:rsidRPr="0015243A">
        <w:rPr>
          <w:i/>
        </w:rPr>
        <w:t>Economic benefits of the biological control of rabbits in Australia, 1950–2011</w:t>
      </w:r>
      <w:r w:rsidRPr="0015243A">
        <w:t>’, Australian Economic History Review, 53(1), pp. 91–107.</w:t>
      </w:r>
    </w:p>
    <w:p w14:paraId="4E07DCF5" w14:textId="77777777" w:rsidR="00FA79A9" w:rsidRPr="0015243A" w:rsidRDefault="00FA79A9" w:rsidP="00FA79A9">
      <w:bookmarkStart w:id="286" w:name="Commonwealth_of_Australia_2015"/>
      <w:r w:rsidRPr="0015243A">
        <w:t>Commonwealth of Australia 2015</w:t>
      </w:r>
      <w:bookmarkEnd w:id="286"/>
      <w:r w:rsidRPr="0015243A">
        <w:t xml:space="preserve">, </w:t>
      </w:r>
      <w:r w:rsidRPr="0015243A">
        <w:rPr>
          <w:i/>
        </w:rPr>
        <w:t>Environmental biosecurity</w:t>
      </w:r>
      <w:r w:rsidRPr="0015243A">
        <w:t>, report of the Environment and Communications References Committee, Parliament House, Canberra.</w:t>
      </w:r>
    </w:p>
    <w:p w14:paraId="1EB47DD2" w14:textId="77777777" w:rsidR="00FA79A9" w:rsidRPr="0015243A" w:rsidRDefault="00FA79A9" w:rsidP="00FA79A9">
      <w:bookmarkStart w:id="287" w:name="Commonwealth_of_Australia_2015a"/>
      <w:r w:rsidRPr="0015243A">
        <w:t>Commonwealth of Australia 2015a</w:t>
      </w:r>
      <w:bookmarkEnd w:id="287"/>
      <w:r w:rsidRPr="0015243A">
        <w:t xml:space="preserve">, </w:t>
      </w:r>
      <w:r w:rsidRPr="0015243A">
        <w:rPr>
          <w:i/>
        </w:rPr>
        <w:t>Industry structures and systems governing the imposition and disbursement of marketing and research and development (R&amp;D) levies in the agriculture sector</w:t>
      </w:r>
      <w:r w:rsidRPr="0015243A">
        <w:t>, report of the Rural and Regional Affairs and Transport References Committee, Parliament House, Canberra.</w:t>
      </w:r>
    </w:p>
    <w:p w14:paraId="0D4B9A76" w14:textId="77777777" w:rsidR="0002641C" w:rsidRPr="0015243A" w:rsidRDefault="0002641C" w:rsidP="0002641C">
      <w:bookmarkStart w:id="288" w:name="Commonwealth_of_Australia_2016"/>
      <w:bookmarkEnd w:id="282"/>
      <w:r w:rsidRPr="0015243A">
        <w:t>Commonwealth of Australia 2016</w:t>
      </w:r>
      <w:bookmarkEnd w:id="288"/>
      <w:r w:rsidRPr="0015243A">
        <w:t xml:space="preserve">, </w:t>
      </w:r>
      <w:r w:rsidRPr="0015243A">
        <w:rPr>
          <w:i/>
        </w:rPr>
        <w:t>Smart farming–inquiry into agricultural innovation</w:t>
      </w:r>
      <w:r w:rsidRPr="0015243A">
        <w:t>, report of the House of Representatives Standing Committee on Agriculture and Industry, Parliament House, Canberra.</w:t>
      </w:r>
    </w:p>
    <w:p w14:paraId="233B4680" w14:textId="77777777" w:rsidR="00F77FCC" w:rsidRPr="0015243A" w:rsidRDefault="00F77FCC" w:rsidP="00F77FCC">
      <w:bookmarkStart w:id="289" w:name="Cox_et_al_2013"/>
      <w:bookmarkStart w:id="290" w:name="CSIRO_2014"/>
      <w:r w:rsidRPr="0015243A">
        <w:lastRenderedPageBreak/>
        <w:t xml:space="preserve">Cox, </w:t>
      </w:r>
      <w:bookmarkEnd w:id="289"/>
      <w:r w:rsidRPr="0015243A">
        <w:t xml:space="preserve">TE, Strive, T, Mutze, G, West, P &amp; Saunders, G 2013, </w:t>
      </w:r>
      <w:r w:rsidRPr="0015243A">
        <w:rPr>
          <w:i/>
        </w:rPr>
        <w:t>Benefits of Rabbit Biocontrol in Australia</w:t>
      </w:r>
      <w:r w:rsidRPr="0015243A">
        <w:t>, PestSmart Toolkit publication, Invasive Animals Cooperative Research Centre, Canberra.</w:t>
      </w:r>
    </w:p>
    <w:p w14:paraId="28716B0C" w14:textId="77777777" w:rsidR="0002641C" w:rsidRPr="0015243A" w:rsidRDefault="0002641C" w:rsidP="0002641C">
      <w:r w:rsidRPr="0015243A">
        <w:t>CSIRO 2014</w:t>
      </w:r>
      <w:bookmarkEnd w:id="290"/>
      <w:r w:rsidRPr="0015243A">
        <w:t xml:space="preserve">, </w:t>
      </w:r>
      <w:r w:rsidRPr="0015243A">
        <w:rPr>
          <w:i/>
        </w:rPr>
        <w:t>Australia’s biosecurity future: preparing for future biological challenges</w:t>
      </w:r>
      <w:r w:rsidRPr="0015243A">
        <w:t>, Commonwealth Scientific and Industrial Research Organisation, Canberra.</w:t>
      </w:r>
    </w:p>
    <w:p w14:paraId="22247E75" w14:textId="77777777" w:rsidR="00FA79A9" w:rsidRPr="0015243A" w:rsidRDefault="00FA79A9" w:rsidP="00FA79A9">
      <w:bookmarkStart w:id="291" w:name="Department_of_Agriculture"/>
      <w:bookmarkStart w:id="292" w:name="DAWR_2015"/>
      <w:r w:rsidRPr="0015243A">
        <w:t>DAWR 2015,</w:t>
      </w:r>
      <w:bookmarkEnd w:id="291"/>
      <w:r w:rsidRPr="0015243A">
        <w:t xml:space="preserve"> </w:t>
      </w:r>
      <w:bookmarkEnd w:id="292"/>
      <w:r w:rsidRPr="0015243A">
        <w:rPr>
          <w:i/>
        </w:rPr>
        <w:t>Review of national marine pest biosecurity</w:t>
      </w:r>
      <w:r w:rsidRPr="0015243A">
        <w:t>, Australian Government Department of Agriculture and Water Resources, Canberra.</w:t>
      </w:r>
    </w:p>
    <w:p w14:paraId="6D1412D6" w14:textId="77777777" w:rsidR="00FA79A9" w:rsidRPr="0015243A" w:rsidRDefault="00FA79A9" w:rsidP="00FA79A9">
      <w:bookmarkStart w:id="293" w:name="DAWR_2016"/>
      <w:bookmarkStart w:id="294" w:name="DAWR_2016a"/>
      <w:r w:rsidRPr="0015243A">
        <w:t>DAWR 2016</w:t>
      </w:r>
      <w:bookmarkEnd w:id="293"/>
      <w:bookmarkEnd w:id="294"/>
      <w:r w:rsidRPr="0015243A">
        <w:t xml:space="preserve">, </w:t>
      </w:r>
      <w:r w:rsidRPr="0015243A">
        <w:rPr>
          <w:i/>
        </w:rPr>
        <w:t>Annual Report 2015–16</w:t>
      </w:r>
      <w:r w:rsidRPr="0015243A">
        <w:t>, Australian Government Department of Agriculture and Water Resources, Canberra.</w:t>
      </w:r>
    </w:p>
    <w:p w14:paraId="36238EC2" w14:textId="77777777" w:rsidR="00FA79A9" w:rsidRPr="0015243A" w:rsidRDefault="00FA79A9" w:rsidP="00FA79A9">
      <w:bookmarkStart w:id="295" w:name="DAWR_2016b"/>
      <w:bookmarkStart w:id="296" w:name="DEWHA_2008"/>
      <w:r w:rsidRPr="0015243A">
        <w:t>DAWR 2016a</w:t>
      </w:r>
      <w:bookmarkEnd w:id="295"/>
      <w:bookmarkEnd w:id="296"/>
      <w:r w:rsidRPr="0015243A">
        <w:t xml:space="preserve">, </w:t>
      </w:r>
      <w:r w:rsidRPr="0015243A">
        <w:rPr>
          <w:i/>
        </w:rPr>
        <w:t>Agricultural Export Regulation Review—Discussion Paper</w:t>
      </w:r>
      <w:r w:rsidRPr="0015243A">
        <w:t>, Australian Government Department of Agriculture and Water Resources, Canberra.</w:t>
      </w:r>
    </w:p>
    <w:p w14:paraId="0D287B6D" w14:textId="68B43F9B" w:rsidR="0002641C" w:rsidRPr="0015243A" w:rsidRDefault="00FA79A9" w:rsidP="0002641C">
      <w:r w:rsidRPr="0015243A">
        <w:t>DAWR</w:t>
      </w:r>
      <w:r w:rsidR="0002641C" w:rsidRPr="0015243A">
        <w:t xml:space="preserve"> 2016</w:t>
      </w:r>
      <w:r w:rsidR="005B7E82" w:rsidRPr="0015243A">
        <w:t>b</w:t>
      </w:r>
      <w:r w:rsidR="0002641C" w:rsidRPr="0015243A">
        <w:t xml:space="preserve">, </w:t>
      </w:r>
      <w:r w:rsidR="00A84FDD">
        <w:rPr>
          <w:i/>
        </w:rPr>
        <w:t>Corporate Plan 2016–</w:t>
      </w:r>
      <w:r w:rsidR="0002641C" w:rsidRPr="0015243A">
        <w:rPr>
          <w:i/>
        </w:rPr>
        <w:t>17</w:t>
      </w:r>
      <w:r w:rsidR="0002641C" w:rsidRPr="0015243A">
        <w:t xml:space="preserve">, </w:t>
      </w:r>
      <w:r w:rsidRPr="0015243A">
        <w:t xml:space="preserve">Australian Government Department of </w:t>
      </w:r>
      <w:r w:rsidR="009604D6" w:rsidRPr="0015243A">
        <w:t>Agriculture</w:t>
      </w:r>
      <w:r w:rsidRPr="0015243A">
        <w:t xml:space="preserve"> and Water Resources, Canberra.</w:t>
      </w:r>
    </w:p>
    <w:p w14:paraId="238BA292" w14:textId="77777777" w:rsidR="00F77FCC" w:rsidRPr="0015243A" w:rsidRDefault="00F77FCC" w:rsidP="00F77FCC">
      <w:bookmarkStart w:id="297" w:name="Department_of_Infrastructure"/>
      <w:r w:rsidRPr="0015243A">
        <w:t xml:space="preserve">DEWHA 2008, </w:t>
      </w:r>
      <w:r w:rsidRPr="0015243A">
        <w:rPr>
          <w:i/>
        </w:rPr>
        <w:t>Threat Abatement Plan for competition and land degradation by rabbits</w:t>
      </w:r>
      <w:r w:rsidRPr="0015243A">
        <w:t>, Australian Government Department of the Environment, Water, Heritage and the Arts, Canberra.</w:t>
      </w:r>
    </w:p>
    <w:p w14:paraId="6513BAFE" w14:textId="77777777" w:rsidR="0002641C" w:rsidRPr="0015243A" w:rsidRDefault="009604D6" w:rsidP="0002641C">
      <w:bookmarkStart w:id="298" w:name="DIRD_2014"/>
      <w:r w:rsidRPr="0015243A">
        <w:t>DIRD 2014</w:t>
      </w:r>
      <w:bookmarkEnd w:id="298"/>
      <w:r w:rsidRPr="0015243A">
        <w:t>,</w:t>
      </w:r>
      <w:bookmarkEnd w:id="297"/>
      <w:r w:rsidRPr="0015243A">
        <w:t xml:space="preserve"> </w:t>
      </w:r>
      <w:r w:rsidRPr="0015243A">
        <w:rPr>
          <w:i/>
        </w:rPr>
        <w:t>Transport Security Outlook to 2025</w:t>
      </w:r>
      <w:r w:rsidRPr="0015243A">
        <w:t>, Australian Government Department of Infrastructure and Regional Development, Canberra.</w:t>
      </w:r>
    </w:p>
    <w:p w14:paraId="0BC8F6A9" w14:textId="77777777" w:rsidR="00F77FCC" w:rsidRPr="0015243A" w:rsidRDefault="00F77FCC" w:rsidP="00F77FCC">
      <w:bookmarkStart w:id="299" w:name="Grafton_2015"/>
      <w:r w:rsidRPr="0015243A">
        <w:t>Grafton</w:t>
      </w:r>
      <w:bookmarkEnd w:id="299"/>
      <w:r w:rsidRPr="0015243A">
        <w:t xml:space="preserve">, Q, Mullen, J &amp; Williams, J 2015, </w:t>
      </w:r>
      <w:r w:rsidRPr="0015243A">
        <w:rPr>
          <w:i/>
        </w:rPr>
        <w:t>Australia’s Agricultural Future: Returns, Resources, and Risks</w:t>
      </w:r>
      <w:r w:rsidRPr="0015243A">
        <w:t>, final report for the Australian Council of Learned Academics, Melbourne.</w:t>
      </w:r>
    </w:p>
    <w:p w14:paraId="37AB60FA" w14:textId="77777777" w:rsidR="00F77FCC" w:rsidRPr="0015243A" w:rsidRDefault="00F77FCC" w:rsidP="00F77FCC">
      <w:bookmarkStart w:id="300" w:name="Gong_et_al_2009"/>
      <w:r w:rsidRPr="0015243A">
        <w:t>Gong</w:t>
      </w:r>
      <w:bookmarkEnd w:id="300"/>
      <w:r w:rsidRPr="0015243A">
        <w:t xml:space="preserve">, W, Sinden, J, Braysher, M &amp; Jones, R 2009, </w:t>
      </w:r>
      <w:r w:rsidRPr="0015243A">
        <w:rPr>
          <w:i/>
        </w:rPr>
        <w:t>The Economic Impacts of Vertebrate Pests in Australia,</w:t>
      </w:r>
      <w:r w:rsidRPr="0015243A">
        <w:t xml:space="preserve"> Invasive Animals Cooperative Research Centre, Canberra.</w:t>
      </w:r>
    </w:p>
    <w:p w14:paraId="44B41769" w14:textId="77777777" w:rsidR="00F77FCC" w:rsidRPr="0015243A" w:rsidRDefault="00F77FCC" w:rsidP="00F77FCC">
      <w:bookmarkStart w:id="301" w:name="Haikowicz_Eady_2015"/>
      <w:r w:rsidRPr="0015243A">
        <w:t>Hajkowicz</w:t>
      </w:r>
      <w:bookmarkEnd w:id="301"/>
      <w:r w:rsidRPr="0015243A">
        <w:t xml:space="preserve">, S &amp; Eady, S 2015, </w:t>
      </w:r>
      <w:r w:rsidRPr="0015243A">
        <w:rPr>
          <w:i/>
        </w:rPr>
        <w:t>Rural Industry Futures: megatrends impacting Australian agriculture over the coming twenty years</w:t>
      </w:r>
      <w:r w:rsidRPr="0015243A">
        <w:t>, report prepared for the Rural Industries Research and Development Corporation, Canberra.</w:t>
      </w:r>
    </w:p>
    <w:p w14:paraId="58846F73" w14:textId="6A7FB718" w:rsidR="00EC00FD" w:rsidRPr="0015243A" w:rsidRDefault="00EC00FD" w:rsidP="00E8574D">
      <w:bookmarkStart w:id="302" w:name="Handmer_ONeill_2016"/>
      <w:r w:rsidRPr="0015243A">
        <w:t>Handmer</w:t>
      </w:r>
      <w:bookmarkEnd w:id="302"/>
      <w:r w:rsidRPr="0015243A">
        <w:t>, J &amp; O’Neill, S 2016, ‘</w:t>
      </w:r>
      <w:r w:rsidRPr="0015243A">
        <w:rPr>
          <w:i/>
        </w:rPr>
        <w:t>Examining bushfire policy in action: preparedness and behaviour in the 2009 Black Saturday fires’,</w:t>
      </w:r>
      <w:r w:rsidRPr="0015243A">
        <w:t xml:space="preserve"> Environmental Science and Policy, vol. 63, pp. 55–62.</w:t>
      </w:r>
    </w:p>
    <w:p w14:paraId="40F99D88" w14:textId="77777777" w:rsidR="00E8574D" w:rsidRPr="0015243A" w:rsidRDefault="00E8574D" w:rsidP="00E8574D">
      <w:bookmarkStart w:id="303" w:name="Hawke_2009"/>
      <w:r w:rsidRPr="0015243A">
        <w:t>Hawke, A 2009</w:t>
      </w:r>
      <w:bookmarkEnd w:id="303"/>
      <w:r w:rsidRPr="0015243A">
        <w:t xml:space="preserve">, </w:t>
      </w:r>
      <w:r w:rsidRPr="0015243A">
        <w:rPr>
          <w:i/>
        </w:rPr>
        <w:t>The Australian Environment Act:</w:t>
      </w:r>
      <w:r w:rsidRPr="0015243A">
        <w:t xml:space="preserve"> </w:t>
      </w:r>
      <w:r w:rsidRPr="0015243A">
        <w:rPr>
          <w:i/>
        </w:rPr>
        <w:t>Report of the Independent Review of the Environment Protection and Biodiversity Conservation Act 1999</w:t>
      </w:r>
      <w:r w:rsidRPr="0015243A">
        <w:t>, Final Report to the Australian Government, Canberra.</w:t>
      </w:r>
    </w:p>
    <w:p w14:paraId="431D3C87" w14:textId="77777777" w:rsidR="00E8574D" w:rsidRPr="0015243A" w:rsidRDefault="00E8574D" w:rsidP="00E8574D">
      <w:bookmarkStart w:id="304" w:name="Higgins_et_al_2016"/>
      <w:bookmarkStart w:id="305" w:name="Hunt_et_al_2014"/>
      <w:r w:rsidRPr="0015243A">
        <w:t>Higgins</w:t>
      </w:r>
      <w:bookmarkEnd w:id="304"/>
      <w:bookmarkEnd w:id="305"/>
      <w:r w:rsidRPr="0015243A">
        <w:t>, V, Bryant, M, Hernández-Jover, M, McShane, C &amp; Rast, L 2016, ‘</w:t>
      </w:r>
      <w:r w:rsidRPr="0015243A">
        <w:rPr>
          <w:i/>
        </w:rPr>
        <w:t>Harmonising devolved responsibility for biosecurity governance: The challenge of competing institutional logics’</w:t>
      </w:r>
      <w:r w:rsidRPr="0015243A">
        <w:t>, Environment and Planning A, vol. 0(0), pp. 1–19.</w:t>
      </w:r>
    </w:p>
    <w:p w14:paraId="53A7E3E1" w14:textId="77777777" w:rsidR="0002641C" w:rsidRPr="0015243A" w:rsidRDefault="00E8574D" w:rsidP="00E8574D">
      <w:r w:rsidRPr="0015243A">
        <w:t>Hunt, W, Birch, C, Vanclay, F &amp; Coutts, J 2014, ‘</w:t>
      </w:r>
      <w:r w:rsidRPr="0015243A">
        <w:rPr>
          <w:i/>
        </w:rPr>
        <w:t>Recommendations arising from an analysis of changes to the Australian agricultural research, development and extension system</w:t>
      </w:r>
      <w:r w:rsidRPr="0015243A">
        <w:t>’, Food Policy, vol. 44, pp. 129–141.</w:t>
      </w:r>
    </w:p>
    <w:p w14:paraId="6ADE0A99" w14:textId="77777777" w:rsidR="0002641C" w:rsidRPr="0015243A" w:rsidRDefault="00E8574D" w:rsidP="0002641C">
      <w:bookmarkStart w:id="306" w:name="Hutchison_et_al_2012"/>
      <w:r w:rsidRPr="0015243A">
        <w:t>Hutchison</w:t>
      </w:r>
      <w:bookmarkEnd w:id="306"/>
      <w:r w:rsidRPr="0015243A">
        <w:t xml:space="preserve">, M, Sarac, Z &amp; Norris, A 2012, </w:t>
      </w:r>
      <w:r w:rsidRPr="0015243A">
        <w:rPr>
          <w:i/>
        </w:rPr>
        <w:t>The potential for Mozambique tilapia Oreochromis mossambicus to invade the Murray-Darling Basin and the likely impacts: a review of existing information</w:t>
      </w:r>
      <w:r w:rsidRPr="0015243A">
        <w:t>, report to the Australian Government Murray-Darling Basin Authority, Canberra.</w:t>
      </w:r>
    </w:p>
    <w:p w14:paraId="015C3D77" w14:textId="35597AE7" w:rsidR="00350E73" w:rsidRPr="0015243A" w:rsidRDefault="00350E73" w:rsidP="0002641C">
      <w:bookmarkStart w:id="307" w:name="IPART_2013"/>
      <w:bookmarkStart w:id="308" w:name="Keogh_2016"/>
      <w:r w:rsidRPr="0015243A">
        <w:lastRenderedPageBreak/>
        <w:t>IPART 2013</w:t>
      </w:r>
      <w:bookmarkEnd w:id="307"/>
      <w:r w:rsidRPr="0015243A">
        <w:t xml:space="preserve">, </w:t>
      </w:r>
      <w:r w:rsidRPr="0015243A">
        <w:rPr>
          <w:i/>
        </w:rPr>
        <w:t>Review of funding framework for Local Land Services NSW: Other industries—Draft report</w:t>
      </w:r>
      <w:r w:rsidRPr="0015243A">
        <w:t>, Independent Pricing and Regulatory Tribunal</w:t>
      </w:r>
      <w:r w:rsidR="009846F3" w:rsidRPr="0015243A">
        <w:t xml:space="preserve"> of New South Wales</w:t>
      </w:r>
      <w:r w:rsidR="002954AA">
        <w:t>, Sydney.</w:t>
      </w:r>
    </w:p>
    <w:p w14:paraId="634983F2" w14:textId="01485318" w:rsidR="0002641C" w:rsidRPr="0015243A" w:rsidRDefault="0002641C" w:rsidP="0002641C">
      <w:bookmarkStart w:id="309" w:name="McLennan_2014"/>
      <w:r w:rsidRPr="0015243A">
        <w:t xml:space="preserve">Keogh, </w:t>
      </w:r>
      <w:bookmarkEnd w:id="309"/>
      <w:r w:rsidRPr="0015243A">
        <w:t>M &amp; Goucher, G 2016</w:t>
      </w:r>
      <w:bookmarkEnd w:id="308"/>
      <w:r w:rsidRPr="0015243A">
        <w:t xml:space="preserve">, </w:t>
      </w:r>
      <w:r w:rsidRPr="0015243A">
        <w:rPr>
          <w:i/>
        </w:rPr>
        <w:t>A sustainable and nationally coordinated plant biosecurity RD&amp;E system for Australia,</w:t>
      </w:r>
      <w:r w:rsidRPr="0015243A">
        <w:t xml:space="preserve"> research report prepared for the Plant Biosecurity Cooperative Research Centre, </w:t>
      </w:r>
      <w:r w:rsidR="008C299E" w:rsidRPr="0015243A">
        <w:t>Canberra</w:t>
      </w:r>
      <w:r w:rsidRPr="0015243A">
        <w:t>.</w:t>
      </w:r>
    </w:p>
    <w:p w14:paraId="1657B834" w14:textId="77777777" w:rsidR="00E8574D" w:rsidRPr="0015243A" w:rsidRDefault="00E8574D" w:rsidP="00E8574D">
      <w:bookmarkStart w:id="310" w:name="Mathews_2011"/>
      <w:r w:rsidRPr="0015243A">
        <w:t xml:space="preserve">Matthews, K 2011, </w:t>
      </w:r>
      <w:r w:rsidRPr="0015243A">
        <w:rPr>
          <w:i/>
        </w:rPr>
        <w:t>A review of Australia’s preparedness for the threat of foot-and-mouth disease</w:t>
      </w:r>
      <w:r w:rsidRPr="0015243A">
        <w:t>, report to the Australian Government Department of Agriculture, Fisheries and Forestry, Canberra.</w:t>
      </w:r>
    </w:p>
    <w:p w14:paraId="3E425BD6" w14:textId="55F2D2F7" w:rsidR="00E8574D" w:rsidRPr="0015243A" w:rsidRDefault="00E8574D" w:rsidP="00E8574D">
      <w:r w:rsidRPr="0015243A">
        <w:t xml:space="preserve">McLennan, B &amp; Handmer, J 2014, </w:t>
      </w:r>
      <w:r w:rsidRPr="0015243A">
        <w:rPr>
          <w:i/>
        </w:rPr>
        <w:t>Sharing responsibility in Australian disaster management</w:t>
      </w:r>
      <w:r w:rsidRPr="0015243A">
        <w:t>, final report for the sharing responsibility project prepared for the Bushf</w:t>
      </w:r>
      <w:r w:rsidR="008C299E" w:rsidRPr="0015243A">
        <w:t>ire Cooperative Research Centre, Melbourne.</w:t>
      </w:r>
    </w:p>
    <w:p w14:paraId="12C9FC62" w14:textId="77777777" w:rsidR="0002641C" w:rsidRPr="0015243A" w:rsidRDefault="0002641C" w:rsidP="0002641C">
      <w:bookmarkStart w:id="311" w:name="Mohanty_et_al_2016"/>
      <w:bookmarkStart w:id="312" w:name="Miles_2015"/>
      <w:bookmarkEnd w:id="310"/>
      <w:r w:rsidRPr="0015243A">
        <w:t>Miles</w:t>
      </w:r>
      <w:bookmarkEnd w:id="311"/>
      <w:r w:rsidRPr="0015243A">
        <w:t>, D 2015</w:t>
      </w:r>
      <w:bookmarkEnd w:id="312"/>
      <w:r w:rsidRPr="0015243A">
        <w:t xml:space="preserve">, </w:t>
      </w:r>
      <w:r w:rsidRPr="0015243A">
        <w:rPr>
          <w:i/>
        </w:rPr>
        <w:t>Growing through Innovation and Collaboration. A Review of the Cooperative Research Centres Programme</w:t>
      </w:r>
      <w:r w:rsidRPr="0015243A">
        <w:t>, report to the Australian Government, Canberra.</w:t>
      </w:r>
    </w:p>
    <w:p w14:paraId="69E3F4B2" w14:textId="2021AEAF" w:rsidR="0002641C" w:rsidRPr="0015243A" w:rsidRDefault="00E8574D" w:rsidP="0002641C">
      <w:r w:rsidRPr="0015243A">
        <w:t>Mohanty, SP, Hughes, DP &amp; Salathé, M 201</w:t>
      </w:r>
      <w:r w:rsidR="00D76B19" w:rsidRPr="0015243A">
        <w:t>6</w:t>
      </w:r>
      <w:r w:rsidRPr="0015243A">
        <w:t>, ‘</w:t>
      </w:r>
      <w:r w:rsidRPr="0015243A">
        <w:rPr>
          <w:i/>
        </w:rPr>
        <w:t>Using Deep Learning for Image-Based Plant Disease Detection</w:t>
      </w:r>
      <w:r w:rsidRPr="0015243A">
        <w:t>’, Frontiers in Plant Science, vol. 7</w:t>
      </w:r>
      <w:r w:rsidR="00D76B19" w:rsidRPr="0015243A">
        <w:t xml:space="preserve">, Article </w:t>
      </w:r>
      <w:r w:rsidRPr="0015243A">
        <w:t>1419</w:t>
      </w:r>
      <w:r w:rsidR="007C5360" w:rsidRPr="0015243A">
        <w:t>.</w:t>
      </w:r>
    </w:p>
    <w:p w14:paraId="692F3A3C" w14:textId="77777777" w:rsidR="0016100F" w:rsidRPr="0015243A" w:rsidRDefault="0016100F" w:rsidP="0016100F">
      <w:bookmarkStart w:id="313" w:name="Nairn_et_al_1996"/>
      <w:r w:rsidRPr="0015243A">
        <w:t xml:space="preserve">Nairn, M.E., Allen, P.G., Inglis, A.R. &amp; Tanner, C 1996, </w:t>
      </w:r>
      <w:r w:rsidRPr="0015243A">
        <w:rPr>
          <w:i/>
        </w:rPr>
        <w:t>Australian Quarantine: a shared responsibility</w:t>
      </w:r>
      <w:r w:rsidRPr="0015243A">
        <w:t>, Department of Primary Industries and Energy, Canberra.</w:t>
      </w:r>
    </w:p>
    <w:p w14:paraId="47A43B49" w14:textId="266EECFF" w:rsidR="0071351D" w:rsidRPr="0071351D" w:rsidRDefault="0071351D" w:rsidP="0016100F">
      <w:bookmarkStart w:id="314" w:name="NBC_2015"/>
      <w:r>
        <w:t>NBC 2015</w:t>
      </w:r>
      <w:bookmarkEnd w:id="314"/>
      <w:r>
        <w:t xml:space="preserve">, </w:t>
      </w:r>
      <w:r>
        <w:rPr>
          <w:i/>
        </w:rPr>
        <w:t>Modernising Australia’s approach to managing established pests and diseases of national significance: Discussion paper</w:t>
      </w:r>
      <w:r>
        <w:t>, National Biosecurity Committee, Canberra.</w:t>
      </w:r>
    </w:p>
    <w:p w14:paraId="53DA0D60" w14:textId="77777777" w:rsidR="0016100F" w:rsidRPr="0015243A" w:rsidRDefault="0016100F" w:rsidP="0016100F">
      <w:bookmarkStart w:id="315" w:name="NRC_2016"/>
      <w:r w:rsidRPr="0015243A">
        <w:t xml:space="preserve">NRC 2016, </w:t>
      </w:r>
      <w:bookmarkEnd w:id="315"/>
      <w:r w:rsidRPr="0015243A">
        <w:rPr>
          <w:i/>
        </w:rPr>
        <w:t>Shared Problem, Shared Solutions: Pest Animal Management Review</w:t>
      </w:r>
      <w:r w:rsidRPr="0015243A">
        <w:t>, Draft Report March 2016, NSW Government Natural Resources Commission, Sydney.</w:t>
      </w:r>
    </w:p>
    <w:p w14:paraId="21B4F4B2" w14:textId="3A3900C9" w:rsidR="0015243A" w:rsidRPr="0015243A" w:rsidRDefault="0015243A" w:rsidP="0015243A">
      <w:bookmarkStart w:id="316" w:name="NZ_MPI_2015"/>
      <w:bookmarkEnd w:id="313"/>
      <w:r w:rsidRPr="0015243A">
        <w:t>NZ MPI 2015</w:t>
      </w:r>
      <w:r w:rsidR="006A6062">
        <w:t xml:space="preserve">, </w:t>
      </w:r>
      <w:bookmarkEnd w:id="316"/>
      <w:r w:rsidR="006A6062">
        <w:rPr>
          <w:i/>
        </w:rPr>
        <w:t>Strategic Intentions 2015–</w:t>
      </w:r>
      <w:r w:rsidR="006A6062" w:rsidRPr="006A6062">
        <w:t>2020</w:t>
      </w:r>
      <w:r w:rsidR="006A6062">
        <w:t xml:space="preserve">, </w:t>
      </w:r>
      <w:r w:rsidRPr="006A6062">
        <w:t>New</w:t>
      </w:r>
      <w:r w:rsidRPr="0015243A">
        <w:t xml:space="preserve"> Zealand </w:t>
      </w:r>
      <w:r w:rsidR="006A6062">
        <w:t xml:space="preserve">Government </w:t>
      </w:r>
      <w:r w:rsidRPr="0015243A">
        <w:t>Minist</w:t>
      </w:r>
      <w:r w:rsidR="006A6062">
        <w:t xml:space="preserve">ry for Primary Industries, </w:t>
      </w:r>
      <w:r w:rsidRPr="0015243A">
        <w:t>Wellington.</w:t>
      </w:r>
    </w:p>
    <w:p w14:paraId="437EE099" w14:textId="2CB97E4E" w:rsidR="00EA1E5B" w:rsidRPr="0015243A" w:rsidRDefault="00EA1E5B" w:rsidP="0016100F">
      <w:bookmarkStart w:id="317" w:name="NZ_MPI_2016"/>
      <w:r w:rsidRPr="0015243A">
        <w:t>NZ MPI 2016</w:t>
      </w:r>
      <w:bookmarkEnd w:id="317"/>
      <w:r w:rsidRPr="0015243A">
        <w:t xml:space="preserve">, </w:t>
      </w:r>
      <w:r w:rsidRPr="0015243A">
        <w:rPr>
          <w:i/>
        </w:rPr>
        <w:t>Situation and Outlook for Primary Industries 2016</w:t>
      </w:r>
      <w:r w:rsidRPr="0015243A">
        <w:t>, New Zealand Government Ministry for Primary Industries, Wellington</w:t>
      </w:r>
      <w:r w:rsidR="00134239" w:rsidRPr="0015243A">
        <w:t>.</w:t>
      </w:r>
    </w:p>
    <w:p w14:paraId="128094A8" w14:textId="6BEB581B" w:rsidR="0002641C" w:rsidRPr="0015243A" w:rsidRDefault="0015243A" w:rsidP="0016100F">
      <w:bookmarkStart w:id="318" w:name="NZ_MPI_2016a"/>
      <w:r w:rsidRPr="0015243A">
        <w:t>NZ MPI 2016a</w:t>
      </w:r>
      <w:bookmarkEnd w:id="318"/>
      <w:r w:rsidR="003D2B0D">
        <w:t>,</w:t>
      </w:r>
      <w:r w:rsidRPr="0015243A">
        <w:t xml:space="preserve"> </w:t>
      </w:r>
      <w:r w:rsidR="003D2B0D">
        <w:rPr>
          <w:i/>
        </w:rPr>
        <w:t>Annual Report 2015–</w:t>
      </w:r>
      <w:r w:rsidR="003D2B0D" w:rsidRPr="003D2B0D">
        <w:t>2016</w:t>
      </w:r>
      <w:r w:rsidR="003D2B0D">
        <w:t xml:space="preserve">, </w:t>
      </w:r>
      <w:r w:rsidR="0016100F" w:rsidRPr="003D2B0D">
        <w:t>New</w:t>
      </w:r>
      <w:r w:rsidR="0016100F" w:rsidRPr="0015243A">
        <w:t xml:space="preserve"> Zealand </w:t>
      </w:r>
      <w:r w:rsidR="003D2B0D">
        <w:t xml:space="preserve">Government </w:t>
      </w:r>
      <w:r w:rsidR="0016100F" w:rsidRPr="0015243A">
        <w:t>Minist</w:t>
      </w:r>
      <w:r w:rsidR="003D2B0D">
        <w:t>ry for Primary Industries</w:t>
      </w:r>
      <w:r w:rsidR="0016100F" w:rsidRPr="0015243A">
        <w:t>, Wellington</w:t>
      </w:r>
      <w:r w:rsidR="003D2B0D">
        <w:t>.</w:t>
      </w:r>
    </w:p>
    <w:p w14:paraId="2A22430D" w14:textId="77777777" w:rsidR="00F71ED1" w:rsidRPr="0015243A" w:rsidRDefault="00F71ED1" w:rsidP="00F71ED1">
      <w:bookmarkStart w:id="319" w:name="Noble_et_al_2015"/>
      <w:r w:rsidRPr="0015243A">
        <w:t>Noble</w:t>
      </w:r>
      <w:bookmarkEnd w:id="319"/>
      <w:r w:rsidRPr="0015243A">
        <w:t xml:space="preserve">, TH, Robson, HLA, Saunders, RJ &amp; Jerry, DR 2015, </w:t>
      </w:r>
      <w:r w:rsidRPr="0015243A">
        <w:rPr>
          <w:i/>
        </w:rPr>
        <w:t>The utility of eDNA as a tilapia surveillance tool</w:t>
      </w:r>
      <w:r w:rsidRPr="0015243A">
        <w:t>. PestSmart toolkit publication, Invasive Animals Research Centre, Canberra.</w:t>
      </w:r>
    </w:p>
    <w:p w14:paraId="788E730F" w14:textId="7F7304C3" w:rsidR="00E85E46" w:rsidRPr="0015243A" w:rsidRDefault="00F71ED1" w:rsidP="00F71ED1">
      <w:bookmarkStart w:id="320" w:name="NPBRDES_IC_2016"/>
      <w:r w:rsidRPr="0015243A">
        <w:t>NPBRDES IC 2016</w:t>
      </w:r>
      <w:bookmarkEnd w:id="320"/>
      <w:r w:rsidRPr="0015243A">
        <w:t xml:space="preserve">, </w:t>
      </w:r>
      <w:r w:rsidRPr="0015243A">
        <w:rPr>
          <w:i/>
        </w:rPr>
        <w:t>Cross sectoral plant biosecurity RDE priorities analysis</w:t>
      </w:r>
      <w:r w:rsidRPr="0015243A">
        <w:t xml:space="preserve">, National Plant Biosecurity RD&amp;E Strategy Implementation Committee report, available at </w:t>
      </w:r>
      <w:hyperlink r:id="rId53" w:history="1">
        <w:r w:rsidRPr="0015243A">
          <w:rPr>
            <w:rStyle w:val="Hyperlink"/>
            <w:color w:val="auto"/>
          </w:rPr>
          <w:t>portal.biosecurityportal.org.au/rde/Documents/Forms/AllItems.aspx</w:t>
        </w:r>
      </w:hyperlink>
      <w:r w:rsidRPr="0015243A">
        <w:t>.</w:t>
      </w:r>
    </w:p>
    <w:p w14:paraId="7B380318" w14:textId="6BD5D200" w:rsidR="00F71ED1" w:rsidRPr="0015243A" w:rsidRDefault="00F71ED1" w:rsidP="00F71ED1">
      <w:bookmarkStart w:id="321" w:name="Paini_et_al_2016"/>
      <w:r w:rsidRPr="0015243A">
        <w:t>Paini</w:t>
      </w:r>
      <w:bookmarkEnd w:id="321"/>
      <w:r w:rsidRPr="0015243A">
        <w:t xml:space="preserve">, D, Sheppard, A, Cook, D, De </w:t>
      </w:r>
      <w:r w:rsidR="00452959" w:rsidRPr="0015243A">
        <w:t>Barro, P, Worner, S &amp; Thomas, M</w:t>
      </w:r>
      <w:r w:rsidRPr="0015243A">
        <w:t xml:space="preserve"> 2016, ‘</w:t>
      </w:r>
      <w:r w:rsidRPr="0015243A">
        <w:rPr>
          <w:i/>
        </w:rPr>
        <w:t>Global threat to agriculture from invasive species'</w:t>
      </w:r>
      <w:r w:rsidRPr="0015243A">
        <w:t>, Proceedings of the National Academy of Sciences of the United States of America, vol. 113(27), pp. 7575–7579.</w:t>
      </w:r>
    </w:p>
    <w:p w14:paraId="2EDBB624" w14:textId="77777777" w:rsidR="00F71ED1" w:rsidRPr="0015243A" w:rsidRDefault="00F71ED1" w:rsidP="00F71ED1">
      <w:bookmarkStart w:id="322" w:name="PC_2001"/>
      <w:r w:rsidRPr="0015243A">
        <w:t>PC 2001</w:t>
      </w:r>
      <w:bookmarkEnd w:id="322"/>
      <w:r w:rsidRPr="0015243A">
        <w:t xml:space="preserve">, </w:t>
      </w:r>
      <w:r w:rsidRPr="0015243A">
        <w:rPr>
          <w:i/>
        </w:rPr>
        <w:t>Cost Recovery by Government Agencies</w:t>
      </w:r>
      <w:r w:rsidRPr="0015243A">
        <w:t>, Report No. 15, Inquiry Report, Productivity Commission, Canberra.</w:t>
      </w:r>
    </w:p>
    <w:p w14:paraId="3DE757D3" w14:textId="77777777" w:rsidR="00F71ED1" w:rsidRPr="0015243A" w:rsidRDefault="00F71ED1" w:rsidP="00F71ED1">
      <w:bookmarkStart w:id="323" w:name="PC_2011"/>
      <w:r w:rsidRPr="0015243A">
        <w:lastRenderedPageBreak/>
        <w:t>PC 2011</w:t>
      </w:r>
      <w:bookmarkEnd w:id="323"/>
      <w:r w:rsidRPr="0015243A">
        <w:t xml:space="preserve">, </w:t>
      </w:r>
      <w:r w:rsidRPr="0015243A">
        <w:rPr>
          <w:i/>
        </w:rPr>
        <w:t>Rural Research and Development Corporations</w:t>
      </w:r>
      <w:r w:rsidRPr="0015243A">
        <w:t>, Report No. 52, Final Inquiry Report, Productivity Commission, Canberra.</w:t>
      </w:r>
    </w:p>
    <w:p w14:paraId="785E098A" w14:textId="6F20FDD6" w:rsidR="0002641C" w:rsidRPr="0015243A" w:rsidRDefault="00F71ED1" w:rsidP="00F71ED1">
      <w:bookmarkStart w:id="324" w:name="PC_2016"/>
      <w:r w:rsidRPr="0015243A">
        <w:t>PC 2016</w:t>
      </w:r>
      <w:bookmarkEnd w:id="324"/>
      <w:r w:rsidRPr="0015243A">
        <w:t xml:space="preserve">, </w:t>
      </w:r>
      <w:r w:rsidRPr="0015243A">
        <w:rPr>
          <w:i/>
        </w:rPr>
        <w:t>Regulation of Australian Agriculture</w:t>
      </w:r>
      <w:r w:rsidRPr="0015243A">
        <w:t>, Draft Report, Productivity Commission, Canberra.</w:t>
      </w:r>
    </w:p>
    <w:p w14:paraId="4AA0F0B6" w14:textId="22D6800A" w:rsidR="00CB62EB" w:rsidRPr="0015243A" w:rsidRDefault="00CA028E" w:rsidP="0002641C">
      <w:bookmarkStart w:id="325" w:name="RSC_2015"/>
      <w:bookmarkStart w:id="326" w:name="_MailEndCompose"/>
      <w:r w:rsidRPr="0015243A">
        <w:t>RSC 2015</w:t>
      </w:r>
      <w:bookmarkEnd w:id="325"/>
      <w:r w:rsidRPr="0015243A">
        <w:t xml:space="preserve">, </w:t>
      </w:r>
      <w:r w:rsidRPr="0015243A">
        <w:rPr>
          <w:i/>
          <w:iCs/>
        </w:rPr>
        <w:t>Analysis of plant pest preparedness capability: a report to the Department of Agriculture and Water Resources</w:t>
      </w:r>
      <w:r w:rsidRPr="0015243A">
        <w:t>, Rob Schwartz Consulting, October 2015.</w:t>
      </w:r>
      <w:bookmarkEnd w:id="326"/>
    </w:p>
    <w:p w14:paraId="1DF205B1" w14:textId="0940C3E9" w:rsidR="003846F3" w:rsidRDefault="003846F3" w:rsidP="0002641C">
      <w:bookmarkStart w:id="327" w:name="Schneider_et_al_2015"/>
      <w:bookmarkStart w:id="328" w:name="Teague_et_al_2010"/>
      <w:r w:rsidRPr="003846F3">
        <w:t xml:space="preserve">Schneider, H, Batho, H, Stemshorn, B &amp; Thiermann, A 2015, </w:t>
      </w:r>
      <w:r w:rsidR="00054EBA">
        <w:rPr>
          <w:i/>
        </w:rPr>
        <w:t>PVS Evaluation Report—</w:t>
      </w:r>
      <w:r w:rsidRPr="003846F3">
        <w:rPr>
          <w:i/>
        </w:rPr>
        <w:t>Australia</w:t>
      </w:r>
      <w:r w:rsidR="00054EBA">
        <w:rPr>
          <w:i/>
        </w:rPr>
        <w:t>, November 2015</w:t>
      </w:r>
      <w:r w:rsidRPr="003846F3">
        <w:t>, World</w:t>
      </w:r>
      <w:r w:rsidR="00054EBA">
        <w:t xml:space="preserve"> Organisation for Animal Health</w:t>
      </w:r>
      <w:r w:rsidRPr="003846F3">
        <w:t>, Paris, France.</w:t>
      </w:r>
      <w:bookmarkEnd w:id="327"/>
    </w:p>
    <w:p w14:paraId="69639F39" w14:textId="2AB3F536" w:rsidR="0002641C" w:rsidRPr="0015243A" w:rsidRDefault="00D03A16" w:rsidP="0002641C">
      <w:r w:rsidRPr="0015243A">
        <w:t>Teague</w:t>
      </w:r>
      <w:bookmarkEnd w:id="328"/>
      <w:r w:rsidRPr="0015243A">
        <w:t xml:space="preserve">, B, McLeod, R &amp; Pascoe, S 2010, </w:t>
      </w:r>
      <w:r w:rsidRPr="0015243A">
        <w:rPr>
          <w:i/>
        </w:rPr>
        <w:t>2009 Victorian Bushfires Royal Commission</w:t>
      </w:r>
      <w:r w:rsidRPr="0015243A">
        <w:t>: Final Report, State of Victoria, Melbourne.</w:t>
      </w:r>
    </w:p>
    <w:p w14:paraId="1352AFD5" w14:textId="7D7C3F21" w:rsidR="007549F0" w:rsidRPr="0015243A" w:rsidRDefault="007549F0" w:rsidP="007549F0">
      <w:bookmarkStart w:id="329" w:name="TRA_2016"/>
      <w:r w:rsidRPr="0015243A">
        <w:t>TRA 2016</w:t>
      </w:r>
      <w:bookmarkEnd w:id="329"/>
      <w:r w:rsidRPr="0015243A">
        <w:t xml:space="preserve">, </w:t>
      </w:r>
      <w:r w:rsidRPr="0015243A">
        <w:rPr>
          <w:i/>
        </w:rPr>
        <w:t>International Visitors in Australia: June 2016 Quarterly Results of the International Visitor Survey</w:t>
      </w:r>
      <w:r w:rsidRPr="0015243A">
        <w:t>, Australian Government Austrade, Touris</w:t>
      </w:r>
      <w:r w:rsidR="002954AA">
        <w:t>m Research Australia, Canberra.</w:t>
      </w:r>
    </w:p>
    <w:p w14:paraId="66304D34" w14:textId="77777777" w:rsidR="007549F0" w:rsidRPr="0015243A" w:rsidRDefault="007549F0" w:rsidP="007549F0">
      <w:bookmarkStart w:id="330" w:name="TRA_2016a"/>
      <w:r w:rsidRPr="0015243A">
        <w:t>TRA 2016a</w:t>
      </w:r>
      <w:bookmarkEnd w:id="330"/>
      <w:r w:rsidRPr="0015243A">
        <w:t xml:space="preserve">, </w:t>
      </w:r>
      <w:r w:rsidRPr="0015243A">
        <w:rPr>
          <w:i/>
        </w:rPr>
        <w:t>State Tourism Satellite Accounts 2014-15</w:t>
      </w:r>
      <w:r w:rsidRPr="0015243A">
        <w:t>, Australian Government Austrade, Tourism Research Australia, Canberra.</w:t>
      </w:r>
    </w:p>
    <w:p w14:paraId="660EA106" w14:textId="77777777" w:rsidR="007549F0" w:rsidRPr="0015243A" w:rsidRDefault="007549F0" w:rsidP="007549F0">
      <w:bookmarkStart w:id="331" w:name="UK_NAO_2002"/>
      <w:r w:rsidRPr="0015243A">
        <w:t>UK NAO 2002</w:t>
      </w:r>
      <w:bookmarkEnd w:id="331"/>
      <w:r w:rsidRPr="0015243A">
        <w:t xml:space="preserve">, </w:t>
      </w:r>
      <w:r w:rsidRPr="0015243A">
        <w:rPr>
          <w:i/>
        </w:rPr>
        <w:t>The 2001 Outbreak of Foot and Mouth Disease:</w:t>
      </w:r>
      <w:r w:rsidRPr="0015243A">
        <w:t xml:space="preserve"> </w:t>
      </w:r>
      <w:r w:rsidRPr="0015243A">
        <w:rPr>
          <w:i/>
        </w:rPr>
        <w:t>report by the Comptroller and Auditor General</w:t>
      </w:r>
      <w:r w:rsidRPr="0015243A">
        <w:t>, United Kingdom National Audit Office, London.</w:t>
      </w:r>
    </w:p>
    <w:p w14:paraId="5217094D" w14:textId="5A445AEA" w:rsidR="0002641C" w:rsidRPr="0015243A" w:rsidRDefault="007549F0" w:rsidP="007549F0">
      <w:bookmarkStart w:id="332" w:name="VAGO_2015"/>
      <w:r w:rsidRPr="0015243A">
        <w:t>VAGO 2015</w:t>
      </w:r>
      <w:bookmarkEnd w:id="332"/>
      <w:r w:rsidRPr="0015243A">
        <w:t xml:space="preserve">, </w:t>
      </w:r>
      <w:r w:rsidRPr="0015243A">
        <w:rPr>
          <w:i/>
        </w:rPr>
        <w:t xml:space="preserve">Biosecurity: livestock, </w:t>
      </w:r>
      <w:r w:rsidRPr="0015243A">
        <w:t>Victorian Auditor-General’s Office, Melbourne.</w:t>
      </w:r>
    </w:p>
    <w:p w14:paraId="461B077C" w14:textId="77777777" w:rsidR="00F77FCC" w:rsidRPr="0015243A" w:rsidRDefault="00F77FCC" w:rsidP="00F77FCC">
      <w:bookmarkStart w:id="333" w:name="Wishart_Cox_2016"/>
      <w:r w:rsidRPr="0015243A">
        <w:t>Wishart</w:t>
      </w:r>
      <w:bookmarkEnd w:id="333"/>
      <w:r w:rsidRPr="0015243A">
        <w:t xml:space="preserve">, J &amp; Cox, T 2016, </w:t>
      </w:r>
      <w:r w:rsidRPr="0015243A">
        <w:rPr>
          <w:i/>
        </w:rPr>
        <w:t>Rollout of RHDV1 K5 in Australia: information guide</w:t>
      </w:r>
      <w:r w:rsidRPr="0015243A">
        <w:t>, PestSmart Toolkit publication, Invasive Animals Cooperative Research Centre, Canberra.</w:t>
      </w:r>
    </w:p>
    <w:p w14:paraId="4DB00256" w14:textId="4BC0562B" w:rsidR="00FD2F1E" w:rsidRPr="0015243A" w:rsidRDefault="00FD2F1E" w:rsidP="007549F0">
      <w:bookmarkStart w:id="334" w:name="Wylie_Jansen_2016"/>
      <w:r w:rsidRPr="0015243A">
        <w:t>Wylie</w:t>
      </w:r>
      <w:bookmarkEnd w:id="334"/>
      <w:r w:rsidRPr="0015243A">
        <w:t>, RF &amp; Janssen-May, S 2016, ‘</w:t>
      </w:r>
      <w:r w:rsidRPr="0015243A">
        <w:rPr>
          <w:i/>
        </w:rPr>
        <w:t>Red imported fire ant in Australia: What if we lose the war?</w:t>
      </w:r>
      <w:r w:rsidRPr="0015243A">
        <w:t>’, Ecological Management and Restoration, October, early view article.</w:t>
      </w:r>
    </w:p>
    <w:p w14:paraId="7C5AD169" w14:textId="5F01302E" w:rsidR="0002641C" w:rsidRPr="0015243A" w:rsidRDefault="00A047A9" w:rsidP="00267841">
      <w:bookmarkStart w:id="335" w:name="Wylie_et_al_2016"/>
      <w:r w:rsidRPr="0015243A">
        <w:t>Wylie</w:t>
      </w:r>
      <w:bookmarkEnd w:id="335"/>
      <w:r w:rsidRPr="0015243A">
        <w:t>, R, Jennings, CD, McKnaught, MK &amp; Harris, EJ 2016, ‘</w:t>
      </w:r>
      <w:r w:rsidRPr="0015243A">
        <w:rPr>
          <w:i/>
        </w:rPr>
        <w:t>Eradication of two incursions of the Red Imported Fire Ant in Queensland, Australia</w:t>
      </w:r>
      <w:r w:rsidRPr="0015243A">
        <w:t>’, Ecological Management &amp; Restoration, vol. 17(1),</w:t>
      </w:r>
      <w:r w:rsidR="008D2455" w:rsidRPr="0015243A">
        <w:t xml:space="preserve"> </w:t>
      </w:r>
      <w:r w:rsidRPr="0015243A">
        <w:t>pp. 22–32.</w:t>
      </w:r>
    </w:p>
    <w:sectPr w:rsidR="0002641C" w:rsidRPr="0015243A" w:rsidSect="00D05566">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BF261E" w14:textId="77777777" w:rsidR="001A48AA" w:rsidRDefault="001A48AA" w:rsidP="00267841">
      <w:r>
        <w:separator/>
      </w:r>
    </w:p>
    <w:p w14:paraId="45263A72" w14:textId="77777777" w:rsidR="001A48AA" w:rsidRDefault="001A48AA"/>
    <w:p w14:paraId="669CF051" w14:textId="77777777" w:rsidR="001A48AA" w:rsidRDefault="001A48AA"/>
  </w:endnote>
  <w:endnote w:type="continuationSeparator" w:id="0">
    <w:p w14:paraId="2B5D0A9F" w14:textId="77777777" w:rsidR="001A48AA" w:rsidRDefault="001A48AA" w:rsidP="00267841">
      <w:r>
        <w:continuationSeparator/>
      </w:r>
    </w:p>
    <w:p w14:paraId="2B6D3C0C" w14:textId="77777777" w:rsidR="001A48AA" w:rsidRDefault="001A48AA"/>
    <w:p w14:paraId="18A55A60" w14:textId="77777777" w:rsidR="001A48AA" w:rsidRDefault="001A48AA"/>
  </w:endnote>
  <w:endnote w:type="continuationNotice" w:id="1">
    <w:p w14:paraId="0CA054B0" w14:textId="77777777" w:rsidR="001A48AA" w:rsidRPr="00696C70" w:rsidRDefault="001A48AA" w:rsidP="00267841">
      <w:pPr>
        <w:pStyle w:val="Footer"/>
      </w:pPr>
    </w:p>
    <w:p w14:paraId="7DDDAE1D" w14:textId="77777777" w:rsidR="001A48AA" w:rsidRDefault="001A48AA"/>
    <w:p w14:paraId="3C6D87FF" w14:textId="77777777" w:rsidR="001A48AA" w:rsidRDefault="001A48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5504778"/>
      <w:docPartObj>
        <w:docPartGallery w:val="Page Numbers (Bottom of Page)"/>
        <w:docPartUnique/>
      </w:docPartObj>
    </w:sdtPr>
    <w:sdtEndPr>
      <w:rPr>
        <w:noProof/>
      </w:rPr>
    </w:sdtEndPr>
    <w:sdtContent>
      <w:p w14:paraId="27147AFE" w14:textId="77777777" w:rsidR="001A48AA" w:rsidRDefault="001A48AA">
        <w:pPr>
          <w:pStyle w:val="Footer"/>
        </w:pPr>
        <w:r>
          <w:fldChar w:fldCharType="begin"/>
        </w:r>
        <w:r>
          <w:instrText xml:space="preserve"> PAGE   \* MERGEFORMAT </w:instrText>
        </w:r>
        <w:r>
          <w:fldChar w:fldCharType="separate"/>
        </w:r>
        <w:r w:rsidR="008303E2">
          <w:rPr>
            <w:noProof/>
          </w:rPr>
          <w:t>vi</w:t>
        </w:r>
        <w:r>
          <w:rPr>
            <w:noProof/>
          </w:rPr>
          <w:fldChar w:fldCharType="end"/>
        </w:r>
      </w:p>
    </w:sdtContent>
  </w:sdt>
  <w:p w14:paraId="57BF37C4" w14:textId="77777777" w:rsidR="001A48AA" w:rsidRPr="000A561B" w:rsidRDefault="001A48AA" w:rsidP="000A56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243B78" w14:textId="77777777" w:rsidR="001A48AA" w:rsidRDefault="001A48AA" w:rsidP="00267841">
      <w:r>
        <w:separator/>
      </w:r>
    </w:p>
    <w:p w14:paraId="5C0A6E77" w14:textId="77777777" w:rsidR="001A48AA" w:rsidRDefault="001A48AA"/>
    <w:p w14:paraId="173CBF72" w14:textId="77777777" w:rsidR="001A48AA" w:rsidRDefault="001A48AA"/>
  </w:footnote>
  <w:footnote w:type="continuationSeparator" w:id="0">
    <w:p w14:paraId="7D900B84" w14:textId="77777777" w:rsidR="001A48AA" w:rsidRDefault="001A48AA" w:rsidP="00267841">
      <w:r>
        <w:continuationSeparator/>
      </w:r>
    </w:p>
    <w:p w14:paraId="1A16CC54" w14:textId="77777777" w:rsidR="001A48AA" w:rsidRDefault="001A48AA"/>
    <w:p w14:paraId="77A97247" w14:textId="77777777" w:rsidR="001A48AA" w:rsidRDefault="001A48AA"/>
  </w:footnote>
  <w:footnote w:type="continuationNotice" w:id="1">
    <w:p w14:paraId="0DBFFD87" w14:textId="77777777" w:rsidR="001A48AA" w:rsidRPr="00310C6A" w:rsidRDefault="001A48AA" w:rsidP="00267841">
      <w:pPr>
        <w:pStyle w:val="Footer"/>
      </w:pPr>
    </w:p>
    <w:p w14:paraId="196DCA8F" w14:textId="77777777" w:rsidR="001A48AA" w:rsidRDefault="001A48AA"/>
    <w:p w14:paraId="2400915D" w14:textId="77777777" w:rsidR="001A48AA" w:rsidRDefault="001A48A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FCDFB" w14:textId="228038CE" w:rsidR="001A48AA" w:rsidRDefault="001A48AA" w:rsidP="00267841">
    <w:pPr>
      <w:pStyle w:val="Header"/>
    </w:pPr>
    <w:r>
      <w:t>Intergovernmental Agreement on Biosecurity Review</w:t>
    </w:r>
    <w:r w:rsidRPr="00663DB1">
      <w:t xml:space="preserve"> </w:t>
    </w:r>
    <w:r>
      <w:t>Draft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A5A6F8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B428576"/>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2" w15:restartNumberingAfterBreak="0">
    <w:nsid w:val="017233BA"/>
    <w:multiLevelType w:val="hybridMultilevel"/>
    <w:tmpl w:val="9104F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25621C"/>
    <w:multiLevelType w:val="multilevel"/>
    <w:tmpl w:val="4106EC9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 w15:restartNumberingAfterBreak="0">
    <w:nsid w:val="07AC0371"/>
    <w:multiLevelType w:val="hybridMultilevel"/>
    <w:tmpl w:val="72C6A4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5E2F35"/>
    <w:multiLevelType w:val="multilevel"/>
    <w:tmpl w:val="76029A10"/>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971248"/>
    <w:multiLevelType w:val="hybridMultilevel"/>
    <w:tmpl w:val="23F6F6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3D44583"/>
    <w:multiLevelType w:val="hybridMultilevel"/>
    <w:tmpl w:val="FDC869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781AFA"/>
    <w:multiLevelType w:val="hybridMultilevel"/>
    <w:tmpl w:val="2CD654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2FC34CB"/>
    <w:multiLevelType w:val="hybridMultilevel"/>
    <w:tmpl w:val="09346F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94A15FE"/>
    <w:multiLevelType w:val="multilevel"/>
    <w:tmpl w:val="F36C17E8"/>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F83027"/>
    <w:multiLevelType w:val="hybridMultilevel"/>
    <w:tmpl w:val="1ABE36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4ED51BB"/>
    <w:multiLevelType w:val="hybridMultilevel"/>
    <w:tmpl w:val="6FE048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7" w15:restartNumberingAfterBreak="0">
    <w:nsid w:val="5B8F3B04"/>
    <w:multiLevelType w:val="multilevel"/>
    <w:tmpl w:val="4182A4F0"/>
    <w:styleLink w:val="Numberlist"/>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8" w15:restartNumberingAfterBreak="0">
    <w:nsid w:val="5DD74D24"/>
    <w:multiLevelType w:val="multilevel"/>
    <w:tmpl w:val="868C1D76"/>
    <w:lvl w:ilvl="0">
      <w:start w:val="1"/>
      <w:numFmt w:val="decimal"/>
      <w:pStyle w:val="ListNumber"/>
      <w:lvlText w:val="%1)"/>
      <w:lvlJc w:val="left"/>
      <w:pPr>
        <w:ind w:left="567" w:hanging="567"/>
      </w:pPr>
      <w:rPr>
        <w:rFonts w:hint="default"/>
        <w:color w:val="auto"/>
      </w:rPr>
    </w:lvl>
    <w:lvl w:ilvl="1">
      <w:start w:val="1"/>
      <w:numFmt w:val="lowerLetter"/>
      <w:pStyle w:val="ListNumber2"/>
      <w:lvlText w:val="%2)"/>
      <w:lvlJc w:val="left"/>
      <w:pPr>
        <w:ind w:left="851" w:hanging="284"/>
      </w:pPr>
      <w:rPr>
        <w:rFonts w:hint="default"/>
      </w:rPr>
    </w:lvl>
    <w:lvl w:ilvl="2">
      <w:start w:val="1"/>
      <w:numFmt w:val="lowerRoman"/>
      <w:pStyle w:val="ListNumber3"/>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9" w15:restartNumberingAfterBreak="0">
    <w:nsid w:val="64AB46DF"/>
    <w:multiLevelType w:val="hybridMultilevel"/>
    <w:tmpl w:val="368CFF66"/>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0" w15:restartNumberingAfterBreak="0">
    <w:nsid w:val="68D04E1E"/>
    <w:multiLevelType w:val="hybridMultilevel"/>
    <w:tmpl w:val="2E5AB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lvlOverride w:ilvl="0">
      <w:startOverride w:val="1"/>
    </w:lvlOverride>
  </w:num>
  <w:num w:numId="3">
    <w:abstractNumId w:val="13"/>
  </w:num>
  <w:num w:numId="4">
    <w:abstractNumId w:val="6"/>
  </w:num>
  <w:num w:numId="5">
    <w:abstractNumId w:val="16"/>
  </w:num>
  <w:num w:numId="6">
    <w:abstractNumId w:val="17"/>
  </w:num>
  <w:num w:numId="7">
    <w:abstractNumId w:val="5"/>
  </w:num>
  <w:num w:numId="8">
    <w:abstractNumId w:val="8"/>
  </w:num>
  <w:num w:numId="9">
    <w:abstractNumId w:val="12"/>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5"/>
  </w:num>
  <w:num w:numId="13">
    <w:abstractNumId w:val="14"/>
  </w:num>
  <w:num w:numId="14">
    <w:abstractNumId w:val="4"/>
  </w:num>
  <w:num w:numId="15">
    <w:abstractNumId w:val="9"/>
  </w:num>
  <w:num w:numId="16">
    <w:abstractNumId w:val="11"/>
  </w:num>
  <w:num w:numId="17">
    <w:abstractNumId w:val="20"/>
  </w:num>
  <w:num w:numId="18">
    <w:abstractNumId w:val="10"/>
  </w:num>
  <w:num w:numId="19">
    <w:abstractNumId w:val="5"/>
  </w:num>
  <w:num w:numId="20">
    <w:abstractNumId w:val="5"/>
    <w:lvlOverride w:ilvl="0">
      <w:startOverride w:val="8"/>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8"/>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3"/>
    <w:lvlOverride w:ilvl="0">
      <w:startOverride w:val="3"/>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ADA"/>
    <w:rsid w:val="0000006D"/>
    <w:rsid w:val="000008A6"/>
    <w:rsid w:val="00001B76"/>
    <w:rsid w:val="000020B5"/>
    <w:rsid w:val="000027C9"/>
    <w:rsid w:val="000039FD"/>
    <w:rsid w:val="00003A2F"/>
    <w:rsid w:val="00003A8A"/>
    <w:rsid w:val="000045BE"/>
    <w:rsid w:val="00004CBD"/>
    <w:rsid w:val="0000510A"/>
    <w:rsid w:val="00005262"/>
    <w:rsid w:val="00005693"/>
    <w:rsid w:val="00005DCF"/>
    <w:rsid w:val="000060EA"/>
    <w:rsid w:val="00006FBD"/>
    <w:rsid w:val="00007FD4"/>
    <w:rsid w:val="00010BDE"/>
    <w:rsid w:val="00010C63"/>
    <w:rsid w:val="00011A8A"/>
    <w:rsid w:val="000121BF"/>
    <w:rsid w:val="00012572"/>
    <w:rsid w:val="000125BB"/>
    <w:rsid w:val="00014EF6"/>
    <w:rsid w:val="0001504C"/>
    <w:rsid w:val="000150DB"/>
    <w:rsid w:val="000152F2"/>
    <w:rsid w:val="00016544"/>
    <w:rsid w:val="000165F4"/>
    <w:rsid w:val="0001695E"/>
    <w:rsid w:val="000206CF"/>
    <w:rsid w:val="00020B9F"/>
    <w:rsid w:val="0002199E"/>
    <w:rsid w:val="0002273A"/>
    <w:rsid w:val="0002325D"/>
    <w:rsid w:val="000232C5"/>
    <w:rsid w:val="0002368E"/>
    <w:rsid w:val="0002377F"/>
    <w:rsid w:val="00023C00"/>
    <w:rsid w:val="000254A1"/>
    <w:rsid w:val="000257A6"/>
    <w:rsid w:val="0002641C"/>
    <w:rsid w:val="0002655F"/>
    <w:rsid w:val="00026A1B"/>
    <w:rsid w:val="00027C98"/>
    <w:rsid w:val="000301D3"/>
    <w:rsid w:val="000304DC"/>
    <w:rsid w:val="00030743"/>
    <w:rsid w:val="00030DBE"/>
    <w:rsid w:val="00031EBE"/>
    <w:rsid w:val="00032694"/>
    <w:rsid w:val="00033C71"/>
    <w:rsid w:val="00033EE3"/>
    <w:rsid w:val="00034157"/>
    <w:rsid w:val="00034203"/>
    <w:rsid w:val="00034415"/>
    <w:rsid w:val="00034494"/>
    <w:rsid w:val="00034582"/>
    <w:rsid w:val="0003507A"/>
    <w:rsid w:val="000353F7"/>
    <w:rsid w:val="000357D6"/>
    <w:rsid w:val="0003694B"/>
    <w:rsid w:val="00037065"/>
    <w:rsid w:val="00037CB7"/>
    <w:rsid w:val="000409CF"/>
    <w:rsid w:val="00040C89"/>
    <w:rsid w:val="00041399"/>
    <w:rsid w:val="000413BD"/>
    <w:rsid w:val="00041B91"/>
    <w:rsid w:val="00041C06"/>
    <w:rsid w:val="00041C73"/>
    <w:rsid w:val="00041D7C"/>
    <w:rsid w:val="0004353E"/>
    <w:rsid w:val="00043C12"/>
    <w:rsid w:val="00043D8C"/>
    <w:rsid w:val="00044210"/>
    <w:rsid w:val="00044441"/>
    <w:rsid w:val="00044A45"/>
    <w:rsid w:val="00044B19"/>
    <w:rsid w:val="00045560"/>
    <w:rsid w:val="00045C03"/>
    <w:rsid w:val="00045C0E"/>
    <w:rsid w:val="00046640"/>
    <w:rsid w:val="00046649"/>
    <w:rsid w:val="00046BCB"/>
    <w:rsid w:val="00046E19"/>
    <w:rsid w:val="000509C7"/>
    <w:rsid w:val="00050D60"/>
    <w:rsid w:val="00051268"/>
    <w:rsid w:val="0005234D"/>
    <w:rsid w:val="00052573"/>
    <w:rsid w:val="00052D73"/>
    <w:rsid w:val="00053873"/>
    <w:rsid w:val="00053F31"/>
    <w:rsid w:val="00054EBA"/>
    <w:rsid w:val="0005522A"/>
    <w:rsid w:val="000552AB"/>
    <w:rsid w:val="00055E1D"/>
    <w:rsid w:val="0005647E"/>
    <w:rsid w:val="00056540"/>
    <w:rsid w:val="00057709"/>
    <w:rsid w:val="00057C26"/>
    <w:rsid w:val="00057C3B"/>
    <w:rsid w:val="000608E8"/>
    <w:rsid w:val="00060D86"/>
    <w:rsid w:val="0006118A"/>
    <w:rsid w:val="000618F3"/>
    <w:rsid w:val="00062969"/>
    <w:rsid w:val="00062C84"/>
    <w:rsid w:val="00062DAF"/>
    <w:rsid w:val="00063145"/>
    <w:rsid w:val="00063EB7"/>
    <w:rsid w:val="0006419D"/>
    <w:rsid w:val="00064B7D"/>
    <w:rsid w:val="00065285"/>
    <w:rsid w:val="000657DE"/>
    <w:rsid w:val="00066033"/>
    <w:rsid w:val="00066293"/>
    <w:rsid w:val="00066BCD"/>
    <w:rsid w:val="00067519"/>
    <w:rsid w:val="000679B7"/>
    <w:rsid w:val="00067C92"/>
    <w:rsid w:val="00067D89"/>
    <w:rsid w:val="0007046B"/>
    <w:rsid w:val="0007154D"/>
    <w:rsid w:val="00072255"/>
    <w:rsid w:val="0007238F"/>
    <w:rsid w:val="00072461"/>
    <w:rsid w:val="00072BA4"/>
    <w:rsid w:val="00072BB5"/>
    <w:rsid w:val="00072F5D"/>
    <w:rsid w:val="00073001"/>
    <w:rsid w:val="00073076"/>
    <w:rsid w:val="00073516"/>
    <w:rsid w:val="00073C5D"/>
    <w:rsid w:val="0007466B"/>
    <w:rsid w:val="00074FA1"/>
    <w:rsid w:val="00075E46"/>
    <w:rsid w:val="00075F7A"/>
    <w:rsid w:val="000762B2"/>
    <w:rsid w:val="00076791"/>
    <w:rsid w:val="000768B4"/>
    <w:rsid w:val="00076F1E"/>
    <w:rsid w:val="00080148"/>
    <w:rsid w:val="00080652"/>
    <w:rsid w:val="0008128C"/>
    <w:rsid w:val="000812F7"/>
    <w:rsid w:val="00081AD5"/>
    <w:rsid w:val="00081BB4"/>
    <w:rsid w:val="00082202"/>
    <w:rsid w:val="000826EF"/>
    <w:rsid w:val="0008286D"/>
    <w:rsid w:val="00082B00"/>
    <w:rsid w:val="00082BFB"/>
    <w:rsid w:val="00082ED8"/>
    <w:rsid w:val="000830C6"/>
    <w:rsid w:val="00083505"/>
    <w:rsid w:val="0008351F"/>
    <w:rsid w:val="00083BBC"/>
    <w:rsid w:val="00083FCE"/>
    <w:rsid w:val="00084FAB"/>
    <w:rsid w:val="00085A2C"/>
    <w:rsid w:val="00086042"/>
    <w:rsid w:val="0008679E"/>
    <w:rsid w:val="00086969"/>
    <w:rsid w:val="0008702B"/>
    <w:rsid w:val="00087F29"/>
    <w:rsid w:val="00090583"/>
    <w:rsid w:val="000908B8"/>
    <w:rsid w:val="000915F3"/>
    <w:rsid w:val="000917A0"/>
    <w:rsid w:val="00091C91"/>
    <w:rsid w:val="00092BD5"/>
    <w:rsid w:val="00092F0D"/>
    <w:rsid w:val="00097278"/>
    <w:rsid w:val="00097C66"/>
    <w:rsid w:val="00097F1D"/>
    <w:rsid w:val="000A0288"/>
    <w:rsid w:val="000A0EFD"/>
    <w:rsid w:val="000A1085"/>
    <w:rsid w:val="000A10E2"/>
    <w:rsid w:val="000A165C"/>
    <w:rsid w:val="000A17CE"/>
    <w:rsid w:val="000A1812"/>
    <w:rsid w:val="000A1A1B"/>
    <w:rsid w:val="000A1AC3"/>
    <w:rsid w:val="000A1F76"/>
    <w:rsid w:val="000A2463"/>
    <w:rsid w:val="000A3013"/>
    <w:rsid w:val="000A342F"/>
    <w:rsid w:val="000A3EDA"/>
    <w:rsid w:val="000A4532"/>
    <w:rsid w:val="000A4F76"/>
    <w:rsid w:val="000A4FA1"/>
    <w:rsid w:val="000A561B"/>
    <w:rsid w:val="000A63E6"/>
    <w:rsid w:val="000A66A7"/>
    <w:rsid w:val="000A6A8B"/>
    <w:rsid w:val="000A6CE8"/>
    <w:rsid w:val="000A6E29"/>
    <w:rsid w:val="000A7FA9"/>
    <w:rsid w:val="000B0517"/>
    <w:rsid w:val="000B0771"/>
    <w:rsid w:val="000B2059"/>
    <w:rsid w:val="000B234A"/>
    <w:rsid w:val="000B2960"/>
    <w:rsid w:val="000B31BB"/>
    <w:rsid w:val="000B3B4D"/>
    <w:rsid w:val="000B46A7"/>
    <w:rsid w:val="000B57B0"/>
    <w:rsid w:val="000B5859"/>
    <w:rsid w:val="000B5D1C"/>
    <w:rsid w:val="000B66AE"/>
    <w:rsid w:val="000B6B51"/>
    <w:rsid w:val="000B6C13"/>
    <w:rsid w:val="000B77E7"/>
    <w:rsid w:val="000C01A4"/>
    <w:rsid w:val="000C07BF"/>
    <w:rsid w:val="000C147F"/>
    <w:rsid w:val="000C1539"/>
    <w:rsid w:val="000C1701"/>
    <w:rsid w:val="000C1F61"/>
    <w:rsid w:val="000C2A3F"/>
    <w:rsid w:val="000C2C15"/>
    <w:rsid w:val="000C4259"/>
    <w:rsid w:val="000C4A92"/>
    <w:rsid w:val="000C4F8B"/>
    <w:rsid w:val="000C5064"/>
    <w:rsid w:val="000C5221"/>
    <w:rsid w:val="000C525C"/>
    <w:rsid w:val="000C55B6"/>
    <w:rsid w:val="000C6D11"/>
    <w:rsid w:val="000C6D47"/>
    <w:rsid w:val="000C703F"/>
    <w:rsid w:val="000C75C7"/>
    <w:rsid w:val="000C77CB"/>
    <w:rsid w:val="000C77FA"/>
    <w:rsid w:val="000D0236"/>
    <w:rsid w:val="000D0A73"/>
    <w:rsid w:val="000D0BAE"/>
    <w:rsid w:val="000D1B32"/>
    <w:rsid w:val="000D2CDF"/>
    <w:rsid w:val="000D4317"/>
    <w:rsid w:val="000D4B9C"/>
    <w:rsid w:val="000D51AA"/>
    <w:rsid w:val="000D5CBE"/>
    <w:rsid w:val="000D5D24"/>
    <w:rsid w:val="000D60E3"/>
    <w:rsid w:val="000D6AA8"/>
    <w:rsid w:val="000E04F1"/>
    <w:rsid w:val="000E04FE"/>
    <w:rsid w:val="000E1B48"/>
    <w:rsid w:val="000E2148"/>
    <w:rsid w:val="000E2926"/>
    <w:rsid w:val="000E2D89"/>
    <w:rsid w:val="000E3A1C"/>
    <w:rsid w:val="000E4C72"/>
    <w:rsid w:val="000E5236"/>
    <w:rsid w:val="000E5684"/>
    <w:rsid w:val="000E5E49"/>
    <w:rsid w:val="000E6C2C"/>
    <w:rsid w:val="000E777F"/>
    <w:rsid w:val="000E7E04"/>
    <w:rsid w:val="000F036B"/>
    <w:rsid w:val="000F041C"/>
    <w:rsid w:val="000F061B"/>
    <w:rsid w:val="000F0941"/>
    <w:rsid w:val="000F1DE6"/>
    <w:rsid w:val="000F1FCA"/>
    <w:rsid w:val="000F28CF"/>
    <w:rsid w:val="000F2911"/>
    <w:rsid w:val="000F353A"/>
    <w:rsid w:val="000F3C36"/>
    <w:rsid w:val="000F4AC8"/>
    <w:rsid w:val="000F4DC3"/>
    <w:rsid w:val="000F4E34"/>
    <w:rsid w:val="000F6B5F"/>
    <w:rsid w:val="00100E43"/>
    <w:rsid w:val="00101504"/>
    <w:rsid w:val="001025B1"/>
    <w:rsid w:val="00102736"/>
    <w:rsid w:val="001028F8"/>
    <w:rsid w:val="001029E3"/>
    <w:rsid w:val="00103291"/>
    <w:rsid w:val="00103B88"/>
    <w:rsid w:val="00104AFD"/>
    <w:rsid w:val="0010519D"/>
    <w:rsid w:val="00105AC2"/>
    <w:rsid w:val="00106A53"/>
    <w:rsid w:val="00106BDF"/>
    <w:rsid w:val="00106F10"/>
    <w:rsid w:val="00107171"/>
    <w:rsid w:val="0010762B"/>
    <w:rsid w:val="00107DA2"/>
    <w:rsid w:val="0011051E"/>
    <w:rsid w:val="00113808"/>
    <w:rsid w:val="00114AAB"/>
    <w:rsid w:val="001151FF"/>
    <w:rsid w:val="00115AEC"/>
    <w:rsid w:val="00115E20"/>
    <w:rsid w:val="00115FB0"/>
    <w:rsid w:val="001166B3"/>
    <w:rsid w:val="00116CED"/>
    <w:rsid w:val="001171FF"/>
    <w:rsid w:val="00120261"/>
    <w:rsid w:val="00120DE4"/>
    <w:rsid w:val="00120EC8"/>
    <w:rsid w:val="0012130A"/>
    <w:rsid w:val="00121944"/>
    <w:rsid w:val="00122213"/>
    <w:rsid w:val="0012363D"/>
    <w:rsid w:val="00124376"/>
    <w:rsid w:val="00124CCD"/>
    <w:rsid w:val="001257EA"/>
    <w:rsid w:val="001267E6"/>
    <w:rsid w:val="00127368"/>
    <w:rsid w:val="00127D27"/>
    <w:rsid w:val="0013137B"/>
    <w:rsid w:val="00131E2C"/>
    <w:rsid w:val="001320CF"/>
    <w:rsid w:val="00132493"/>
    <w:rsid w:val="0013298D"/>
    <w:rsid w:val="00132C2A"/>
    <w:rsid w:val="00132D29"/>
    <w:rsid w:val="00132DF0"/>
    <w:rsid w:val="0013337C"/>
    <w:rsid w:val="00133679"/>
    <w:rsid w:val="00134239"/>
    <w:rsid w:val="00135269"/>
    <w:rsid w:val="001360A4"/>
    <w:rsid w:val="0013694D"/>
    <w:rsid w:val="00137026"/>
    <w:rsid w:val="00137058"/>
    <w:rsid w:val="001372BD"/>
    <w:rsid w:val="00137B2F"/>
    <w:rsid w:val="0014029A"/>
    <w:rsid w:val="00140387"/>
    <w:rsid w:val="00140403"/>
    <w:rsid w:val="0014069B"/>
    <w:rsid w:val="00140ABD"/>
    <w:rsid w:val="00140B61"/>
    <w:rsid w:val="00141354"/>
    <w:rsid w:val="001413A1"/>
    <w:rsid w:val="001418F5"/>
    <w:rsid w:val="001419F7"/>
    <w:rsid w:val="00141A65"/>
    <w:rsid w:val="00142359"/>
    <w:rsid w:val="00142B0F"/>
    <w:rsid w:val="00142E21"/>
    <w:rsid w:val="0014345A"/>
    <w:rsid w:val="00143503"/>
    <w:rsid w:val="00143546"/>
    <w:rsid w:val="001437F8"/>
    <w:rsid w:val="001439F7"/>
    <w:rsid w:val="00144632"/>
    <w:rsid w:val="00144DA9"/>
    <w:rsid w:val="001451D2"/>
    <w:rsid w:val="001452E6"/>
    <w:rsid w:val="00145813"/>
    <w:rsid w:val="0014629B"/>
    <w:rsid w:val="001466E8"/>
    <w:rsid w:val="001469AD"/>
    <w:rsid w:val="001470DF"/>
    <w:rsid w:val="00147861"/>
    <w:rsid w:val="00147B62"/>
    <w:rsid w:val="00150693"/>
    <w:rsid w:val="00150924"/>
    <w:rsid w:val="0015124D"/>
    <w:rsid w:val="0015179E"/>
    <w:rsid w:val="00151FED"/>
    <w:rsid w:val="0015243A"/>
    <w:rsid w:val="00152724"/>
    <w:rsid w:val="00152A5A"/>
    <w:rsid w:val="00152A7F"/>
    <w:rsid w:val="00152C97"/>
    <w:rsid w:val="001531C0"/>
    <w:rsid w:val="001535F1"/>
    <w:rsid w:val="001536F6"/>
    <w:rsid w:val="00153E24"/>
    <w:rsid w:val="00153F7A"/>
    <w:rsid w:val="00154BF5"/>
    <w:rsid w:val="001558B8"/>
    <w:rsid w:val="00155DD3"/>
    <w:rsid w:val="00155F0B"/>
    <w:rsid w:val="00156037"/>
    <w:rsid w:val="001568B8"/>
    <w:rsid w:val="0015764B"/>
    <w:rsid w:val="001576A2"/>
    <w:rsid w:val="001578A4"/>
    <w:rsid w:val="00157C13"/>
    <w:rsid w:val="00157C7C"/>
    <w:rsid w:val="00157D1E"/>
    <w:rsid w:val="0016100F"/>
    <w:rsid w:val="001617D0"/>
    <w:rsid w:val="00161ACC"/>
    <w:rsid w:val="00161DCB"/>
    <w:rsid w:val="00162233"/>
    <w:rsid w:val="001628AD"/>
    <w:rsid w:val="00162F72"/>
    <w:rsid w:val="00163ACD"/>
    <w:rsid w:val="00164202"/>
    <w:rsid w:val="0016454F"/>
    <w:rsid w:val="00164AB2"/>
    <w:rsid w:val="001654D0"/>
    <w:rsid w:val="0016559F"/>
    <w:rsid w:val="00165E98"/>
    <w:rsid w:val="00166452"/>
    <w:rsid w:val="00166505"/>
    <w:rsid w:val="00167417"/>
    <w:rsid w:val="00167F20"/>
    <w:rsid w:val="00167F56"/>
    <w:rsid w:val="0017017B"/>
    <w:rsid w:val="00170C4E"/>
    <w:rsid w:val="0017118A"/>
    <w:rsid w:val="001717D8"/>
    <w:rsid w:val="0017195A"/>
    <w:rsid w:val="00171AD9"/>
    <w:rsid w:val="00172481"/>
    <w:rsid w:val="00172A5F"/>
    <w:rsid w:val="0017332F"/>
    <w:rsid w:val="00173B66"/>
    <w:rsid w:val="00173C56"/>
    <w:rsid w:val="00173FF2"/>
    <w:rsid w:val="00174B32"/>
    <w:rsid w:val="00174F3A"/>
    <w:rsid w:val="00175477"/>
    <w:rsid w:val="00175E3C"/>
    <w:rsid w:val="0017615D"/>
    <w:rsid w:val="0017645F"/>
    <w:rsid w:val="0017772E"/>
    <w:rsid w:val="00181533"/>
    <w:rsid w:val="00182084"/>
    <w:rsid w:val="00182884"/>
    <w:rsid w:val="00182DCB"/>
    <w:rsid w:val="00183CE1"/>
    <w:rsid w:val="001846E8"/>
    <w:rsid w:val="00184AAE"/>
    <w:rsid w:val="00185185"/>
    <w:rsid w:val="001853F3"/>
    <w:rsid w:val="00185963"/>
    <w:rsid w:val="001859F7"/>
    <w:rsid w:val="00185EBD"/>
    <w:rsid w:val="00186088"/>
    <w:rsid w:val="0018762B"/>
    <w:rsid w:val="00187ACD"/>
    <w:rsid w:val="00190057"/>
    <w:rsid w:val="0019044E"/>
    <w:rsid w:val="00190F9D"/>
    <w:rsid w:val="001912C6"/>
    <w:rsid w:val="00191E2B"/>
    <w:rsid w:val="00192613"/>
    <w:rsid w:val="001926EB"/>
    <w:rsid w:val="00192B7F"/>
    <w:rsid w:val="00193D66"/>
    <w:rsid w:val="00194246"/>
    <w:rsid w:val="00194426"/>
    <w:rsid w:val="001944D0"/>
    <w:rsid w:val="00195D43"/>
    <w:rsid w:val="00195EF1"/>
    <w:rsid w:val="00196211"/>
    <w:rsid w:val="00196C46"/>
    <w:rsid w:val="00197838"/>
    <w:rsid w:val="00197868"/>
    <w:rsid w:val="00197E36"/>
    <w:rsid w:val="001A00B8"/>
    <w:rsid w:val="001A0D11"/>
    <w:rsid w:val="001A12B2"/>
    <w:rsid w:val="001A16CA"/>
    <w:rsid w:val="001A1A0B"/>
    <w:rsid w:val="001A1A25"/>
    <w:rsid w:val="001A1B5E"/>
    <w:rsid w:val="001A2162"/>
    <w:rsid w:val="001A21CB"/>
    <w:rsid w:val="001A24EC"/>
    <w:rsid w:val="001A3315"/>
    <w:rsid w:val="001A3C8E"/>
    <w:rsid w:val="001A48AA"/>
    <w:rsid w:val="001A4983"/>
    <w:rsid w:val="001A5035"/>
    <w:rsid w:val="001A618A"/>
    <w:rsid w:val="001A6572"/>
    <w:rsid w:val="001A68C3"/>
    <w:rsid w:val="001A6FEB"/>
    <w:rsid w:val="001A7C00"/>
    <w:rsid w:val="001A7F88"/>
    <w:rsid w:val="001B02BE"/>
    <w:rsid w:val="001B1BDB"/>
    <w:rsid w:val="001B1C7D"/>
    <w:rsid w:val="001B2AB1"/>
    <w:rsid w:val="001B313E"/>
    <w:rsid w:val="001B3503"/>
    <w:rsid w:val="001B37E2"/>
    <w:rsid w:val="001B39F4"/>
    <w:rsid w:val="001B4322"/>
    <w:rsid w:val="001B4470"/>
    <w:rsid w:val="001B4FBE"/>
    <w:rsid w:val="001B6045"/>
    <w:rsid w:val="001B62F7"/>
    <w:rsid w:val="001B6877"/>
    <w:rsid w:val="001B7055"/>
    <w:rsid w:val="001B71AF"/>
    <w:rsid w:val="001C01CD"/>
    <w:rsid w:val="001C147B"/>
    <w:rsid w:val="001C1D7F"/>
    <w:rsid w:val="001C205C"/>
    <w:rsid w:val="001C2157"/>
    <w:rsid w:val="001C271E"/>
    <w:rsid w:val="001C292D"/>
    <w:rsid w:val="001C2F2D"/>
    <w:rsid w:val="001C391A"/>
    <w:rsid w:val="001C4BF4"/>
    <w:rsid w:val="001C50A0"/>
    <w:rsid w:val="001C5300"/>
    <w:rsid w:val="001C5600"/>
    <w:rsid w:val="001C5858"/>
    <w:rsid w:val="001C6898"/>
    <w:rsid w:val="001C6A9B"/>
    <w:rsid w:val="001C6F77"/>
    <w:rsid w:val="001C722B"/>
    <w:rsid w:val="001C7B7D"/>
    <w:rsid w:val="001C7F63"/>
    <w:rsid w:val="001D02CF"/>
    <w:rsid w:val="001D1204"/>
    <w:rsid w:val="001D14F7"/>
    <w:rsid w:val="001D157D"/>
    <w:rsid w:val="001D1DE5"/>
    <w:rsid w:val="001D2444"/>
    <w:rsid w:val="001D386F"/>
    <w:rsid w:val="001D4188"/>
    <w:rsid w:val="001D43A0"/>
    <w:rsid w:val="001D4421"/>
    <w:rsid w:val="001D54A4"/>
    <w:rsid w:val="001D5C3F"/>
    <w:rsid w:val="001D5EE4"/>
    <w:rsid w:val="001D60E7"/>
    <w:rsid w:val="001D6225"/>
    <w:rsid w:val="001D633A"/>
    <w:rsid w:val="001D63E5"/>
    <w:rsid w:val="001D6563"/>
    <w:rsid w:val="001D6B85"/>
    <w:rsid w:val="001D702D"/>
    <w:rsid w:val="001D71DC"/>
    <w:rsid w:val="001D7F09"/>
    <w:rsid w:val="001E01C9"/>
    <w:rsid w:val="001E0BF4"/>
    <w:rsid w:val="001E13E5"/>
    <w:rsid w:val="001E295C"/>
    <w:rsid w:val="001E2A52"/>
    <w:rsid w:val="001E3121"/>
    <w:rsid w:val="001E36E8"/>
    <w:rsid w:val="001E3831"/>
    <w:rsid w:val="001E3871"/>
    <w:rsid w:val="001E3E73"/>
    <w:rsid w:val="001E4EFF"/>
    <w:rsid w:val="001E5501"/>
    <w:rsid w:val="001E5818"/>
    <w:rsid w:val="001E67EB"/>
    <w:rsid w:val="001E6E04"/>
    <w:rsid w:val="001F0308"/>
    <w:rsid w:val="001F0ACA"/>
    <w:rsid w:val="001F1528"/>
    <w:rsid w:val="001F1F5A"/>
    <w:rsid w:val="001F2331"/>
    <w:rsid w:val="001F25B1"/>
    <w:rsid w:val="001F2B0B"/>
    <w:rsid w:val="001F2B95"/>
    <w:rsid w:val="001F3911"/>
    <w:rsid w:val="001F4186"/>
    <w:rsid w:val="001F4C6B"/>
    <w:rsid w:val="001F66D8"/>
    <w:rsid w:val="001F70B0"/>
    <w:rsid w:val="001F7E4B"/>
    <w:rsid w:val="001F7E9C"/>
    <w:rsid w:val="002000CD"/>
    <w:rsid w:val="00200679"/>
    <w:rsid w:val="00200708"/>
    <w:rsid w:val="00200903"/>
    <w:rsid w:val="00200ACE"/>
    <w:rsid w:val="00201135"/>
    <w:rsid w:val="0020114C"/>
    <w:rsid w:val="002013A9"/>
    <w:rsid w:val="00201EE2"/>
    <w:rsid w:val="00202144"/>
    <w:rsid w:val="00202C10"/>
    <w:rsid w:val="00202E99"/>
    <w:rsid w:val="002039D0"/>
    <w:rsid w:val="00203CC0"/>
    <w:rsid w:val="00203CD4"/>
    <w:rsid w:val="00204BE9"/>
    <w:rsid w:val="00204C57"/>
    <w:rsid w:val="00204CE0"/>
    <w:rsid w:val="00204F1C"/>
    <w:rsid w:val="00206C86"/>
    <w:rsid w:val="002072BC"/>
    <w:rsid w:val="00207CAC"/>
    <w:rsid w:val="00210233"/>
    <w:rsid w:val="00210276"/>
    <w:rsid w:val="002105B1"/>
    <w:rsid w:val="00210701"/>
    <w:rsid w:val="0021080C"/>
    <w:rsid w:val="00210C13"/>
    <w:rsid w:val="00212EDE"/>
    <w:rsid w:val="002142FC"/>
    <w:rsid w:val="002149CD"/>
    <w:rsid w:val="0021543F"/>
    <w:rsid w:val="00215BF0"/>
    <w:rsid w:val="002161BF"/>
    <w:rsid w:val="002170F2"/>
    <w:rsid w:val="00217F02"/>
    <w:rsid w:val="00217F53"/>
    <w:rsid w:val="002202FB"/>
    <w:rsid w:val="002203A0"/>
    <w:rsid w:val="002208ED"/>
    <w:rsid w:val="00220B0D"/>
    <w:rsid w:val="00221012"/>
    <w:rsid w:val="0022175E"/>
    <w:rsid w:val="00221DF9"/>
    <w:rsid w:val="00221E1D"/>
    <w:rsid w:val="00222219"/>
    <w:rsid w:val="00223164"/>
    <w:rsid w:val="002231C2"/>
    <w:rsid w:val="002246DD"/>
    <w:rsid w:val="002248F4"/>
    <w:rsid w:val="002251C5"/>
    <w:rsid w:val="00225776"/>
    <w:rsid w:val="0022616A"/>
    <w:rsid w:val="0022648D"/>
    <w:rsid w:val="00226A69"/>
    <w:rsid w:val="00226EEE"/>
    <w:rsid w:val="00227FE6"/>
    <w:rsid w:val="0023139E"/>
    <w:rsid w:val="00231C98"/>
    <w:rsid w:val="002327C2"/>
    <w:rsid w:val="00232891"/>
    <w:rsid w:val="0023338C"/>
    <w:rsid w:val="00233AB4"/>
    <w:rsid w:val="00233CE3"/>
    <w:rsid w:val="0023438B"/>
    <w:rsid w:val="0023494D"/>
    <w:rsid w:val="002356C4"/>
    <w:rsid w:val="002360AA"/>
    <w:rsid w:val="0023637B"/>
    <w:rsid w:val="0023646B"/>
    <w:rsid w:val="002365EB"/>
    <w:rsid w:val="0023774F"/>
    <w:rsid w:val="00237871"/>
    <w:rsid w:val="00237993"/>
    <w:rsid w:val="00240AF6"/>
    <w:rsid w:val="00241122"/>
    <w:rsid w:val="00242775"/>
    <w:rsid w:val="00242802"/>
    <w:rsid w:val="00242E2E"/>
    <w:rsid w:val="002445D7"/>
    <w:rsid w:val="00244860"/>
    <w:rsid w:val="00244CD6"/>
    <w:rsid w:val="00245D70"/>
    <w:rsid w:val="00246104"/>
    <w:rsid w:val="0024645F"/>
    <w:rsid w:val="00246554"/>
    <w:rsid w:val="00246824"/>
    <w:rsid w:val="00246D4F"/>
    <w:rsid w:val="00247939"/>
    <w:rsid w:val="00247E51"/>
    <w:rsid w:val="00250A9B"/>
    <w:rsid w:val="00250E19"/>
    <w:rsid w:val="00250FB6"/>
    <w:rsid w:val="00251614"/>
    <w:rsid w:val="00251760"/>
    <w:rsid w:val="002517E7"/>
    <w:rsid w:val="00251A2E"/>
    <w:rsid w:val="0025201A"/>
    <w:rsid w:val="0025250E"/>
    <w:rsid w:val="002525A6"/>
    <w:rsid w:val="00252629"/>
    <w:rsid w:val="00252E72"/>
    <w:rsid w:val="002530F0"/>
    <w:rsid w:val="00253156"/>
    <w:rsid w:val="00253285"/>
    <w:rsid w:val="00253C3C"/>
    <w:rsid w:val="00253D32"/>
    <w:rsid w:val="00254335"/>
    <w:rsid w:val="002543D6"/>
    <w:rsid w:val="0025465A"/>
    <w:rsid w:val="00254921"/>
    <w:rsid w:val="00254A1E"/>
    <w:rsid w:val="00254AAC"/>
    <w:rsid w:val="002550AA"/>
    <w:rsid w:val="002561E3"/>
    <w:rsid w:val="002567E2"/>
    <w:rsid w:val="00256C20"/>
    <w:rsid w:val="00256CD3"/>
    <w:rsid w:val="00256D17"/>
    <w:rsid w:val="00256F2A"/>
    <w:rsid w:val="0025706E"/>
    <w:rsid w:val="00257466"/>
    <w:rsid w:val="00257CBB"/>
    <w:rsid w:val="00257F9C"/>
    <w:rsid w:val="002600E2"/>
    <w:rsid w:val="002604CC"/>
    <w:rsid w:val="00261B74"/>
    <w:rsid w:val="00262A31"/>
    <w:rsid w:val="0026328F"/>
    <w:rsid w:val="00263AEF"/>
    <w:rsid w:val="00263BE0"/>
    <w:rsid w:val="00264D30"/>
    <w:rsid w:val="00265AC7"/>
    <w:rsid w:val="00265C44"/>
    <w:rsid w:val="00265C8D"/>
    <w:rsid w:val="002667AC"/>
    <w:rsid w:val="00266AF2"/>
    <w:rsid w:val="00266DAF"/>
    <w:rsid w:val="00266DEC"/>
    <w:rsid w:val="0026729B"/>
    <w:rsid w:val="00267602"/>
    <w:rsid w:val="00267795"/>
    <w:rsid w:val="002677C7"/>
    <w:rsid w:val="00267841"/>
    <w:rsid w:val="002679F1"/>
    <w:rsid w:val="00270FF8"/>
    <w:rsid w:val="00271356"/>
    <w:rsid w:val="0027412D"/>
    <w:rsid w:val="002746EF"/>
    <w:rsid w:val="002749BD"/>
    <w:rsid w:val="00274AF1"/>
    <w:rsid w:val="00275F76"/>
    <w:rsid w:val="002761E6"/>
    <w:rsid w:val="00276BC8"/>
    <w:rsid w:val="002771A2"/>
    <w:rsid w:val="00277B35"/>
    <w:rsid w:val="00277BB9"/>
    <w:rsid w:val="00277FBD"/>
    <w:rsid w:val="00280A78"/>
    <w:rsid w:val="002810EC"/>
    <w:rsid w:val="00281272"/>
    <w:rsid w:val="00281C1B"/>
    <w:rsid w:val="0028208A"/>
    <w:rsid w:val="002821C0"/>
    <w:rsid w:val="002824DE"/>
    <w:rsid w:val="00282A20"/>
    <w:rsid w:val="00283803"/>
    <w:rsid w:val="002838D8"/>
    <w:rsid w:val="00283C9E"/>
    <w:rsid w:val="00283ED9"/>
    <w:rsid w:val="00284355"/>
    <w:rsid w:val="00284507"/>
    <w:rsid w:val="002845D8"/>
    <w:rsid w:val="00284AE8"/>
    <w:rsid w:val="00284C40"/>
    <w:rsid w:val="00284CBD"/>
    <w:rsid w:val="0028518A"/>
    <w:rsid w:val="00285FB3"/>
    <w:rsid w:val="00286E8D"/>
    <w:rsid w:val="00287672"/>
    <w:rsid w:val="00290680"/>
    <w:rsid w:val="00291FC3"/>
    <w:rsid w:val="00292794"/>
    <w:rsid w:val="00292A9C"/>
    <w:rsid w:val="00292AFE"/>
    <w:rsid w:val="00293535"/>
    <w:rsid w:val="0029486E"/>
    <w:rsid w:val="00294B17"/>
    <w:rsid w:val="002954AA"/>
    <w:rsid w:val="00296368"/>
    <w:rsid w:val="002967C1"/>
    <w:rsid w:val="002967DE"/>
    <w:rsid w:val="0029786F"/>
    <w:rsid w:val="00297BA9"/>
    <w:rsid w:val="00297D32"/>
    <w:rsid w:val="002A0421"/>
    <w:rsid w:val="002A07C7"/>
    <w:rsid w:val="002A0B3F"/>
    <w:rsid w:val="002A0EEA"/>
    <w:rsid w:val="002A17FB"/>
    <w:rsid w:val="002A21FB"/>
    <w:rsid w:val="002A23DD"/>
    <w:rsid w:val="002A2E03"/>
    <w:rsid w:val="002A2E7D"/>
    <w:rsid w:val="002A2F85"/>
    <w:rsid w:val="002A33E4"/>
    <w:rsid w:val="002A3424"/>
    <w:rsid w:val="002A3865"/>
    <w:rsid w:val="002A4CE2"/>
    <w:rsid w:val="002A54CA"/>
    <w:rsid w:val="002A5536"/>
    <w:rsid w:val="002A584F"/>
    <w:rsid w:val="002A6BE6"/>
    <w:rsid w:val="002A6DC4"/>
    <w:rsid w:val="002A6F78"/>
    <w:rsid w:val="002A7718"/>
    <w:rsid w:val="002A7BA3"/>
    <w:rsid w:val="002B1119"/>
    <w:rsid w:val="002B115C"/>
    <w:rsid w:val="002B11DB"/>
    <w:rsid w:val="002B1209"/>
    <w:rsid w:val="002B12A0"/>
    <w:rsid w:val="002B2FC4"/>
    <w:rsid w:val="002B3A00"/>
    <w:rsid w:val="002B3E57"/>
    <w:rsid w:val="002B3F79"/>
    <w:rsid w:val="002B4A4F"/>
    <w:rsid w:val="002B4A50"/>
    <w:rsid w:val="002B7460"/>
    <w:rsid w:val="002B77D7"/>
    <w:rsid w:val="002B7DB6"/>
    <w:rsid w:val="002C033D"/>
    <w:rsid w:val="002C0D29"/>
    <w:rsid w:val="002C1018"/>
    <w:rsid w:val="002C1642"/>
    <w:rsid w:val="002C1CDF"/>
    <w:rsid w:val="002C1E54"/>
    <w:rsid w:val="002C2070"/>
    <w:rsid w:val="002C2668"/>
    <w:rsid w:val="002C2976"/>
    <w:rsid w:val="002C2C3D"/>
    <w:rsid w:val="002C38E0"/>
    <w:rsid w:val="002C5684"/>
    <w:rsid w:val="002C5A34"/>
    <w:rsid w:val="002C5D39"/>
    <w:rsid w:val="002C5E6C"/>
    <w:rsid w:val="002C65AB"/>
    <w:rsid w:val="002C66B5"/>
    <w:rsid w:val="002C69F8"/>
    <w:rsid w:val="002C70CC"/>
    <w:rsid w:val="002C73A2"/>
    <w:rsid w:val="002C7486"/>
    <w:rsid w:val="002C7515"/>
    <w:rsid w:val="002C771E"/>
    <w:rsid w:val="002C7872"/>
    <w:rsid w:val="002C7DA4"/>
    <w:rsid w:val="002D04FD"/>
    <w:rsid w:val="002D0571"/>
    <w:rsid w:val="002D064C"/>
    <w:rsid w:val="002D064E"/>
    <w:rsid w:val="002D07F5"/>
    <w:rsid w:val="002D0810"/>
    <w:rsid w:val="002D0BDB"/>
    <w:rsid w:val="002D12BF"/>
    <w:rsid w:val="002D17A3"/>
    <w:rsid w:val="002D20EC"/>
    <w:rsid w:val="002D23C0"/>
    <w:rsid w:val="002D26D3"/>
    <w:rsid w:val="002D31C0"/>
    <w:rsid w:val="002D4180"/>
    <w:rsid w:val="002D4884"/>
    <w:rsid w:val="002D49A7"/>
    <w:rsid w:val="002D570E"/>
    <w:rsid w:val="002D6678"/>
    <w:rsid w:val="002D6958"/>
    <w:rsid w:val="002D6C22"/>
    <w:rsid w:val="002D770B"/>
    <w:rsid w:val="002E15C1"/>
    <w:rsid w:val="002E1716"/>
    <w:rsid w:val="002E1F51"/>
    <w:rsid w:val="002E2D5D"/>
    <w:rsid w:val="002E369B"/>
    <w:rsid w:val="002E36E9"/>
    <w:rsid w:val="002E371A"/>
    <w:rsid w:val="002E49EC"/>
    <w:rsid w:val="002E54ED"/>
    <w:rsid w:val="002E58BF"/>
    <w:rsid w:val="002E6782"/>
    <w:rsid w:val="002E6F1A"/>
    <w:rsid w:val="002F06C5"/>
    <w:rsid w:val="002F0E6B"/>
    <w:rsid w:val="002F10AE"/>
    <w:rsid w:val="002F17E3"/>
    <w:rsid w:val="002F1961"/>
    <w:rsid w:val="002F1B82"/>
    <w:rsid w:val="002F1BC1"/>
    <w:rsid w:val="002F2530"/>
    <w:rsid w:val="002F274D"/>
    <w:rsid w:val="002F2B16"/>
    <w:rsid w:val="002F2C61"/>
    <w:rsid w:val="002F2F3C"/>
    <w:rsid w:val="002F3062"/>
    <w:rsid w:val="002F35FB"/>
    <w:rsid w:val="002F36A9"/>
    <w:rsid w:val="002F3758"/>
    <w:rsid w:val="002F37D3"/>
    <w:rsid w:val="002F397E"/>
    <w:rsid w:val="002F408F"/>
    <w:rsid w:val="002F45E6"/>
    <w:rsid w:val="002F461F"/>
    <w:rsid w:val="002F4C2D"/>
    <w:rsid w:val="002F5DD6"/>
    <w:rsid w:val="002F5F8F"/>
    <w:rsid w:val="002F62C7"/>
    <w:rsid w:val="002F6488"/>
    <w:rsid w:val="002F6BE8"/>
    <w:rsid w:val="002F788D"/>
    <w:rsid w:val="002F7F4C"/>
    <w:rsid w:val="00300371"/>
    <w:rsid w:val="00301248"/>
    <w:rsid w:val="00301E66"/>
    <w:rsid w:val="003020C4"/>
    <w:rsid w:val="003022CA"/>
    <w:rsid w:val="003025F9"/>
    <w:rsid w:val="00302F2E"/>
    <w:rsid w:val="003031D3"/>
    <w:rsid w:val="003035F8"/>
    <w:rsid w:val="003041A6"/>
    <w:rsid w:val="00304D12"/>
    <w:rsid w:val="00305D47"/>
    <w:rsid w:val="00305F34"/>
    <w:rsid w:val="00305F5B"/>
    <w:rsid w:val="00306022"/>
    <w:rsid w:val="0031058F"/>
    <w:rsid w:val="0031086C"/>
    <w:rsid w:val="00310C18"/>
    <w:rsid w:val="00310C6A"/>
    <w:rsid w:val="00310C71"/>
    <w:rsid w:val="00311643"/>
    <w:rsid w:val="00311AE5"/>
    <w:rsid w:val="0031204B"/>
    <w:rsid w:val="003125A5"/>
    <w:rsid w:val="00313686"/>
    <w:rsid w:val="00313B55"/>
    <w:rsid w:val="00313FC3"/>
    <w:rsid w:val="0031652A"/>
    <w:rsid w:val="003165F8"/>
    <w:rsid w:val="0031683C"/>
    <w:rsid w:val="00316C39"/>
    <w:rsid w:val="0031752B"/>
    <w:rsid w:val="00317654"/>
    <w:rsid w:val="003205BA"/>
    <w:rsid w:val="00320B83"/>
    <w:rsid w:val="00320C9A"/>
    <w:rsid w:val="003217B8"/>
    <w:rsid w:val="00322325"/>
    <w:rsid w:val="00322505"/>
    <w:rsid w:val="0032367D"/>
    <w:rsid w:val="00323CB8"/>
    <w:rsid w:val="00323FD6"/>
    <w:rsid w:val="003240AB"/>
    <w:rsid w:val="003244ED"/>
    <w:rsid w:val="0032481D"/>
    <w:rsid w:val="0032631B"/>
    <w:rsid w:val="00326A34"/>
    <w:rsid w:val="00327F68"/>
    <w:rsid w:val="00330A82"/>
    <w:rsid w:val="00330AA8"/>
    <w:rsid w:val="00330B23"/>
    <w:rsid w:val="00331C28"/>
    <w:rsid w:val="00331E25"/>
    <w:rsid w:val="003322ED"/>
    <w:rsid w:val="0033275B"/>
    <w:rsid w:val="003329E9"/>
    <w:rsid w:val="00332DB8"/>
    <w:rsid w:val="00333663"/>
    <w:rsid w:val="003339BE"/>
    <w:rsid w:val="003340EB"/>
    <w:rsid w:val="00334B8E"/>
    <w:rsid w:val="00335B32"/>
    <w:rsid w:val="00335CD5"/>
    <w:rsid w:val="00335EBF"/>
    <w:rsid w:val="00336225"/>
    <w:rsid w:val="00336F6D"/>
    <w:rsid w:val="003375D8"/>
    <w:rsid w:val="003376BE"/>
    <w:rsid w:val="0034089C"/>
    <w:rsid w:val="003412A0"/>
    <w:rsid w:val="00341D79"/>
    <w:rsid w:val="00342B3D"/>
    <w:rsid w:val="0034357E"/>
    <w:rsid w:val="003435B5"/>
    <w:rsid w:val="00343658"/>
    <w:rsid w:val="00343B1C"/>
    <w:rsid w:val="0034406C"/>
    <w:rsid w:val="00344222"/>
    <w:rsid w:val="00344DE6"/>
    <w:rsid w:val="003453B6"/>
    <w:rsid w:val="00345A0B"/>
    <w:rsid w:val="003468F6"/>
    <w:rsid w:val="00346D3D"/>
    <w:rsid w:val="003475C2"/>
    <w:rsid w:val="00347A37"/>
    <w:rsid w:val="00347E8B"/>
    <w:rsid w:val="003505E4"/>
    <w:rsid w:val="00350747"/>
    <w:rsid w:val="0035075A"/>
    <w:rsid w:val="00350E73"/>
    <w:rsid w:val="00351534"/>
    <w:rsid w:val="00351FA5"/>
    <w:rsid w:val="00352441"/>
    <w:rsid w:val="003524A5"/>
    <w:rsid w:val="00352605"/>
    <w:rsid w:val="003537FB"/>
    <w:rsid w:val="00354D6A"/>
    <w:rsid w:val="0035581B"/>
    <w:rsid w:val="00355E15"/>
    <w:rsid w:val="00356108"/>
    <w:rsid w:val="003567B9"/>
    <w:rsid w:val="00356F49"/>
    <w:rsid w:val="00357566"/>
    <w:rsid w:val="003575C1"/>
    <w:rsid w:val="00360248"/>
    <w:rsid w:val="003609D9"/>
    <w:rsid w:val="00360D3E"/>
    <w:rsid w:val="003618B4"/>
    <w:rsid w:val="00362ABC"/>
    <w:rsid w:val="00362AF5"/>
    <w:rsid w:val="00362E5F"/>
    <w:rsid w:val="003637BA"/>
    <w:rsid w:val="003641A4"/>
    <w:rsid w:val="0036471D"/>
    <w:rsid w:val="00364BFC"/>
    <w:rsid w:val="00364FA3"/>
    <w:rsid w:val="0036556E"/>
    <w:rsid w:val="003663EB"/>
    <w:rsid w:val="0036692C"/>
    <w:rsid w:val="00366DFB"/>
    <w:rsid w:val="00366E41"/>
    <w:rsid w:val="003672D5"/>
    <w:rsid w:val="003675C3"/>
    <w:rsid w:val="00370677"/>
    <w:rsid w:val="00370809"/>
    <w:rsid w:val="00370B4F"/>
    <w:rsid w:val="0037184B"/>
    <w:rsid w:val="00371FB4"/>
    <w:rsid w:val="0037207E"/>
    <w:rsid w:val="0037223D"/>
    <w:rsid w:val="00372466"/>
    <w:rsid w:val="00372606"/>
    <w:rsid w:val="0037284F"/>
    <w:rsid w:val="00372A43"/>
    <w:rsid w:val="00372C95"/>
    <w:rsid w:val="00372CF5"/>
    <w:rsid w:val="003730CC"/>
    <w:rsid w:val="00373501"/>
    <w:rsid w:val="00373F12"/>
    <w:rsid w:val="003752B3"/>
    <w:rsid w:val="00375355"/>
    <w:rsid w:val="00375EB2"/>
    <w:rsid w:val="00375F02"/>
    <w:rsid w:val="00375F10"/>
    <w:rsid w:val="0037626B"/>
    <w:rsid w:val="00376323"/>
    <w:rsid w:val="003769A7"/>
    <w:rsid w:val="00376A61"/>
    <w:rsid w:val="003808AB"/>
    <w:rsid w:val="00381817"/>
    <w:rsid w:val="0038217A"/>
    <w:rsid w:val="0038231F"/>
    <w:rsid w:val="00383FB8"/>
    <w:rsid w:val="003841DB"/>
    <w:rsid w:val="0038456A"/>
    <w:rsid w:val="003846CC"/>
    <w:rsid w:val="003846F3"/>
    <w:rsid w:val="00384D41"/>
    <w:rsid w:val="00384E58"/>
    <w:rsid w:val="0038666A"/>
    <w:rsid w:val="00386DCD"/>
    <w:rsid w:val="00386EDF"/>
    <w:rsid w:val="00386F86"/>
    <w:rsid w:val="0038726B"/>
    <w:rsid w:val="003873A0"/>
    <w:rsid w:val="00387484"/>
    <w:rsid w:val="0038793A"/>
    <w:rsid w:val="00390285"/>
    <w:rsid w:val="0039084A"/>
    <w:rsid w:val="00391019"/>
    <w:rsid w:val="003912D2"/>
    <w:rsid w:val="00391BC5"/>
    <w:rsid w:val="00392846"/>
    <w:rsid w:val="00392FAB"/>
    <w:rsid w:val="00393C00"/>
    <w:rsid w:val="00394186"/>
    <w:rsid w:val="00394B1D"/>
    <w:rsid w:val="00394B8A"/>
    <w:rsid w:val="00395878"/>
    <w:rsid w:val="003960B3"/>
    <w:rsid w:val="0039642D"/>
    <w:rsid w:val="00396A21"/>
    <w:rsid w:val="00396FE1"/>
    <w:rsid w:val="003971E4"/>
    <w:rsid w:val="0039776B"/>
    <w:rsid w:val="0039777A"/>
    <w:rsid w:val="00397A2F"/>
    <w:rsid w:val="00397B9C"/>
    <w:rsid w:val="00397CBF"/>
    <w:rsid w:val="003A0507"/>
    <w:rsid w:val="003A13A0"/>
    <w:rsid w:val="003A1544"/>
    <w:rsid w:val="003A1779"/>
    <w:rsid w:val="003A1E8C"/>
    <w:rsid w:val="003A1F8A"/>
    <w:rsid w:val="003A234F"/>
    <w:rsid w:val="003A2D9C"/>
    <w:rsid w:val="003A39B7"/>
    <w:rsid w:val="003A3FCC"/>
    <w:rsid w:val="003A43E0"/>
    <w:rsid w:val="003A4D54"/>
    <w:rsid w:val="003A575F"/>
    <w:rsid w:val="003A6CD7"/>
    <w:rsid w:val="003A6D6E"/>
    <w:rsid w:val="003A75E1"/>
    <w:rsid w:val="003B0B01"/>
    <w:rsid w:val="003B19C9"/>
    <w:rsid w:val="003B1A0F"/>
    <w:rsid w:val="003B1BCB"/>
    <w:rsid w:val="003B1CD5"/>
    <w:rsid w:val="003B23FA"/>
    <w:rsid w:val="003B30DE"/>
    <w:rsid w:val="003B41DB"/>
    <w:rsid w:val="003B490D"/>
    <w:rsid w:val="003B4A60"/>
    <w:rsid w:val="003B50B3"/>
    <w:rsid w:val="003B5279"/>
    <w:rsid w:val="003B585C"/>
    <w:rsid w:val="003B5935"/>
    <w:rsid w:val="003B5B5B"/>
    <w:rsid w:val="003B628F"/>
    <w:rsid w:val="003B732F"/>
    <w:rsid w:val="003B79E1"/>
    <w:rsid w:val="003C08F2"/>
    <w:rsid w:val="003C1CEE"/>
    <w:rsid w:val="003C2026"/>
    <w:rsid w:val="003C22F7"/>
    <w:rsid w:val="003C300B"/>
    <w:rsid w:val="003C4B0B"/>
    <w:rsid w:val="003C4E62"/>
    <w:rsid w:val="003C5005"/>
    <w:rsid w:val="003C5E30"/>
    <w:rsid w:val="003C6B5F"/>
    <w:rsid w:val="003C6DD2"/>
    <w:rsid w:val="003C7DAA"/>
    <w:rsid w:val="003D15F8"/>
    <w:rsid w:val="003D1904"/>
    <w:rsid w:val="003D19F7"/>
    <w:rsid w:val="003D1B3E"/>
    <w:rsid w:val="003D1F05"/>
    <w:rsid w:val="003D1FD1"/>
    <w:rsid w:val="003D24CF"/>
    <w:rsid w:val="003D2B0D"/>
    <w:rsid w:val="003D2DA0"/>
    <w:rsid w:val="003D55FB"/>
    <w:rsid w:val="003D57FF"/>
    <w:rsid w:val="003D6169"/>
    <w:rsid w:val="003D625D"/>
    <w:rsid w:val="003D6644"/>
    <w:rsid w:val="003D6A4A"/>
    <w:rsid w:val="003D6DCA"/>
    <w:rsid w:val="003D6F1F"/>
    <w:rsid w:val="003D762C"/>
    <w:rsid w:val="003E0117"/>
    <w:rsid w:val="003E0365"/>
    <w:rsid w:val="003E1141"/>
    <w:rsid w:val="003E1159"/>
    <w:rsid w:val="003E1175"/>
    <w:rsid w:val="003E150D"/>
    <w:rsid w:val="003E174D"/>
    <w:rsid w:val="003E179A"/>
    <w:rsid w:val="003E18FB"/>
    <w:rsid w:val="003E1B9E"/>
    <w:rsid w:val="003E2845"/>
    <w:rsid w:val="003E2ABF"/>
    <w:rsid w:val="003E2FDF"/>
    <w:rsid w:val="003E3B20"/>
    <w:rsid w:val="003E3DD5"/>
    <w:rsid w:val="003E4B01"/>
    <w:rsid w:val="003E503E"/>
    <w:rsid w:val="003E6254"/>
    <w:rsid w:val="003E6619"/>
    <w:rsid w:val="003E6FBF"/>
    <w:rsid w:val="003E706F"/>
    <w:rsid w:val="003E75BA"/>
    <w:rsid w:val="003E7998"/>
    <w:rsid w:val="003E7A8B"/>
    <w:rsid w:val="003E7C5D"/>
    <w:rsid w:val="003F0112"/>
    <w:rsid w:val="003F021E"/>
    <w:rsid w:val="003F0CC8"/>
    <w:rsid w:val="003F14CD"/>
    <w:rsid w:val="003F170C"/>
    <w:rsid w:val="003F1A50"/>
    <w:rsid w:val="003F1BF8"/>
    <w:rsid w:val="003F2249"/>
    <w:rsid w:val="003F22A8"/>
    <w:rsid w:val="003F2744"/>
    <w:rsid w:val="003F2A1D"/>
    <w:rsid w:val="003F2BA4"/>
    <w:rsid w:val="003F3A57"/>
    <w:rsid w:val="003F44E2"/>
    <w:rsid w:val="003F45EF"/>
    <w:rsid w:val="003F4643"/>
    <w:rsid w:val="003F4D65"/>
    <w:rsid w:val="003F4F9F"/>
    <w:rsid w:val="003F51B7"/>
    <w:rsid w:val="003F54B9"/>
    <w:rsid w:val="003F5C65"/>
    <w:rsid w:val="003F652E"/>
    <w:rsid w:val="003F6D9D"/>
    <w:rsid w:val="003F7397"/>
    <w:rsid w:val="003F73A3"/>
    <w:rsid w:val="003F76E1"/>
    <w:rsid w:val="003F7B6A"/>
    <w:rsid w:val="003F7DFB"/>
    <w:rsid w:val="003F7F49"/>
    <w:rsid w:val="00400092"/>
    <w:rsid w:val="004004EE"/>
    <w:rsid w:val="00400742"/>
    <w:rsid w:val="0040119C"/>
    <w:rsid w:val="004012D9"/>
    <w:rsid w:val="004012DA"/>
    <w:rsid w:val="004013C2"/>
    <w:rsid w:val="00401983"/>
    <w:rsid w:val="00401AD4"/>
    <w:rsid w:val="00401C7D"/>
    <w:rsid w:val="00401DE8"/>
    <w:rsid w:val="0040223D"/>
    <w:rsid w:val="00402ABD"/>
    <w:rsid w:val="00402D24"/>
    <w:rsid w:val="00402ECC"/>
    <w:rsid w:val="004032BA"/>
    <w:rsid w:val="00403BA3"/>
    <w:rsid w:val="00403C78"/>
    <w:rsid w:val="00404098"/>
    <w:rsid w:val="00404755"/>
    <w:rsid w:val="0040523D"/>
    <w:rsid w:val="004053D5"/>
    <w:rsid w:val="0040591F"/>
    <w:rsid w:val="00406032"/>
    <w:rsid w:val="0040608F"/>
    <w:rsid w:val="00406E3A"/>
    <w:rsid w:val="0040715D"/>
    <w:rsid w:val="004078BC"/>
    <w:rsid w:val="00407E91"/>
    <w:rsid w:val="00407EF5"/>
    <w:rsid w:val="00407F6C"/>
    <w:rsid w:val="00407F74"/>
    <w:rsid w:val="00410C6A"/>
    <w:rsid w:val="00410E70"/>
    <w:rsid w:val="00410E90"/>
    <w:rsid w:val="00411178"/>
    <w:rsid w:val="004113DF"/>
    <w:rsid w:val="00411526"/>
    <w:rsid w:val="00411935"/>
    <w:rsid w:val="00413B42"/>
    <w:rsid w:val="0041423E"/>
    <w:rsid w:val="00414417"/>
    <w:rsid w:val="00414BAC"/>
    <w:rsid w:val="00414C46"/>
    <w:rsid w:val="00414E5B"/>
    <w:rsid w:val="00414F28"/>
    <w:rsid w:val="004153D2"/>
    <w:rsid w:val="0041568C"/>
    <w:rsid w:val="0041638B"/>
    <w:rsid w:val="0041651B"/>
    <w:rsid w:val="00416BCE"/>
    <w:rsid w:val="00417D06"/>
    <w:rsid w:val="00420AD1"/>
    <w:rsid w:val="00420E0D"/>
    <w:rsid w:val="00421318"/>
    <w:rsid w:val="004213A2"/>
    <w:rsid w:val="00421EC4"/>
    <w:rsid w:val="004229FD"/>
    <w:rsid w:val="00422FFD"/>
    <w:rsid w:val="0042319E"/>
    <w:rsid w:val="00423860"/>
    <w:rsid w:val="00423CB7"/>
    <w:rsid w:val="004242F9"/>
    <w:rsid w:val="00424322"/>
    <w:rsid w:val="00424937"/>
    <w:rsid w:val="00424966"/>
    <w:rsid w:val="004249AC"/>
    <w:rsid w:val="00424CEC"/>
    <w:rsid w:val="00425E7D"/>
    <w:rsid w:val="00425E8C"/>
    <w:rsid w:val="004262E7"/>
    <w:rsid w:val="00426592"/>
    <w:rsid w:val="00426706"/>
    <w:rsid w:val="00426912"/>
    <w:rsid w:val="00426A08"/>
    <w:rsid w:val="004274ED"/>
    <w:rsid w:val="004276DD"/>
    <w:rsid w:val="004279DD"/>
    <w:rsid w:val="00427B51"/>
    <w:rsid w:val="00427B6B"/>
    <w:rsid w:val="00427EFF"/>
    <w:rsid w:val="00427F76"/>
    <w:rsid w:val="004300A3"/>
    <w:rsid w:val="004306CF"/>
    <w:rsid w:val="0043075B"/>
    <w:rsid w:val="00430AB1"/>
    <w:rsid w:val="0043110D"/>
    <w:rsid w:val="00431CE5"/>
    <w:rsid w:val="00432A10"/>
    <w:rsid w:val="00432A4C"/>
    <w:rsid w:val="00432A57"/>
    <w:rsid w:val="00432AE9"/>
    <w:rsid w:val="00432E1B"/>
    <w:rsid w:val="0043315F"/>
    <w:rsid w:val="0043318B"/>
    <w:rsid w:val="004335F6"/>
    <w:rsid w:val="00433D4A"/>
    <w:rsid w:val="00435424"/>
    <w:rsid w:val="00436184"/>
    <w:rsid w:val="00436C21"/>
    <w:rsid w:val="00436C67"/>
    <w:rsid w:val="004401CA"/>
    <w:rsid w:val="00440D8E"/>
    <w:rsid w:val="004411B8"/>
    <w:rsid w:val="00441801"/>
    <w:rsid w:val="00441882"/>
    <w:rsid w:val="004418CA"/>
    <w:rsid w:val="00442B8C"/>
    <w:rsid w:val="00443104"/>
    <w:rsid w:val="004434BB"/>
    <w:rsid w:val="004434CF"/>
    <w:rsid w:val="00444066"/>
    <w:rsid w:val="004443ED"/>
    <w:rsid w:val="00444D96"/>
    <w:rsid w:val="00444E80"/>
    <w:rsid w:val="00444F86"/>
    <w:rsid w:val="0044567B"/>
    <w:rsid w:val="00446B83"/>
    <w:rsid w:val="004470C1"/>
    <w:rsid w:val="00447677"/>
    <w:rsid w:val="00447D42"/>
    <w:rsid w:val="00447D73"/>
    <w:rsid w:val="00450440"/>
    <w:rsid w:val="00450D72"/>
    <w:rsid w:val="004519FB"/>
    <w:rsid w:val="00451D43"/>
    <w:rsid w:val="00452412"/>
    <w:rsid w:val="00452593"/>
    <w:rsid w:val="00452959"/>
    <w:rsid w:val="00452A40"/>
    <w:rsid w:val="00452F3A"/>
    <w:rsid w:val="00453187"/>
    <w:rsid w:val="004539A4"/>
    <w:rsid w:val="00453DE1"/>
    <w:rsid w:val="004546B7"/>
    <w:rsid w:val="00455255"/>
    <w:rsid w:val="004554BF"/>
    <w:rsid w:val="00455779"/>
    <w:rsid w:val="00455B9E"/>
    <w:rsid w:val="00456112"/>
    <w:rsid w:val="0045621B"/>
    <w:rsid w:val="004578FF"/>
    <w:rsid w:val="00457DE1"/>
    <w:rsid w:val="004602B0"/>
    <w:rsid w:val="00460680"/>
    <w:rsid w:val="00460A87"/>
    <w:rsid w:val="00460F78"/>
    <w:rsid w:val="004614BC"/>
    <w:rsid w:val="004615AA"/>
    <w:rsid w:val="00461A51"/>
    <w:rsid w:val="00461D01"/>
    <w:rsid w:val="00462F75"/>
    <w:rsid w:val="00463549"/>
    <w:rsid w:val="00463666"/>
    <w:rsid w:val="00463DA0"/>
    <w:rsid w:val="00463F3E"/>
    <w:rsid w:val="00464443"/>
    <w:rsid w:val="0046486F"/>
    <w:rsid w:val="0046563C"/>
    <w:rsid w:val="004659AF"/>
    <w:rsid w:val="004660D4"/>
    <w:rsid w:val="0046659D"/>
    <w:rsid w:val="00466ED1"/>
    <w:rsid w:val="0046749B"/>
    <w:rsid w:val="004675EC"/>
    <w:rsid w:val="00467B8E"/>
    <w:rsid w:val="00467F54"/>
    <w:rsid w:val="00470B36"/>
    <w:rsid w:val="00471CF9"/>
    <w:rsid w:val="00472100"/>
    <w:rsid w:val="00472659"/>
    <w:rsid w:val="00472ED2"/>
    <w:rsid w:val="004732E7"/>
    <w:rsid w:val="00473B46"/>
    <w:rsid w:val="00473C6A"/>
    <w:rsid w:val="0047491E"/>
    <w:rsid w:val="00475160"/>
    <w:rsid w:val="00475BCA"/>
    <w:rsid w:val="0047659A"/>
    <w:rsid w:val="0047693F"/>
    <w:rsid w:val="00476F32"/>
    <w:rsid w:val="00477E84"/>
    <w:rsid w:val="00482459"/>
    <w:rsid w:val="00484A1A"/>
    <w:rsid w:val="00484D03"/>
    <w:rsid w:val="004851CB"/>
    <w:rsid w:val="00485514"/>
    <w:rsid w:val="00486452"/>
    <w:rsid w:val="0048795F"/>
    <w:rsid w:val="00487C43"/>
    <w:rsid w:val="00487CF9"/>
    <w:rsid w:val="00487E75"/>
    <w:rsid w:val="00490443"/>
    <w:rsid w:val="0049128F"/>
    <w:rsid w:val="00491316"/>
    <w:rsid w:val="004916D9"/>
    <w:rsid w:val="00491987"/>
    <w:rsid w:val="00492E12"/>
    <w:rsid w:val="004933D3"/>
    <w:rsid w:val="004947D8"/>
    <w:rsid w:val="00495A06"/>
    <w:rsid w:val="00495F17"/>
    <w:rsid w:val="00496418"/>
    <w:rsid w:val="0049641D"/>
    <w:rsid w:val="00496476"/>
    <w:rsid w:val="00496A7F"/>
    <w:rsid w:val="00496E7E"/>
    <w:rsid w:val="004971DA"/>
    <w:rsid w:val="0049774D"/>
    <w:rsid w:val="00497846"/>
    <w:rsid w:val="00497FCF"/>
    <w:rsid w:val="004A0A12"/>
    <w:rsid w:val="004A0BD3"/>
    <w:rsid w:val="004A1B46"/>
    <w:rsid w:val="004A1C1E"/>
    <w:rsid w:val="004A1E94"/>
    <w:rsid w:val="004A285C"/>
    <w:rsid w:val="004A2F37"/>
    <w:rsid w:val="004A40EC"/>
    <w:rsid w:val="004A4419"/>
    <w:rsid w:val="004A45D9"/>
    <w:rsid w:val="004A5A99"/>
    <w:rsid w:val="004A6006"/>
    <w:rsid w:val="004A65B2"/>
    <w:rsid w:val="004A68E2"/>
    <w:rsid w:val="004A7B4E"/>
    <w:rsid w:val="004A7C75"/>
    <w:rsid w:val="004A7CA3"/>
    <w:rsid w:val="004B03F2"/>
    <w:rsid w:val="004B0D89"/>
    <w:rsid w:val="004B1DF0"/>
    <w:rsid w:val="004B20AB"/>
    <w:rsid w:val="004B23D7"/>
    <w:rsid w:val="004B2A00"/>
    <w:rsid w:val="004B2A4A"/>
    <w:rsid w:val="004B391B"/>
    <w:rsid w:val="004B4238"/>
    <w:rsid w:val="004B46FA"/>
    <w:rsid w:val="004B4FF6"/>
    <w:rsid w:val="004B5172"/>
    <w:rsid w:val="004B51A1"/>
    <w:rsid w:val="004B5A5E"/>
    <w:rsid w:val="004B5FC6"/>
    <w:rsid w:val="004B61E4"/>
    <w:rsid w:val="004B657E"/>
    <w:rsid w:val="004B67C2"/>
    <w:rsid w:val="004B6A1A"/>
    <w:rsid w:val="004B7778"/>
    <w:rsid w:val="004B7E1A"/>
    <w:rsid w:val="004C07A8"/>
    <w:rsid w:val="004C124F"/>
    <w:rsid w:val="004C14C6"/>
    <w:rsid w:val="004C1604"/>
    <w:rsid w:val="004C1976"/>
    <w:rsid w:val="004C27D4"/>
    <w:rsid w:val="004C313D"/>
    <w:rsid w:val="004C3484"/>
    <w:rsid w:val="004C430F"/>
    <w:rsid w:val="004C45FB"/>
    <w:rsid w:val="004C480F"/>
    <w:rsid w:val="004C4B46"/>
    <w:rsid w:val="004C5223"/>
    <w:rsid w:val="004C5767"/>
    <w:rsid w:val="004C58C4"/>
    <w:rsid w:val="004C5AF3"/>
    <w:rsid w:val="004C5B22"/>
    <w:rsid w:val="004C5B5A"/>
    <w:rsid w:val="004C5B9D"/>
    <w:rsid w:val="004C5BC3"/>
    <w:rsid w:val="004C5FB0"/>
    <w:rsid w:val="004C671F"/>
    <w:rsid w:val="004C6B2A"/>
    <w:rsid w:val="004C6E1A"/>
    <w:rsid w:val="004C7134"/>
    <w:rsid w:val="004C78AA"/>
    <w:rsid w:val="004C78E6"/>
    <w:rsid w:val="004C7A36"/>
    <w:rsid w:val="004C7FEE"/>
    <w:rsid w:val="004C7FFA"/>
    <w:rsid w:val="004D072C"/>
    <w:rsid w:val="004D10C7"/>
    <w:rsid w:val="004D119C"/>
    <w:rsid w:val="004D13BF"/>
    <w:rsid w:val="004D1547"/>
    <w:rsid w:val="004D17C0"/>
    <w:rsid w:val="004D1962"/>
    <w:rsid w:val="004D19EE"/>
    <w:rsid w:val="004D1AC2"/>
    <w:rsid w:val="004D1D11"/>
    <w:rsid w:val="004D2C19"/>
    <w:rsid w:val="004D3597"/>
    <w:rsid w:val="004D3A40"/>
    <w:rsid w:val="004D45FA"/>
    <w:rsid w:val="004D4604"/>
    <w:rsid w:val="004D498A"/>
    <w:rsid w:val="004D4BA0"/>
    <w:rsid w:val="004D4C07"/>
    <w:rsid w:val="004D4D66"/>
    <w:rsid w:val="004D4D6C"/>
    <w:rsid w:val="004D4F07"/>
    <w:rsid w:val="004D536C"/>
    <w:rsid w:val="004D56A7"/>
    <w:rsid w:val="004D5B27"/>
    <w:rsid w:val="004D656A"/>
    <w:rsid w:val="004D6DEE"/>
    <w:rsid w:val="004D7358"/>
    <w:rsid w:val="004D7414"/>
    <w:rsid w:val="004D7EDE"/>
    <w:rsid w:val="004E0D46"/>
    <w:rsid w:val="004E1711"/>
    <w:rsid w:val="004E1E54"/>
    <w:rsid w:val="004E2582"/>
    <w:rsid w:val="004E313C"/>
    <w:rsid w:val="004E31D1"/>
    <w:rsid w:val="004E37BF"/>
    <w:rsid w:val="004E4683"/>
    <w:rsid w:val="004E54AE"/>
    <w:rsid w:val="004E5D19"/>
    <w:rsid w:val="004E60BD"/>
    <w:rsid w:val="004E7671"/>
    <w:rsid w:val="004E79B1"/>
    <w:rsid w:val="004E7C1F"/>
    <w:rsid w:val="004E7FA2"/>
    <w:rsid w:val="004F03BA"/>
    <w:rsid w:val="004F06E7"/>
    <w:rsid w:val="004F08A9"/>
    <w:rsid w:val="004F165E"/>
    <w:rsid w:val="004F1C24"/>
    <w:rsid w:val="004F22F6"/>
    <w:rsid w:val="004F2859"/>
    <w:rsid w:val="004F2AD5"/>
    <w:rsid w:val="004F2C05"/>
    <w:rsid w:val="004F2C93"/>
    <w:rsid w:val="004F35AD"/>
    <w:rsid w:val="004F3CE8"/>
    <w:rsid w:val="004F3FBE"/>
    <w:rsid w:val="004F46DA"/>
    <w:rsid w:val="004F49E8"/>
    <w:rsid w:val="004F4C6E"/>
    <w:rsid w:val="004F51D5"/>
    <w:rsid w:val="004F5248"/>
    <w:rsid w:val="004F5782"/>
    <w:rsid w:val="004F5A9B"/>
    <w:rsid w:val="004F5BED"/>
    <w:rsid w:val="004F7364"/>
    <w:rsid w:val="004F7576"/>
    <w:rsid w:val="004F7580"/>
    <w:rsid w:val="0050175A"/>
    <w:rsid w:val="00501B4A"/>
    <w:rsid w:val="00501BF1"/>
    <w:rsid w:val="00501D1B"/>
    <w:rsid w:val="00501FE0"/>
    <w:rsid w:val="005030F8"/>
    <w:rsid w:val="005033DD"/>
    <w:rsid w:val="00503413"/>
    <w:rsid w:val="0050398D"/>
    <w:rsid w:val="00503C66"/>
    <w:rsid w:val="005047D1"/>
    <w:rsid w:val="00504994"/>
    <w:rsid w:val="00505082"/>
    <w:rsid w:val="00505B5D"/>
    <w:rsid w:val="00505E57"/>
    <w:rsid w:val="005065B1"/>
    <w:rsid w:val="00506E2E"/>
    <w:rsid w:val="005073DC"/>
    <w:rsid w:val="005074D5"/>
    <w:rsid w:val="00510618"/>
    <w:rsid w:val="00510801"/>
    <w:rsid w:val="00510B17"/>
    <w:rsid w:val="0051105A"/>
    <w:rsid w:val="00511373"/>
    <w:rsid w:val="00511BD6"/>
    <w:rsid w:val="00511CE5"/>
    <w:rsid w:val="00511E0E"/>
    <w:rsid w:val="00511E2E"/>
    <w:rsid w:val="0051231E"/>
    <w:rsid w:val="005129D4"/>
    <w:rsid w:val="00512A59"/>
    <w:rsid w:val="005135E2"/>
    <w:rsid w:val="00513C8B"/>
    <w:rsid w:val="0051444D"/>
    <w:rsid w:val="0051494F"/>
    <w:rsid w:val="00514B22"/>
    <w:rsid w:val="00515B4D"/>
    <w:rsid w:val="00516BDA"/>
    <w:rsid w:val="0051715D"/>
    <w:rsid w:val="00517651"/>
    <w:rsid w:val="00517AD6"/>
    <w:rsid w:val="00520024"/>
    <w:rsid w:val="00520642"/>
    <w:rsid w:val="005212E4"/>
    <w:rsid w:val="005219CC"/>
    <w:rsid w:val="00521AEE"/>
    <w:rsid w:val="00521F82"/>
    <w:rsid w:val="0052206F"/>
    <w:rsid w:val="00522BC2"/>
    <w:rsid w:val="00523B50"/>
    <w:rsid w:val="0052534C"/>
    <w:rsid w:val="00525450"/>
    <w:rsid w:val="00525575"/>
    <w:rsid w:val="005256C5"/>
    <w:rsid w:val="00525E99"/>
    <w:rsid w:val="00526497"/>
    <w:rsid w:val="00526DD3"/>
    <w:rsid w:val="00526E30"/>
    <w:rsid w:val="0052700A"/>
    <w:rsid w:val="005276D7"/>
    <w:rsid w:val="005277EA"/>
    <w:rsid w:val="00527BBF"/>
    <w:rsid w:val="00527D9C"/>
    <w:rsid w:val="0053096C"/>
    <w:rsid w:val="00530C55"/>
    <w:rsid w:val="00530E23"/>
    <w:rsid w:val="00531659"/>
    <w:rsid w:val="005324DD"/>
    <w:rsid w:val="005326BF"/>
    <w:rsid w:val="005326EF"/>
    <w:rsid w:val="005327E8"/>
    <w:rsid w:val="00533889"/>
    <w:rsid w:val="005340FD"/>
    <w:rsid w:val="00534961"/>
    <w:rsid w:val="0053534F"/>
    <w:rsid w:val="00535639"/>
    <w:rsid w:val="00535BB3"/>
    <w:rsid w:val="00536131"/>
    <w:rsid w:val="005361B0"/>
    <w:rsid w:val="00537ADB"/>
    <w:rsid w:val="00540672"/>
    <w:rsid w:val="005409CE"/>
    <w:rsid w:val="00540D48"/>
    <w:rsid w:val="005412E1"/>
    <w:rsid w:val="00541640"/>
    <w:rsid w:val="00542799"/>
    <w:rsid w:val="0054283A"/>
    <w:rsid w:val="00543031"/>
    <w:rsid w:val="00543134"/>
    <w:rsid w:val="0054318A"/>
    <w:rsid w:val="00543CE3"/>
    <w:rsid w:val="00544B37"/>
    <w:rsid w:val="00544C1D"/>
    <w:rsid w:val="00545810"/>
    <w:rsid w:val="00545AC5"/>
    <w:rsid w:val="00545C04"/>
    <w:rsid w:val="00545FAE"/>
    <w:rsid w:val="005463D9"/>
    <w:rsid w:val="005464B2"/>
    <w:rsid w:val="00546502"/>
    <w:rsid w:val="00546F63"/>
    <w:rsid w:val="00546FAC"/>
    <w:rsid w:val="00547112"/>
    <w:rsid w:val="005476EF"/>
    <w:rsid w:val="005478E4"/>
    <w:rsid w:val="00547CE0"/>
    <w:rsid w:val="0055049F"/>
    <w:rsid w:val="0055109D"/>
    <w:rsid w:val="00551241"/>
    <w:rsid w:val="0055178F"/>
    <w:rsid w:val="005517FF"/>
    <w:rsid w:val="00551877"/>
    <w:rsid w:val="00553194"/>
    <w:rsid w:val="0055393D"/>
    <w:rsid w:val="0055410B"/>
    <w:rsid w:val="005542D1"/>
    <w:rsid w:val="00554960"/>
    <w:rsid w:val="005557BE"/>
    <w:rsid w:val="005558B7"/>
    <w:rsid w:val="00555E31"/>
    <w:rsid w:val="00555F57"/>
    <w:rsid w:val="00555FC1"/>
    <w:rsid w:val="005562D5"/>
    <w:rsid w:val="00556345"/>
    <w:rsid w:val="0055649E"/>
    <w:rsid w:val="00557311"/>
    <w:rsid w:val="00557829"/>
    <w:rsid w:val="005603F5"/>
    <w:rsid w:val="00560D0B"/>
    <w:rsid w:val="00561167"/>
    <w:rsid w:val="0056171F"/>
    <w:rsid w:val="00561771"/>
    <w:rsid w:val="005617AF"/>
    <w:rsid w:val="00561A0A"/>
    <w:rsid w:val="00561FD5"/>
    <w:rsid w:val="00562061"/>
    <w:rsid w:val="005621D8"/>
    <w:rsid w:val="0056245F"/>
    <w:rsid w:val="00563216"/>
    <w:rsid w:val="00563246"/>
    <w:rsid w:val="005632FD"/>
    <w:rsid w:val="00563A5E"/>
    <w:rsid w:val="00563B86"/>
    <w:rsid w:val="00564125"/>
    <w:rsid w:val="00564564"/>
    <w:rsid w:val="00565579"/>
    <w:rsid w:val="0056569E"/>
    <w:rsid w:val="00565B46"/>
    <w:rsid w:val="00565D7A"/>
    <w:rsid w:val="0056698B"/>
    <w:rsid w:val="00566CDA"/>
    <w:rsid w:val="005673BB"/>
    <w:rsid w:val="00570397"/>
    <w:rsid w:val="0057067B"/>
    <w:rsid w:val="005707D0"/>
    <w:rsid w:val="0057096D"/>
    <w:rsid w:val="0057159D"/>
    <w:rsid w:val="0057166A"/>
    <w:rsid w:val="005722D8"/>
    <w:rsid w:val="0057258C"/>
    <w:rsid w:val="00572B68"/>
    <w:rsid w:val="00572CCA"/>
    <w:rsid w:val="00572E47"/>
    <w:rsid w:val="0057327C"/>
    <w:rsid w:val="00573807"/>
    <w:rsid w:val="00573B57"/>
    <w:rsid w:val="00574120"/>
    <w:rsid w:val="005741E8"/>
    <w:rsid w:val="005762B9"/>
    <w:rsid w:val="005765E4"/>
    <w:rsid w:val="0057671C"/>
    <w:rsid w:val="005768EE"/>
    <w:rsid w:val="00576B0A"/>
    <w:rsid w:val="00576DAF"/>
    <w:rsid w:val="00576E29"/>
    <w:rsid w:val="0057704E"/>
    <w:rsid w:val="0057767F"/>
    <w:rsid w:val="00580202"/>
    <w:rsid w:val="005809D0"/>
    <w:rsid w:val="005812F9"/>
    <w:rsid w:val="00581596"/>
    <w:rsid w:val="00581B11"/>
    <w:rsid w:val="00581C36"/>
    <w:rsid w:val="0058240B"/>
    <w:rsid w:val="0058256A"/>
    <w:rsid w:val="00582CFC"/>
    <w:rsid w:val="005831DA"/>
    <w:rsid w:val="0058382E"/>
    <w:rsid w:val="005851C1"/>
    <w:rsid w:val="005852D5"/>
    <w:rsid w:val="0058595C"/>
    <w:rsid w:val="00585B06"/>
    <w:rsid w:val="005869CE"/>
    <w:rsid w:val="0058724D"/>
    <w:rsid w:val="0058763C"/>
    <w:rsid w:val="00587FBF"/>
    <w:rsid w:val="00590407"/>
    <w:rsid w:val="00590662"/>
    <w:rsid w:val="00590A00"/>
    <w:rsid w:val="005914B8"/>
    <w:rsid w:val="00591B19"/>
    <w:rsid w:val="00592169"/>
    <w:rsid w:val="00592679"/>
    <w:rsid w:val="0059333E"/>
    <w:rsid w:val="00593CA6"/>
    <w:rsid w:val="00593DDC"/>
    <w:rsid w:val="00593F2D"/>
    <w:rsid w:val="00594334"/>
    <w:rsid w:val="00594A40"/>
    <w:rsid w:val="00595669"/>
    <w:rsid w:val="005958F2"/>
    <w:rsid w:val="00595B1F"/>
    <w:rsid w:val="005961B1"/>
    <w:rsid w:val="00596255"/>
    <w:rsid w:val="005963B0"/>
    <w:rsid w:val="0059661E"/>
    <w:rsid w:val="00596C04"/>
    <w:rsid w:val="00596D63"/>
    <w:rsid w:val="0059756D"/>
    <w:rsid w:val="00597662"/>
    <w:rsid w:val="0059778C"/>
    <w:rsid w:val="00597D7B"/>
    <w:rsid w:val="005A0325"/>
    <w:rsid w:val="005A0829"/>
    <w:rsid w:val="005A09BB"/>
    <w:rsid w:val="005A0FC8"/>
    <w:rsid w:val="005A305A"/>
    <w:rsid w:val="005A37E0"/>
    <w:rsid w:val="005A3C14"/>
    <w:rsid w:val="005A4C64"/>
    <w:rsid w:val="005A5021"/>
    <w:rsid w:val="005A5407"/>
    <w:rsid w:val="005A5497"/>
    <w:rsid w:val="005A62D3"/>
    <w:rsid w:val="005A6423"/>
    <w:rsid w:val="005A6C26"/>
    <w:rsid w:val="005A710E"/>
    <w:rsid w:val="005A7F7E"/>
    <w:rsid w:val="005B03A6"/>
    <w:rsid w:val="005B104C"/>
    <w:rsid w:val="005B1353"/>
    <w:rsid w:val="005B268C"/>
    <w:rsid w:val="005B26E2"/>
    <w:rsid w:val="005B2827"/>
    <w:rsid w:val="005B2B38"/>
    <w:rsid w:val="005B2E10"/>
    <w:rsid w:val="005B2EC0"/>
    <w:rsid w:val="005B35C1"/>
    <w:rsid w:val="005B3617"/>
    <w:rsid w:val="005B3B07"/>
    <w:rsid w:val="005B4763"/>
    <w:rsid w:val="005B5615"/>
    <w:rsid w:val="005B5940"/>
    <w:rsid w:val="005B62EA"/>
    <w:rsid w:val="005B64C9"/>
    <w:rsid w:val="005B6577"/>
    <w:rsid w:val="005B69B3"/>
    <w:rsid w:val="005B70F6"/>
    <w:rsid w:val="005B793D"/>
    <w:rsid w:val="005B7B6F"/>
    <w:rsid w:val="005B7E82"/>
    <w:rsid w:val="005C05DB"/>
    <w:rsid w:val="005C0F59"/>
    <w:rsid w:val="005C1605"/>
    <w:rsid w:val="005C16A7"/>
    <w:rsid w:val="005C1B5F"/>
    <w:rsid w:val="005C1C69"/>
    <w:rsid w:val="005C203A"/>
    <w:rsid w:val="005C22EC"/>
    <w:rsid w:val="005C235C"/>
    <w:rsid w:val="005C2A41"/>
    <w:rsid w:val="005C2B0E"/>
    <w:rsid w:val="005C4163"/>
    <w:rsid w:val="005C433E"/>
    <w:rsid w:val="005C4EF5"/>
    <w:rsid w:val="005C5494"/>
    <w:rsid w:val="005C5DA3"/>
    <w:rsid w:val="005C640D"/>
    <w:rsid w:val="005C72BE"/>
    <w:rsid w:val="005C77B4"/>
    <w:rsid w:val="005C7ABE"/>
    <w:rsid w:val="005D00CA"/>
    <w:rsid w:val="005D0558"/>
    <w:rsid w:val="005D27C0"/>
    <w:rsid w:val="005D305B"/>
    <w:rsid w:val="005D5179"/>
    <w:rsid w:val="005D5205"/>
    <w:rsid w:val="005D561A"/>
    <w:rsid w:val="005D59B0"/>
    <w:rsid w:val="005D60FF"/>
    <w:rsid w:val="005D660A"/>
    <w:rsid w:val="005D6C0F"/>
    <w:rsid w:val="005D7B41"/>
    <w:rsid w:val="005D7B49"/>
    <w:rsid w:val="005D7BD7"/>
    <w:rsid w:val="005E0491"/>
    <w:rsid w:val="005E05C6"/>
    <w:rsid w:val="005E07A3"/>
    <w:rsid w:val="005E1421"/>
    <w:rsid w:val="005E168A"/>
    <w:rsid w:val="005E18F9"/>
    <w:rsid w:val="005E1DF9"/>
    <w:rsid w:val="005E21FA"/>
    <w:rsid w:val="005E2DAD"/>
    <w:rsid w:val="005E3148"/>
    <w:rsid w:val="005E3161"/>
    <w:rsid w:val="005E3F32"/>
    <w:rsid w:val="005E41EC"/>
    <w:rsid w:val="005E4210"/>
    <w:rsid w:val="005E49A6"/>
    <w:rsid w:val="005E4E6F"/>
    <w:rsid w:val="005E55AB"/>
    <w:rsid w:val="005E5B4A"/>
    <w:rsid w:val="005E66AC"/>
    <w:rsid w:val="005E6A42"/>
    <w:rsid w:val="005E6C42"/>
    <w:rsid w:val="005E7101"/>
    <w:rsid w:val="005E7B56"/>
    <w:rsid w:val="005E7C32"/>
    <w:rsid w:val="005F026B"/>
    <w:rsid w:val="005F03AE"/>
    <w:rsid w:val="005F18A6"/>
    <w:rsid w:val="005F1B01"/>
    <w:rsid w:val="005F1D40"/>
    <w:rsid w:val="005F20FC"/>
    <w:rsid w:val="005F2551"/>
    <w:rsid w:val="005F2590"/>
    <w:rsid w:val="005F2AF4"/>
    <w:rsid w:val="005F2E75"/>
    <w:rsid w:val="005F2EEC"/>
    <w:rsid w:val="005F329E"/>
    <w:rsid w:val="005F3885"/>
    <w:rsid w:val="005F39A5"/>
    <w:rsid w:val="005F42E1"/>
    <w:rsid w:val="005F43E7"/>
    <w:rsid w:val="005F4921"/>
    <w:rsid w:val="005F4F5D"/>
    <w:rsid w:val="005F5A23"/>
    <w:rsid w:val="005F5C2B"/>
    <w:rsid w:val="005F5D9C"/>
    <w:rsid w:val="005F62ED"/>
    <w:rsid w:val="005F6C94"/>
    <w:rsid w:val="005F6D56"/>
    <w:rsid w:val="005F71C4"/>
    <w:rsid w:val="00600412"/>
    <w:rsid w:val="00600839"/>
    <w:rsid w:val="00600A84"/>
    <w:rsid w:val="006024F2"/>
    <w:rsid w:val="0060271E"/>
    <w:rsid w:val="00602B31"/>
    <w:rsid w:val="00602D9C"/>
    <w:rsid w:val="00602E10"/>
    <w:rsid w:val="00603400"/>
    <w:rsid w:val="006038E1"/>
    <w:rsid w:val="00603D5C"/>
    <w:rsid w:val="00603E6B"/>
    <w:rsid w:val="006048B5"/>
    <w:rsid w:val="00605113"/>
    <w:rsid w:val="0060588A"/>
    <w:rsid w:val="00605AEB"/>
    <w:rsid w:val="0060647D"/>
    <w:rsid w:val="006072E1"/>
    <w:rsid w:val="00607359"/>
    <w:rsid w:val="00607373"/>
    <w:rsid w:val="0060779C"/>
    <w:rsid w:val="006103BE"/>
    <w:rsid w:val="00610D0C"/>
    <w:rsid w:val="00611E3A"/>
    <w:rsid w:val="0061214B"/>
    <w:rsid w:val="006127D1"/>
    <w:rsid w:val="00613047"/>
    <w:rsid w:val="0061325A"/>
    <w:rsid w:val="0061363E"/>
    <w:rsid w:val="006141A3"/>
    <w:rsid w:val="0061519D"/>
    <w:rsid w:val="0061542D"/>
    <w:rsid w:val="00615B8C"/>
    <w:rsid w:val="00616777"/>
    <w:rsid w:val="00617820"/>
    <w:rsid w:val="00620144"/>
    <w:rsid w:val="0062015C"/>
    <w:rsid w:val="006205DB"/>
    <w:rsid w:val="006210B8"/>
    <w:rsid w:val="00621557"/>
    <w:rsid w:val="00621A78"/>
    <w:rsid w:val="00621A7E"/>
    <w:rsid w:val="00621ACD"/>
    <w:rsid w:val="0062253C"/>
    <w:rsid w:val="00622AEF"/>
    <w:rsid w:val="006230DD"/>
    <w:rsid w:val="00623260"/>
    <w:rsid w:val="0062352A"/>
    <w:rsid w:val="0062358C"/>
    <w:rsid w:val="00623C6D"/>
    <w:rsid w:val="00624115"/>
    <w:rsid w:val="00624202"/>
    <w:rsid w:val="006243FA"/>
    <w:rsid w:val="00624A24"/>
    <w:rsid w:val="00624B3C"/>
    <w:rsid w:val="006258A0"/>
    <w:rsid w:val="0062686F"/>
    <w:rsid w:val="0062699D"/>
    <w:rsid w:val="00627344"/>
    <w:rsid w:val="006277B9"/>
    <w:rsid w:val="00627A06"/>
    <w:rsid w:val="00627C5F"/>
    <w:rsid w:val="006300E5"/>
    <w:rsid w:val="00630B5C"/>
    <w:rsid w:val="006310D2"/>
    <w:rsid w:val="00631B08"/>
    <w:rsid w:val="00631C92"/>
    <w:rsid w:val="00631EA6"/>
    <w:rsid w:val="0063272C"/>
    <w:rsid w:val="00632D50"/>
    <w:rsid w:val="0063313F"/>
    <w:rsid w:val="006336FC"/>
    <w:rsid w:val="00634259"/>
    <w:rsid w:val="006343CE"/>
    <w:rsid w:val="006344C2"/>
    <w:rsid w:val="00634D2B"/>
    <w:rsid w:val="00635315"/>
    <w:rsid w:val="006357CE"/>
    <w:rsid w:val="00635857"/>
    <w:rsid w:val="00635CE8"/>
    <w:rsid w:val="0063616E"/>
    <w:rsid w:val="006366E3"/>
    <w:rsid w:val="0063715B"/>
    <w:rsid w:val="0063716B"/>
    <w:rsid w:val="006374E5"/>
    <w:rsid w:val="0063774B"/>
    <w:rsid w:val="00640F7A"/>
    <w:rsid w:val="00641143"/>
    <w:rsid w:val="00641192"/>
    <w:rsid w:val="00642E5B"/>
    <w:rsid w:val="00642F61"/>
    <w:rsid w:val="00644B6C"/>
    <w:rsid w:val="006450AD"/>
    <w:rsid w:val="00645C89"/>
    <w:rsid w:val="00646234"/>
    <w:rsid w:val="00646FF6"/>
    <w:rsid w:val="00647424"/>
    <w:rsid w:val="00647DDA"/>
    <w:rsid w:val="0065049F"/>
    <w:rsid w:val="00650893"/>
    <w:rsid w:val="00650D95"/>
    <w:rsid w:val="00651D2B"/>
    <w:rsid w:val="00651D36"/>
    <w:rsid w:val="00651E20"/>
    <w:rsid w:val="0065235C"/>
    <w:rsid w:val="00653A4F"/>
    <w:rsid w:val="006544A0"/>
    <w:rsid w:val="006553AB"/>
    <w:rsid w:val="0065592B"/>
    <w:rsid w:val="00655E8A"/>
    <w:rsid w:val="006560D6"/>
    <w:rsid w:val="0065622F"/>
    <w:rsid w:val="0065672D"/>
    <w:rsid w:val="00656B6B"/>
    <w:rsid w:val="00656EF1"/>
    <w:rsid w:val="00657291"/>
    <w:rsid w:val="0065745F"/>
    <w:rsid w:val="00657476"/>
    <w:rsid w:val="00657624"/>
    <w:rsid w:val="006577CE"/>
    <w:rsid w:val="006602DE"/>
    <w:rsid w:val="00660817"/>
    <w:rsid w:val="00660C1F"/>
    <w:rsid w:val="00661AA0"/>
    <w:rsid w:val="00661C3B"/>
    <w:rsid w:val="00661CF0"/>
    <w:rsid w:val="006630C0"/>
    <w:rsid w:val="00663C3D"/>
    <w:rsid w:val="00663DB1"/>
    <w:rsid w:val="00663EF8"/>
    <w:rsid w:val="006641E4"/>
    <w:rsid w:val="00664384"/>
    <w:rsid w:val="00664DDB"/>
    <w:rsid w:val="00665777"/>
    <w:rsid w:val="00665BC3"/>
    <w:rsid w:val="00667008"/>
    <w:rsid w:val="006676F5"/>
    <w:rsid w:val="0066790B"/>
    <w:rsid w:val="00667A02"/>
    <w:rsid w:val="0067058D"/>
    <w:rsid w:val="0067079F"/>
    <w:rsid w:val="00670980"/>
    <w:rsid w:val="006711A8"/>
    <w:rsid w:val="0067174F"/>
    <w:rsid w:val="006717EE"/>
    <w:rsid w:val="006720AE"/>
    <w:rsid w:val="00672917"/>
    <w:rsid w:val="00673D7F"/>
    <w:rsid w:val="00673FEC"/>
    <w:rsid w:val="006740A2"/>
    <w:rsid w:val="006744C8"/>
    <w:rsid w:val="00674E67"/>
    <w:rsid w:val="00674F23"/>
    <w:rsid w:val="00675738"/>
    <w:rsid w:val="00675FAF"/>
    <w:rsid w:val="00676209"/>
    <w:rsid w:val="0067665B"/>
    <w:rsid w:val="0067673F"/>
    <w:rsid w:val="00677B03"/>
    <w:rsid w:val="00677DC2"/>
    <w:rsid w:val="00677F51"/>
    <w:rsid w:val="0068058C"/>
    <w:rsid w:val="00680893"/>
    <w:rsid w:val="00680976"/>
    <w:rsid w:val="00680D2F"/>
    <w:rsid w:val="00680E84"/>
    <w:rsid w:val="00681379"/>
    <w:rsid w:val="006813D4"/>
    <w:rsid w:val="00681C89"/>
    <w:rsid w:val="00681EA0"/>
    <w:rsid w:val="0068323B"/>
    <w:rsid w:val="00683BE0"/>
    <w:rsid w:val="006843DC"/>
    <w:rsid w:val="00684A68"/>
    <w:rsid w:val="0068514D"/>
    <w:rsid w:val="006854A2"/>
    <w:rsid w:val="006854F7"/>
    <w:rsid w:val="006867F6"/>
    <w:rsid w:val="00686B3C"/>
    <w:rsid w:val="00687131"/>
    <w:rsid w:val="00687A37"/>
    <w:rsid w:val="00690824"/>
    <w:rsid w:val="006909CE"/>
    <w:rsid w:val="006916F1"/>
    <w:rsid w:val="006919A5"/>
    <w:rsid w:val="00691A1F"/>
    <w:rsid w:val="006928F8"/>
    <w:rsid w:val="00692C07"/>
    <w:rsid w:val="00692C9B"/>
    <w:rsid w:val="00692E14"/>
    <w:rsid w:val="00693028"/>
    <w:rsid w:val="00693568"/>
    <w:rsid w:val="00693D00"/>
    <w:rsid w:val="00693F24"/>
    <w:rsid w:val="00694406"/>
    <w:rsid w:val="0069449A"/>
    <w:rsid w:val="00694A1C"/>
    <w:rsid w:val="00694DCB"/>
    <w:rsid w:val="00694E23"/>
    <w:rsid w:val="00694FF9"/>
    <w:rsid w:val="0069563C"/>
    <w:rsid w:val="00695B63"/>
    <w:rsid w:val="0069687F"/>
    <w:rsid w:val="00696C70"/>
    <w:rsid w:val="0069707E"/>
    <w:rsid w:val="006975EA"/>
    <w:rsid w:val="006976AE"/>
    <w:rsid w:val="00697908"/>
    <w:rsid w:val="00697976"/>
    <w:rsid w:val="006979C2"/>
    <w:rsid w:val="006A0197"/>
    <w:rsid w:val="006A1CE8"/>
    <w:rsid w:val="006A2166"/>
    <w:rsid w:val="006A27B0"/>
    <w:rsid w:val="006A339E"/>
    <w:rsid w:val="006A3CD8"/>
    <w:rsid w:val="006A3F0E"/>
    <w:rsid w:val="006A436F"/>
    <w:rsid w:val="006A448E"/>
    <w:rsid w:val="006A4B31"/>
    <w:rsid w:val="006A4EE4"/>
    <w:rsid w:val="006A6062"/>
    <w:rsid w:val="006A6BA5"/>
    <w:rsid w:val="006A7338"/>
    <w:rsid w:val="006A740A"/>
    <w:rsid w:val="006A7677"/>
    <w:rsid w:val="006A7BB6"/>
    <w:rsid w:val="006A7CE4"/>
    <w:rsid w:val="006B04CB"/>
    <w:rsid w:val="006B04F3"/>
    <w:rsid w:val="006B0D48"/>
    <w:rsid w:val="006B0F34"/>
    <w:rsid w:val="006B1292"/>
    <w:rsid w:val="006B176D"/>
    <w:rsid w:val="006B194D"/>
    <w:rsid w:val="006B1B63"/>
    <w:rsid w:val="006B2191"/>
    <w:rsid w:val="006B234D"/>
    <w:rsid w:val="006B39E9"/>
    <w:rsid w:val="006B3AF4"/>
    <w:rsid w:val="006B46F2"/>
    <w:rsid w:val="006B5152"/>
    <w:rsid w:val="006B5A2B"/>
    <w:rsid w:val="006B5BC7"/>
    <w:rsid w:val="006B5F7E"/>
    <w:rsid w:val="006B6604"/>
    <w:rsid w:val="006B6C85"/>
    <w:rsid w:val="006B71E3"/>
    <w:rsid w:val="006B73BD"/>
    <w:rsid w:val="006B73FB"/>
    <w:rsid w:val="006B7F60"/>
    <w:rsid w:val="006C0586"/>
    <w:rsid w:val="006C0EE8"/>
    <w:rsid w:val="006C181F"/>
    <w:rsid w:val="006C1849"/>
    <w:rsid w:val="006C1B75"/>
    <w:rsid w:val="006C1BCD"/>
    <w:rsid w:val="006C202E"/>
    <w:rsid w:val="006C2101"/>
    <w:rsid w:val="006C26D7"/>
    <w:rsid w:val="006C3A06"/>
    <w:rsid w:val="006C3A7B"/>
    <w:rsid w:val="006C3FA4"/>
    <w:rsid w:val="006C486E"/>
    <w:rsid w:val="006C5433"/>
    <w:rsid w:val="006C621B"/>
    <w:rsid w:val="006C6286"/>
    <w:rsid w:val="006C6597"/>
    <w:rsid w:val="006C6749"/>
    <w:rsid w:val="006C6D8B"/>
    <w:rsid w:val="006C75D4"/>
    <w:rsid w:val="006C7877"/>
    <w:rsid w:val="006C7C6C"/>
    <w:rsid w:val="006D008D"/>
    <w:rsid w:val="006D028D"/>
    <w:rsid w:val="006D058B"/>
    <w:rsid w:val="006D120C"/>
    <w:rsid w:val="006D1BD8"/>
    <w:rsid w:val="006D2D41"/>
    <w:rsid w:val="006D3BF3"/>
    <w:rsid w:val="006D3FA4"/>
    <w:rsid w:val="006D443F"/>
    <w:rsid w:val="006D4444"/>
    <w:rsid w:val="006D448B"/>
    <w:rsid w:val="006D4566"/>
    <w:rsid w:val="006D50BD"/>
    <w:rsid w:val="006D53A0"/>
    <w:rsid w:val="006D5CCE"/>
    <w:rsid w:val="006D62C0"/>
    <w:rsid w:val="006D63CA"/>
    <w:rsid w:val="006D6745"/>
    <w:rsid w:val="006D76CD"/>
    <w:rsid w:val="006E0122"/>
    <w:rsid w:val="006E074D"/>
    <w:rsid w:val="006E0925"/>
    <w:rsid w:val="006E0BB4"/>
    <w:rsid w:val="006E173E"/>
    <w:rsid w:val="006E1CA1"/>
    <w:rsid w:val="006E1EFC"/>
    <w:rsid w:val="006E2CB7"/>
    <w:rsid w:val="006E31EA"/>
    <w:rsid w:val="006E3660"/>
    <w:rsid w:val="006E39B1"/>
    <w:rsid w:val="006E4533"/>
    <w:rsid w:val="006E4C2D"/>
    <w:rsid w:val="006E50A3"/>
    <w:rsid w:val="006E5A26"/>
    <w:rsid w:val="006E62C7"/>
    <w:rsid w:val="006E6494"/>
    <w:rsid w:val="006E77BC"/>
    <w:rsid w:val="006F0C57"/>
    <w:rsid w:val="006F101B"/>
    <w:rsid w:val="006F1800"/>
    <w:rsid w:val="006F189D"/>
    <w:rsid w:val="006F2643"/>
    <w:rsid w:val="006F2E79"/>
    <w:rsid w:val="006F31E7"/>
    <w:rsid w:val="006F3835"/>
    <w:rsid w:val="006F4629"/>
    <w:rsid w:val="006F4911"/>
    <w:rsid w:val="006F500C"/>
    <w:rsid w:val="006F59BA"/>
    <w:rsid w:val="006F5A3F"/>
    <w:rsid w:val="006F6740"/>
    <w:rsid w:val="006F6771"/>
    <w:rsid w:val="006F70C0"/>
    <w:rsid w:val="006F7903"/>
    <w:rsid w:val="006F7F0A"/>
    <w:rsid w:val="007003FE"/>
    <w:rsid w:val="00700487"/>
    <w:rsid w:val="00700502"/>
    <w:rsid w:val="007009E7"/>
    <w:rsid w:val="00701DD1"/>
    <w:rsid w:val="00701F08"/>
    <w:rsid w:val="00702138"/>
    <w:rsid w:val="00702CB5"/>
    <w:rsid w:val="00702D5F"/>
    <w:rsid w:val="00703709"/>
    <w:rsid w:val="0070406C"/>
    <w:rsid w:val="00704893"/>
    <w:rsid w:val="00704995"/>
    <w:rsid w:val="00704F1C"/>
    <w:rsid w:val="0070597C"/>
    <w:rsid w:val="00705E69"/>
    <w:rsid w:val="0070601C"/>
    <w:rsid w:val="00706232"/>
    <w:rsid w:val="00706508"/>
    <w:rsid w:val="007065C6"/>
    <w:rsid w:val="0070665E"/>
    <w:rsid w:val="00706D9A"/>
    <w:rsid w:val="0070731E"/>
    <w:rsid w:val="00710571"/>
    <w:rsid w:val="007106CF"/>
    <w:rsid w:val="00710C82"/>
    <w:rsid w:val="007111CB"/>
    <w:rsid w:val="007111DF"/>
    <w:rsid w:val="00711972"/>
    <w:rsid w:val="00711D5E"/>
    <w:rsid w:val="00711F03"/>
    <w:rsid w:val="007126D7"/>
    <w:rsid w:val="00712706"/>
    <w:rsid w:val="00712B8C"/>
    <w:rsid w:val="00712C1D"/>
    <w:rsid w:val="0071351D"/>
    <w:rsid w:val="007141CB"/>
    <w:rsid w:val="00714EF6"/>
    <w:rsid w:val="007152DF"/>
    <w:rsid w:val="00716CE1"/>
    <w:rsid w:val="00717160"/>
    <w:rsid w:val="007177CA"/>
    <w:rsid w:val="00717868"/>
    <w:rsid w:val="00717A77"/>
    <w:rsid w:val="00717FD5"/>
    <w:rsid w:val="007201E4"/>
    <w:rsid w:val="00720573"/>
    <w:rsid w:val="007207BB"/>
    <w:rsid w:val="007208D7"/>
    <w:rsid w:val="007213F8"/>
    <w:rsid w:val="00722835"/>
    <w:rsid w:val="00722F83"/>
    <w:rsid w:val="007232AC"/>
    <w:rsid w:val="007234C8"/>
    <w:rsid w:val="00723713"/>
    <w:rsid w:val="00723731"/>
    <w:rsid w:val="00723F58"/>
    <w:rsid w:val="00723F60"/>
    <w:rsid w:val="0072402F"/>
    <w:rsid w:val="00724377"/>
    <w:rsid w:val="0072505B"/>
    <w:rsid w:val="00725568"/>
    <w:rsid w:val="00726AB4"/>
    <w:rsid w:val="00726CF5"/>
    <w:rsid w:val="00727898"/>
    <w:rsid w:val="007279CD"/>
    <w:rsid w:val="00727EA3"/>
    <w:rsid w:val="007316EC"/>
    <w:rsid w:val="00732118"/>
    <w:rsid w:val="007334FF"/>
    <w:rsid w:val="007336EF"/>
    <w:rsid w:val="00733DF4"/>
    <w:rsid w:val="0073435D"/>
    <w:rsid w:val="00734592"/>
    <w:rsid w:val="00734682"/>
    <w:rsid w:val="0073483A"/>
    <w:rsid w:val="00734A48"/>
    <w:rsid w:val="00734D92"/>
    <w:rsid w:val="00735AEF"/>
    <w:rsid w:val="007362DD"/>
    <w:rsid w:val="007363E8"/>
    <w:rsid w:val="00736F4B"/>
    <w:rsid w:val="007371F0"/>
    <w:rsid w:val="00737235"/>
    <w:rsid w:val="0073730F"/>
    <w:rsid w:val="007378CF"/>
    <w:rsid w:val="00737A18"/>
    <w:rsid w:val="00737B34"/>
    <w:rsid w:val="00737F4B"/>
    <w:rsid w:val="00740118"/>
    <w:rsid w:val="007409D0"/>
    <w:rsid w:val="00741431"/>
    <w:rsid w:val="0074148C"/>
    <w:rsid w:val="00741903"/>
    <w:rsid w:val="00741CE9"/>
    <w:rsid w:val="0074204B"/>
    <w:rsid w:val="00742122"/>
    <w:rsid w:val="00742978"/>
    <w:rsid w:val="007429DB"/>
    <w:rsid w:val="00742A1D"/>
    <w:rsid w:val="007431C2"/>
    <w:rsid w:val="0074342F"/>
    <w:rsid w:val="00743F32"/>
    <w:rsid w:val="007440CE"/>
    <w:rsid w:val="00744CEC"/>
    <w:rsid w:val="00744DB5"/>
    <w:rsid w:val="00744F40"/>
    <w:rsid w:val="00745130"/>
    <w:rsid w:val="007454F7"/>
    <w:rsid w:val="007465A9"/>
    <w:rsid w:val="007467A3"/>
    <w:rsid w:val="00746FDF"/>
    <w:rsid w:val="007471F8"/>
    <w:rsid w:val="00747640"/>
    <w:rsid w:val="00747FFE"/>
    <w:rsid w:val="0075033D"/>
    <w:rsid w:val="007509BE"/>
    <w:rsid w:val="007509F3"/>
    <w:rsid w:val="0075111C"/>
    <w:rsid w:val="0075164A"/>
    <w:rsid w:val="00751B8E"/>
    <w:rsid w:val="00751CA9"/>
    <w:rsid w:val="00751D2C"/>
    <w:rsid w:val="007523D3"/>
    <w:rsid w:val="007528C6"/>
    <w:rsid w:val="00752BA9"/>
    <w:rsid w:val="00753993"/>
    <w:rsid w:val="00753AC2"/>
    <w:rsid w:val="00753CAB"/>
    <w:rsid w:val="00753DD5"/>
    <w:rsid w:val="00753FAA"/>
    <w:rsid w:val="00754161"/>
    <w:rsid w:val="00754790"/>
    <w:rsid w:val="007547B9"/>
    <w:rsid w:val="007549F0"/>
    <w:rsid w:val="00754BEB"/>
    <w:rsid w:val="00754BFF"/>
    <w:rsid w:val="00754F2E"/>
    <w:rsid w:val="00755BF3"/>
    <w:rsid w:val="00755D43"/>
    <w:rsid w:val="007562DE"/>
    <w:rsid w:val="007574F0"/>
    <w:rsid w:val="00757D09"/>
    <w:rsid w:val="00757F07"/>
    <w:rsid w:val="00760266"/>
    <w:rsid w:val="00760364"/>
    <w:rsid w:val="00760D02"/>
    <w:rsid w:val="007618E5"/>
    <w:rsid w:val="00761E68"/>
    <w:rsid w:val="007624BA"/>
    <w:rsid w:val="00762B10"/>
    <w:rsid w:val="00764057"/>
    <w:rsid w:val="007641D1"/>
    <w:rsid w:val="00764264"/>
    <w:rsid w:val="00764EC3"/>
    <w:rsid w:val="007668BC"/>
    <w:rsid w:val="00766C5E"/>
    <w:rsid w:val="0076749A"/>
    <w:rsid w:val="007675A5"/>
    <w:rsid w:val="007679F6"/>
    <w:rsid w:val="00767F57"/>
    <w:rsid w:val="007700A4"/>
    <w:rsid w:val="00770364"/>
    <w:rsid w:val="00770C0B"/>
    <w:rsid w:val="00770D5B"/>
    <w:rsid w:val="00770EB5"/>
    <w:rsid w:val="00771098"/>
    <w:rsid w:val="00771465"/>
    <w:rsid w:val="00772A6B"/>
    <w:rsid w:val="00772AE8"/>
    <w:rsid w:val="00772F61"/>
    <w:rsid w:val="0077325B"/>
    <w:rsid w:val="00773327"/>
    <w:rsid w:val="007734F1"/>
    <w:rsid w:val="00773A05"/>
    <w:rsid w:val="00773D50"/>
    <w:rsid w:val="00774183"/>
    <w:rsid w:val="00774D1E"/>
    <w:rsid w:val="00776BB1"/>
    <w:rsid w:val="007778F8"/>
    <w:rsid w:val="00777ABE"/>
    <w:rsid w:val="00777FC7"/>
    <w:rsid w:val="0078050C"/>
    <w:rsid w:val="00780563"/>
    <w:rsid w:val="007806CE"/>
    <w:rsid w:val="00780819"/>
    <w:rsid w:val="0078092E"/>
    <w:rsid w:val="00780E3B"/>
    <w:rsid w:val="00781B81"/>
    <w:rsid w:val="00782046"/>
    <w:rsid w:val="00782118"/>
    <w:rsid w:val="00782C5B"/>
    <w:rsid w:val="007830D3"/>
    <w:rsid w:val="0078353F"/>
    <w:rsid w:val="0078360E"/>
    <w:rsid w:val="00783616"/>
    <w:rsid w:val="00784104"/>
    <w:rsid w:val="00784744"/>
    <w:rsid w:val="007847E0"/>
    <w:rsid w:val="0078480E"/>
    <w:rsid w:val="00784F32"/>
    <w:rsid w:val="007856E1"/>
    <w:rsid w:val="007859E0"/>
    <w:rsid w:val="00785C95"/>
    <w:rsid w:val="00785FBD"/>
    <w:rsid w:val="00786176"/>
    <w:rsid w:val="0078618D"/>
    <w:rsid w:val="00786398"/>
    <w:rsid w:val="007864A0"/>
    <w:rsid w:val="00786825"/>
    <w:rsid w:val="00786CB7"/>
    <w:rsid w:val="00786D71"/>
    <w:rsid w:val="00786EBD"/>
    <w:rsid w:val="007879B6"/>
    <w:rsid w:val="00787B23"/>
    <w:rsid w:val="00787C3E"/>
    <w:rsid w:val="00787EB6"/>
    <w:rsid w:val="00787F7A"/>
    <w:rsid w:val="00790410"/>
    <w:rsid w:val="007907B2"/>
    <w:rsid w:val="0079125B"/>
    <w:rsid w:val="007915FB"/>
    <w:rsid w:val="00791CB7"/>
    <w:rsid w:val="00791DF5"/>
    <w:rsid w:val="00792473"/>
    <w:rsid w:val="007928DF"/>
    <w:rsid w:val="007938B9"/>
    <w:rsid w:val="00793ABC"/>
    <w:rsid w:val="00793AC5"/>
    <w:rsid w:val="007941B5"/>
    <w:rsid w:val="00794A10"/>
    <w:rsid w:val="00794FCD"/>
    <w:rsid w:val="007953FA"/>
    <w:rsid w:val="00795456"/>
    <w:rsid w:val="0079600F"/>
    <w:rsid w:val="00796168"/>
    <w:rsid w:val="007966D2"/>
    <w:rsid w:val="00796E7B"/>
    <w:rsid w:val="00797C00"/>
    <w:rsid w:val="00797E5B"/>
    <w:rsid w:val="007A041D"/>
    <w:rsid w:val="007A07E9"/>
    <w:rsid w:val="007A18E5"/>
    <w:rsid w:val="007A1EB7"/>
    <w:rsid w:val="007A26FA"/>
    <w:rsid w:val="007A2A35"/>
    <w:rsid w:val="007A36AC"/>
    <w:rsid w:val="007A3974"/>
    <w:rsid w:val="007A39BE"/>
    <w:rsid w:val="007A3DA0"/>
    <w:rsid w:val="007A424A"/>
    <w:rsid w:val="007A431C"/>
    <w:rsid w:val="007A452D"/>
    <w:rsid w:val="007A4C7E"/>
    <w:rsid w:val="007A55F1"/>
    <w:rsid w:val="007A5B8D"/>
    <w:rsid w:val="007A5DB2"/>
    <w:rsid w:val="007A634D"/>
    <w:rsid w:val="007A63C6"/>
    <w:rsid w:val="007A64F8"/>
    <w:rsid w:val="007A6723"/>
    <w:rsid w:val="007A69DF"/>
    <w:rsid w:val="007A7B0E"/>
    <w:rsid w:val="007A7D67"/>
    <w:rsid w:val="007B033A"/>
    <w:rsid w:val="007B0B6D"/>
    <w:rsid w:val="007B0C7D"/>
    <w:rsid w:val="007B160E"/>
    <w:rsid w:val="007B2AD2"/>
    <w:rsid w:val="007B3348"/>
    <w:rsid w:val="007B4163"/>
    <w:rsid w:val="007B48E0"/>
    <w:rsid w:val="007B4CF0"/>
    <w:rsid w:val="007B4D4F"/>
    <w:rsid w:val="007B5406"/>
    <w:rsid w:val="007B5D53"/>
    <w:rsid w:val="007B5E2F"/>
    <w:rsid w:val="007B6340"/>
    <w:rsid w:val="007B6896"/>
    <w:rsid w:val="007B6F51"/>
    <w:rsid w:val="007B705C"/>
    <w:rsid w:val="007B738A"/>
    <w:rsid w:val="007B7877"/>
    <w:rsid w:val="007C0F80"/>
    <w:rsid w:val="007C1C69"/>
    <w:rsid w:val="007C23B9"/>
    <w:rsid w:val="007C30BF"/>
    <w:rsid w:val="007C3BC7"/>
    <w:rsid w:val="007C4245"/>
    <w:rsid w:val="007C42FD"/>
    <w:rsid w:val="007C499C"/>
    <w:rsid w:val="007C4B03"/>
    <w:rsid w:val="007C5360"/>
    <w:rsid w:val="007C53D2"/>
    <w:rsid w:val="007C5C4F"/>
    <w:rsid w:val="007C5E3B"/>
    <w:rsid w:val="007C63FA"/>
    <w:rsid w:val="007C6867"/>
    <w:rsid w:val="007C6F03"/>
    <w:rsid w:val="007C7797"/>
    <w:rsid w:val="007C7874"/>
    <w:rsid w:val="007C7981"/>
    <w:rsid w:val="007D08A2"/>
    <w:rsid w:val="007D1387"/>
    <w:rsid w:val="007D1568"/>
    <w:rsid w:val="007D18D9"/>
    <w:rsid w:val="007D1E45"/>
    <w:rsid w:val="007D292C"/>
    <w:rsid w:val="007D334B"/>
    <w:rsid w:val="007D366D"/>
    <w:rsid w:val="007D39E6"/>
    <w:rsid w:val="007D3AEB"/>
    <w:rsid w:val="007D42C4"/>
    <w:rsid w:val="007D440B"/>
    <w:rsid w:val="007D461F"/>
    <w:rsid w:val="007D547A"/>
    <w:rsid w:val="007D54C0"/>
    <w:rsid w:val="007D5C1A"/>
    <w:rsid w:val="007D5D0A"/>
    <w:rsid w:val="007D640A"/>
    <w:rsid w:val="007D6446"/>
    <w:rsid w:val="007D6474"/>
    <w:rsid w:val="007D6B17"/>
    <w:rsid w:val="007D710B"/>
    <w:rsid w:val="007D7443"/>
    <w:rsid w:val="007D7606"/>
    <w:rsid w:val="007E03E8"/>
    <w:rsid w:val="007E0704"/>
    <w:rsid w:val="007E0C3C"/>
    <w:rsid w:val="007E10E7"/>
    <w:rsid w:val="007E1385"/>
    <w:rsid w:val="007E13D5"/>
    <w:rsid w:val="007E14BE"/>
    <w:rsid w:val="007E19D0"/>
    <w:rsid w:val="007E3789"/>
    <w:rsid w:val="007E379E"/>
    <w:rsid w:val="007E3F33"/>
    <w:rsid w:val="007E3FC5"/>
    <w:rsid w:val="007E4287"/>
    <w:rsid w:val="007E484F"/>
    <w:rsid w:val="007E55F4"/>
    <w:rsid w:val="007E5BCD"/>
    <w:rsid w:val="007E6169"/>
    <w:rsid w:val="007E619A"/>
    <w:rsid w:val="007E629F"/>
    <w:rsid w:val="007E7602"/>
    <w:rsid w:val="007E7F36"/>
    <w:rsid w:val="007F063B"/>
    <w:rsid w:val="007F0B1C"/>
    <w:rsid w:val="007F0DFC"/>
    <w:rsid w:val="007F18EF"/>
    <w:rsid w:val="007F1BC0"/>
    <w:rsid w:val="007F2BAB"/>
    <w:rsid w:val="007F2C9F"/>
    <w:rsid w:val="007F2E89"/>
    <w:rsid w:val="007F2ED3"/>
    <w:rsid w:val="007F3EBC"/>
    <w:rsid w:val="007F4681"/>
    <w:rsid w:val="007F55BD"/>
    <w:rsid w:val="007F5EE4"/>
    <w:rsid w:val="007F618F"/>
    <w:rsid w:val="007F64C4"/>
    <w:rsid w:val="007F6903"/>
    <w:rsid w:val="007F6F33"/>
    <w:rsid w:val="007F6FD8"/>
    <w:rsid w:val="007F77A0"/>
    <w:rsid w:val="007F77C4"/>
    <w:rsid w:val="007F7EBD"/>
    <w:rsid w:val="00800C49"/>
    <w:rsid w:val="0080195C"/>
    <w:rsid w:val="00801B49"/>
    <w:rsid w:val="0080207B"/>
    <w:rsid w:val="00803744"/>
    <w:rsid w:val="00803901"/>
    <w:rsid w:val="00803A63"/>
    <w:rsid w:val="0080472F"/>
    <w:rsid w:val="008047D6"/>
    <w:rsid w:val="008048DC"/>
    <w:rsid w:val="00804B66"/>
    <w:rsid w:val="00804F7B"/>
    <w:rsid w:val="00805107"/>
    <w:rsid w:val="0080537A"/>
    <w:rsid w:val="0080560E"/>
    <w:rsid w:val="00805700"/>
    <w:rsid w:val="008057E4"/>
    <w:rsid w:val="00807218"/>
    <w:rsid w:val="00807740"/>
    <w:rsid w:val="0080789C"/>
    <w:rsid w:val="00807B87"/>
    <w:rsid w:val="00807D21"/>
    <w:rsid w:val="00807DF2"/>
    <w:rsid w:val="0081049D"/>
    <w:rsid w:val="00810981"/>
    <w:rsid w:val="008116BA"/>
    <w:rsid w:val="00811BBD"/>
    <w:rsid w:val="008120AB"/>
    <w:rsid w:val="0081266C"/>
    <w:rsid w:val="00812AD9"/>
    <w:rsid w:val="00813BF0"/>
    <w:rsid w:val="00813F2F"/>
    <w:rsid w:val="0081413B"/>
    <w:rsid w:val="0081429D"/>
    <w:rsid w:val="008145D6"/>
    <w:rsid w:val="0081484D"/>
    <w:rsid w:val="008148D2"/>
    <w:rsid w:val="00814FFB"/>
    <w:rsid w:val="00815C69"/>
    <w:rsid w:val="00815E22"/>
    <w:rsid w:val="00816305"/>
    <w:rsid w:val="00816635"/>
    <w:rsid w:val="0081685B"/>
    <w:rsid w:val="008168AD"/>
    <w:rsid w:val="008169C8"/>
    <w:rsid w:val="00816FAA"/>
    <w:rsid w:val="00817497"/>
    <w:rsid w:val="00817C22"/>
    <w:rsid w:val="00817C6A"/>
    <w:rsid w:val="00817E99"/>
    <w:rsid w:val="008206E4"/>
    <w:rsid w:val="00820772"/>
    <w:rsid w:val="008207A2"/>
    <w:rsid w:val="0082091C"/>
    <w:rsid w:val="008210CA"/>
    <w:rsid w:val="008214CE"/>
    <w:rsid w:val="00822E33"/>
    <w:rsid w:val="008231A9"/>
    <w:rsid w:val="008233F2"/>
    <w:rsid w:val="0082369E"/>
    <w:rsid w:val="00823ABF"/>
    <w:rsid w:val="00823B80"/>
    <w:rsid w:val="00823DC9"/>
    <w:rsid w:val="00823EFC"/>
    <w:rsid w:val="00823FA2"/>
    <w:rsid w:val="008241EF"/>
    <w:rsid w:val="0082450A"/>
    <w:rsid w:val="00824AD4"/>
    <w:rsid w:val="00825771"/>
    <w:rsid w:val="0082590A"/>
    <w:rsid w:val="008259B5"/>
    <w:rsid w:val="00826129"/>
    <w:rsid w:val="00826C7A"/>
    <w:rsid w:val="00826CF4"/>
    <w:rsid w:val="00827497"/>
    <w:rsid w:val="00827681"/>
    <w:rsid w:val="00827D9F"/>
    <w:rsid w:val="00827F39"/>
    <w:rsid w:val="008303E2"/>
    <w:rsid w:val="008306C1"/>
    <w:rsid w:val="008307E6"/>
    <w:rsid w:val="00831117"/>
    <w:rsid w:val="0083149C"/>
    <w:rsid w:val="00831591"/>
    <w:rsid w:val="00832BB9"/>
    <w:rsid w:val="00832C9C"/>
    <w:rsid w:val="00832FE7"/>
    <w:rsid w:val="008330A3"/>
    <w:rsid w:val="00833D6A"/>
    <w:rsid w:val="00834420"/>
    <w:rsid w:val="0083564E"/>
    <w:rsid w:val="008356E6"/>
    <w:rsid w:val="00835A9F"/>
    <w:rsid w:val="00835D93"/>
    <w:rsid w:val="00836943"/>
    <w:rsid w:val="0083748F"/>
    <w:rsid w:val="00837537"/>
    <w:rsid w:val="0083793C"/>
    <w:rsid w:val="008402E4"/>
    <w:rsid w:val="00840578"/>
    <w:rsid w:val="008408F1"/>
    <w:rsid w:val="008419E1"/>
    <w:rsid w:val="00841B10"/>
    <w:rsid w:val="00841C87"/>
    <w:rsid w:val="008423F6"/>
    <w:rsid w:val="00842CCB"/>
    <w:rsid w:val="00842E9E"/>
    <w:rsid w:val="00843D66"/>
    <w:rsid w:val="00844186"/>
    <w:rsid w:val="0084448C"/>
    <w:rsid w:val="00844782"/>
    <w:rsid w:val="00844C17"/>
    <w:rsid w:val="0084662C"/>
    <w:rsid w:val="008502AB"/>
    <w:rsid w:val="0085041D"/>
    <w:rsid w:val="008504C2"/>
    <w:rsid w:val="00850664"/>
    <w:rsid w:val="00851C46"/>
    <w:rsid w:val="00851FAC"/>
    <w:rsid w:val="00852C2B"/>
    <w:rsid w:val="00852C5A"/>
    <w:rsid w:val="00853466"/>
    <w:rsid w:val="00853A8C"/>
    <w:rsid w:val="00854465"/>
    <w:rsid w:val="00854E30"/>
    <w:rsid w:val="008550C3"/>
    <w:rsid w:val="00856AF0"/>
    <w:rsid w:val="008605EB"/>
    <w:rsid w:val="00860633"/>
    <w:rsid w:val="00860EB3"/>
    <w:rsid w:val="00860EE5"/>
    <w:rsid w:val="00861C93"/>
    <w:rsid w:val="00862086"/>
    <w:rsid w:val="00862912"/>
    <w:rsid w:val="00862A3F"/>
    <w:rsid w:val="008630B5"/>
    <w:rsid w:val="00863880"/>
    <w:rsid w:val="00863992"/>
    <w:rsid w:val="00865C35"/>
    <w:rsid w:val="00866348"/>
    <w:rsid w:val="00867127"/>
    <w:rsid w:val="00867692"/>
    <w:rsid w:val="00867E9C"/>
    <w:rsid w:val="00870360"/>
    <w:rsid w:val="00870368"/>
    <w:rsid w:val="00870C2E"/>
    <w:rsid w:val="00870C9A"/>
    <w:rsid w:val="00870DAA"/>
    <w:rsid w:val="008718B4"/>
    <w:rsid w:val="00871C56"/>
    <w:rsid w:val="0087271C"/>
    <w:rsid w:val="00872766"/>
    <w:rsid w:val="00872904"/>
    <w:rsid w:val="00873262"/>
    <w:rsid w:val="008738DA"/>
    <w:rsid w:val="00873A70"/>
    <w:rsid w:val="00873E15"/>
    <w:rsid w:val="00873FAA"/>
    <w:rsid w:val="008747BF"/>
    <w:rsid w:val="00875BB4"/>
    <w:rsid w:val="00875C89"/>
    <w:rsid w:val="00875E24"/>
    <w:rsid w:val="00876088"/>
    <w:rsid w:val="008765A3"/>
    <w:rsid w:val="008766F4"/>
    <w:rsid w:val="0087787F"/>
    <w:rsid w:val="00877CB2"/>
    <w:rsid w:val="00877D55"/>
    <w:rsid w:val="008806E7"/>
    <w:rsid w:val="00880860"/>
    <w:rsid w:val="00881B78"/>
    <w:rsid w:val="00881EC1"/>
    <w:rsid w:val="0088239A"/>
    <w:rsid w:val="008823D1"/>
    <w:rsid w:val="008825A4"/>
    <w:rsid w:val="008845A2"/>
    <w:rsid w:val="008847BC"/>
    <w:rsid w:val="008850E2"/>
    <w:rsid w:val="00885570"/>
    <w:rsid w:val="00885E36"/>
    <w:rsid w:val="0088682F"/>
    <w:rsid w:val="00890D46"/>
    <w:rsid w:val="00890D61"/>
    <w:rsid w:val="008913F1"/>
    <w:rsid w:val="00891E26"/>
    <w:rsid w:val="00891EDF"/>
    <w:rsid w:val="008920CA"/>
    <w:rsid w:val="00892B45"/>
    <w:rsid w:val="008932A6"/>
    <w:rsid w:val="008934E9"/>
    <w:rsid w:val="008939C0"/>
    <w:rsid w:val="00893C25"/>
    <w:rsid w:val="008941C6"/>
    <w:rsid w:val="00894490"/>
    <w:rsid w:val="00894575"/>
    <w:rsid w:val="008946B4"/>
    <w:rsid w:val="00894775"/>
    <w:rsid w:val="00895F18"/>
    <w:rsid w:val="00896C1B"/>
    <w:rsid w:val="00896FC4"/>
    <w:rsid w:val="00897C13"/>
    <w:rsid w:val="008A0E66"/>
    <w:rsid w:val="008A1166"/>
    <w:rsid w:val="008A12BF"/>
    <w:rsid w:val="008A28E9"/>
    <w:rsid w:val="008A35E3"/>
    <w:rsid w:val="008A4D24"/>
    <w:rsid w:val="008A5786"/>
    <w:rsid w:val="008A5BD7"/>
    <w:rsid w:val="008A7931"/>
    <w:rsid w:val="008A79B4"/>
    <w:rsid w:val="008A7EF3"/>
    <w:rsid w:val="008B00D4"/>
    <w:rsid w:val="008B04BF"/>
    <w:rsid w:val="008B0EB7"/>
    <w:rsid w:val="008B0F3C"/>
    <w:rsid w:val="008B126C"/>
    <w:rsid w:val="008B15B5"/>
    <w:rsid w:val="008B15BA"/>
    <w:rsid w:val="008B2DDF"/>
    <w:rsid w:val="008B3298"/>
    <w:rsid w:val="008B36ED"/>
    <w:rsid w:val="008B3802"/>
    <w:rsid w:val="008B3F9B"/>
    <w:rsid w:val="008B4097"/>
    <w:rsid w:val="008B4E0C"/>
    <w:rsid w:val="008B63BC"/>
    <w:rsid w:val="008B63E8"/>
    <w:rsid w:val="008B6AB5"/>
    <w:rsid w:val="008B6C72"/>
    <w:rsid w:val="008B74EE"/>
    <w:rsid w:val="008B7843"/>
    <w:rsid w:val="008C03D3"/>
    <w:rsid w:val="008C057D"/>
    <w:rsid w:val="008C07F0"/>
    <w:rsid w:val="008C0930"/>
    <w:rsid w:val="008C1421"/>
    <w:rsid w:val="008C2804"/>
    <w:rsid w:val="008C299E"/>
    <w:rsid w:val="008C3720"/>
    <w:rsid w:val="008C3759"/>
    <w:rsid w:val="008C3D0C"/>
    <w:rsid w:val="008C41D2"/>
    <w:rsid w:val="008C44A3"/>
    <w:rsid w:val="008C4C90"/>
    <w:rsid w:val="008C4CFD"/>
    <w:rsid w:val="008C5200"/>
    <w:rsid w:val="008C55FD"/>
    <w:rsid w:val="008C59E2"/>
    <w:rsid w:val="008C6AA7"/>
    <w:rsid w:val="008C6C1A"/>
    <w:rsid w:val="008C6E24"/>
    <w:rsid w:val="008C6E36"/>
    <w:rsid w:val="008C7590"/>
    <w:rsid w:val="008D08CD"/>
    <w:rsid w:val="008D0CE6"/>
    <w:rsid w:val="008D0D53"/>
    <w:rsid w:val="008D0E59"/>
    <w:rsid w:val="008D1757"/>
    <w:rsid w:val="008D1872"/>
    <w:rsid w:val="008D1D33"/>
    <w:rsid w:val="008D2455"/>
    <w:rsid w:val="008D32CC"/>
    <w:rsid w:val="008D3ABD"/>
    <w:rsid w:val="008D3F7C"/>
    <w:rsid w:val="008D47A9"/>
    <w:rsid w:val="008D5BBE"/>
    <w:rsid w:val="008D629F"/>
    <w:rsid w:val="008D6CA2"/>
    <w:rsid w:val="008D6DFD"/>
    <w:rsid w:val="008D6E21"/>
    <w:rsid w:val="008D72D1"/>
    <w:rsid w:val="008E006E"/>
    <w:rsid w:val="008E0093"/>
    <w:rsid w:val="008E11B8"/>
    <w:rsid w:val="008E13D2"/>
    <w:rsid w:val="008E151B"/>
    <w:rsid w:val="008E1645"/>
    <w:rsid w:val="008E17F9"/>
    <w:rsid w:val="008E305F"/>
    <w:rsid w:val="008E36BD"/>
    <w:rsid w:val="008E395F"/>
    <w:rsid w:val="008E3EB0"/>
    <w:rsid w:val="008E42AE"/>
    <w:rsid w:val="008E4B28"/>
    <w:rsid w:val="008E4D48"/>
    <w:rsid w:val="008E5F19"/>
    <w:rsid w:val="008E6397"/>
    <w:rsid w:val="008E6DE2"/>
    <w:rsid w:val="008E7F83"/>
    <w:rsid w:val="008F00EF"/>
    <w:rsid w:val="008F0765"/>
    <w:rsid w:val="008F0DCF"/>
    <w:rsid w:val="008F0F2B"/>
    <w:rsid w:val="008F1087"/>
    <w:rsid w:val="008F19DB"/>
    <w:rsid w:val="008F24AD"/>
    <w:rsid w:val="008F2A54"/>
    <w:rsid w:val="008F2B7A"/>
    <w:rsid w:val="008F4874"/>
    <w:rsid w:val="008F4D80"/>
    <w:rsid w:val="008F5774"/>
    <w:rsid w:val="008F5F5D"/>
    <w:rsid w:val="008F63D3"/>
    <w:rsid w:val="008F6FA5"/>
    <w:rsid w:val="008F7097"/>
    <w:rsid w:val="008F7702"/>
    <w:rsid w:val="00900381"/>
    <w:rsid w:val="00900931"/>
    <w:rsid w:val="009017BE"/>
    <w:rsid w:val="00901E57"/>
    <w:rsid w:val="00901F65"/>
    <w:rsid w:val="00903295"/>
    <w:rsid w:val="0090391A"/>
    <w:rsid w:val="00903BA4"/>
    <w:rsid w:val="009057E1"/>
    <w:rsid w:val="00905BF4"/>
    <w:rsid w:val="00905C2C"/>
    <w:rsid w:val="00905F58"/>
    <w:rsid w:val="00906433"/>
    <w:rsid w:val="00906901"/>
    <w:rsid w:val="00906B0E"/>
    <w:rsid w:val="00906C29"/>
    <w:rsid w:val="0090717C"/>
    <w:rsid w:val="00907C1C"/>
    <w:rsid w:val="00910371"/>
    <w:rsid w:val="0091040E"/>
    <w:rsid w:val="00911280"/>
    <w:rsid w:val="00912107"/>
    <w:rsid w:val="00912289"/>
    <w:rsid w:val="00912A7F"/>
    <w:rsid w:val="00912ACC"/>
    <w:rsid w:val="00913C94"/>
    <w:rsid w:val="009140DF"/>
    <w:rsid w:val="00914674"/>
    <w:rsid w:val="00915695"/>
    <w:rsid w:val="00915991"/>
    <w:rsid w:val="00915A00"/>
    <w:rsid w:val="00916187"/>
    <w:rsid w:val="00916986"/>
    <w:rsid w:val="00916B4C"/>
    <w:rsid w:val="00917161"/>
    <w:rsid w:val="00920251"/>
    <w:rsid w:val="00920507"/>
    <w:rsid w:val="00920C44"/>
    <w:rsid w:val="00920D0B"/>
    <w:rsid w:val="009221A9"/>
    <w:rsid w:val="0092245A"/>
    <w:rsid w:val="00922863"/>
    <w:rsid w:val="009230C6"/>
    <w:rsid w:val="00923F0C"/>
    <w:rsid w:val="00924B68"/>
    <w:rsid w:val="00924CCA"/>
    <w:rsid w:val="009250F2"/>
    <w:rsid w:val="009255EE"/>
    <w:rsid w:val="00925763"/>
    <w:rsid w:val="00925DAB"/>
    <w:rsid w:val="00925FC4"/>
    <w:rsid w:val="00926590"/>
    <w:rsid w:val="00926FC2"/>
    <w:rsid w:val="0092717A"/>
    <w:rsid w:val="0092776D"/>
    <w:rsid w:val="009277E3"/>
    <w:rsid w:val="00927D82"/>
    <w:rsid w:val="00931522"/>
    <w:rsid w:val="00931785"/>
    <w:rsid w:val="0093289F"/>
    <w:rsid w:val="00932B62"/>
    <w:rsid w:val="00933451"/>
    <w:rsid w:val="00933868"/>
    <w:rsid w:val="00933AFC"/>
    <w:rsid w:val="00933CAF"/>
    <w:rsid w:val="009345B6"/>
    <w:rsid w:val="00934906"/>
    <w:rsid w:val="00934DB6"/>
    <w:rsid w:val="00935472"/>
    <w:rsid w:val="0093560E"/>
    <w:rsid w:val="00935778"/>
    <w:rsid w:val="009357EB"/>
    <w:rsid w:val="00935B07"/>
    <w:rsid w:val="009369F8"/>
    <w:rsid w:val="00936FB6"/>
    <w:rsid w:val="0093747A"/>
    <w:rsid w:val="009374B3"/>
    <w:rsid w:val="00937A39"/>
    <w:rsid w:val="00937AE9"/>
    <w:rsid w:val="00937CA5"/>
    <w:rsid w:val="009402F5"/>
    <w:rsid w:val="009408EE"/>
    <w:rsid w:val="00942835"/>
    <w:rsid w:val="009430CF"/>
    <w:rsid w:val="0094314E"/>
    <w:rsid w:val="00943E1E"/>
    <w:rsid w:val="00943EBA"/>
    <w:rsid w:val="0094419E"/>
    <w:rsid w:val="00944457"/>
    <w:rsid w:val="009444D7"/>
    <w:rsid w:val="009446C0"/>
    <w:rsid w:val="009455A9"/>
    <w:rsid w:val="0094566F"/>
    <w:rsid w:val="00945EAA"/>
    <w:rsid w:val="009468B3"/>
    <w:rsid w:val="00946AEC"/>
    <w:rsid w:val="0094727C"/>
    <w:rsid w:val="009472B6"/>
    <w:rsid w:val="00947383"/>
    <w:rsid w:val="00947B46"/>
    <w:rsid w:val="00950050"/>
    <w:rsid w:val="009503A2"/>
    <w:rsid w:val="00950641"/>
    <w:rsid w:val="00950806"/>
    <w:rsid w:val="00950832"/>
    <w:rsid w:val="009509A5"/>
    <w:rsid w:val="00950A74"/>
    <w:rsid w:val="00950AA7"/>
    <w:rsid w:val="00950F20"/>
    <w:rsid w:val="00951C8F"/>
    <w:rsid w:val="00951DF1"/>
    <w:rsid w:val="0095201A"/>
    <w:rsid w:val="0095225E"/>
    <w:rsid w:val="00952304"/>
    <w:rsid w:val="009523A7"/>
    <w:rsid w:val="009527C0"/>
    <w:rsid w:val="00952B15"/>
    <w:rsid w:val="009539AF"/>
    <w:rsid w:val="00953BEB"/>
    <w:rsid w:val="00953D70"/>
    <w:rsid w:val="009541DB"/>
    <w:rsid w:val="00954641"/>
    <w:rsid w:val="009547FF"/>
    <w:rsid w:val="009561D3"/>
    <w:rsid w:val="009564DD"/>
    <w:rsid w:val="00956B8E"/>
    <w:rsid w:val="00956DA9"/>
    <w:rsid w:val="00957341"/>
    <w:rsid w:val="009573A5"/>
    <w:rsid w:val="0095744A"/>
    <w:rsid w:val="00957548"/>
    <w:rsid w:val="00957D33"/>
    <w:rsid w:val="009604D6"/>
    <w:rsid w:val="00960C20"/>
    <w:rsid w:val="00960C29"/>
    <w:rsid w:val="0096129E"/>
    <w:rsid w:val="009613EA"/>
    <w:rsid w:val="00961CF1"/>
    <w:rsid w:val="00961DDE"/>
    <w:rsid w:val="009621EC"/>
    <w:rsid w:val="00962462"/>
    <w:rsid w:val="009625AB"/>
    <w:rsid w:val="00962604"/>
    <w:rsid w:val="009635FF"/>
    <w:rsid w:val="009637D0"/>
    <w:rsid w:val="00964238"/>
    <w:rsid w:val="009649FB"/>
    <w:rsid w:val="00964CAC"/>
    <w:rsid w:val="00964D57"/>
    <w:rsid w:val="00964FB0"/>
    <w:rsid w:val="009653DA"/>
    <w:rsid w:val="00965D9F"/>
    <w:rsid w:val="0096610C"/>
    <w:rsid w:val="0096704E"/>
    <w:rsid w:val="0096714C"/>
    <w:rsid w:val="00967177"/>
    <w:rsid w:val="00967AD1"/>
    <w:rsid w:val="00967B6C"/>
    <w:rsid w:val="00970E73"/>
    <w:rsid w:val="00971694"/>
    <w:rsid w:val="00971A9A"/>
    <w:rsid w:val="00971AF5"/>
    <w:rsid w:val="00972885"/>
    <w:rsid w:val="00972C97"/>
    <w:rsid w:val="00972E8D"/>
    <w:rsid w:val="0097348D"/>
    <w:rsid w:val="00973BAC"/>
    <w:rsid w:val="009741A9"/>
    <w:rsid w:val="00974218"/>
    <w:rsid w:val="009744F7"/>
    <w:rsid w:val="0097568F"/>
    <w:rsid w:val="009760D1"/>
    <w:rsid w:val="009763EE"/>
    <w:rsid w:val="00976451"/>
    <w:rsid w:val="00976F6F"/>
    <w:rsid w:val="009776D0"/>
    <w:rsid w:val="00977921"/>
    <w:rsid w:val="0098052D"/>
    <w:rsid w:val="00980672"/>
    <w:rsid w:val="0098073C"/>
    <w:rsid w:val="009816C3"/>
    <w:rsid w:val="00981C0C"/>
    <w:rsid w:val="00982F72"/>
    <w:rsid w:val="009833F0"/>
    <w:rsid w:val="009835AB"/>
    <w:rsid w:val="009839E5"/>
    <w:rsid w:val="00983EFF"/>
    <w:rsid w:val="009846F3"/>
    <w:rsid w:val="00984ABB"/>
    <w:rsid w:val="00984ADC"/>
    <w:rsid w:val="00984E0B"/>
    <w:rsid w:val="0098534A"/>
    <w:rsid w:val="00985E10"/>
    <w:rsid w:val="00985EB0"/>
    <w:rsid w:val="009863A4"/>
    <w:rsid w:val="00986A66"/>
    <w:rsid w:val="00987024"/>
    <w:rsid w:val="0098761C"/>
    <w:rsid w:val="00987F7A"/>
    <w:rsid w:val="00990670"/>
    <w:rsid w:val="009909A0"/>
    <w:rsid w:val="00992415"/>
    <w:rsid w:val="00992B09"/>
    <w:rsid w:val="0099300C"/>
    <w:rsid w:val="00993A4D"/>
    <w:rsid w:val="00993E02"/>
    <w:rsid w:val="00993ED6"/>
    <w:rsid w:val="009948A3"/>
    <w:rsid w:val="00994DFC"/>
    <w:rsid w:val="009951E7"/>
    <w:rsid w:val="00995424"/>
    <w:rsid w:val="00995DCD"/>
    <w:rsid w:val="00995F28"/>
    <w:rsid w:val="009963D1"/>
    <w:rsid w:val="00996D64"/>
    <w:rsid w:val="00997165"/>
    <w:rsid w:val="009A0860"/>
    <w:rsid w:val="009A12AF"/>
    <w:rsid w:val="009A1550"/>
    <w:rsid w:val="009A1DB5"/>
    <w:rsid w:val="009A2B28"/>
    <w:rsid w:val="009A2EFA"/>
    <w:rsid w:val="009A3DB4"/>
    <w:rsid w:val="009A410A"/>
    <w:rsid w:val="009A5312"/>
    <w:rsid w:val="009A5522"/>
    <w:rsid w:val="009A57DC"/>
    <w:rsid w:val="009A5AFA"/>
    <w:rsid w:val="009A62D5"/>
    <w:rsid w:val="009A6602"/>
    <w:rsid w:val="009A6A9F"/>
    <w:rsid w:val="009A74BA"/>
    <w:rsid w:val="009A7D0B"/>
    <w:rsid w:val="009B06B7"/>
    <w:rsid w:val="009B0813"/>
    <w:rsid w:val="009B0DCC"/>
    <w:rsid w:val="009B1ADD"/>
    <w:rsid w:val="009B20EB"/>
    <w:rsid w:val="009B2408"/>
    <w:rsid w:val="009B28A6"/>
    <w:rsid w:val="009B2FD9"/>
    <w:rsid w:val="009B3254"/>
    <w:rsid w:val="009B36A7"/>
    <w:rsid w:val="009B37C0"/>
    <w:rsid w:val="009B5205"/>
    <w:rsid w:val="009B56E7"/>
    <w:rsid w:val="009B6C7A"/>
    <w:rsid w:val="009B78FA"/>
    <w:rsid w:val="009C09B9"/>
    <w:rsid w:val="009C1089"/>
    <w:rsid w:val="009C3408"/>
    <w:rsid w:val="009C3465"/>
    <w:rsid w:val="009C3547"/>
    <w:rsid w:val="009C388A"/>
    <w:rsid w:val="009C38CC"/>
    <w:rsid w:val="009C44AA"/>
    <w:rsid w:val="009C4ECD"/>
    <w:rsid w:val="009C5684"/>
    <w:rsid w:val="009C62B3"/>
    <w:rsid w:val="009C67FF"/>
    <w:rsid w:val="009C6D92"/>
    <w:rsid w:val="009C6E45"/>
    <w:rsid w:val="009C71DF"/>
    <w:rsid w:val="009C7765"/>
    <w:rsid w:val="009C7859"/>
    <w:rsid w:val="009D06B2"/>
    <w:rsid w:val="009D0EB7"/>
    <w:rsid w:val="009D1E1F"/>
    <w:rsid w:val="009D1E8D"/>
    <w:rsid w:val="009D3A4F"/>
    <w:rsid w:val="009D3CE5"/>
    <w:rsid w:val="009D4F9B"/>
    <w:rsid w:val="009D5ACF"/>
    <w:rsid w:val="009D5B99"/>
    <w:rsid w:val="009D5D5F"/>
    <w:rsid w:val="009D62D4"/>
    <w:rsid w:val="009D6AFF"/>
    <w:rsid w:val="009D7AF8"/>
    <w:rsid w:val="009E018B"/>
    <w:rsid w:val="009E0821"/>
    <w:rsid w:val="009E1122"/>
    <w:rsid w:val="009E1227"/>
    <w:rsid w:val="009E16CF"/>
    <w:rsid w:val="009E1D31"/>
    <w:rsid w:val="009E2A2C"/>
    <w:rsid w:val="009E2B7D"/>
    <w:rsid w:val="009E30AB"/>
    <w:rsid w:val="009E30DC"/>
    <w:rsid w:val="009E374B"/>
    <w:rsid w:val="009E42CD"/>
    <w:rsid w:val="009E53E9"/>
    <w:rsid w:val="009E5A18"/>
    <w:rsid w:val="009E61DE"/>
    <w:rsid w:val="009E6491"/>
    <w:rsid w:val="009E64DB"/>
    <w:rsid w:val="009E6F74"/>
    <w:rsid w:val="009E733F"/>
    <w:rsid w:val="009E7788"/>
    <w:rsid w:val="009E7D59"/>
    <w:rsid w:val="009F00F2"/>
    <w:rsid w:val="009F02F6"/>
    <w:rsid w:val="009F0695"/>
    <w:rsid w:val="009F0747"/>
    <w:rsid w:val="009F0FD5"/>
    <w:rsid w:val="009F1605"/>
    <w:rsid w:val="009F162F"/>
    <w:rsid w:val="009F1876"/>
    <w:rsid w:val="009F1ACA"/>
    <w:rsid w:val="009F1C41"/>
    <w:rsid w:val="009F22C8"/>
    <w:rsid w:val="009F248E"/>
    <w:rsid w:val="009F2B39"/>
    <w:rsid w:val="009F312B"/>
    <w:rsid w:val="009F324B"/>
    <w:rsid w:val="009F3FCF"/>
    <w:rsid w:val="009F5860"/>
    <w:rsid w:val="009F6E68"/>
    <w:rsid w:val="009F7A04"/>
    <w:rsid w:val="00A00BB3"/>
    <w:rsid w:val="00A00C3A"/>
    <w:rsid w:val="00A01053"/>
    <w:rsid w:val="00A010E2"/>
    <w:rsid w:val="00A01763"/>
    <w:rsid w:val="00A01D02"/>
    <w:rsid w:val="00A02251"/>
    <w:rsid w:val="00A024EA"/>
    <w:rsid w:val="00A02554"/>
    <w:rsid w:val="00A02598"/>
    <w:rsid w:val="00A02638"/>
    <w:rsid w:val="00A027F3"/>
    <w:rsid w:val="00A031BF"/>
    <w:rsid w:val="00A03257"/>
    <w:rsid w:val="00A03596"/>
    <w:rsid w:val="00A035CC"/>
    <w:rsid w:val="00A03B2B"/>
    <w:rsid w:val="00A03E5C"/>
    <w:rsid w:val="00A0417E"/>
    <w:rsid w:val="00A041B3"/>
    <w:rsid w:val="00A042E5"/>
    <w:rsid w:val="00A045DA"/>
    <w:rsid w:val="00A04650"/>
    <w:rsid w:val="00A047A9"/>
    <w:rsid w:val="00A04BB4"/>
    <w:rsid w:val="00A05019"/>
    <w:rsid w:val="00A057C3"/>
    <w:rsid w:val="00A05A79"/>
    <w:rsid w:val="00A06906"/>
    <w:rsid w:val="00A06924"/>
    <w:rsid w:val="00A06AF3"/>
    <w:rsid w:val="00A072CC"/>
    <w:rsid w:val="00A078ED"/>
    <w:rsid w:val="00A079F5"/>
    <w:rsid w:val="00A10B5E"/>
    <w:rsid w:val="00A10D16"/>
    <w:rsid w:val="00A1206C"/>
    <w:rsid w:val="00A12105"/>
    <w:rsid w:val="00A123CC"/>
    <w:rsid w:val="00A12604"/>
    <w:rsid w:val="00A12797"/>
    <w:rsid w:val="00A12BFB"/>
    <w:rsid w:val="00A13BBD"/>
    <w:rsid w:val="00A14048"/>
    <w:rsid w:val="00A14455"/>
    <w:rsid w:val="00A14F1A"/>
    <w:rsid w:val="00A150E6"/>
    <w:rsid w:val="00A154DD"/>
    <w:rsid w:val="00A15803"/>
    <w:rsid w:val="00A16522"/>
    <w:rsid w:val="00A165C4"/>
    <w:rsid w:val="00A166A1"/>
    <w:rsid w:val="00A16766"/>
    <w:rsid w:val="00A1773E"/>
    <w:rsid w:val="00A177EC"/>
    <w:rsid w:val="00A179B2"/>
    <w:rsid w:val="00A17BE2"/>
    <w:rsid w:val="00A2010F"/>
    <w:rsid w:val="00A2083D"/>
    <w:rsid w:val="00A20953"/>
    <w:rsid w:val="00A20EEE"/>
    <w:rsid w:val="00A212A9"/>
    <w:rsid w:val="00A213DA"/>
    <w:rsid w:val="00A21F35"/>
    <w:rsid w:val="00A2231B"/>
    <w:rsid w:val="00A2255B"/>
    <w:rsid w:val="00A22797"/>
    <w:rsid w:val="00A22CF8"/>
    <w:rsid w:val="00A22EAE"/>
    <w:rsid w:val="00A23990"/>
    <w:rsid w:val="00A240AB"/>
    <w:rsid w:val="00A24D9C"/>
    <w:rsid w:val="00A24E32"/>
    <w:rsid w:val="00A25102"/>
    <w:rsid w:val="00A257CF"/>
    <w:rsid w:val="00A25AC4"/>
    <w:rsid w:val="00A25E45"/>
    <w:rsid w:val="00A25E60"/>
    <w:rsid w:val="00A25FDA"/>
    <w:rsid w:val="00A26254"/>
    <w:rsid w:val="00A262F3"/>
    <w:rsid w:val="00A301C7"/>
    <w:rsid w:val="00A30741"/>
    <w:rsid w:val="00A32251"/>
    <w:rsid w:val="00A322A9"/>
    <w:rsid w:val="00A3268C"/>
    <w:rsid w:val="00A32BBE"/>
    <w:rsid w:val="00A32BBF"/>
    <w:rsid w:val="00A32E08"/>
    <w:rsid w:val="00A33B9F"/>
    <w:rsid w:val="00A33FD9"/>
    <w:rsid w:val="00A34729"/>
    <w:rsid w:val="00A34F9A"/>
    <w:rsid w:val="00A351A9"/>
    <w:rsid w:val="00A35FAB"/>
    <w:rsid w:val="00A36330"/>
    <w:rsid w:val="00A364F9"/>
    <w:rsid w:val="00A36703"/>
    <w:rsid w:val="00A373FD"/>
    <w:rsid w:val="00A37422"/>
    <w:rsid w:val="00A40AAE"/>
    <w:rsid w:val="00A40B9B"/>
    <w:rsid w:val="00A40C43"/>
    <w:rsid w:val="00A42232"/>
    <w:rsid w:val="00A422D1"/>
    <w:rsid w:val="00A424B5"/>
    <w:rsid w:val="00A42725"/>
    <w:rsid w:val="00A42A3E"/>
    <w:rsid w:val="00A42B10"/>
    <w:rsid w:val="00A43CFC"/>
    <w:rsid w:val="00A444EA"/>
    <w:rsid w:val="00A4463E"/>
    <w:rsid w:val="00A44EF0"/>
    <w:rsid w:val="00A45B03"/>
    <w:rsid w:val="00A45F70"/>
    <w:rsid w:val="00A4699E"/>
    <w:rsid w:val="00A47547"/>
    <w:rsid w:val="00A4754D"/>
    <w:rsid w:val="00A50834"/>
    <w:rsid w:val="00A51010"/>
    <w:rsid w:val="00A512FB"/>
    <w:rsid w:val="00A51C4F"/>
    <w:rsid w:val="00A524D8"/>
    <w:rsid w:val="00A5282D"/>
    <w:rsid w:val="00A52B8F"/>
    <w:rsid w:val="00A533C0"/>
    <w:rsid w:val="00A556EF"/>
    <w:rsid w:val="00A564E9"/>
    <w:rsid w:val="00A56857"/>
    <w:rsid w:val="00A56E3F"/>
    <w:rsid w:val="00A574A6"/>
    <w:rsid w:val="00A57509"/>
    <w:rsid w:val="00A57F0B"/>
    <w:rsid w:val="00A6086C"/>
    <w:rsid w:val="00A608A0"/>
    <w:rsid w:val="00A608AB"/>
    <w:rsid w:val="00A6109D"/>
    <w:rsid w:val="00A62BE4"/>
    <w:rsid w:val="00A62C19"/>
    <w:rsid w:val="00A636A8"/>
    <w:rsid w:val="00A63978"/>
    <w:rsid w:val="00A63A45"/>
    <w:rsid w:val="00A63F8F"/>
    <w:rsid w:val="00A646B2"/>
    <w:rsid w:val="00A64917"/>
    <w:rsid w:val="00A65627"/>
    <w:rsid w:val="00A65731"/>
    <w:rsid w:val="00A661E1"/>
    <w:rsid w:val="00A66506"/>
    <w:rsid w:val="00A668B2"/>
    <w:rsid w:val="00A67961"/>
    <w:rsid w:val="00A70727"/>
    <w:rsid w:val="00A709C4"/>
    <w:rsid w:val="00A7212D"/>
    <w:rsid w:val="00A729FA"/>
    <w:rsid w:val="00A73187"/>
    <w:rsid w:val="00A73F66"/>
    <w:rsid w:val="00A73FE0"/>
    <w:rsid w:val="00A74151"/>
    <w:rsid w:val="00A75071"/>
    <w:rsid w:val="00A7534A"/>
    <w:rsid w:val="00A756D1"/>
    <w:rsid w:val="00A75A8D"/>
    <w:rsid w:val="00A75B8C"/>
    <w:rsid w:val="00A762D8"/>
    <w:rsid w:val="00A76589"/>
    <w:rsid w:val="00A77170"/>
    <w:rsid w:val="00A7749F"/>
    <w:rsid w:val="00A77515"/>
    <w:rsid w:val="00A775E2"/>
    <w:rsid w:val="00A8086B"/>
    <w:rsid w:val="00A80C09"/>
    <w:rsid w:val="00A81C7F"/>
    <w:rsid w:val="00A821C0"/>
    <w:rsid w:val="00A8233F"/>
    <w:rsid w:val="00A82B7C"/>
    <w:rsid w:val="00A82B89"/>
    <w:rsid w:val="00A82C78"/>
    <w:rsid w:val="00A82CBA"/>
    <w:rsid w:val="00A82E80"/>
    <w:rsid w:val="00A8313D"/>
    <w:rsid w:val="00A831B6"/>
    <w:rsid w:val="00A8458D"/>
    <w:rsid w:val="00A84D77"/>
    <w:rsid w:val="00A84FDD"/>
    <w:rsid w:val="00A851DA"/>
    <w:rsid w:val="00A87167"/>
    <w:rsid w:val="00A87671"/>
    <w:rsid w:val="00A87AF3"/>
    <w:rsid w:val="00A903F7"/>
    <w:rsid w:val="00A9051C"/>
    <w:rsid w:val="00A9070F"/>
    <w:rsid w:val="00A91590"/>
    <w:rsid w:val="00A91B9C"/>
    <w:rsid w:val="00A92059"/>
    <w:rsid w:val="00A922B5"/>
    <w:rsid w:val="00A92DA8"/>
    <w:rsid w:val="00A94383"/>
    <w:rsid w:val="00A9467E"/>
    <w:rsid w:val="00A9502B"/>
    <w:rsid w:val="00A950F4"/>
    <w:rsid w:val="00A952FC"/>
    <w:rsid w:val="00A953B8"/>
    <w:rsid w:val="00A9566D"/>
    <w:rsid w:val="00A95C4A"/>
    <w:rsid w:val="00A95D29"/>
    <w:rsid w:val="00A95FBD"/>
    <w:rsid w:val="00A96AE7"/>
    <w:rsid w:val="00A96D66"/>
    <w:rsid w:val="00A97436"/>
    <w:rsid w:val="00A97BFA"/>
    <w:rsid w:val="00A97E0C"/>
    <w:rsid w:val="00AA04F7"/>
    <w:rsid w:val="00AA0A1F"/>
    <w:rsid w:val="00AA15C7"/>
    <w:rsid w:val="00AA1976"/>
    <w:rsid w:val="00AA27FA"/>
    <w:rsid w:val="00AA298B"/>
    <w:rsid w:val="00AA2C46"/>
    <w:rsid w:val="00AA2F94"/>
    <w:rsid w:val="00AA3175"/>
    <w:rsid w:val="00AA4085"/>
    <w:rsid w:val="00AA64BE"/>
    <w:rsid w:val="00AA74CF"/>
    <w:rsid w:val="00AA7CA7"/>
    <w:rsid w:val="00AA7ECC"/>
    <w:rsid w:val="00AB06E7"/>
    <w:rsid w:val="00AB07AE"/>
    <w:rsid w:val="00AB0880"/>
    <w:rsid w:val="00AB1066"/>
    <w:rsid w:val="00AB14CA"/>
    <w:rsid w:val="00AB3273"/>
    <w:rsid w:val="00AB4773"/>
    <w:rsid w:val="00AB523E"/>
    <w:rsid w:val="00AB54D3"/>
    <w:rsid w:val="00AB64B4"/>
    <w:rsid w:val="00AB7135"/>
    <w:rsid w:val="00AB7C9C"/>
    <w:rsid w:val="00AC10BB"/>
    <w:rsid w:val="00AC195F"/>
    <w:rsid w:val="00AC1F2C"/>
    <w:rsid w:val="00AC2267"/>
    <w:rsid w:val="00AC31E2"/>
    <w:rsid w:val="00AC3AC6"/>
    <w:rsid w:val="00AC4D9F"/>
    <w:rsid w:val="00AC5189"/>
    <w:rsid w:val="00AC51E5"/>
    <w:rsid w:val="00AC56A6"/>
    <w:rsid w:val="00AC5EC7"/>
    <w:rsid w:val="00AC663D"/>
    <w:rsid w:val="00AC6697"/>
    <w:rsid w:val="00AC6893"/>
    <w:rsid w:val="00AC77E9"/>
    <w:rsid w:val="00AC7D48"/>
    <w:rsid w:val="00AC7D96"/>
    <w:rsid w:val="00AC7EA2"/>
    <w:rsid w:val="00AD04A0"/>
    <w:rsid w:val="00AD07AC"/>
    <w:rsid w:val="00AD0EE6"/>
    <w:rsid w:val="00AD0FC7"/>
    <w:rsid w:val="00AD1A6B"/>
    <w:rsid w:val="00AD25F0"/>
    <w:rsid w:val="00AD2A85"/>
    <w:rsid w:val="00AD2DF9"/>
    <w:rsid w:val="00AD2EC1"/>
    <w:rsid w:val="00AD2FCB"/>
    <w:rsid w:val="00AD32C5"/>
    <w:rsid w:val="00AD374E"/>
    <w:rsid w:val="00AD38F7"/>
    <w:rsid w:val="00AD3CF8"/>
    <w:rsid w:val="00AD410C"/>
    <w:rsid w:val="00AD417A"/>
    <w:rsid w:val="00AD4586"/>
    <w:rsid w:val="00AD50CF"/>
    <w:rsid w:val="00AD516A"/>
    <w:rsid w:val="00AD5588"/>
    <w:rsid w:val="00AD563F"/>
    <w:rsid w:val="00AD56A9"/>
    <w:rsid w:val="00AD5BA2"/>
    <w:rsid w:val="00AD5CED"/>
    <w:rsid w:val="00AD72A1"/>
    <w:rsid w:val="00AD7317"/>
    <w:rsid w:val="00AD7912"/>
    <w:rsid w:val="00AD7E57"/>
    <w:rsid w:val="00AD7FDC"/>
    <w:rsid w:val="00AE0285"/>
    <w:rsid w:val="00AE04AF"/>
    <w:rsid w:val="00AE0EA5"/>
    <w:rsid w:val="00AE14A0"/>
    <w:rsid w:val="00AE19A4"/>
    <w:rsid w:val="00AE1B87"/>
    <w:rsid w:val="00AE1C63"/>
    <w:rsid w:val="00AE23E5"/>
    <w:rsid w:val="00AE242D"/>
    <w:rsid w:val="00AE35A0"/>
    <w:rsid w:val="00AE3692"/>
    <w:rsid w:val="00AE3969"/>
    <w:rsid w:val="00AE3B4E"/>
    <w:rsid w:val="00AE3D0F"/>
    <w:rsid w:val="00AE3D59"/>
    <w:rsid w:val="00AE3EA0"/>
    <w:rsid w:val="00AE5570"/>
    <w:rsid w:val="00AE575F"/>
    <w:rsid w:val="00AE578C"/>
    <w:rsid w:val="00AE6508"/>
    <w:rsid w:val="00AE6A3B"/>
    <w:rsid w:val="00AE7BBC"/>
    <w:rsid w:val="00AE7CDB"/>
    <w:rsid w:val="00AF0717"/>
    <w:rsid w:val="00AF0AF0"/>
    <w:rsid w:val="00AF1CC2"/>
    <w:rsid w:val="00AF2157"/>
    <w:rsid w:val="00AF2185"/>
    <w:rsid w:val="00AF2D57"/>
    <w:rsid w:val="00AF47FE"/>
    <w:rsid w:val="00AF4814"/>
    <w:rsid w:val="00AF54DD"/>
    <w:rsid w:val="00AF6BCB"/>
    <w:rsid w:val="00AF7C6D"/>
    <w:rsid w:val="00B00577"/>
    <w:rsid w:val="00B007DA"/>
    <w:rsid w:val="00B00A47"/>
    <w:rsid w:val="00B00BD2"/>
    <w:rsid w:val="00B01907"/>
    <w:rsid w:val="00B01B84"/>
    <w:rsid w:val="00B01C92"/>
    <w:rsid w:val="00B0291A"/>
    <w:rsid w:val="00B03773"/>
    <w:rsid w:val="00B03979"/>
    <w:rsid w:val="00B03F61"/>
    <w:rsid w:val="00B0485D"/>
    <w:rsid w:val="00B0518A"/>
    <w:rsid w:val="00B0608F"/>
    <w:rsid w:val="00B0693A"/>
    <w:rsid w:val="00B07440"/>
    <w:rsid w:val="00B0783B"/>
    <w:rsid w:val="00B1091C"/>
    <w:rsid w:val="00B10D52"/>
    <w:rsid w:val="00B110B0"/>
    <w:rsid w:val="00B11764"/>
    <w:rsid w:val="00B11944"/>
    <w:rsid w:val="00B11E4E"/>
    <w:rsid w:val="00B12332"/>
    <w:rsid w:val="00B124EF"/>
    <w:rsid w:val="00B12EE1"/>
    <w:rsid w:val="00B13256"/>
    <w:rsid w:val="00B134C9"/>
    <w:rsid w:val="00B13FAE"/>
    <w:rsid w:val="00B14231"/>
    <w:rsid w:val="00B14544"/>
    <w:rsid w:val="00B14E6A"/>
    <w:rsid w:val="00B1557B"/>
    <w:rsid w:val="00B1572C"/>
    <w:rsid w:val="00B15A1B"/>
    <w:rsid w:val="00B1623B"/>
    <w:rsid w:val="00B16514"/>
    <w:rsid w:val="00B166E2"/>
    <w:rsid w:val="00B1672A"/>
    <w:rsid w:val="00B178B1"/>
    <w:rsid w:val="00B20293"/>
    <w:rsid w:val="00B2059B"/>
    <w:rsid w:val="00B210AC"/>
    <w:rsid w:val="00B21174"/>
    <w:rsid w:val="00B21462"/>
    <w:rsid w:val="00B21560"/>
    <w:rsid w:val="00B2156D"/>
    <w:rsid w:val="00B215EF"/>
    <w:rsid w:val="00B22195"/>
    <w:rsid w:val="00B22356"/>
    <w:rsid w:val="00B2239F"/>
    <w:rsid w:val="00B2242D"/>
    <w:rsid w:val="00B224C9"/>
    <w:rsid w:val="00B23457"/>
    <w:rsid w:val="00B2347B"/>
    <w:rsid w:val="00B23A05"/>
    <w:rsid w:val="00B2454C"/>
    <w:rsid w:val="00B2464C"/>
    <w:rsid w:val="00B2471A"/>
    <w:rsid w:val="00B2479F"/>
    <w:rsid w:val="00B24914"/>
    <w:rsid w:val="00B24982"/>
    <w:rsid w:val="00B258A4"/>
    <w:rsid w:val="00B25B47"/>
    <w:rsid w:val="00B25E25"/>
    <w:rsid w:val="00B27C5A"/>
    <w:rsid w:val="00B27D07"/>
    <w:rsid w:val="00B27DDD"/>
    <w:rsid w:val="00B300E6"/>
    <w:rsid w:val="00B31508"/>
    <w:rsid w:val="00B31736"/>
    <w:rsid w:val="00B31A3E"/>
    <w:rsid w:val="00B32082"/>
    <w:rsid w:val="00B3267A"/>
    <w:rsid w:val="00B33488"/>
    <w:rsid w:val="00B3378F"/>
    <w:rsid w:val="00B33AE2"/>
    <w:rsid w:val="00B33E43"/>
    <w:rsid w:val="00B34EB0"/>
    <w:rsid w:val="00B35841"/>
    <w:rsid w:val="00B369F1"/>
    <w:rsid w:val="00B36B6C"/>
    <w:rsid w:val="00B36C2C"/>
    <w:rsid w:val="00B36FD2"/>
    <w:rsid w:val="00B379DB"/>
    <w:rsid w:val="00B37AFB"/>
    <w:rsid w:val="00B4014B"/>
    <w:rsid w:val="00B40885"/>
    <w:rsid w:val="00B40FDE"/>
    <w:rsid w:val="00B41919"/>
    <w:rsid w:val="00B4299C"/>
    <w:rsid w:val="00B43A70"/>
    <w:rsid w:val="00B4499D"/>
    <w:rsid w:val="00B4536A"/>
    <w:rsid w:val="00B455D6"/>
    <w:rsid w:val="00B467DB"/>
    <w:rsid w:val="00B475B6"/>
    <w:rsid w:val="00B477D1"/>
    <w:rsid w:val="00B47865"/>
    <w:rsid w:val="00B47918"/>
    <w:rsid w:val="00B50280"/>
    <w:rsid w:val="00B50AC3"/>
    <w:rsid w:val="00B512F7"/>
    <w:rsid w:val="00B51F46"/>
    <w:rsid w:val="00B522CD"/>
    <w:rsid w:val="00B52320"/>
    <w:rsid w:val="00B52B0D"/>
    <w:rsid w:val="00B53426"/>
    <w:rsid w:val="00B53EDB"/>
    <w:rsid w:val="00B5550C"/>
    <w:rsid w:val="00B55B45"/>
    <w:rsid w:val="00B5627A"/>
    <w:rsid w:val="00B56816"/>
    <w:rsid w:val="00B576C6"/>
    <w:rsid w:val="00B60C11"/>
    <w:rsid w:val="00B61023"/>
    <w:rsid w:val="00B61CFF"/>
    <w:rsid w:val="00B62A59"/>
    <w:rsid w:val="00B631B2"/>
    <w:rsid w:val="00B63967"/>
    <w:rsid w:val="00B6476D"/>
    <w:rsid w:val="00B64F64"/>
    <w:rsid w:val="00B654C1"/>
    <w:rsid w:val="00B65D9A"/>
    <w:rsid w:val="00B660A8"/>
    <w:rsid w:val="00B66249"/>
    <w:rsid w:val="00B6712A"/>
    <w:rsid w:val="00B6730F"/>
    <w:rsid w:val="00B674B9"/>
    <w:rsid w:val="00B67BB8"/>
    <w:rsid w:val="00B67F03"/>
    <w:rsid w:val="00B7163D"/>
    <w:rsid w:val="00B7175A"/>
    <w:rsid w:val="00B71A7A"/>
    <w:rsid w:val="00B71AC1"/>
    <w:rsid w:val="00B724F0"/>
    <w:rsid w:val="00B72BF5"/>
    <w:rsid w:val="00B73015"/>
    <w:rsid w:val="00B73700"/>
    <w:rsid w:val="00B73C23"/>
    <w:rsid w:val="00B75A26"/>
    <w:rsid w:val="00B75B91"/>
    <w:rsid w:val="00B75F2A"/>
    <w:rsid w:val="00B76E9C"/>
    <w:rsid w:val="00B76F24"/>
    <w:rsid w:val="00B7724D"/>
    <w:rsid w:val="00B776F2"/>
    <w:rsid w:val="00B77A40"/>
    <w:rsid w:val="00B77D2E"/>
    <w:rsid w:val="00B77EC7"/>
    <w:rsid w:val="00B801E7"/>
    <w:rsid w:val="00B805D0"/>
    <w:rsid w:val="00B80F3C"/>
    <w:rsid w:val="00B81252"/>
    <w:rsid w:val="00B815AA"/>
    <w:rsid w:val="00B81CAA"/>
    <w:rsid w:val="00B820FD"/>
    <w:rsid w:val="00B82FCF"/>
    <w:rsid w:val="00B83047"/>
    <w:rsid w:val="00B832DB"/>
    <w:rsid w:val="00B83484"/>
    <w:rsid w:val="00B84742"/>
    <w:rsid w:val="00B84E9E"/>
    <w:rsid w:val="00B854B2"/>
    <w:rsid w:val="00B85521"/>
    <w:rsid w:val="00B85BC4"/>
    <w:rsid w:val="00B867A7"/>
    <w:rsid w:val="00B8755B"/>
    <w:rsid w:val="00B877AC"/>
    <w:rsid w:val="00B87972"/>
    <w:rsid w:val="00B90A13"/>
    <w:rsid w:val="00B91664"/>
    <w:rsid w:val="00B91BBF"/>
    <w:rsid w:val="00B91DEC"/>
    <w:rsid w:val="00B920AF"/>
    <w:rsid w:val="00B9327E"/>
    <w:rsid w:val="00B9335F"/>
    <w:rsid w:val="00B93425"/>
    <w:rsid w:val="00B9342F"/>
    <w:rsid w:val="00B93A7D"/>
    <w:rsid w:val="00B94929"/>
    <w:rsid w:val="00B94ABF"/>
    <w:rsid w:val="00B94F1B"/>
    <w:rsid w:val="00B9544F"/>
    <w:rsid w:val="00B954A2"/>
    <w:rsid w:val="00B95F1E"/>
    <w:rsid w:val="00B96657"/>
    <w:rsid w:val="00B96AEF"/>
    <w:rsid w:val="00B97735"/>
    <w:rsid w:val="00B97A63"/>
    <w:rsid w:val="00B97A9B"/>
    <w:rsid w:val="00B97B95"/>
    <w:rsid w:val="00BA01B3"/>
    <w:rsid w:val="00BA01BB"/>
    <w:rsid w:val="00BA0BB6"/>
    <w:rsid w:val="00BA0C7B"/>
    <w:rsid w:val="00BA0EF0"/>
    <w:rsid w:val="00BA1456"/>
    <w:rsid w:val="00BA2984"/>
    <w:rsid w:val="00BA30DD"/>
    <w:rsid w:val="00BA3185"/>
    <w:rsid w:val="00BA3212"/>
    <w:rsid w:val="00BA39F8"/>
    <w:rsid w:val="00BA4171"/>
    <w:rsid w:val="00BA4963"/>
    <w:rsid w:val="00BA4A47"/>
    <w:rsid w:val="00BA4E90"/>
    <w:rsid w:val="00BA57F5"/>
    <w:rsid w:val="00BA5A54"/>
    <w:rsid w:val="00BA66CD"/>
    <w:rsid w:val="00BA6A09"/>
    <w:rsid w:val="00BA7D27"/>
    <w:rsid w:val="00BB1307"/>
    <w:rsid w:val="00BB17E3"/>
    <w:rsid w:val="00BB1DCC"/>
    <w:rsid w:val="00BB23FE"/>
    <w:rsid w:val="00BB2761"/>
    <w:rsid w:val="00BB28AE"/>
    <w:rsid w:val="00BB2E30"/>
    <w:rsid w:val="00BB3C40"/>
    <w:rsid w:val="00BB3E6F"/>
    <w:rsid w:val="00BB4C26"/>
    <w:rsid w:val="00BB4DD6"/>
    <w:rsid w:val="00BB5224"/>
    <w:rsid w:val="00BB5395"/>
    <w:rsid w:val="00BB70FE"/>
    <w:rsid w:val="00BB7447"/>
    <w:rsid w:val="00BB7820"/>
    <w:rsid w:val="00BB78B4"/>
    <w:rsid w:val="00BB79D2"/>
    <w:rsid w:val="00BC0197"/>
    <w:rsid w:val="00BC0414"/>
    <w:rsid w:val="00BC057F"/>
    <w:rsid w:val="00BC0A55"/>
    <w:rsid w:val="00BC0B48"/>
    <w:rsid w:val="00BC21D1"/>
    <w:rsid w:val="00BC23D0"/>
    <w:rsid w:val="00BC24FA"/>
    <w:rsid w:val="00BC2DED"/>
    <w:rsid w:val="00BC2E0A"/>
    <w:rsid w:val="00BC4CF9"/>
    <w:rsid w:val="00BC56B8"/>
    <w:rsid w:val="00BC5D69"/>
    <w:rsid w:val="00BC622D"/>
    <w:rsid w:val="00BC654B"/>
    <w:rsid w:val="00BC752B"/>
    <w:rsid w:val="00BC75DE"/>
    <w:rsid w:val="00BC7887"/>
    <w:rsid w:val="00BC7C94"/>
    <w:rsid w:val="00BD03D0"/>
    <w:rsid w:val="00BD0689"/>
    <w:rsid w:val="00BD09B6"/>
    <w:rsid w:val="00BD1CDD"/>
    <w:rsid w:val="00BD211B"/>
    <w:rsid w:val="00BD21EC"/>
    <w:rsid w:val="00BD22F1"/>
    <w:rsid w:val="00BD2614"/>
    <w:rsid w:val="00BD2687"/>
    <w:rsid w:val="00BD37BF"/>
    <w:rsid w:val="00BD38A9"/>
    <w:rsid w:val="00BD39CF"/>
    <w:rsid w:val="00BD3AC7"/>
    <w:rsid w:val="00BD3AFC"/>
    <w:rsid w:val="00BD3B81"/>
    <w:rsid w:val="00BD3BBC"/>
    <w:rsid w:val="00BD4E42"/>
    <w:rsid w:val="00BD62DA"/>
    <w:rsid w:val="00BD6533"/>
    <w:rsid w:val="00BD6FC6"/>
    <w:rsid w:val="00BD7C2B"/>
    <w:rsid w:val="00BD7C2F"/>
    <w:rsid w:val="00BD7C39"/>
    <w:rsid w:val="00BE0549"/>
    <w:rsid w:val="00BE1079"/>
    <w:rsid w:val="00BE121D"/>
    <w:rsid w:val="00BE1A29"/>
    <w:rsid w:val="00BE2390"/>
    <w:rsid w:val="00BE262D"/>
    <w:rsid w:val="00BE26F1"/>
    <w:rsid w:val="00BE2AB3"/>
    <w:rsid w:val="00BE2F6E"/>
    <w:rsid w:val="00BE30A8"/>
    <w:rsid w:val="00BE3253"/>
    <w:rsid w:val="00BE32FD"/>
    <w:rsid w:val="00BE3484"/>
    <w:rsid w:val="00BE394D"/>
    <w:rsid w:val="00BE39E3"/>
    <w:rsid w:val="00BE3A30"/>
    <w:rsid w:val="00BE3B3A"/>
    <w:rsid w:val="00BE3E00"/>
    <w:rsid w:val="00BE42A6"/>
    <w:rsid w:val="00BE5698"/>
    <w:rsid w:val="00BE6594"/>
    <w:rsid w:val="00BE6BA8"/>
    <w:rsid w:val="00BE7658"/>
    <w:rsid w:val="00BF0A7E"/>
    <w:rsid w:val="00BF0F34"/>
    <w:rsid w:val="00BF1651"/>
    <w:rsid w:val="00BF20BB"/>
    <w:rsid w:val="00BF20C3"/>
    <w:rsid w:val="00BF2323"/>
    <w:rsid w:val="00BF282B"/>
    <w:rsid w:val="00BF296A"/>
    <w:rsid w:val="00BF29C2"/>
    <w:rsid w:val="00BF3D88"/>
    <w:rsid w:val="00BF4791"/>
    <w:rsid w:val="00BF4BB3"/>
    <w:rsid w:val="00BF4C55"/>
    <w:rsid w:val="00BF5E36"/>
    <w:rsid w:val="00BF6A24"/>
    <w:rsid w:val="00BF6E79"/>
    <w:rsid w:val="00BF6F82"/>
    <w:rsid w:val="00BF743E"/>
    <w:rsid w:val="00BF7618"/>
    <w:rsid w:val="00BF7646"/>
    <w:rsid w:val="00BF7F2C"/>
    <w:rsid w:val="00BF7FE5"/>
    <w:rsid w:val="00C00185"/>
    <w:rsid w:val="00C004A1"/>
    <w:rsid w:val="00C00E61"/>
    <w:rsid w:val="00C00FB0"/>
    <w:rsid w:val="00C01326"/>
    <w:rsid w:val="00C014A3"/>
    <w:rsid w:val="00C01F43"/>
    <w:rsid w:val="00C01FCD"/>
    <w:rsid w:val="00C02920"/>
    <w:rsid w:val="00C02B0E"/>
    <w:rsid w:val="00C02EBA"/>
    <w:rsid w:val="00C0410D"/>
    <w:rsid w:val="00C04A7D"/>
    <w:rsid w:val="00C04EFD"/>
    <w:rsid w:val="00C056FA"/>
    <w:rsid w:val="00C058A1"/>
    <w:rsid w:val="00C05DAC"/>
    <w:rsid w:val="00C05E1D"/>
    <w:rsid w:val="00C06268"/>
    <w:rsid w:val="00C06993"/>
    <w:rsid w:val="00C071F0"/>
    <w:rsid w:val="00C07A4F"/>
    <w:rsid w:val="00C10124"/>
    <w:rsid w:val="00C11374"/>
    <w:rsid w:val="00C11554"/>
    <w:rsid w:val="00C11CF7"/>
    <w:rsid w:val="00C12648"/>
    <w:rsid w:val="00C12B2F"/>
    <w:rsid w:val="00C13256"/>
    <w:rsid w:val="00C135A3"/>
    <w:rsid w:val="00C13B58"/>
    <w:rsid w:val="00C14061"/>
    <w:rsid w:val="00C14384"/>
    <w:rsid w:val="00C14E00"/>
    <w:rsid w:val="00C150E6"/>
    <w:rsid w:val="00C15315"/>
    <w:rsid w:val="00C15410"/>
    <w:rsid w:val="00C15531"/>
    <w:rsid w:val="00C158A1"/>
    <w:rsid w:val="00C15B39"/>
    <w:rsid w:val="00C16FC4"/>
    <w:rsid w:val="00C1727B"/>
    <w:rsid w:val="00C20FBA"/>
    <w:rsid w:val="00C21646"/>
    <w:rsid w:val="00C21976"/>
    <w:rsid w:val="00C21A81"/>
    <w:rsid w:val="00C226B0"/>
    <w:rsid w:val="00C230DE"/>
    <w:rsid w:val="00C23344"/>
    <w:rsid w:val="00C23762"/>
    <w:rsid w:val="00C23AF7"/>
    <w:rsid w:val="00C23B4B"/>
    <w:rsid w:val="00C23D98"/>
    <w:rsid w:val="00C24D7F"/>
    <w:rsid w:val="00C24F72"/>
    <w:rsid w:val="00C25D78"/>
    <w:rsid w:val="00C25E5A"/>
    <w:rsid w:val="00C26A78"/>
    <w:rsid w:val="00C27069"/>
    <w:rsid w:val="00C30D69"/>
    <w:rsid w:val="00C314D6"/>
    <w:rsid w:val="00C31EAD"/>
    <w:rsid w:val="00C320BD"/>
    <w:rsid w:val="00C32419"/>
    <w:rsid w:val="00C325FA"/>
    <w:rsid w:val="00C32871"/>
    <w:rsid w:val="00C32E4E"/>
    <w:rsid w:val="00C34541"/>
    <w:rsid w:val="00C34585"/>
    <w:rsid w:val="00C34818"/>
    <w:rsid w:val="00C350A6"/>
    <w:rsid w:val="00C35995"/>
    <w:rsid w:val="00C35AE3"/>
    <w:rsid w:val="00C36919"/>
    <w:rsid w:val="00C37179"/>
    <w:rsid w:val="00C373A4"/>
    <w:rsid w:val="00C37A9D"/>
    <w:rsid w:val="00C37B3B"/>
    <w:rsid w:val="00C37FD8"/>
    <w:rsid w:val="00C406F2"/>
    <w:rsid w:val="00C4070E"/>
    <w:rsid w:val="00C40ABD"/>
    <w:rsid w:val="00C40FF5"/>
    <w:rsid w:val="00C42330"/>
    <w:rsid w:val="00C42601"/>
    <w:rsid w:val="00C43779"/>
    <w:rsid w:val="00C44070"/>
    <w:rsid w:val="00C45603"/>
    <w:rsid w:val="00C45BA4"/>
    <w:rsid w:val="00C45C23"/>
    <w:rsid w:val="00C45F76"/>
    <w:rsid w:val="00C46425"/>
    <w:rsid w:val="00C46875"/>
    <w:rsid w:val="00C468AF"/>
    <w:rsid w:val="00C46E50"/>
    <w:rsid w:val="00C46E75"/>
    <w:rsid w:val="00C478E1"/>
    <w:rsid w:val="00C47A66"/>
    <w:rsid w:val="00C47A73"/>
    <w:rsid w:val="00C47B25"/>
    <w:rsid w:val="00C50127"/>
    <w:rsid w:val="00C50299"/>
    <w:rsid w:val="00C508A8"/>
    <w:rsid w:val="00C51121"/>
    <w:rsid w:val="00C51858"/>
    <w:rsid w:val="00C51CF9"/>
    <w:rsid w:val="00C5212B"/>
    <w:rsid w:val="00C52565"/>
    <w:rsid w:val="00C52994"/>
    <w:rsid w:val="00C52A72"/>
    <w:rsid w:val="00C52FA6"/>
    <w:rsid w:val="00C530D6"/>
    <w:rsid w:val="00C541EF"/>
    <w:rsid w:val="00C54B2C"/>
    <w:rsid w:val="00C54C2F"/>
    <w:rsid w:val="00C54C8F"/>
    <w:rsid w:val="00C55202"/>
    <w:rsid w:val="00C55BE9"/>
    <w:rsid w:val="00C57CCD"/>
    <w:rsid w:val="00C57F35"/>
    <w:rsid w:val="00C60751"/>
    <w:rsid w:val="00C60AC9"/>
    <w:rsid w:val="00C60C85"/>
    <w:rsid w:val="00C60DD3"/>
    <w:rsid w:val="00C610DD"/>
    <w:rsid w:val="00C611AF"/>
    <w:rsid w:val="00C6124B"/>
    <w:rsid w:val="00C6184F"/>
    <w:rsid w:val="00C61EFD"/>
    <w:rsid w:val="00C62304"/>
    <w:rsid w:val="00C62456"/>
    <w:rsid w:val="00C625EB"/>
    <w:rsid w:val="00C62B41"/>
    <w:rsid w:val="00C63278"/>
    <w:rsid w:val="00C632F9"/>
    <w:rsid w:val="00C64286"/>
    <w:rsid w:val="00C648D2"/>
    <w:rsid w:val="00C6575B"/>
    <w:rsid w:val="00C6604C"/>
    <w:rsid w:val="00C661AC"/>
    <w:rsid w:val="00C673AD"/>
    <w:rsid w:val="00C7016F"/>
    <w:rsid w:val="00C703A2"/>
    <w:rsid w:val="00C708FD"/>
    <w:rsid w:val="00C70901"/>
    <w:rsid w:val="00C70D6B"/>
    <w:rsid w:val="00C72713"/>
    <w:rsid w:val="00C7285C"/>
    <w:rsid w:val="00C73419"/>
    <w:rsid w:val="00C73E52"/>
    <w:rsid w:val="00C7414B"/>
    <w:rsid w:val="00C7416F"/>
    <w:rsid w:val="00C743EF"/>
    <w:rsid w:val="00C74438"/>
    <w:rsid w:val="00C74C81"/>
    <w:rsid w:val="00C75E69"/>
    <w:rsid w:val="00C7619F"/>
    <w:rsid w:val="00C76725"/>
    <w:rsid w:val="00C76988"/>
    <w:rsid w:val="00C76BCF"/>
    <w:rsid w:val="00C771AA"/>
    <w:rsid w:val="00C777F5"/>
    <w:rsid w:val="00C77E6E"/>
    <w:rsid w:val="00C801E2"/>
    <w:rsid w:val="00C803C4"/>
    <w:rsid w:val="00C80857"/>
    <w:rsid w:val="00C8231A"/>
    <w:rsid w:val="00C82614"/>
    <w:rsid w:val="00C83389"/>
    <w:rsid w:val="00C83D63"/>
    <w:rsid w:val="00C83E8C"/>
    <w:rsid w:val="00C84650"/>
    <w:rsid w:val="00C84A88"/>
    <w:rsid w:val="00C84CAF"/>
    <w:rsid w:val="00C850D3"/>
    <w:rsid w:val="00C85281"/>
    <w:rsid w:val="00C8534A"/>
    <w:rsid w:val="00C8544D"/>
    <w:rsid w:val="00C8555C"/>
    <w:rsid w:val="00C85B33"/>
    <w:rsid w:val="00C86656"/>
    <w:rsid w:val="00C866AA"/>
    <w:rsid w:val="00C86AE7"/>
    <w:rsid w:val="00C87182"/>
    <w:rsid w:val="00C878D2"/>
    <w:rsid w:val="00C87CD5"/>
    <w:rsid w:val="00C87CEE"/>
    <w:rsid w:val="00C90304"/>
    <w:rsid w:val="00C904E7"/>
    <w:rsid w:val="00C908F4"/>
    <w:rsid w:val="00C90DA3"/>
    <w:rsid w:val="00C90F39"/>
    <w:rsid w:val="00C92062"/>
    <w:rsid w:val="00C926A0"/>
    <w:rsid w:val="00C92BA3"/>
    <w:rsid w:val="00C92CFB"/>
    <w:rsid w:val="00C93120"/>
    <w:rsid w:val="00C93300"/>
    <w:rsid w:val="00C93D49"/>
    <w:rsid w:val="00C95418"/>
    <w:rsid w:val="00C95D12"/>
    <w:rsid w:val="00C95D14"/>
    <w:rsid w:val="00C95DDD"/>
    <w:rsid w:val="00C96CD5"/>
    <w:rsid w:val="00C96D9A"/>
    <w:rsid w:val="00CA028E"/>
    <w:rsid w:val="00CA0938"/>
    <w:rsid w:val="00CA0F81"/>
    <w:rsid w:val="00CA18CC"/>
    <w:rsid w:val="00CA1C88"/>
    <w:rsid w:val="00CA1D3E"/>
    <w:rsid w:val="00CA2711"/>
    <w:rsid w:val="00CA27AA"/>
    <w:rsid w:val="00CA303D"/>
    <w:rsid w:val="00CA30D5"/>
    <w:rsid w:val="00CA3FC4"/>
    <w:rsid w:val="00CA4139"/>
    <w:rsid w:val="00CA4E1C"/>
    <w:rsid w:val="00CA515A"/>
    <w:rsid w:val="00CA5498"/>
    <w:rsid w:val="00CA5BE3"/>
    <w:rsid w:val="00CA61F3"/>
    <w:rsid w:val="00CA668C"/>
    <w:rsid w:val="00CA68AF"/>
    <w:rsid w:val="00CA6B42"/>
    <w:rsid w:val="00CA6DE5"/>
    <w:rsid w:val="00CB00EE"/>
    <w:rsid w:val="00CB0D60"/>
    <w:rsid w:val="00CB0DA8"/>
    <w:rsid w:val="00CB0E8E"/>
    <w:rsid w:val="00CB1ED7"/>
    <w:rsid w:val="00CB1F69"/>
    <w:rsid w:val="00CB2A2D"/>
    <w:rsid w:val="00CB2CA4"/>
    <w:rsid w:val="00CB3DC2"/>
    <w:rsid w:val="00CB3FB2"/>
    <w:rsid w:val="00CB4F84"/>
    <w:rsid w:val="00CB5E4B"/>
    <w:rsid w:val="00CB62A4"/>
    <w:rsid w:val="00CB62EB"/>
    <w:rsid w:val="00CB6471"/>
    <w:rsid w:val="00CB7147"/>
    <w:rsid w:val="00CB7650"/>
    <w:rsid w:val="00CB795C"/>
    <w:rsid w:val="00CB7F9A"/>
    <w:rsid w:val="00CC0184"/>
    <w:rsid w:val="00CC058A"/>
    <w:rsid w:val="00CC0B2F"/>
    <w:rsid w:val="00CC2713"/>
    <w:rsid w:val="00CC32D2"/>
    <w:rsid w:val="00CC3601"/>
    <w:rsid w:val="00CC36E1"/>
    <w:rsid w:val="00CC4633"/>
    <w:rsid w:val="00CC4846"/>
    <w:rsid w:val="00CC4D16"/>
    <w:rsid w:val="00CC4F16"/>
    <w:rsid w:val="00CC57DF"/>
    <w:rsid w:val="00CC5A64"/>
    <w:rsid w:val="00CC5FD3"/>
    <w:rsid w:val="00CC6318"/>
    <w:rsid w:val="00CC637E"/>
    <w:rsid w:val="00CC6921"/>
    <w:rsid w:val="00CC6B10"/>
    <w:rsid w:val="00CD004F"/>
    <w:rsid w:val="00CD05F2"/>
    <w:rsid w:val="00CD0745"/>
    <w:rsid w:val="00CD0B74"/>
    <w:rsid w:val="00CD1116"/>
    <w:rsid w:val="00CD1212"/>
    <w:rsid w:val="00CD1E41"/>
    <w:rsid w:val="00CD2011"/>
    <w:rsid w:val="00CD31A4"/>
    <w:rsid w:val="00CD3459"/>
    <w:rsid w:val="00CD3951"/>
    <w:rsid w:val="00CD436D"/>
    <w:rsid w:val="00CD4F11"/>
    <w:rsid w:val="00CD53D0"/>
    <w:rsid w:val="00CD5916"/>
    <w:rsid w:val="00CD5E76"/>
    <w:rsid w:val="00CD608F"/>
    <w:rsid w:val="00CD6402"/>
    <w:rsid w:val="00CD691B"/>
    <w:rsid w:val="00CD6D42"/>
    <w:rsid w:val="00CD72CD"/>
    <w:rsid w:val="00CD7948"/>
    <w:rsid w:val="00CE08F3"/>
    <w:rsid w:val="00CE0CC5"/>
    <w:rsid w:val="00CE14D6"/>
    <w:rsid w:val="00CE19F7"/>
    <w:rsid w:val="00CE254E"/>
    <w:rsid w:val="00CE2B03"/>
    <w:rsid w:val="00CE3138"/>
    <w:rsid w:val="00CE33A8"/>
    <w:rsid w:val="00CE36A6"/>
    <w:rsid w:val="00CE372E"/>
    <w:rsid w:val="00CE38FA"/>
    <w:rsid w:val="00CE38FF"/>
    <w:rsid w:val="00CE44E5"/>
    <w:rsid w:val="00CE4F67"/>
    <w:rsid w:val="00CE52F1"/>
    <w:rsid w:val="00CE53A8"/>
    <w:rsid w:val="00CE5800"/>
    <w:rsid w:val="00CE67D8"/>
    <w:rsid w:val="00CE71C6"/>
    <w:rsid w:val="00CE732A"/>
    <w:rsid w:val="00CE7DB3"/>
    <w:rsid w:val="00CF0598"/>
    <w:rsid w:val="00CF0980"/>
    <w:rsid w:val="00CF1738"/>
    <w:rsid w:val="00CF2A35"/>
    <w:rsid w:val="00CF2E72"/>
    <w:rsid w:val="00CF36A9"/>
    <w:rsid w:val="00CF3C71"/>
    <w:rsid w:val="00CF3FB0"/>
    <w:rsid w:val="00CF4380"/>
    <w:rsid w:val="00CF43C2"/>
    <w:rsid w:val="00CF48E4"/>
    <w:rsid w:val="00CF4973"/>
    <w:rsid w:val="00CF51DC"/>
    <w:rsid w:val="00CF552B"/>
    <w:rsid w:val="00CF6C52"/>
    <w:rsid w:val="00CF73DB"/>
    <w:rsid w:val="00CF742D"/>
    <w:rsid w:val="00CF7516"/>
    <w:rsid w:val="00CF78DC"/>
    <w:rsid w:val="00D00074"/>
    <w:rsid w:val="00D00AB3"/>
    <w:rsid w:val="00D00C1C"/>
    <w:rsid w:val="00D012A5"/>
    <w:rsid w:val="00D01B85"/>
    <w:rsid w:val="00D02043"/>
    <w:rsid w:val="00D02377"/>
    <w:rsid w:val="00D02666"/>
    <w:rsid w:val="00D03A16"/>
    <w:rsid w:val="00D03BE8"/>
    <w:rsid w:val="00D03F5C"/>
    <w:rsid w:val="00D04495"/>
    <w:rsid w:val="00D04DDD"/>
    <w:rsid w:val="00D04F93"/>
    <w:rsid w:val="00D05235"/>
    <w:rsid w:val="00D05255"/>
    <w:rsid w:val="00D05566"/>
    <w:rsid w:val="00D05646"/>
    <w:rsid w:val="00D05812"/>
    <w:rsid w:val="00D05825"/>
    <w:rsid w:val="00D0597D"/>
    <w:rsid w:val="00D060FC"/>
    <w:rsid w:val="00D06A34"/>
    <w:rsid w:val="00D06F81"/>
    <w:rsid w:val="00D0740F"/>
    <w:rsid w:val="00D07A41"/>
    <w:rsid w:val="00D07ADA"/>
    <w:rsid w:val="00D07D7A"/>
    <w:rsid w:val="00D1025E"/>
    <w:rsid w:val="00D102A2"/>
    <w:rsid w:val="00D10687"/>
    <w:rsid w:val="00D1150D"/>
    <w:rsid w:val="00D12679"/>
    <w:rsid w:val="00D12CD3"/>
    <w:rsid w:val="00D133A3"/>
    <w:rsid w:val="00D135F5"/>
    <w:rsid w:val="00D137AC"/>
    <w:rsid w:val="00D1452E"/>
    <w:rsid w:val="00D152D4"/>
    <w:rsid w:val="00D15306"/>
    <w:rsid w:val="00D155AD"/>
    <w:rsid w:val="00D15ABB"/>
    <w:rsid w:val="00D15EF6"/>
    <w:rsid w:val="00D1651F"/>
    <w:rsid w:val="00D17179"/>
    <w:rsid w:val="00D1739D"/>
    <w:rsid w:val="00D17555"/>
    <w:rsid w:val="00D1780C"/>
    <w:rsid w:val="00D17B1E"/>
    <w:rsid w:val="00D205AC"/>
    <w:rsid w:val="00D2080D"/>
    <w:rsid w:val="00D20A05"/>
    <w:rsid w:val="00D20B9E"/>
    <w:rsid w:val="00D20DB9"/>
    <w:rsid w:val="00D211E0"/>
    <w:rsid w:val="00D21608"/>
    <w:rsid w:val="00D2175C"/>
    <w:rsid w:val="00D22005"/>
    <w:rsid w:val="00D22AD1"/>
    <w:rsid w:val="00D23258"/>
    <w:rsid w:val="00D23E20"/>
    <w:rsid w:val="00D23F04"/>
    <w:rsid w:val="00D241A8"/>
    <w:rsid w:val="00D24790"/>
    <w:rsid w:val="00D24CAD"/>
    <w:rsid w:val="00D2528C"/>
    <w:rsid w:val="00D254C0"/>
    <w:rsid w:val="00D25765"/>
    <w:rsid w:val="00D26765"/>
    <w:rsid w:val="00D26832"/>
    <w:rsid w:val="00D272B1"/>
    <w:rsid w:val="00D2774B"/>
    <w:rsid w:val="00D30556"/>
    <w:rsid w:val="00D30D8B"/>
    <w:rsid w:val="00D31C62"/>
    <w:rsid w:val="00D32434"/>
    <w:rsid w:val="00D326D8"/>
    <w:rsid w:val="00D32DA0"/>
    <w:rsid w:val="00D330F0"/>
    <w:rsid w:val="00D33258"/>
    <w:rsid w:val="00D33390"/>
    <w:rsid w:val="00D33537"/>
    <w:rsid w:val="00D335F6"/>
    <w:rsid w:val="00D33C71"/>
    <w:rsid w:val="00D34E8D"/>
    <w:rsid w:val="00D34F34"/>
    <w:rsid w:val="00D3538A"/>
    <w:rsid w:val="00D3539E"/>
    <w:rsid w:val="00D35778"/>
    <w:rsid w:val="00D3596D"/>
    <w:rsid w:val="00D36278"/>
    <w:rsid w:val="00D362A5"/>
    <w:rsid w:val="00D36F3C"/>
    <w:rsid w:val="00D37829"/>
    <w:rsid w:val="00D37A06"/>
    <w:rsid w:val="00D37C48"/>
    <w:rsid w:val="00D40A76"/>
    <w:rsid w:val="00D40BCF"/>
    <w:rsid w:val="00D41485"/>
    <w:rsid w:val="00D41B54"/>
    <w:rsid w:val="00D42559"/>
    <w:rsid w:val="00D425DE"/>
    <w:rsid w:val="00D43624"/>
    <w:rsid w:val="00D43E18"/>
    <w:rsid w:val="00D45543"/>
    <w:rsid w:val="00D4611F"/>
    <w:rsid w:val="00D465BC"/>
    <w:rsid w:val="00D46AC3"/>
    <w:rsid w:val="00D46B0A"/>
    <w:rsid w:val="00D473F9"/>
    <w:rsid w:val="00D47482"/>
    <w:rsid w:val="00D47AB7"/>
    <w:rsid w:val="00D47EE5"/>
    <w:rsid w:val="00D50B99"/>
    <w:rsid w:val="00D50FAD"/>
    <w:rsid w:val="00D510D6"/>
    <w:rsid w:val="00D511F9"/>
    <w:rsid w:val="00D51D62"/>
    <w:rsid w:val="00D51EA1"/>
    <w:rsid w:val="00D521A7"/>
    <w:rsid w:val="00D523A6"/>
    <w:rsid w:val="00D52D0D"/>
    <w:rsid w:val="00D5342A"/>
    <w:rsid w:val="00D54A0F"/>
    <w:rsid w:val="00D54DBA"/>
    <w:rsid w:val="00D554D6"/>
    <w:rsid w:val="00D55C97"/>
    <w:rsid w:val="00D56373"/>
    <w:rsid w:val="00D5678F"/>
    <w:rsid w:val="00D60A31"/>
    <w:rsid w:val="00D619C1"/>
    <w:rsid w:val="00D63727"/>
    <w:rsid w:val="00D640CC"/>
    <w:rsid w:val="00D64BF6"/>
    <w:rsid w:val="00D650D6"/>
    <w:rsid w:val="00D6565C"/>
    <w:rsid w:val="00D70631"/>
    <w:rsid w:val="00D70915"/>
    <w:rsid w:val="00D70C93"/>
    <w:rsid w:val="00D71A17"/>
    <w:rsid w:val="00D728E8"/>
    <w:rsid w:val="00D733F0"/>
    <w:rsid w:val="00D73C51"/>
    <w:rsid w:val="00D74C51"/>
    <w:rsid w:val="00D74EF1"/>
    <w:rsid w:val="00D75210"/>
    <w:rsid w:val="00D75256"/>
    <w:rsid w:val="00D755C5"/>
    <w:rsid w:val="00D75820"/>
    <w:rsid w:val="00D75C7D"/>
    <w:rsid w:val="00D75D98"/>
    <w:rsid w:val="00D76A0C"/>
    <w:rsid w:val="00D76B19"/>
    <w:rsid w:val="00D77035"/>
    <w:rsid w:val="00D7746D"/>
    <w:rsid w:val="00D7793D"/>
    <w:rsid w:val="00D77E9E"/>
    <w:rsid w:val="00D8014A"/>
    <w:rsid w:val="00D80661"/>
    <w:rsid w:val="00D80834"/>
    <w:rsid w:val="00D80CC3"/>
    <w:rsid w:val="00D80EC0"/>
    <w:rsid w:val="00D81090"/>
    <w:rsid w:val="00D8123E"/>
    <w:rsid w:val="00D81452"/>
    <w:rsid w:val="00D81515"/>
    <w:rsid w:val="00D817CE"/>
    <w:rsid w:val="00D81E4C"/>
    <w:rsid w:val="00D81F5F"/>
    <w:rsid w:val="00D82024"/>
    <w:rsid w:val="00D820BD"/>
    <w:rsid w:val="00D82B90"/>
    <w:rsid w:val="00D835B5"/>
    <w:rsid w:val="00D83938"/>
    <w:rsid w:val="00D8399A"/>
    <w:rsid w:val="00D8413C"/>
    <w:rsid w:val="00D8475B"/>
    <w:rsid w:val="00D849F6"/>
    <w:rsid w:val="00D84C0B"/>
    <w:rsid w:val="00D84CC3"/>
    <w:rsid w:val="00D8618C"/>
    <w:rsid w:val="00D86B51"/>
    <w:rsid w:val="00D8717F"/>
    <w:rsid w:val="00D87422"/>
    <w:rsid w:val="00D87DD9"/>
    <w:rsid w:val="00D87ED9"/>
    <w:rsid w:val="00D90149"/>
    <w:rsid w:val="00D908DE"/>
    <w:rsid w:val="00D90B9E"/>
    <w:rsid w:val="00D90ED0"/>
    <w:rsid w:val="00D91015"/>
    <w:rsid w:val="00D9565D"/>
    <w:rsid w:val="00D965F8"/>
    <w:rsid w:val="00D96E10"/>
    <w:rsid w:val="00D97416"/>
    <w:rsid w:val="00D978A9"/>
    <w:rsid w:val="00D97D98"/>
    <w:rsid w:val="00D97EA3"/>
    <w:rsid w:val="00DA0174"/>
    <w:rsid w:val="00DA01C2"/>
    <w:rsid w:val="00DA054A"/>
    <w:rsid w:val="00DA09E7"/>
    <w:rsid w:val="00DA114C"/>
    <w:rsid w:val="00DA18E4"/>
    <w:rsid w:val="00DA2009"/>
    <w:rsid w:val="00DA3086"/>
    <w:rsid w:val="00DA3315"/>
    <w:rsid w:val="00DA3CD0"/>
    <w:rsid w:val="00DA5222"/>
    <w:rsid w:val="00DA5239"/>
    <w:rsid w:val="00DA60D3"/>
    <w:rsid w:val="00DA62AA"/>
    <w:rsid w:val="00DA67D5"/>
    <w:rsid w:val="00DA6ABF"/>
    <w:rsid w:val="00DA7B1A"/>
    <w:rsid w:val="00DA7B99"/>
    <w:rsid w:val="00DA7C4F"/>
    <w:rsid w:val="00DA7DFE"/>
    <w:rsid w:val="00DB0244"/>
    <w:rsid w:val="00DB158F"/>
    <w:rsid w:val="00DB16B2"/>
    <w:rsid w:val="00DB270B"/>
    <w:rsid w:val="00DB32D7"/>
    <w:rsid w:val="00DB358A"/>
    <w:rsid w:val="00DB4535"/>
    <w:rsid w:val="00DB4FA4"/>
    <w:rsid w:val="00DB525A"/>
    <w:rsid w:val="00DB621B"/>
    <w:rsid w:val="00DB698F"/>
    <w:rsid w:val="00DB6F1C"/>
    <w:rsid w:val="00DB72E6"/>
    <w:rsid w:val="00DC0017"/>
    <w:rsid w:val="00DC0034"/>
    <w:rsid w:val="00DC0487"/>
    <w:rsid w:val="00DC0621"/>
    <w:rsid w:val="00DC0DD2"/>
    <w:rsid w:val="00DC1563"/>
    <w:rsid w:val="00DC435D"/>
    <w:rsid w:val="00DC462A"/>
    <w:rsid w:val="00DC4934"/>
    <w:rsid w:val="00DC502B"/>
    <w:rsid w:val="00DC5C81"/>
    <w:rsid w:val="00DC5F59"/>
    <w:rsid w:val="00DC66C0"/>
    <w:rsid w:val="00DC7C33"/>
    <w:rsid w:val="00DD038C"/>
    <w:rsid w:val="00DD077B"/>
    <w:rsid w:val="00DD1185"/>
    <w:rsid w:val="00DD11AD"/>
    <w:rsid w:val="00DD11CB"/>
    <w:rsid w:val="00DD1A68"/>
    <w:rsid w:val="00DD2BA9"/>
    <w:rsid w:val="00DD35EF"/>
    <w:rsid w:val="00DD3A8E"/>
    <w:rsid w:val="00DD3D25"/>
    <w:rsid w:val="00DD4A22"/>
    <w:rsid w:val="00DD5409"/>
    <w:rsid w:val="00DD567C"/>
    <w:rsid w:val="00DD56BE"/>
    <w:rsid w:val="00DD6810"/>
    <w:rsid w:val="00DD6A95"/>
    <w:rsid w:val="00DD7D43"/>
    <w:rsid w:val="00DD7DC3"/>
    <w:rsid w:val="00DE07A2"/>
    <w:rsid w:val="00DE19DC"/>
    <w:rsid w:val="00DE1AE1"/>
    <w:rsid w:val="00DE1AE2"/>
    <w:rsid w:val="00DE27EB"/>
    <w:rsid w:val="00DE3855"/>
    <w:rsid w:val="00DE387E"/>
    <w:rsid w:val="00DE4008"/>
    <w:rsid w:val="00DE46E8"/>
    <w:rsid w:val="00DE4C24"/>
    <w:rsid w:val="00DE50B2"/>
    <w:rsid w:val="00DE5820"/>
    <w:rsid w:val="00DE6C31"/>
    <w:rsid w:val="00DE7128"/>
    <w:rsid w:val="00DE71F4"/>
    <w:rsid w:val="00DE75B2"/>
    <w:rsid w:val="00DE7872"/>
    <w:rsid w:val="00DF16C9"/>
    <w:rsid w:val="00DF1B46"/>
    <w:rsid w:val="00DF395A"/>
    <w:rsid w:val="00DF3B1E"/>
    <w:rsid w:val="00DF4172"/>
    <w:rsid w:val="00DF45FD"/>
    <w:rsid w:val="00DF4B8B"/>
    <w:rsid w:val="00DF633B"/>
    <w:rsid w:val="00DF6E22"/>
    <w:rsid w:val="00DF76C2"/>
    <w:rsid w:val="00DF7831"/>
    <w:rsid w:val="00E006C8"/>
    <w:rsid w:val="00E012C3"/>
    <w:rsid w:val="00E01887"/>
    <w:rsid w:val="00E01A10"/>
    <w:rsid w:val="00E01A2D"/>
    <w:rsid w:val="00E02545"/>
    <w:rsid w:val="00E02D8C"/>
    <w:rsid w:val="00E03960"/>
    <w:rsid w:val="00E041DB"/>
    <w:rsid w:val="00E0423D"/>
    <w:rsid w:val="00E043C9"/>
    <w:rsid w:val="00E0450A"/>
    <w:rsid w:val="00E052EF"/>
    <w:rsid w:val="00E05D8B"/>
    <w:rsid w:val="00E060DD"/>
    <w:rsid w:val="00E06221"/>
    <w:rsid w:val="00E0681E"/>
    <w:rsid w:val="00E07721"/>
    <w:rsid w:val="00E07728"/>
    <w:rsid w:val="00E07F58"/>
    <w:rsid w:val="00E10E21"/>
    <w:rsid w:val="00E12BE0"/>
    <w:rsid w:val="00E13198"/>
    <w:rsid w:val="00E1388A"/>
    <w:rsid w:val="00E138C3"/>
    <w:rsid w:val="00E13F24"/>
    <w:rsid w:val="00E144D4"/>
    <w:rsid w:val="00E14AC2"/>
    <w:rsid w:val="00E14BC1"/>
    <w:rsid w:val="00E15480"/>
    <w:rsid w:val="00E156CC"/>
    <w:rsid w:val="00E15D10"/>
    <w:rsid w:val="00E16052"/>
    <w:rsid w:val="00E16EB0"/>
    <w:rsid w:val="00E17571"/>
    <w:rsid w:val="00E176BC"/>
    <w:rsid w:val="00E17C06"/>
    <w:rsid w:val="00E207FB"/>
    <w:rsid w:val="00E20D63"/>
    <w:rsid w:val="00E20DBB"/>
    <w:rsid w:val="00E20E0C"/>
    <w:rsid w:val="00E21135"/>
    <w:rsid w:val="00E212C8"/>
    <w:rsid w:val="00E22DF2"/>
    <w:rsid w:val="00E237B0"/>
    <w:rsid w:val="00E237CF"/>
    <w:rsid w:val="00E23AA8"/>
    <w:rsid w:val="00E2413F"/>
    <w:rsid w:val="00E2444C"/>
    <w:rsid w:val="00E2489F"/>
    <w:rsid w:val="00E258DE"/>
    <w:rsid w:val="00E25D43"/>
    <w:rsid w:val="00E25E9A"/>
    <w:rsid w:val="00E25ED9"/>
    <w:rsid w:val="00E25F8D"/>
    <w:rsid w:val="00E261A5"/>
    <w:rsid w:val="00E26B74"/>
    <w:rsid w:val="00E30B21"/>
    <w:rsid w:val="00E31379"/>
    <w:rsid w:val="00E31D91"/>
    <w:rsid w:val="00E3247E"/>
    <w:rsid w:val="00E331A0"/>
    <w:rsid w:val="00E339DC"/>
    <w:rsid w:val="00E33A9E"/>
    <w:rsid w:val="00E33DE7"/>
    <w:rsid w:val="00E33F4C"/>
    <w:rsid w:val="00E33F6D"/>
    <w:rsid w:val="00E341E1"/>
    <w:rsid w:val="00E3466B"/>
    <w:rsid w:val="00E356DB"/>
    <w:rsid w:val="00E36344"/>
    <w:rsid w:val="00E3693C"/>
    <w:rsid w:val="00E373B0"/>
    <w:rsid w:val="00E37690"/>
    <w:rsid w:val="00E37F4E"/>
    <w:rsid w:val="00E400BD"/>
    <w:rsid w:val="00E404C8"/>
    <w:rsid w:val="00E41012"/>
    <w:rsid w:val="00E415B1"/>
    <w:rsid w:val="00E42101"/>
    <w:rsid w:val="00E42262"/>
    <w:rsid w:val="00E426C3"/>
    <w:rsid w:val="00E44163"/>
    <w:rsid w:val="00E44CE1"/>
    <w:rsid w:val="00E4549D"/>
    <w:rsid w:val="00E46528"/>
    <w:rsid w:val="00E46716"/>
    <w:rsid w:val="00E46BD6"/>
    <w:rsid w:val="00E46C74"/>
    <w:rsid w:val="00E4702F"/>
    <w:rsid w:val="00E471D8"/>
    <w:rsid w:val="00E475FC"/>
    <w:rsid w:val="00E47DD7"/>
    <w:rsid w:val="00E50159"/>
    <w:rsid w:val="00E50188"/>
    <w:rsid w:val="00E501D6"/>
    <w:rsid w:val="00E503A8"/>
    <w:rsid w:val="00E504C8"/>
    <w:rsid w:val="00E505F7"/>
    <w:rsid w:val="00E506BD"/>
    <w:rsid w:val="00E50944"/>
    <w:rsid w:val="00E50D5B"/>
    <w:rsid w:val="00E51601"/>
    <w:rsid w:val="00E52CCA"/>
    <w:rsid w:val="00E539EE"/>
    <w:rsid w:val="00E54CD9"/>
    <w:rsid w:val="00E54CEA"/>
    <w:rsid w:val="00E54D4E"/>
    <w:rsid w:val="00E55244"/>
    <w:rsid w:val="00E55618"/>
    <w:rsid w:val="00E55CC5"/>
    <w:rsid w:val="00E56BA2"/>
    <w:rsid w:val="00E5728A"/>
    <w:rsid w:val="00E5795A"/>
    <w:rsid w:val="00E6019C"/>
    <w:rsid w:val="00E6023E"/>
    <w:rsid w:val="00E607ED"/>
    <w:rsid w:val="00E61C85"/>
    <w:rsid w:val="00E61E5A"/>
    <w:rsid w:val="00E624D3"/>
    <w:rsid w:val="00E6310E"/>
    <w:rsid w:val="00E63171"/>
    <w:rsid w:val="00E6364B"/>
    <w:rsid w:val="00E64852"/>
    <w:rsid w:val="00E64CA9"/>
    <w:rsid w:val="00E65228"/>
    <w:rsid w:val="00E6561E"/>
    <w:rsid w:val="00E658E0"/>
    <w:rsid w:val="00E66D5F"/>
    <w:rsid w:val="00E6762C"/>
    <w:rsid w:val="00E67CEC"/>
    <w:rsid w:val="00E67FDA"/>
    <w:rsid w:val="00E70DBB"/>
    <w:rsid w:val="00E7188D"/>
    <w:rsid w:val="00E71DFE"/>
    <w:rsid w:val="00E72DD0"/>
    <w:rsid w:val="00E735BB"/>
    <w:rsid w:val="00E73B1C"/>
    <w:rsid w:val="00E73DA4"/>
    <w:rsid w:val="00E73ECB"/>
    <w:rsid w:val="00E7407D"/>
    <w:rsid w:val="00E748E0"/>
    <w:rsid w:val="00E74A2A"/>
    <w:rsid w:val="00E7557C"/>
    <w:rsid w:val="00E761E5"/>
    <w:rsid w:val="00E766AD"/>
    <w:rsid w:val="00E76852"/>
    <w:rsid w:val="00E76B7B"/>
    <w:rsid w:val="00E76C02"/>
    <w:rsid w:val="00E778CC"/>
    <w:rsid w:val="00E77BAB"/>
    <w:rsid w:val="00E81106"/>
    <w:rsid w:val="00E81421"/>
    <w:rsid w:val="00E81501"/>
    <w:rsid w:val="00E82D6A"/>
    <w:rsid w:val="00E82DF7"/>
    <w:rsid w:val="00E837A6"/>
    <w:rsid w:val="00E83AD8"/>
    <w:rsid w:val="00E83CAA"/>
    <w:rsid w:val="00E845EF"/>
    <w:rsid w:val="00E8574D"/>
    <w:rsid w:val="00E85A35"/>
    <w:rsid w:val="00E85DA4"/>
    <w:rsid w:val="00E85E46"/>
    <w:rsid w:val="00E8601C"/>
    <w:rsid w:val="00E86A53"/>
    <w:rsid w:val="00E86E69"/>
    <w:rsid w:val="00E874E6"/>
    <w:rsid w:val="00E87BD6"/>
    <w:rsid w:val="00E87F24"/>
    <w:rsid w:val="00E9019D"/>
    <w:rsid w:val="00E90DDD"/>
    <w:rsid w:val="00E920D0"/>
    <w:rsid w:val="00E921A5"/>
    <w:rsid w:val="00E92EE4"/>
    <w:rsid w:val="00E93351"/>
    <w:rsid w:val="00E93359"/>
    <w:rsid w:val="00E93AEE"/>
    <w:rsid w:val="00E93B3C"/>
    <w:rsid w:val="00E93F19"/>
    <w:rsid w:val="00E943FE"/>
    <w:rsid w:val="00E94868"/>
    <w:rsid w:val="00E94B36"/>
    <w:rsid w:val="00E969E5"/>
    <w:rsid w:val="00E96A9A"/>
    <w:rsid w:val="00E96EE5"/>
    <w:rsid w:val="00E96F29"/>
    <w:rsid w:val="00E97929"/>
    <w:rsid w:val="00EA0215"/>
    <w:rsid w:val="00EA04F3"/>
    <w:rsid w:val="00EA0DD8"/>
    <w:rsid w:val="00EA18C8"/>
    <w:rsid w:val="00EA1E5B"/>
    <w:rsid w:val="00EA2814"/>
    <w:rsid w:val="00EA2831"/>
    <w:rsid w:val="00EA35EB"/>
    <w:rsid w:val="00EA3E11"/>
    <w:rsid w:val="00EA4366"/>
    <w:rsid w:val="00EA451F"/>
    <w:rsid w:val="00EA4B2C"/>
    <w:rsid w:val="00EA4D02"/>
    <w:rsid w:val="00EA5003"/>
    <w:rsid w:val="00EA6882"/>
    <w:rsid w:val="00EA6E78"/>
    <w:rsid w:val="00EA6F5F"/>
    <w:rsid w:val="00EA7C4D"/>
    <w:rsid w:val="00EA7CF6"/>
    <w:rsid w:val="00EB005E"/>
    <w:rsid w:val="00EB023E"/>
    <w:rsid w:val="00EB0D15"/>
    <w:rsid w:val="00EB0D19"/>
    <w:rsid w:val="00EB1339"/>
    <w:rsid w:val="00EB1504"/>
    <w:rsid w:val="00EB2107"/>
    <w:rsid w:val="00EB2491"/>
    <w:rsid w:val="00EB26B9"/>
    <w:rsid w:val="00EB28A4"/>
    <w:rsid w:val="00EB2F39"/>
    <w:rsid w:val="00EB3DC6"/>
    <w:rsid w:val="00EB3EFF"/>
    <w:rsid w:val="00EB4461"/>
    <w:rsid w:val="00EB5162"/>
    <w:rsid w:val="00EB58C6"/>
    <w:rsid w:val="00EB5992"/>
    <w:rsid w:val="00EB59D8"/>
    <w:rsid w:val="00EB5D27"/>
    <w:rsid w:val="00EB6182"/>
    <w:rsid w:val="00EB6C5D"/>
    <w:rsid w:val="00EB6CC4"/>
    <w:rsid w:val="00EB78D8"/>
    <w:rsid w:val="00EC00FD"/>
    <w:rsid w:val="00EC0255"/>
    <w:rsid w:val="00EC03E5"/>
    <w:rsid w:val="00EC0C62"/>
    <w:rsid w:val="00EC0C8F"/>
    <w:rsid w:val="00EC12B4"/>
    <w:rsid w:val="00EC1A64"/>
    <w:rsid w:val="00EC2BC0"/>
    <w:rsid w:val="00EC4030"/>
    <w:rsid w:val="00EC40FC"/>
    <w:rsid w:val="00EC45BE"/>
    <w:rsid w:val="00EC468C"/>
    <w:rsid w:val="00EC4F4D"/>
    <w:rsid w:val="00EC577D"/>
    <w:rsid w:val="00EC59D0"/>
    <w:rsid w:val="00EC5A67"/>
    <w:rsid w:val="00EC5D5C"/>
    <w:rsid w:val="00EC66E0"/>
    <w:rsid w:val="00EC68D7"/>
    <w:rsid w:val="00EC6C88"/>
    <w:rsid w:val="00EC7906"/>
    <w:rsid w:val="00ED14FA"/>
    <w:rsid w:val="00ED16F9"/>
    <w:rsid w:val="00ED1896"/>
    <w:rsid w:val="00ED1B1D"/>
    <w:rsid w:val="00ED1C3D"/>
    <w:rsid w:val="00ED26D3"/>
    <w:rsid w:val="00ED33E3"/>
    <w:rsid w:val="00ED3EAC"/>
    <w:rsid w:val="00ED4173"/>
    <w:rsid w:val="00ED55B9"/>
    <w:rsid w:val="00ED5DE1"/>
    <w:rsid w:val="00ED6625"/>
    <w:rsid w:val="00ED6916"/>
    <w:rsid w:val="00ED761A"/>
    <w:rsid w:val="00EE0413"/>
    <w:rsid w:val="00EE0AD1"/>
    <w:rsid w:val="00EE0CB0"/>
    <w:rsid w:val="00EE1338"/>
    <w:rsid w:val="00EE2529"/>
    <w:rsid w:val="00EE3481"/>
    <w:rsid w:val="00EE35E9"/>
    <w:rsid w:val="00EE3E6F"/>
    <w:rsid w:val="00EE40B9"/>
    <w:rsid w:val="00EE40FA"/>
    <w:rsid w:val="00EE4940"/>
    <w:rsid w:val="00EE4AD4"/>
    <w:rsid w:val="00EE7838"/>
    <w:rsid w:val="00EE7C56"/>
    <w:rsid w:val="00EE7C68"/>
    <w:rsid w:val="00EE7CF2"/>
    <w:rsid w:val="00EF019B"/>
    <w:rsid w:val="00EF03FE"/>
    <w:rsid w:val="00EF0724"/>
    <w:rsid w:val="00EF0B71"/>
    <w:rsid w:val="00EF0EC2"/>
    <w:rsid w:val="00EF18D7"/>
    <w:rsid w:val="00EF196A"/>
    <w:rsid w:val="00EF1B97"/>
    <w:rsid w:val="00EF1E68"/>
    <w:rsid w:val="00EF20D2"/>
    <w:rsid w:val="00EF2AE4"/>
    <w:rsid w:val="00EF35E0"/>
    <w:rsid w:val="00EF375D"/>
    <w:rsid w:val="00EF49AF"/>
    <w:rsid w:val="00EF4CAE"/>
    <w:rsid w:val="00EF58B8"/>
    <w:rsid w:val="00EF6B8D"/>
    <w:rsid w:val="00EF6C19"/>
    <w:rsid w:val="00EF70AD"/>
    <w:rsid w:val="00EF788A"/>
    <w:rsid w:val="00F0027A"/>
    <w:rsid w:val="00F00CF7"/>
    <w:rsid w:val="00F02109"/>
    <w:rsid w:val="00F022D0"/>
    <w:rsid w:val="00F026CC"/>
    <w:rsid w:val="00F02970"/>
    <w:rsid w:val="00F02FF3"/>
    <w:rsid w:val="00F03439"/>
    <w:rsid w:val="00F03C3B"/>
    <w:rsid w:val="00F053C8"/>
    <w:rsid w:val="00F05EFB"/>
    <w:rsid w:val="00F077CF"/>
    <w:rsid w:val="00F07BFD"/>
    <w:rsid w:val="00F1051A"/>
    <w:rsid w:val="00F10975"/>
    <w:rsid w:val="00F10B6B"/>
    <w:rsid w:val="00F10EF9"/>
    <w:rsid w:val="00F1159B"/>
    <w:rsid w:val="00F11CBC"/>
    <w:rsid w:val="00F12067"/>
    <w:rsid w:val="00F126C4"/>
    <w:rsid w:val="00F12983"/>
    <w:rsid w:val="00F12C38"/>
    <w:rsid w:val="00F12FAF"/>
    <w:rsid w:val="00F133D6"/>
    <w:rsid w:val="00F13813"/>
    <w:rsid w:val="00F13DE0"/>
    <w:rsid w:val="00F13EB3"/>
    <w:rsid w:val="00F141A8"/>
    <w:rsid w:val="00F14C57"/>
    <w:rsid w:val="00F15867"/>
    <w:rsid w:val="00F17C7D"/>
    <w:rsid w:val="00F17E47"/>
    <w:rsid w:val="00F20A96"/>
    <w:rsid w:val="00F211D8"/>
    <w:rsid w:val="00F21887"/>
    <w:rsid w:val="00F21A25"/>
    <w:rsid w:val="00F22EC4"/>
    <w:rsid w:val="00F23914"/>
    <w:rsid w:val="00F24056"/>
    <w:rsid w:val="00F24B27"/>
    <w:rsid w:val="00F25291"/>
    <w:rsid w:val="00F25B52"/>
    <w:rsid w:val="00F26343"/>
    <w:rsid w:val="00F26383"/>
    <w:rsid w:val="00F2686D"/>
    <w:rsid w:val="00F26C19"/>
    <w:rsid w:val="00F27132"/>
    <w:rsid w:val="00F27247"/>
    <w:rsid w:val="00F27598"/>
    <w:rsid w:val="00F30015"/>
    <w:rsid w:val="00F307DB"/>
    <w:rsid w:val="00F30C91"/>
    <w:rsid w:val="00F31DBA"/>
    <w:rsid w:val="00F31E35"/>
    <w:rsid w:val="00F32501"/>
    <w:rsid w:val="00F32DF1"/>
    <w:rsid w:val="00F331C9"/>
    <w:rsid w:val="00F33A8F"/>
    <w:rsid w:val="00F34957"/>
    <w:rsid w:val="00F34C54"/>
    <w:rsid w:val="00F35EA0"/>
    <w:rsid w:val="00F35EE7"/>
    <w:rsid w:val="00F3650B"/>
    <w:rsid w:val="00F37EB1"/>
    <w:rsid w:val="00F40306"/>
    <w:rsid w:val="00F40AE8"/>
    <w:rsid w:val="00F41BCA"/>
    <w:rsid w:val="00F420A6"/>
    <w:rsid w:val="00F4218A"/>
    <w:rsid w:val="00F42253"/>
    <w:rsid w:val="00F4285E"/>
    <w:rsid w:val="00F42917"/>
    <w:rsid w:val="00F42F46"/>
    <w:rsid w:val="00F430E5"/>
    <w:rsid w:val="00F44610"/>
    <w:rsid w:val="00F44642"/>
    <w:rsid w:val="00F4476B"/>
    <w:rsid w:val="00F44CFA"/>
    <w:rsid w:val="00F4526A"/>
    <w:rsid w:val="00F45538"/>
    <w:rsid w:val="00F45B4E"/>
    <w:rsid w:val="00F46E09"/>
    <w:rsid w:val="00F46EB7"/>
    <w:rsid w:val="00F47515"/>
    <w:rsid w:val="00F502DA"/>
    <w:rsid w:val="00F503EB"/>
    <w:rsid w:val="00F5092F"/>
    <w:rsid w:val="00F50BD0"/>
    <w:rsid w:val="00F510FA"/>
    <w:rsid w:val="00F51796"/>
    <w:rsid w:val="00F52563"/>
    <w:rsid w:val="00F52976"/>
    <w:rsid w:val="00F52AF4"/>
    <w:rsid w:val="00F52D2F"/>
    <w:rsid w:val="00F53197"/>
    <w:rsid w:val="00F53406"/>
    <w:rsid w:val="00F5465D"/>
    <w:rsid w:val="00F548BA"/>
    <w:rsid w:val="00F55BDB"/>
    <w:rsid w:val="00F55FDC"/>
    <w:rsid w:val="00F604F0"/>
    <w:rsid w:val="00F607DD"/>
    <w:rsid w:val="00F60AF6"/>
    <w:rsid w:val="00F61351"/>
    <w:rsid w:val="00F613E3"/>
    <w:rsid w:val="00F61DE9"/>
    <w:rsid w:val="00F62D5A"/>
    <w:rsid w:val="00F632AE"/>
    <w:rsid w:val="00F639F9"/>
    <w:rsid w:val="00F63BE6"/>
    <w:rsid w:val="00F64505"/>
    <w:rsid w:val="00F65BAE"/>
    <w:rsid w:val="00F65D3A"/>
    <w:rsid w:val="00F65E58"/>
    <w:rsid w:val="00F65F0C"/>
    <w:rsid w:val="00F66D09"/>
    <w:rsid w:val="00F67315"/>
    <w:rsid w:val="00F675EF"/>
    <w:rsid w:val="00F67870"/>
    <w:rsid w:val="00F7006E"/>
    <w:rsid w:val="00F70A0D"/>
    <w:rsid w:val="00F70BA5"/>
    <w:rsid w:val="00F71040"/>
    <w:rsid w:val="00F71962"/>
    <w:rsid w:val="00F71A9F"/>
    <w:rsid w:val="00F71ED1"/>
    <w:rsid w:val="00F721B9"/>
    <w:rsid w:val="00F723BA"/>
    <w:rsid w:val="00F72739"/>
    <w:rsid w:val="00F7288C"/>
    <w:rsid w:val="00F7304C"/>
    <w:rsid w:val="00F7377E"/>
    <w:rsid w:val="00F73F00"/>
    <w:rsid w:val="00F73F44"/>
    <w:rsid w:val="00F748DF"/>
    <w:rsid w:val="00F74A14"/>
    <w:rsid w:val="00F750B4"/>
    <w:rsid w:val="00F751D8"/>
    <w:rsid w:val="00F760B2"/>
    <w:rsid w:val="00F76871"/>
    <w:rsid w:val="00F777D7"/>
    <w:rsid w:val="00F77D99"/>
    <w:rsid w:val="00F77FCC"/>
    <w:rsid w:val="00F8014F"/>
    <w:rsid w:val="00F81546"/>
    <w:rsid w:val="00F81DC4"/>
    <w:rsid w:val="00F82415"/>
    <w:rsid w:val="00F82556"/>
    <w:rsid w:val="00F82D83"/>
    <w:rsid w:val="00F83A72"/>
    <w:rsid w:val="00F8402D"/>
    <w:rsid w:val="00F84506"/>
    <w:rsid w:val="00F848BC"/>
    <w:rsid w:val="00F84A3E"/>
    <w:rsid w:val="00F850C1"/>
    <w:rsid w:val="00F85690"/>
    <w:rsid w:val="00F85813"/>
    <w:rsid w:val="00F85D0E"/>
    <w:rsid w:val="00F8657D"/>
    <w:rsid w:val="00F86BCA"/>
    <w:rsid w:val="00F905CE"/>
    <w:rsid w:val="00F9064E"/>
    <w:rsid w:val="00F908B1"/>
    <w:rsid w:val="00F9124A"/>
    <w:rsid w:val="00F916E8"/>
    <w:rsid w:val="00F918BE"/>
    <w:rsid w:val="00F91ECF"/>
    <w:rsid w:val="00F920A9"/>
    <w:rsid w:val="00F92348"/>
    <w:rsid w:val="00F92E52"/>
    <w:rsid w:val="00F92F11"/>
    <w:rsid w:val="00F93304"/>
    <w:rsid w:val="00F93571"/>
    <w:rsid w:val="00F93CD9"/>
    <w:rsid w:val="00F94157"/>
    <w:rsid w:val="00F94275"/>
    <w:rsid w:val="00F94D17"/>
    <w:rsid w:val="00F957C5"/>
    <w:rsid w:val="00F958A3"/>
    <w:rsid w:val="00F95E57"/>
    <w:rsid w:val="00F963D9"/>
    <w:rsid w:val="00F96ABB"/>
    <w:rsid w:val="00F96DFA"/>
    <w:rsid w:val="00FA0359"/>
    <w:rsid w:val="00FA0DEC"/>
    <w:rsid w:val="00FA0F52"/>
    <w:rsid w:val="00FA1062"/>
    <w:rsid w:val="00FA1357"/>
    <w:rsid w:val="00FA1949"/>
    <w:rsid w:val="00FA1C2E"/>
    <w:rsid w:val="00FA1C8B"/>
    <w:rsid w:val="00FA300C"/>
    <w:rsid w:val="00FA32F7"/>
    <w:rsid w:val="00FA3301"/>
    <w:rsid w:val="00FA33F0"/>
    <w:rsid w:val="00FA39B8"/>
    <w:rsid w:val="00FA4650"/>
    <w:rsid w:val="00FA4FC9"/>
    <w:rsid w:val="00FA5637"/>
    <w:rsid w:val="00FA5B48"/>
    <w:rsid w:val="00FA6E5B"/>
    <w:rsid w:val="00FA75EF"/>
    <w:rsid w:val="00FA79A9"/>
    <w:rsid w:val="00FB00EA"/>
    <w:rsid w:val="00FB0D61"/>
    <w:rsid w:val="00FB1006"/>
    <w:rsid w:val="00FB18EB"/>
    <w:rsid w:val="00FB1DA8"/>
    <w:rsid w:val="00FB1F0F"/>
    <w:rsid w:val="00FB2C4B"/>
    <w:rsid w:val="00FB3A31"/>
    <w:rsid w:val="00FB3BC4"/>
    <w:rsid w:val="00FB41D0"/>
    <w:rsid w:val="00FB440B"/>
    <w:rsid w:val="00FB4E47"/>
    <w:rsid w:val="00FB4F3B"/>
    <w:rsid w:val="00FB5ED8"/>
    <w:rsid w:val="00FB5F84"/>
    <w:rsid w:val="00FB6285"/>
    <w:rsid w:val="00FB62E6"/>
    <w:rsid w:val="00FB6E52"/>
    <w:rsid w:val="00FB738D"/>
    <w:rsid w:val="00FB7CEF"/>
    <w:rsid w:val="00FB7EF5"/>
    <w:rsid w:val="00FC0264"/>
    <w:rsid w:val="00FC03CC"/>
    <w:rsid w:val="00FC0BB2"/>
    <w:rsid w:val="00FC1980"/>
    <w:rsid w:val="00FC245A"/>
    <w:rsid w:val="00FC2F5A"/>
    <w:rsid w:val="00FC377B"/>
    <w:rsid w:val="00FC3DB1"/>
    <w:rsid w:val="00FC4BFC"/>
    <w:rsid w:val="00FC517C"/>
    <w:rsid w:val="00FC5585"/>
    <w:rsid w:val="00FC65D3"/>
    <w:rsid w:val="00FC6918"/>
    <w:rsid w:val="00FD0075"/>
    <w:rsid w:val="00FD058B"/>
    <w:rsid w:val="00FD0955"/>
    <w:rsid w:val="00FD0C0A"/>
    <w:rsid w:val="00FD1420"/>
    <w:rsid w:val="00FD14A3"/>
    <w:rsid w:val="00FD1D5F"/>
    <w:rsid w:val="00FD2124"/>
    <w:rsid w:val="00FD2274"/>
    <w:rsid w:val="00FD2DF3"/>
    <w:rsid w:val="00FD2F1E"/>
    <w:rsid w:val="00FD35D0"/>
    <w:rsid w:val="00FD4D99"/>
    <w:rsid w:val="00FD4FAA"/>
    <w:rsid w:val="00FD58AE"/>
    <w:rsid w:val="00FD5DA9"/>
    <w:rsid w:val="00FD6E7C"/>
    <w:rsid w:val="00FD700F"/>
    <w:rsid w:val="00FD7837"/>
    <w:rsid w:val="00FE02E3"/>
    <w:rsid w:val="00FE0575"/>
    <w:rsid w:val="00FE0716"/>
    <w:rsid w:val="00FE0A54"/>
    <w:rsid w:val="00FE1564"/>
    <w:rsid w:val="00FE1E9E"/>
    <w:rsid w:val="00FE2212"/>
    <w:rsid w:val="00FE4104"/>
    <w:rsid w:val="00FE45A3"/>
    <w:rsid w:val="00FE469F"/>
    <w:rsid w:val="00FE49B4"/>
    <w:rsid w:val="00FE5903"/>
    <w:rsid w:val="00FE60DA"/>
    <w:rsid w:val="00FE613D"/>
    <w:rsid w:val="00FE6AA3"/>
    <w:rsid w:val="00FE6DCF"/>
    <w:rsid w:val="00FE6EEF"/>
    <w:rsid w:val="00FE78CC"/>
    <w:rsid w:val="00FE7B52"/>
    <w:rsid w:val="00FF0276"/>
    <w:rsid w:val="00FF0822"/>
    <w:rsid w:val="00FF0E60"/>
    <w:rsid w:val="00FF2BC2"/>
    <w:rsid w:val="00FF3569"/>
    <w:rsid w:val="00FF4404"/>
    <w:rsid w:val="00FF57CE"/>
    <w:rsid w:val="00FF5AE8"/>
    <w:rsid w:val="00FF5E52"/>
    <w:rsid w:val="00FF5F2F"/>
    <w:rsid w:val="00FF7019"/>
    <w:rsid w:val="00FF7097"/>
    <w:rsid w:val="00FF76DD"/>
    <w:rsid w:val="00FF78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BC9EE24"/>
  <w15:docId w15:val="{5517B249-EA5A-49CC-9DB3-2AA4F736B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5EBF"/>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6C181F"/>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AB06E7"/>
    <w:pPr>
      <w:keepNext/>
      <w:keepLines/>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AB06E7"/>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AB06E7"/>
    <w:pPr>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3B585C"/>
    <w:pPr>
      <w:keepNext/>
      <w:keepLines/>
      <w:spacing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3B585C"/>
    <w:rPr>
      <w:sz w:val="20"/>
      <w:szCs w:val="20"/>
    </w:rPr>
  </w:style>
  <w:style w:type="character" w:customStyle="1" w:styleId="CommentTextChar">
    <w:name w:val="Comment Text Char"/>
    <w:basedOn w:val="DefaultParagraphFont"/>
    <w:link w:val="CommentText"/>
    <w:uiPriority w:val="99"/>
    <w:semiHidden/>
    <w:rsid w:val="003B585C"/>
    <w:rPr>
      <w:rFonts w:eastAsiaTheme="minorHAnsi" w:cstheme="minorBidi"/>
      <w:lang w:eastAsia="en-US"/>
    </w:rPr>
  </w:style>
  <w:style w:type="paragraph" w:styleId="Header">
    <w:name w:val="header"/>
    <w:basedOn w:val="Normal"/>
    <w:link w:val="HeaderChar"/>
    <w:uiPriority w:val="99"/>
    <w:rsid w:val="003B585C"/>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sid w:val="003B585C"/>
    <w:rPr>
      <w:rFonts w:ascii="Calibri" w:eastAsiaTheme="minorHAnsi" w:hAnsi="Calibri" w:cstheme="minorBidi"/>
      <w:szCs w:val="22"/>
      <w:lang w:eastAsia="en-US"/>
    </w:rPr>
  </w:style>
  <w:style w:type="paragraph" w:styleId="Footer">
    <w:name w:val="footer"/>
    <w:basedOn w:val="Normal"/>
    <w:link w:val="FooterChar"/>
    <w:uiPriority w:val="99"/>
    <w:rsid w:val="003B585C"/>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3B585C"/>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3B585C"/>
    <w:rPr>
      <w:sz w:val="16"/>
      <w:szCs w:val="16"/>
    </w:rPr>
  </w:style>
  <w:style w:type="paragraph" w:styleId="CommentSubject">
    <w:name w:val="annotation subject"/>
    <w:basedOn w:val="CommentText"/>
    <w:next w:val="CommentText"/>
    <w:link w:val="CommentSubjectChar"/>
    <w:uiPriority w:val="99"/>
    <w:semiHidden/>
    <w:unhideWhenUsed/>
    <w:rsid w:val="003B585C"/>
    <w:rPr>
      <w:b/>
      <w:bCs/>
    </w:rPr>
  </w:style>
  <w:style w:type="character" w:customStyle="1" w:styleId="CommentSubjectChar">
    <w:name w:val="Comment Subject Char"/>
    <w:basedOn w:val="CommentTextChar"/>
    <w:link w:val="CommentSubject"/>
    <w:uiPriority w:val="99"/>
    <w:semiHidden/>
    <w:rsid w:val="003B585C"/>
    <w:rPr>
      <w:rFonts w:eastAsiaTheme="minorHAnsi" w:cstheme="minorBidi"/>
      <w:b/>
      <w:bCs/>
      <w:lang w:eastAsia="en-US"/>
    </w:rPr>
  </w:style>
  <w:style w:type="paragraph" w:styleId="BalloonText">
    <w:name w:val="Balloon Text"/>
    <w:basedOn w:val="Normal"/>
    <w:link w:val="BalloonTextChar"/>
    <w:uiPriority w:val="99"/>
    <w:semiHidden/>
    <w:unhideWhenUsed/>
    <w:rsid w:val="003B585C"/>
    <w:rPr>
      <w:rFonts w:ascii="Calibri" w:hAnsi="Calibri"/>
      <w:sz w:val="18"/>
      <w:szCs w:val="18"/>
    </w:rPr>
  </w:style>
  <w:style w:type="character" w:customStyle="1" w:styleId="BalloonTextChar">
    <w:name w:val="Balloon Text Char"/>
    <w:basedOn w:val="DefaultParagraphFont"/>
    <w:link w:val="BalloonText"/>
    <w:uiPriority w:val="99"/>
    <w:semiHidden/>
    <w:rsid w:val="003B585C"/>
    <w:rPr>
      <w:rFonts w:ascii="Calibri" w:eastAsiaTheme="minorHAnsi" w:hAnsi="Calibri" w:cstheme="minorBidi"/>
      <w:sz w:val="18"/>
      <w:szCs w:val="18"/>
      <w:lang w:eastAsia="en-US"/>
    </w:rPr>
  </w:style>
  <w:style w:type="table" w:styleId="TableGrid">
    <w:name w:val="Table Grid"/>
    <w:basedOn w:val="TableNormal"/>
    <w:uiPriority w:val="59"/>
    <w:rsid w:val="003B585C"/>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3B585C"/>
    <w:rPr>
      <w:sz w:val="16"/>
    </w:rPr>
  </w:style>
  <w:style w:type="character" w:customStyle="1" w:styleId="Heading1Char">
    <w:name w:val="Heading 1 Char"/>
    <w:basedOn w:val="DefaultParagraphFont"/>
    <w:link w:val="Heading1"/>
    <w:uiPriority w:val="1"/>
    <w:rsid w:val="006C181F"/>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210276"/>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AC663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AC663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3B585C"/>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3B585C"/>
    <w:pPr>
      <w:ind w:left="709" w:right="567"/>
    </w:pPr>
    <w:rPr>
      <w:iCs/>
      <w:color w:val="000000"/>
    </w:rPr>
  </w:style>
  <w:style w:type="character" w:customStyle="1" w:styleId="QuoteChar">
    <w:name w:val="Quote Char"/>
    <w:basedOn w:val="DefaultParagraphFont"/>
    <w:link w:val="Quote"/>
    <w:uiPriority w:val="18"/>
    <w:rsid w:val="003B585C"/>
    <w:rPr>
      <w:rFonts w:eastAsiaTheme="minorHAnsi" w:cstheme="minorBidi"/>
      <w:iCs/>
      <w:color w:val="000000"/>
      <w:sz w:val="22"/>
      <w:szCs w:val="22"/>
      <w:lang w:eastAsia="en-US"/>
    </w:rPr>
  </w:style>
  <w:style w:type="paragraph" w:customStyle="1" w:styleId="BoxText">
    <w:name w:val="Box Text"/>
    <w:basedOn w:val="Normal"/>
    <w:uiPriority w:val="19"/>
    <w:qFormat/>
    <w:rsid w:val="003B585C"/>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3B585C"/>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3B585C"/>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F2744"/>
    <w:pPr>
      <w:spacing w:before="120"/>
    </w:pPr>
    <w:rPr>
      <w:b w:val="0"/>
      <w:sz w:val="56"/>
      <w:szCs w:val="56"/>
    </w:rPr>
  </w:style>
  <w:style w:type="character" w:customStyle="1" w:styleId="SubtitleChar">
    <w:name w:val="Subtitle Char"/>
    <w:basedOn w:val="DefaultParagraphFont"/>
    <w:link w:val="Subtitle"/>
    <w:uiPriority w:val="23"/>
    <w:rsid w:val="003F2744"/>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rsid w:val="003B585C"/>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rsid w:val="003B585C"/>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3B585C"/>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3B585C"/>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3B585C"/>
    <w:rPr>
      <w:color w:val="165788"/>
      <w:u w:val="single"/>
    </w:rPr>
  </w:style>
  <w:style w:type="paragraph" w:styleId="ListBullet">
    <w:name w:val="List Bullet"/>
    <w:basedOn w:val="Normal"/>
    <w:uiPriority w:val="7"/>
    <w:qFormat/>
    <w:rsid w:val="003B585C"/>
    <w:pPr>
      <w:numPr>
        <w:numId w:val="1"/>
      </w:numPr>
      <w:tabs>
        <w:tab w:val="clear" w:pos="360"/>
        <w:tab w:val="num" w:pos="284"/>
      </w:tabs>
      <w:spacing w:before="120" w:after="120"/>
      <w:ind w:left="284" w:hanging="284"/>
    </w:pPr>
  </w:style>
  <w:style w:type="paragraph" w:styleId="TableofFigures">
    <w:name w:val="table of figures"/>
    <w:basedOn w:val="Normal"/>
    <w:next w:val="Normal"/>
    <w:uiPriority w:val="99"/>
    <w:rsid w:val="003B585C"/>
    <w:pPr>
      <w:spacing w:before="120" w:after="120" w:line="240" w:lineRule="auto"/>
    </w:pPr>
  </w:style>
  <w:style w:type="paragraph" w:styleId="ListBullet2">
    <w:name w:val="List Bullet 2"/>
    <w:basedOn w:val="Normal"/>
    <w:uiPriority w:val="8"/>
    <w:qFormat/>
    <w:rsid w:val="003B585C"/>
    <w:pPr>
      <w:numPr>
        <w:numId w:val="2"/>
      </w:numPr>
      <w:tabs>
        <w:tab w:val="clear" w:pos="643"/>
        <w:tab w:val="num" w:pos="567"/>
      </w:tabs>
      <w:spacing w:before="120" w:after="120"/>
      <w:ind w:left="568" w:hanging="284"/>
      <w:contextualSpacing/>
    </w:pPr>
  </w:style>
  <w:style w:type="paragraph" w:styleId="ListNumber">
    <w:name w:val="List Number"/>
    <w:basedOn w:val="Normal"/>
    <w:uiPriority w:val="9"/>
    <w:qFormat/>
    <w:rsid w:val="00E735BB"/>
    <w:pPr>
      <w:numPr>
        <w:numId w:val="25"/>
      </w:numPr>
      <w:tabs>
        <w:tab w:val="left" w:pos="284"/>
        <w:tab w:val="left" w:pos="425"/>
      </w:tabs>
      <w:spacing w:before="120" w:after="120"/>
    </w:pPr>
  </w:style>
  <w:style w:type="paragraph" w:styleId="ListNumber2">
    <w:name w:val="List Number 2"/>
    <w:uiPriority w:val="10"/>
    <w:qFormat/>
    <w:rsid w:val="00680E84"/>
    <w:pPr>
      <w:numPr>
        <w:ilvl w:val="1"/>
        <w:numId w:val="25"/>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680E84"/>
    <w:pPr>
      <w:numPr>
        <w:ilvl w:val="2"/>
        <w:numId w:val="25"/>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sid w:val="003B585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3B585C"/>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3B585C"/>
    <w:pPr>
      <w:spacing w:before="60" w:after="60" w:line="240" w:lineRule="auto"/>
    </w:pPr>
    <w:rPr>
      <w:sz w:val="18"/>
    </w:rPr>
  </w:style>
  <w:style w:type="table" w:styleId="TableGrid1">
    <w:name w:val="Table Grid 1"/>
    <w:basedOn w:val="TableNormal"/>
    <w:uiPriority w:val="99"/>
    <w:semiHidden/>
    <w:unhideWhenUsed/>
    <w:rsid w:val="003B585C"/>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3B585C"/>
    <w:pPr>
      <w:keepNext/>
    </w:pPr>
    <w:rPr>
      <w:b/>
    </w:rPr>
  </w:style>
  <w:style w:type="character" w:styleId="PlaceholderText">
    <w:name w:val="Placeholder Text"/>
    <w:basedOn w:val="DefaultParagraphFont"/>
    <w:uiPriority w:val="99"/>
    <w:semiHidden/>
    <w:rsid w:val="003B585C"/>
    <w:rPr>
      <w:color w:val="808080"/>
    </w:rPr>
  </w:style>
  <w:style w:type="paragraph" w:customStyle="1" w:styleId="Author">
    <w:name w:val="Author"/>
    <w:basedOn w:val="Normal"/>
    <w:next w:val="Normal"/>
    <w:uiPriority w:val="24"/>
    <w:qFormat/>
    <w:rsid w:val="003B585C"/>
    <w:pPr>
      <w:spacing w:after="60"/>
    </w:pPr>
    <w:rPr>
      <w:b/>
      <w:sz w:val="28"/>
      <w:szCs w:val="28"/>
    </w:rPr>
  </w:style>
  <w:style w:type="paragraph" w:customStyle="1" w:styleId="AuthorOrganisationAffiliation">
    <w:name w:val="Author Organisation/Affiliation"/>
    <w:basedOn w:val="Normal"/>
    <w:next w:val="Normal"/>
    <w:uiPriority w:val="25"/>
    <w:qFormat/>
    <w:rsid w:val="003B585C"/>
    <w:pPr>
      <w:spacing w:after="720"/>
    </w:pPr>
  </w:style>
  <w:style w:type="character" w:styleId="Strong">
    <w:name w:val="Strong"/>
    <w:basedOn w:val="DefaultParagraphFont"/>
    <w:uiPriority w:val="22"/>
    <w:qFormat/>
    <w:rsid w:val="003B585C"/>
    <w:rPr>
      <w:b/>
      <w:bCs/>
    </w:rPr>
  </w:style>
  <w:style w:type="paragraph" w:customStyle="1" w:styleId="Glossary">
    <w:name w:val="Glossary"/>
    <w:basedOn w:val="Normal"/>
    <w:link w:val="GlossaryChar"/>
    <w:uiPriority w:val="28"/>
    <w:qFormat/>
    <w:rsid w:val="003B585C"/>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sid w:val="003B585C"/>
    <w:rPr>
      <w:rFonts w:eastAsia="Calibri" w:cstheme="minorBidi"/>
      <w:color w:val="000000"/>
      <w:sz w:val="22"/>
      <w:szCs w:val="22"/>
      <w:lang w:eastAsia="en-US"/>
    </w:rPr>
  </w:style>
  <w:style w:type="character" w:styleId="Emphasis">
    <w:name w:val="Emphasis"/>
    <w:basedOn w:val="DefaultParagraphFont"/>
    <w:uiPriority w:val="99"/>
    <w:qFormat/>
    <w:rsid w:val="003B585C"/>
    <w:rPr>
      <w:i/>
      <w:iCs/>
    </w:rPr>
  </w:style>
  <w:style w:type="paragraph" w:styleId="TOAHeading">
    <w:name w:val="toa heading"/>
    <w:basedOn w:val="Heading1"/>
    <w:next w:val="Normal"/>
    <w:uiPriority w:val="99"/>
    <w:semiHidden/>
    <w:unhideWhenUsed/>
    <w:rsid w:val="003B585C"/>
    <w:pPr>
      <w:spacing w:before="120"/>
    </w:pPr>
    <w:rPr>
      <w:bCs w:val="0"/>
      <w:sz w:val="24"/>
    </w:rPr>
  </w:style>
  <w:style w:type="paragraph" w:styleId="NormalWeb">
    <w:name w:val="Normal (Web)"/>
    <w:basedOn w:val="Normal"/>
    <w:uiPriority w:val="99"/>
    <w:semiHidden/>
    <w:unhideWhenUsed/>
    <w:rsid w:val="003B585C"/>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3B585C"/>
    <w:pPr>
      <w:numPr>
        <w:numId w:val="3"/>
      </w:numPr>
      <w:ind w:left="357" w:hanging="357"/>
    </w:pPr>
  </w:style>
  <w:style w:type="paragraph" w:customStyle="1" w:styleId="TableBullet">
    <w:name w:val="Table Bullet"/>
    <w:basedOn w:val="TableText"/>
    <w:uiPriority w:val="15"/>
    <w:qFormat/>
    <w:rsid w:val="003B585C"/>
    <w:pPr>
      <w:numPr>
        <w:numId w:val="4"/>
      </w:numPr>
      <w:ind w:left="284" w:hanging="284"/>
    </w:pPr>
  </w:style>
  <w:style w:type="paragraph" w:styleId="DocumentMap">
    <w:name w:val="Document Map"/>
    <w:basedOn w:val="Normal"/>
    <w:link w:val="DocumentMapChar"/>
    <w:uiPriority w:val="99"/>
    <w:semiHidden/>
    <w:unhideWhenUsed/>
    <w:rsid w:val="003B585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B585C"/>
    <w:rPr>
      <w:rFonts w:ascii="Tahoma" w:eastAsiaTheme="minorHAnsi" w:hAnsi="Tahoma" w:cs="Tahoma"/>
      <w:sz w:val="16"/>
      <w:szCs w:val="16"/>
      <w:lang w:eastAsia="en-US"/>
    </w:rPr>
  </w:style>
  <w:style w:type="paragraph" w:customStyle="1" w:styleId="BoxHeading">
    <w:name w:val="Box Heading"/>
    <w:basedOn w:val="BoxText"/>
    <w:uiPriority w:val="20"/>
    <w:qFormat/>
    <w:rsid w:val="003B585C"/>
    <w:pPr>
      <w:spacing w:line="240" w:lineRule="auto"/>
    </w:pPr>
    <w:rPr>
      <w:b/>
    </w:rPr>
  </w:style>
  <w:style w:type="paragraph" w:customStyle="1" w:styleId="Picture">
    <w:name w:val="Picture"/>
    <w:basedOn w:val="Normal"/>
    <w:uiPriority w:val="17"/>
    <w:qFormat/>
    <w:rsid w:val="003B585C"/>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3B585C"/>
    <w:pPr>
      <w:spacing w:after="0"/>
    </w:pPr>
    <w:rPr>
      <w:b/>
      <w:caps/>
      <w:color w:val="FF0000"/>
      <w:sz w:val="36"/>
      <w:szCs w:val="36"/>
    </w:rPr>
  </w:style>
  <w:style w:type="paragraph" w:customStyle="1" w:styleId="DisseminationLimitingMarker">
    <w:name w:val="Dissemination Limiting Marker"/>
    <w:basedOn w:val="Header"/>
    <w:next w:val="Header"/>
    <w:uiPriority w:val="27"/>
    <w:rsid w:val="003B585C"/>
    <w:pPr>
      <w:spacing w:after="0"/>
    </w:pPr>
    <w:rPr>
      <w:b/>
      <w:sz w:val="36"/>
      <w:szCs w:val="36"/>
    </w:rPr>
  </w:style>
  <w:style w:type="paragraph" w:styleId="FootnoteText">
    <w:name w:val="footnote text"/>
    <w:basedOn w:val="Normal"/>
    <w:link w:val="FootnoteTextChar"/>
    <w:uiPriority w:val="99"/>
    <w:unhideWhenUsed/>
    <w:rsid w:val="003B585C"/>
    <w:pPr>
      <w:spacing w:after="60" w:line="264" w:lineRule="auto"/>
    </w:pPr>
    <w:rPr>
      <w:sz w:val="20"/>
      <w:szCs w:val="20"/>
    </w:rPr>
  </w:style>
  <w:style w:type="character" w:customStyle="1" w:styleId="FootnoteTextChar">
    <w:name w:val="Footnote Text Char"/>
    <w:basedOn w:val="DefaultParagraphFont"/>
    <w:link w:val="FootnoteText"/>
    <w:uiPriority w:val="99"/>
    <w:rsid w:val="003B585C"/>
    <w:rPr>
      <w:rFonts w:eastAsiaTheme="minorHAnsi" w:cstheme="minorBidi"/>
      <w:lang w:eastAsia="en-US"/>
    </w:rPr>
  </w:style>
  <w:style w:type="character" w:styleId="FootnoteReference">
    <w:name w:val="footnote reference"/>
    <w:basedOn w:val="DefaultParagraphFont"/>
    <w:uiPriority w:val="99"/>
    <w:semiHidden/>
    <w:unhideWhenUsed/>
    <w:rsid w:val="003B585C"/>
    <w:rPr>
      <w:vertAlign w:val="superscript"/>
    </w:rPr>
  </w:style>
  <w:style w:type="paragraph" w:styleId="EndnoteText">
    <w:name w:val="endnote text"/>
    <w:basedOn w:val="Normal"/>
    <w:link w:val="EndnoteTextChar"/>
    <w:uiPriority w:val="99"/>
    <w:unhideWhenUsed/>
    <w:rsid w:val="003B585C"/>
    <w:pPr>
      <w:spacing w:after="60" w:line="264" w:lineRule="auto"/>
    </w:pPr>
    <w:rPr>
      <w:sz w:val="20"/>
      <w:szCs w:val="20"/>
    </w:rPr>
  </w:style>
  <w:style w:type="character" w:customStyle="1" w:styleId="EndnoteTextChar">
    <w:name w:val="Endnote Text Char"/>
    <w:basedOn w:val="DefaultParagraphFont"/>
    <w:link w:val="EndnoteText"/>
    <w:uiPriority w:val="99"/>
    <w:rsid w:val="003B585C"/>
    <w:rPr>
      <w:rFonts w:eastAsiaTheme="minorHAnsi" w:cstheme="minorBidi"/>
      <w:lang w:eastAsia="en-US"/>
    </w:rPr>
  </w:style>
  <w:style w:type="character" w:styleId="EndnoteReference">
    <w:name w:val="endnote reference"/>
    <w:basedOn w:val="DefaultParagraphFont"/>
    <w:uiPriority w:val="99"/>
    <w:semiHidden/>
    <w:unhideWhenUsed/>
    <w:rsid w:val="003B585C"/>
    <w:rPr>
      <w:vertAlign w:val="superscript"/>
    </w:rPr>
  </w:style>
  <w:style w:type="character" w:styleId="FollowedHyperlink">
    <w:name w:val="FollowedHyperlink"/>
    <w:basedOn w:val="DefaultParagraphFont"/>
    <w:uiPriority w:val="99"/>
    <w:semiHidden/>
    <w:unhideWhenUsed/>
    <w:rsid w:val="003B585C"/>
    <w:rPr>
      <w:color w:val="800080"/>
      <w:u w:val="single"/>
    </w:rPr>
  </w:style>
  <w:style w:type="paragraph" w:customStyle="1" w:styleId="BoxSource">
    <w:name w:val="Box Source"/>
    <w:basedOn w:val="FigureTableNoteSource"/>
    <w:uiPriority w:val="22"/>
    <w:qFormat/>
    <w:rsid w:val="003B585C"/>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3B585C"/>
    <w:pPr>
      <w:numPr>
        <w:numId w:val="5"/>
      </w:numPr>
    </w:pPr>
  </w:style>
  <w:style w:type="paragraph" w:styleId="Title">
    <w:name w:val="Title"/>
    <w:basedOn w:val="Normal"/>
    <w:next w:val="Normal"/>
    <w:link w:val="TitleChar"/>
    <w:uiPriority w:val="10"/>
    <w:semiHidden/>
    <w:qFormat/>
    <w:rsid w:val="003B585C"/>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3B585C"/>
    <w:rPr>
      <w:rFonts w:eastAsiaTheme="majorEastAsia" w:cstheme="majorBidi"/>
      <w:b/>
      <w:spacing w:val="5"/>
      <w:kern w:val="28"/>
      <w:sz w:val="72"/>
      <w:szCs w:val="52"/>
      <w:lang w:eastAsia="en-US"/>
    </w:rPr>
  </w:style>
  <w:style w:type="paragraph" w:customStyle="1" w:styleId="TOCHeading2">
    <w:name w:val="TOC Heading 2"/>
    <w:next w:val="Normal"/>
    <w:qFormat/>
    <w:rsid w:val="00B91DEC"/>
    <w:rPr>
      <w:rFonts w:ascii="Calibri Light" w:eastAsiaTheme="minorHAnsi" w:hAnsi="Calibri Light" w:cstheme="minorBidi"/>
      <w:sz w:val="36"/>
      <w:szCs w:val="22"/>
      <w:lang w:eastAsia="en-US"/>
    </w:rPr>
  </w:style>
  <w:style w:type="numbering" w:customStyle="1" w:styleId="Numberlist">
    <w:name w:val="Number list"/>
    <w:uiPriority w:val="99"/>
    <w:rsid w:val="00680E84"/>
    <w:pPr>
      <w:numPr>
        <w:numId w:val="6"/>
      </w:numPr>
    </w:pPr>
  </w:style>
  <w:style w:type="numbering" w:customStyle="1" w:styleId="Headinglist">
    <w:name w:val="Heading list"/>
    <w:uiPriority w:val="99"/>
    <w:rsid w:val="00AB06E7"/>
    <w:pPr>
      <w:numPr>
        <w:numId w:val="8"/>
      </w:numPr>
    </w:pPr>
  </w:style>
  <w:style w:type="character" w:styleId="SubtleReference">
    <w:name w:val="Subtle Reference"/>
    <w:basedOn w:val="DefaultParagraphFont"/>
    <w:uiPriority w:val="31"/>
    <w:qFormat/>
    <w:rsid w:val="00E7557C"/>
    <w:rPr>
      <w:smallCaps/>
      <w:color w:val="5A5A5A" w:themeColor="text1" w:themeTint="A5"/>
    </w:rPr>
  </w:style>
  <w:style w:type="character" w:styleId="SubtleEmphasis">
    <w:name w:val="Subtle Emphasis"/>
    <w:basedOn w:val="DefaultParagraphFont"/>
    <w:uiPriority w:val="19"/>
    <w:qFormat/>
    <w:rsid w:val="00DC435D"/>
    <w:rPr>
      <w:i/>
      <w:iCs/>
      <w:color w:val="404040" w:themeColor="text1" w:themeTint="BF"/>
    </w:rPr>
  </w:style>
  <w:style w:type="paragraph" w:styleId="ListParagraph">
    <w:name w:val="List Paragraph"/>
    <w:basedOn w:val="Normal"/>
    <w:uiPriority w:val="99"/>
    <w:qFormat/>
    <w:rsid w:val="009F7A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071418">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426308">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17211">
      <w:bodyDiv w:val="1"/>
      <w:marLeft w:val="0"/>
      <w:marRight w:val="0"/>
      <w:marTop w:val="0"/>
      <w:marBottom w:val="0"/>
      <w:divBdr>
        <w:top w:val="none" w:sz="0" w:space="0" w:color="auto"/>
        <w:left w:val="none" w:sz="0" w:space="0" w:color="auto"/>
        <w:bottom w:val="none" w:sz="0" w:space="0" w:color="auto"/>
        <w:right w:val="none" w:sz="0" w:space="0" w:color="auto"/>
      </w:divBdr>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531041">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legalcode" TargetMode="External"/><Relationship Id="rId18" Type="http://schemas.openxmlformats.org/officeDocument/2006/relationships/hyperlink" Target="http://www.agriculture.gov.au/igabreview" TargetMode="External"/><Relationship Id="rId26" Type="http://schemas.openxmlformats.org/officeDocument/2006/relationships/hyperlink" Target="https://www.ngia.com.au/Category?Action=View&amp;Category_id=258" TargetMode="External"/><Relationship Id="rId39" Type="http://schemas.openxmlformats.org/officeDocument/2006/relationships/hyperlink" Target="http://www.agriculture.gov.au/biosecurity/partnerships/nbc" TargetMode="External"/><Relationship Id="rId21" Type="http://schemas.openxmlformats.org/officeDocument/2006/relationships/header" Target="header1.xml"/><Relationship Id="rId34" Type="http://schemas.openxmlformats.org/officeDocument/2006/relationships/hyperlink" Target="http://www.dpi.nsw.gov.au/fishing/pests-diseases/freshwater-pests/species/tilapia" TargetMode="External"/><Relationship Id="rId42" Type="http://schemas.openxmlformats.org/officeDocument/2006/relationships/image" Target="media/image10.jpeg"/><Relationship Id="rId47" Type="http://schemas.openxmlformats.org/officeDocument/2006/relationships/hyperlink" Target="http://www.lls.nsw.gov.au/about/annual-rates/rates-faqs" TargetMode="External"/><Relationship Id="rId50" Type="http://schemas.openxmlformats.org/officeDocument/2006/relationships/hyperlink" Target="https://portal.biosecurityportal.org.au/rwa/Documents/Russian%20Wheat%20Aphid%20Distribution%20Map.pdf"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creativecommons.org/licenses/by/3.0/au/deed.en" TargetMode="External"/><Relationship Id="rId17" Type="http://schemas.openxmlformats.org/officeDocument/2006/relationships/hyperlink" Target="http://www.agriculture.gov.au/igabreview" TargetMode="External"/><Relationship Id="rId25" Type="http://schemas.openxmlformats.org/officeDocument/2006/relationships/hyperlink" Target="http://www.lbn.org.au/" TargetMode="External"/><Relationship Id="rId33" Type="http://schemas.openxmlformats.org/officeDocument/2006/relationships/image" Target="media/image5.jpeg"/><Relationship Id="rId38" Type="http://schemas.openxmlformats.org/officeDocument/2006/relationships/image" Target="media/image7.jpeg"/><Relationship Id="rId46" Type="http://schemas.openxmlformats.org/officeDocument/2006/relationships/hyperlink" Target="https://www.qfes.qld.gov.au/about/Pages/EmergencyManagementFireandRescue-Levy.aspx" TargetMode="External"/><Relationship Id="rId2" Type="http://schemas.openxmlformats.org/officeDocument/2006/relationships/customXml" Target="../customXml/item2.xml"/><Relationship Id="rId16" Type="http://schemas.openxmlformats.org/officeDocument/2006/relationships/hyperlink" Target="http://agriculture.gov.au/" TargetMode="External"/><Relationship Id="rId20" Type="http://schemas.openxmlformats.org/officeDocument/2006/relationships/hyperlink" Target="http://www.agriculture.gov.au/igabreview" TargetMode="External"/><Relationship Id="rId29" Type="http://schemas.openxmlformats.org/officeDocument/2006/relationships/image" Target="media/image4.jpeg"/><Relationship Id="rId41" Type="http://schemas.openxmlformats.org/officeDocument/2006/relationships/image" Target="media/image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jpeg"/><Relationship Id="rId32" Type="http://schemas.openxmlformats.org/officeDocument/2006/relationships/hyperlink" Target="https://www.daf.qld.gov.au/plants/weeds-pest-animals-ants/invasive-ants/fire-ants/national-red-imported-eradication-program/fire-ant-eradication" TargetMode="External"/><Relationship Id="rId37" Type="http://schemas.openxmlformats.org/officeDocument/2006/relationships/hyperlink" Target="http://horticulture.com.au/how-we-invest-2/sitplus/" TargetMode="External"/><Relationship Id="rId40" Type="http://schemas.openxmlformats.org/officeDocument/2006/relationships/image" Target="media/image8.jpeg"/><Relationship Id="rId45" Type="http://schemas.openxmlformats.org/officeDocument/2006/relationships/hyperlink" Target="http://www.eslinsurancemonitor.nsw.gov.au/" TargetMode="External"/><Relationship Id="rId53" Type="http://schemas.openxmlformats.org/officeDocument/2006/relationships/hyperlink" Target="https://portal.biosecurityportal.org.au/rde/Documents/Forms/AllItems.aspx" TargetMode="External"/><Relationship Id="rId5" Type="http://schemas.openxmlformats.org/officeDocument/2006/relationships/numbering" Target="numbering.xml"/><Relationship Id="rId15" Type="http://schemas.openxmlformats.org/officeDocument/2006/relationships/hyperlink" Target="http://www.agriculture.gov.au/igabreview" TargetMode="External"/><Relationship Id="rId23" Type="http://schemas.openxmlformats.org/officeDocument/2006/relationships/image" Target="media/image2.jpeg"/><Relationship Id="rId28" Type="http://schemas.openxmlformats.org/officeDocument/2006/relationships/hyperlink" Target="http://www.agriculture.gov.au/market-access-trade/agricultural-trade-matters/achievements" TargetMode="External"/><Relationship Id="rId36" Type="http://schemas.openxmlformats.org/officeDocument/2006/relationships/hyperlink" Target="https://www.mpi.govt.nz/funding-and-programmes/primary-growth-partnership/" TargetMode="External"/><Relationship Id="rId49" Type="http://schemas.openxmlformats.org/officeDocument/2006/relationships/image" Target="media/image13.jpg"/><Relationship Id="rId10" Type="http://schemas.openxmlformats.org/officeDocument/2006/relationships/endnotes" Target="endnotes.xml"/><Relationship Id="rId19" Type="http://schemas.openxmlformats.org/officeDocument/2006/relationships/hyperlink" Target="mailto:igabreview@agriculture.gov.au" TargetMode="External"/><Relationship Id="rId31" Type="http://schemas.openxmlformats.org/officeDocument/2006/relationships/hyperlink" Target="http://www.border.gov.au/Busi/cargo-support-trade-and-goods/australian-trusted-trader" TargetMode="External"/><Relationship Id="rId44" Type="http://schemas.openxmlformats.org/officeDocument/2006/relationships/hyperlink" Target="http://www.firelevy.vic.gov.au/" TargetMode="External"/><Relationship Id="rId52" Type="http://schemas.openxmlformats.org/officeDocument/2006/relationships/hyperlink" Target="https://www.coag.gov.au/node/9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pyright@agriculture.gov.au" TargetMode="External"/><Relationship Id="rId22" Type="http://schemas.openxmlformats.org/officeDocument/2006/relationships/footer" Target="footer1.xml"/><Relationship Id="rId27" Type="http://schemas.openxmlformats.org/officeDocument/2006/relationships/hyperlink" Target="http://www.tourism.australia.com/nature-based-tourism.aspx" TargetMode="External"/><Relationship Id="rId30" Type="http://schemas.openxmlformats.org/officeDocument/2006/relationships/hyperlink" Target="http://domesticquarantine.org.au/ica-database" TargetMode="External"/><Relationship Id="rId35" Type="http://schemas.openxmlformats.org/officeDocument/2006/relationships/image" Target="media/image6.jpeg"/><Relationship Id="rId43" Type="http://schemas.openxmlformats.org/officeDocument/2006/relationships/image" Target="media/image11.jpeg"/><Relationship Id="rId48" Type="http://schemas.openxmlformats.org/officeDocument/2006/relationships/image" Target="media/image12.jpeg"/><Relationship Id="rId8" Type="http://schemas.openxmlformats.org/officeDocument/2006/relationships/webSettings" Target="webSettings.xml"/><Relationship Id="rId51" Type="http://schemas.openxmlformats.org/officeDocument/2006/relationships/hyperlink" Target="http://www.agriculture.gov.au/igabreview"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610AB0DA-3DB8-4CEE-9009-C777E12321A5}"/>
</file>

<file path=customXml/itemProps2.xml><?xml version="1.0" encoding="utf-8"?>
<ds:datastoreItem xmlns:ds="http://schemas.openxmlformats.org/officeDocument/2006/customXml" ds:itemID="{9D1CAD33-3B39-4665-A5E6-666D035120E9}"/>
</file>

<file path=customXml/itemProps3.xml><?xml version="1.0" encoding="utf-8"?>
<ds:datastoreItem xmlns:ds="http://schemas.openxmlformats.org/officeDocument/2006/customXml" ds:itemID="{F9B48E02-C406-418D-A555-2A3BB9164250}"/>
</file>

<file path=customXml/itemProps4.xml><?xml version="1.0" encoding="utf-8"?>
<ds:datastoreItem xmlns:ds="http://schemas.openxmlformats.org/officeDocument/2006/customXml" ds:itemID="{7DECE57C-649D-4769-8270-4C32A3F64D9A}"/>
</file>

<file path=docProps/app.xml><?xml version="1.0" encoding="utf-8"?>
<Properties xmlns="http://schemas.openxmlformats.org/officeDocument/2006/extended-properties" xmlns:vt="http://schemas.openxmlformats.org/officeDocument/2006/docPropsVTypes">
  <Template>Normal</Template>
  <TotalTime>2217</TotalTime>
  <Pages>138</Pages>
  <Words>54671</Words>
  <Characters>311631</Characters>
  <Application>Microsoft Office Word</Application>
  <DocSecurity>0</DocSecurity>
  <Lines>2596</Lines>
  <Paragraphs>731</Paragraphs>
  <ScaleCrop>false</ScaleCrop>
  <HeadingPairs>
    <vt:vector size="2" baseType="variant">
      <vt:variant>
        <vt:lpstr>Title</vt:lpstr>
      </vt:variant>
      <vt:variant>
        <vt:i4>1</vt:i4>
      </vt:variant>
    </vt:vector>
  </HeadingPairs>
  <TitlesOfParts>
    <vt:vector size="1" baseType="lpstr">
      <vt:lpstr>Draft report on the Intergovernmental Agreement on Biosecurity Review</vt:lpstr>
    </vt:vector>
  </TitlesOfParts>
  <Company>Department of Agriculture Fisheries &amp; Forestry</Company>
  <LinksUpToDate>false</LinksUpToDate>
  <CharactersWithSpaces>365571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report on the Intergovernmental Agreement on Biosecurity Review</dc:title>
  <dc:creator>McMellon, Glenn</dc:creator>
  <cp:lastModifiedBy>McMellon, Glenn</cp:lastModifiedBy>
  <cp:revision>959</cp:revision>
  <cp:lastPrinted>2016-12-13T22:35:00Z</cp:lastPrinted>
  <dcterms:created xsi:type="dcterms:W3CDTF">2016-12-01T22:31:00Z</dcterms:created>
  <dcterms:modified xsi:type="dcterms:W3CDTF">2016-12-16T01:30:00Z</dcterms:modified>
  <cp:contentStatus>Updated June 2016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