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F5E110" w14:textId="60843E0A" w:rsidR="00B21462" w:rsidRDefault="001710D3" w:rsidP="00321039">
      <w:pPr>
        <w:pStyle w:val="Heading1"/>
        <w:spacing w:before="1560"/>
      </w:pPr>
      <w:r>
        <w:t>Priorities for Australia’s</w:t>
      </w:r>
      <w:r w:rsidR="009E3978">
        <w:t xml:space="preserve"> biosecurity</w:t>
      </w:r>
      <w:r w:rsidR="000C6301">
        <w:t xml:space="preserve"> system</w:t>
      </w:r>
    </w:p>
    <w:p w14:paraId="52B27AF9" w14:textId="1A4AB53B" w:rsidR="0063264D" w:rsidRDefault="001710D3" w:rsidP="00321039">
      <w:pPr>
        <w:pStyle w:val="Author"/>
        <w:spacing w:after="4080"/>
        <w:rPr>
          <w:lang w:val="es-ES"/>
        </w:rPr>
      </w:pPr>
      <w:r>
        <w:rPr>
          <w:lang w:val="es-ES"/>
        </w:rPr>
        <w:t>June</w:t>
      </w:r>
      <w:r w:rsidR="0063264D">
        <w:rPr>
          <w:lang w:val="es-ES"/>
        </w:rPr>
        <w:t xml:space="preserve"> 2017</w:t>
      </w:r>
    </w:p>
    <w:p w14:paraId="5867A954" w14:textId="69A9F083" w:rsidR="00B33E43" w:rsidRPr="00327C18" w:rsidRDefault="00683D8B" w:rsidP="00321039">
      <w:pPr>
        <w:pStyle w:val="Subtitle"/>
        <w:spacing w:after="4080" w:line="276" w:lineRule="auto"/>
        <w:contextualSpacing w:val="0"/>
        <w:rPr>
          <w:rFonts w:asciiTheme="majorHAnsi" w:hAnsiTheme="majorHAnsi"/>
          <w:b/>
          <w:sz w:val="28"/>
          <w:szCs w:val="28"/>
        </w:rPr>
      </w:pPr>
      <w:r w:rsidRPr="00327C18">
        <w:rPr>
          <w:rFonts w:asciiTheme="majorHAnsi" w:hAnsiTheme="majorHAnsi"/>
          <w:b/>
          <w:sz w:val="28"/>
          <w:szCs w:val="28"/>
        </w:rPr>
        <w:t>An independent review of the</w:t>
      </w:r>
      <w:r w:rsidR="003D2F75" w:rsidRPr="00327C18">
        <w:rPr>
          <w:rFonts w:asciiTheme="majorHAnsi" w:hAnsiTheme="majorHAnsi"/>
          <w:b/>
          <w:sz w:val="28"/>
          <w:szCs w:val="28"/>
        </w:rPr>
        <w:t xml:space="preserve"> capacity of the </w:t>
      </w:r>
      <w:r w:rsidRPr="00327C18">
        <w:rPr>
          <w:rFonts w:asciiTheme="majorHAnsi" w:hAnsiTheme="majorHAnsi"/>
          <w:b/>
          <w:sz w:val="28"/>
          <w:szCs w:val="28"/>
        </w:rPr>
        <w:t xml:space="preserve">national </w:t>
      </w:r>
      <w:r w:rsidR="00237CA6" w:rsidRPr="00327C18">
        <w:rPr>
          <w:rFonts w:asciiTheme="majorHAnsi" w:hAnsiTheme="majorHAnsi"/>
          <w:b/>
          <w:sz w:val="28"/>
          <w:szCs w:val="28"/>
        </w:rPr>
        <w:t xml:space="preserve">biosecurity </w:t>
      </w:r>
      <w:r w:rsidRPr="00327C18">
        <w:rPr>
          <w:rFonts w:asciiTheme="majorHAnsi" w:hAnsiTheme="majorHAnsi"/>
          <w:b/>
          <w:sz w:val="28"/>
          <w:szCs w:val="28"/>
        </w:rPr>
        <w:t xml:space="preserve">system and its underpinning </w:t>
      </w:r>
      <w:r w:rsidR="00216755" w:rsidRPr="00327C18">
        <w:rPr>
          <w:rFonts w:asciiTheme="majorHAnsi" w:hAnsiTheme="majorHAnsi"/>
          <w:b/>
          <w:sz w:val="28"/>
          <w:szCs w:val="28"/>
        </w:rPr>
        <w:t>Intergovernmental Agreement</w:t>
      </w:r>
    </w:p>
    <w:p w14:paraId="74E2BF37" w14:textId="2C191D52" w:rsidR="00EB26B9" w:rsidRDefault="003C7DAA" w:rsidP="00321039">
      <w:pPr>
        <w:pStyle w:val="Author"/>
      </w:pPr>
      <w:r>
        <w:rPr>
          <w:lang w:val="es-ES"/>
        </w:rPr>
        <w:t xml:space="preserve">Wendy </w:t>
      </w:r>
      <w:r w:rsidR="00D07ADA">
        <w:rPr>
          <w:lang w:val="es-ES"/>
        </w:rPr>
        <w:t>Craik</w:t>
      </w:r>
      <w:r w:rsidR="00321039">
        <w:rPr>
          <w:lang w:val="es-ES"/>
        </w:rPr>
        <w:t>,</w:t>
      </w:r>
      <w:r w:rsidR="00B33E43">
        <w:rPr>
          <w:lang w:val="es-ES"/>
        </w:rPr>
        <w:t xml:space="preserve"> </w:t>
      </w:r>
      <w:r>
        <w:rPr>
          <w:lang w:val="es-ES"/>
        </w:rPr>
        <w:t xml:space="preserve">David </w:t>
      </w:r>
      <w:r w:rsidR="00D07ADA">
        <w:rPr>
          <w:lang w:val="es-ES"/>
        </w:rPr>
        <w:t>Palmer</w:t>
      </w:r>
      <w:r w:rsidR="00B33E43">
        <w:rPr>
          <w:lang w:val="es-ES"/>
        </w:rPr>
        <w:t xml:space="preserve"> </w:t>
      </w:r>
      <w:r w:rsidR="00321039">
        <w:rPr>
          <w:lang w:val="es-ES"/>
        </w:rPr>
        <w:t>and</w:t>
      </w:r>
      <w:r w:rsidR="00B33E43">
        <w:rPr>
          <w:lang w:val="es-ES"/>
        </w:rPr>
        <w:t xml:space="preserve"> </w:t>
      </w:r>
      <w:r>
        <w:rPr>
          <w:lang w:val="es-ES"/>
        </w:rPr>
        <w:t xml:space="preserve">Richard </w:t>
      </w:r>
      <w:r w:rsidR="00D07ADA">
        <w:rPr>
          <w:lang w:val="es-ES"/>
        </w:rPr>
        <w:t>Sheldrake</w:t>
      </w:r>
      <w:r w:rsidR="005E3F32">
        <w:br w:type="page"/>
      </w:r>
    </w:p>
    <w:p w14:paraId="39CE9366" w14:textId="01F7A9AB" w:rsidR="00AF2D57" w:rsidRPr="00CF3FB0" w:rsidRDefault="0029558A" w:rsidP="00CF3FB0">
      <w:pPr>
        <w:rPr>
          <w:sz w:val="18"/>
          <w:szCs w:val="18"/>
        </w:rPr>
      </w:pPr>
      <w:r>
        <w:rPr>
          <w:sz w:val="18"/>
          <w:szCs w:val="18"/>
        </w:rPr>
        <w:lastRenderedPageBreak/>
        <w:t>© Commonwealth of Australia 2017</w:t>
      </w:r>
    </w:p>
    <w:p w14:paraId="44F9719E" w14:textId="77777777" w:rsidR="00AF2D57" w:rsidRPr="00CF3FB0" w:rsidRDefault="00AF2D57" w:rsidP="00CF3FB0">
      <w:pPr>
        <w:spacing w:after="0"/>
        <w:rPr>
          <w:rStyle w:val="Strong"/>
          <w:sz w:val="18"/>
          <w:szCs w:val="18"/>
        </w:rPr>
      </w:pPr>
      <w:r w:rsidRPr="00CF3FB0">
        <w:rPr>
          <w:rStyle w:val="Strong"/>
          <w:sz w:val="18"/>
          <w:szCs w:val="18"/>
        </w:rPr>
        <w:t>Ownership of intellectual property rights</w:t>
      </w:r>
    </w:p>
    <w:p w14:paraId="308891C4" w14:textId="77777777" w:rsidR="00AF2D57" w:rsidRPr="00CF3FB0" w:rsidRDefault="00AF2D57" w:rsidP="00CF3FB0">
      <w:pPr>
        <w:rPr>
          <w:sz w:val="18"/>
          <w:szCs w:val="18"/>
        </w:rPr>
      </w:pPr>
      <w:r w:rsidRPr="00CF3FB0">
        <w:rPr>
          <w:sz w:val="18"/>
          <w:szCs w:val="18"/>
        </w:rPr>
        <w:t>Unless otherwise noted, copyright (and any other intellectual property rights, if any) in this publication is owned by the Commonwealth of Australia (referred to as the Commonwealth).</w:t>
      </w:r>
    </w:p>
    <w:p w14:paraId="024CDE1B" w14:textId="77777777" w:rsidR="00AF2D57" w:rsidRPr="00CF3FB0" w:rsidRDefault="00AF2D57" w:rsidP="00CF3FB0">
      <w:pPr>
        <w:spacing w:after="0"/>
        <w:rPr>
          <w:rStyle w:val="Strong"/>
          <w:sz w:val="18"/>
          <w:szCs w:val="18"/>
        </w:rPr>
      </w:pPr>
      <w:r w:rsidRPr="00CF3FB0">
        <w:rPr>
          <w:rStyle w:val="Strong"/>
          <w:sz w:val="18"/>
          <w:szCs w:val="18"/>
        </w:rPr>
        <w:t>Creative Commons licence</w:t>
      </w:r>
    </w:p>
    <w:p w14:paraId="59F15360" w14:textId="77777777" w:rsidR="00AF2D57" w:rsidRPr="00CF3FB0" w:rsidRDefault="00AF2D57" w:rsidP="00CF3FB0">
      <w:pPr>
        <w:rPr>
          <w:sz w:val="18"/>
          <w:szCs w:val="18"/>
        </w:rPr>
      </w:pPr>
      <w:r w:rsidRPr="00CF3FB0">
        <w:rPr>
          <w:sz w:val="18"/>
          <w:szCs w:val="18"/>
        </w:rPr>
        <w:t>All material in this publication is licensed under a Creative Commons Attribution 3.0 Australia Licence, save for content supplied by third parties, logos and the Commonwealth Coat of Arms.</w:t>
      </w:r>
    </w:p>
    <w:p w14:paraId="1A18721B" w14:textId="77777777" w:rsidR="00AF2D57" w:rsidRPr="00CF3FB0" w:rsidRDefault="005F18A6" w:rsidP="00CF3FB0">
      <w:pPr>
        <w:rPr>
          <w:sz w:val="18"/>
          <w:szCs w:val="18"/>
        </w:rPr>
      </w:pPr>
      <w:r w:rsidRPr="00CF3FB0">
        <w:rPr>
          <w:noProof/>
          <w:sz w:val="18"/>
          <w:szCs w:val="18"/>
          <w:lang w:eastAsia="en-AU"/>
        </w:rPr>
        <w:drawing>
          <wp:inline distT="0" distB="0" distL="0" distR="0" wp14:anchorId="4320A85F" wp14:editId="27E80873">
            <wp:extent cx="724535" cy="255270"/>
            <wp:effectExtent l="0" t="0" r="0" b="0"/>
            <wp:docPr id="2" name="Picture 1" descr="Creative Commons Attribution 3.0 Australia Licence is a standard form licence agreement that allows you to copy, distribute, transmit and adapt this publication provided you attribute the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36DE3353" w14:textId="77777777" w:rsidR="00AF2D57" w:rsidRPr="00CF3FB0" w:rsidRDefault="00AF2D57" w:rsidP="00CF3FB0">
      <w:pPr>
        <w:rPr>
          <w:sz w:val="18"/>
          <w:szCs w:val="18"/>
        </w:rPr>
      </w:pPr>
      <w:r w:rsidRPr="00CF3FB0">
        <w:rPr>
          <w:sz w:val="18"/>
          <w:szCs w:val="18"/>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2" w:history="1">
        <w:r w:rsidRPr="00CF3FB0">
          <w:rPr>
            <w:rStyle w:val="Hyperlink"/>
            <w:sz w:val="18"/>
            <w:szCs w:val="18"/>
          </w:rPr>
          <w:t>creativecommons.org/licenses/by/3.0/au/deed.en</w:t>
        </w:r>
      </w:hyperlink>
      <w:r w:rsidRPr="00CF3FB0">
        <w:rPr>
          <w:sz w:val="18"/>
          <w:szCs w:val="18"/>
        </w:rPr>
        <w:t xml:space="preserve">. The full licence terms are available from </w:t>
      </w:r>
      <w:hyperlink r:id="rId13" w:history="1">
        <w:r w:rsidRPr="00CF3FB0">
          <w:rPr>
            <w:rStyle w:val="Hyperlink"/>
            <w:sz w:val="18"/>
            <w:szCs w:val="18"/>
          </w:rPr>
          <w:t>creativecommons.org/licenses/by/3.0/au/legalcode</w:t>
        </w:r>
      </w:hyperlink>
      <w:r w:rsidRPr="00CF3FB0">
        <w:rPr>
          <w:sz w:val="18"/>
          <w:szCs w:val="18"/>
        </w:rPr>
        <w:t>.</w:t>
      </w:r>
    </w:p>
    <w:p w14:paraId="0563D5DE" w14:textId="77777777" w:rsidR="00164202" w:rsidRPr="00CF3FB0" w:rsidRDefault="00164202" w:rsidP="00CF3FB0">
      <w:pPr>
        <w:rPr>
          <w:sz w:val="18"/>
          <w:szCs w:val="18"/>
        </w:rPr>
      </w:pPr>
      <w:r w:rsidRPr="00CF3FB0">
        <w:rPr>
          <w:sz w:val="18"/>
          <w:szCs w:val="18"/>
        </w:rPr>
        <w:t xml:space="preserve">Inquiries about the licence and any use of this document should be sent to </w:t>
      </w:r>
      <w:hyperlink r:id="rId14" w:history="1">
        <w:r w:rsidR="007C7874" w:rsidRPr="00CF3FB0">
          <w:rPr>
            <w:rStyle w:val="Hyperlink"/>
            <w:sz w:val="18"/>
            <w:szCs w:val="18"/>
          </w:rPr>
          <w:t>copyright@agriculture.gov.au</w:t>
        </w:r>
      </w:hyperlink>
      <w:r w:rsidRPr="00CF3FB0">
        <w:rPr>
          <w:sz w:val="18"/>
          <w:szCs w:val="18"/>
        </w:rPr>
        <w:t>.</w:t>
      </w:r>
    </w:p>
    <w:p w14:paraId="6210498A" w14:textId="77777777" w:rsidR="00810981" w:rsidRDefault="00810981" w:rsidP="00CF3FB0">
      <w:pPr>
        <w:spacing w:after="0"/>
        <w:rPr>
          <w:rStyle w:val="Strong"/>
          <w:sz w:val="18"/>
          <w:szCs w:val="18"/>
        </w:rPr>
      </w:pPr>
      <w:r w:rsidRPr="00CF3FB0">
        <w:rPr>
          <w:rStyle w:val="Strong"/>
          <w:sz w:val="18"/>
          <w:szCs w:val="18"/>
        </w:rPr>
        <w:t>Cataloguing data</w:t>
      </w:r>
    </w:p>
    <w:p w14:paraId="4D916924" w14:textId="5A67E03E" w:rsidR="003352D4" w:rsidRPr="00E129C5" w:rsidRDefault="003352D4" w:rsidP="00CF3FB0">
      <w:pPr>
        <w:spacing w:after="0"/>
        <w:rPr>
          <w:rStyle w:val="Strong"/>
          <w:sz w:val="18"/>
          <w:szCs w:val="18"/>
        </w:rPr>
      </w:pPr>
      <w:r w:rsidRPr="003352D4">
        <w:rPr>
          <w:rStyle w:val="Strong"/>
          <w:b w:val="0"/>
          <w:sz w:val="18"/>
          <w:szCs w:val="18"/>
        </w:rPr>
        <w:t>Craik, W, Palm</w:t>
      </w:r>
      <w:r w:rsidR="005804EA">
        <w:rPr>
          <w:rStyle w:val="Strong"/>
          <w:b w:val="0"/>
          <w:sz w:val="18"/>
          <w:szCs w:val="18"/>
        </w:rPr>
        <w:t xml:space="preserve">er, D &amp; </w:t>
      </w:r>
      <w:r w:rsidRPr="003352D4">
        <w:rPr>
          <w:rStyle w:val="Strong"/>
          <w:b w:val="0"/>
          <w:sz w:val="18"/>
          <w:szCs w:val="18"/>
        </w:rPr>
        <w:t>Sheldrake, R 2017,</w:t>
      </w:r>
      <w:r>
        <w:rPr>
          <w:rStyle w:val="Strong"/>
          <w:sz w:val="18"/>
          <w:szCs w:val="18"/>
        </w:rPr>
        <w:t xml:space="preserve"> </w:t>
      </w:r>
      <w:r w:rsidRPr="003352D4">
        <w:rPr>
          <w:i/>
          <w:sz w:val="18"/>
          <w:szCs w:val="18"/>
        </w:rPr>
        <w:t>Priorities for Australia’s biosecurity system</w:t>
      </w:r>
      <w:r w:rsidR="00E129C5">
        <w:rPr>
          <w:i/>
          <w:sz w:val="18"/>
          <w:szCs w:val="18"/>
        </w:rPr>
        <w:t xml:space="preserve">, </w:t>
      </w:r>
      <w:r w:rsidR="00E129C5" w:rsidRPr="00E129C5">
        <w:rPr>
          <w:sz w:val="18"/>
          <w:szCs w:val="18"/>
        </w:rPr>
        <w:t xml:space="preserve">An independent review of the </w:t>
      </w:r>
      <w:r w:rsidR="00F13E8C">
        <w:rPr>
          <w:sz w:val="18"/>
          <w:szCs w:val="18"/>
        </w:rPr>
        <w:t xml:space="preserve">capacity of the </w:t>
      </w:r>
      <w:r w:rsidR="00E129C5" w:rsidRPr="00E129C5">
        <w:rPr>
          <w:sz w:val="18"/>
          <w:szCs w:val="18"/>
        </w:rPr>
        <w:t>national biosecurity system and its underpinning Intergovernmental Agreement</w:t>
      </w:r>
      <w:r w:rsidR="00E129C5">
        <w:rPr>
          <w:sz w:val="18"/>
          <w:szCs w:val="18"/>
        </w:rPr>
        <w:t>, Canberra.</w:t>
      </w:r>
    </w:p>
    <w:p w14:paraId="5E7B7513" w14:textId="77777777" w:rsidR="003352D4" w:rsidRPr="00CF3FB0" w:rsidRDefault="003352D4" w:rsidP="00CF3FB0">
      <w:pPr>
        <w:spacing w:after="0"/>
        <w:rPr>
          <w:rStyle w:val="Strong"/>
          <w:sz w:val="18"/>
          <w:szCs w:val="18"/>
        </w:rPr>
      </w:pPr>
    </w:p>
    <w:p w14:paraId="37167E3E" w14:textId="77777777" w:rsidR="0092428A" w:rsidRPr="0092428A" w:rsidRDefault="003352D4" w:rsidP="00CF3FB0">
      <w:pPr>
        <w:spacing w:after="0"/>
        <w:rPr>
          <w:sz w:val="18"/>
          <w:szCs w:val="18"/>
        </w:rPr>
      </w:pPr>
      <w:r w:rsidRPr="0092428A">
        <w:rPr>
          <w:sz w:val="18"/>
          <w:szCs w:val="18"/>
        </w:rPr>
        <w:t>ISBN</w:t>
      </w:r>
      <w:r w:rsidR="0092428A" w:rsidRPr="0092428A">
        <w:rPr>
          <w:sz w:val="18"/>
          <w:szCs w:val="18"/>
        </w:rPr>
        <w:t>: 978-1-76003-130-5 (print)</w:t>
      </w:r>
    </w:p>
    <w:p w14:paraId="0D031500" w14:textId="50BBFB60" w:rsidR="00545A83" w:rsidRPr="0092428A" w:rsidRDefault="0092428A" w:rsidP="00CF3FB0">
      <w:pPr>
        <w:spacing w:after="0"/>
        <w:rPr>
          <w:sz w:val="18"/>
          <w:szCs w:val="18"/>
        </w:rPr>
      </w:pPr>
      <w:r w:rsidRPr="0092428A">
        <w:rPr>
          <w:sz w:val="18"/>
          <w:szCs w:val="18"/>
        </w:rPr>
        <w:t>ISBN: 978-1-76003-131-2 (online)</w:t>
      </w:r>
    </w:p>
    <w:p w14:paraId="2B2C84FD" w14:textId="77777777" w:rsidR="003352D4" w:rsidRDefault="003352D4" w:rsidP="00CF3FB0">
      <w:pPr>
        <w:spacing w:after="0"/>
        <w:rPr>
          <w:b/>
          <w:sz w:val="18"/>
          <w:szCs w:val="18"/>
        </w:rPr>
      </w:pPr>
    </w:p>
    <w:p w14:paraId="65F6A637" w14:textId="42CBADCF" w:rsidR="003352D4" w:rsidRDefault="003352D4" w:rsidP="00CF3FB0">
      <w:pPr>
        <w:spacing w:after="0"/>
        <w:rPr>
          <w:b/>
          <w:sz w:val="18"/>
          <w:szCs w:val="18"/>
        </w:rPr>
      </w:pPr>
      <w:r>
        <w:rPr>
          <w:b/>
          <w:sz w:val="18"/>
          <w:szCs w:val="18"/>
        </w:rPr>
        <w:t>Internet</w:t>
      </w:r>
    </w:p>
    <w:p w14:paraId="1F9FB938" w14:textId="77777777" w:rsidR="003352D4" w:rsidRPr="00CF3FB0" w:rsidRDefault="003352D4" w:rsidP="003352D4">
      <w:pPr>
        <w:rPr>
          <w:sz w:val="18"/>
          <w:szCs w:val="18"/>
        </w:rPr>
      </w:pPr>
      <w:r w:rsidRPr="003352D4">
        <w:rPr>
          <w:i/>
          <w:sz w:val="18"/>
          <w:szCs w:val="18"/>
        </w:rPr>
        <w:t>Priorities for Australia’s biosecurity system</w:t>
      </w:r>
      <w:r>
        <w:rPr>
          <w:sz w:val="18"/>
          <w:szCs w:val="18"/>
        </w:rPr>
        <w:t xml:space="preserve"> </w:t>
      </w:r>
      <w:r w:rsidRPr="00CF3FB0">
        <w:rPr>
          <w:sz w:val="18"/>
          <w:szCs w:val="18"/>
        </w:rPr>
        <w:t xml:space="preserve">is available at </w:t>
      </w:r>
      <w:hyperlink r:id="rId15" w:history="1">
        <w:r>
          <w:rPr>
            <w:rStyle w:val="Hyperlink"/>
            <w:sz w:val="18"/>
            <w:szCs w:val="18"/>
          </w:rPr>
          <w:t>agriculture.gov.au/igabreview</w:t>
        </w:r>
      </w:hyperlink>
      <w:r w:rsidRPr="00CF3FB0">
        <w:rPr>
          <w:sz w:val="18"/>
          <w:szCs w:val="18"/>
        </w:rPr>
        <w:t>.</w:t>
      </w:r>
    </w:p>
    <w:p w14:paraId="6C211DBD" w14:textId="77777777" w:rsidR="00BF7646" w:rsidRPr="00BF7646" w:rsidRDefault="00BF7646" w:rsidP="00CF3FB0">
      <w:pPr>
        <w:spacing w:after="0"/>
        <w:rPr>
          <w:b/>
          <w:sz w:val="18"/>
          <w:szCs w:val="18"/>
        </w:rPr>
      </w:pPr>
      <w:r w:rsidRPr="00BF7646">
        <w:rPr>
          <w:b/>
          <w:sz w:val="18"/>
          <w:szCs w:val="18"/>
        </w:rPr>
        <w:t>Contact</w:t>
      </w:r>
    </w:p>
    <w:p w14:paraId="4D7ECF0D" w14:textId="77777777" w:rsidR="00AF2D57" w:rsidRPr="00CF3FB0" w:rsidRDefault="00164202" w:rsidP="00CF3FB0">
      <w:pPr>
        <w:spacing w:after="0"/>
        <w:rPr>
          <w:sz w:val="18"/>
          <w:szCs w:val="18"/>
        </w:rPr>
      </w:pPr>
      <w:r w:rsidRPr="00CF3FB0">
        <w:rPr>
          <w:sz w:val="18"/>
          <w:szCs w:val="18"/>
        </w:rPr>
        <w:t>Department of Agriculture</w:t>
      </w:r>
      <w:r w:rsidR="00EC68D7" w:rsidRPr="00CF3FB0">
        <w:rPr>
          <w:sz w:val="18"/>
          <w:szCs w:val="18"/>
        </w:rPr>
        <w:t xml:space="preserve"> and Water Resources</w:t>
      </w:r>
    </w:p>
    <w:p w14:paraId="14D9F513" w14:textId="77777777" w:rsidR="00AF2D57" w:rsidRPr="00CF3FB0" w:rsidRDefault="00AF2D57" w:rsidP="00CF3FB0">
      <w:pPr>
        <w:spacing w:after="0"/>
        <w:rPr>
          <w:sz w:val="18"/>
          <w:szCs w:val="18"/>
        </w:rPr>
      </w:pPr>
      <w:r w:rsidRPr="00CF3FB0">
        <w:rPr>
          <w:sz w:val="18"/>
          <w:szCs w:val="18"/>
        </w:rPr>
        <w:t xml:space="preserve">Postal address GPO Box </w:t>
      </w:r>
      <w:r w:rsidR="00164202" w:rsidRPr="00CF3FB0">
        <w:rPr>
          <w:sz w:val="18"/>
          <w:szCs w:val="18"/>
        </w:rPr>
        <w:t>858</w:t>
      </w:r>
      <w:r w:rsidRPr="00CF3FB0">
        <w:rPr>
          <w:sz w:val="18"/>
          <w:szCs w:val="18"/>
        </w:rPr>
        <w:t xml:space="preserve"> Canberra ACT 2601</w:t>
      </w:r>
    </w:p>
    <w:p w14:paraId="089B9B18" w14:textId="77777777" w:rsidR="00AF2D57" w:rsidRPr="00CF3FB0" w:rsidRDefault="003537FB" w:rsidP="00CF3FB0">
      <w:pPr>
        <w:spacing w:after="0"/>
        <w:rPr>
          <w:sz w:val="18"/>
          <w:szCs w:val="18"/>
        </w:rPr>
      </w:pPr>
      <w:r w:rsidRPr="00CF3FB0">
        <w:rPr>
          <w:sz w:val="18"/>
          <w:szCs w:val="18"/>
        </w:rPr>
        <w:t>Telephone 1800 900 090</w:t>
      </w:r>
    </w:p>
    <w:p w14:paraId="54999C3E" w14:textId="77777777" w:rsidR="00AF2D57" w:rsidRPr="00CF3FB0" w:rsidRDefault="00164202" w:rsidP="00CF3FB0">
      <w:pPr>
        <w:spacing w:after="120"/>
        <w:rPr>
          <w:sz w:val="18"/>
          <w:szCs w:val="18"/>
        </w:rPr>
      </w:pPr>
      <w:r w:rsidRPr="00CF3FB0">
        <w:rPr>
          <w:sz w:val="18"/>
          <w:szCs w:val="18"/>
        </w:rPr>
        <w:t xml:space="preserve">Web </w:t>
      </w:r>
      <w:hyperlink r:id="rId16" w:history="1">
        <w:r w:rsidR="007C7874" w:rsidRPr="00CF3FB0">
          <w:rPr>
            <w:rStyle w:val="Hyperlink"/>
            <w:sz w:val="18"/>
            <w:szCs w:val="18"/>
          </w:rPr>
          <w:t>agriculture.gov.au</w:t>
        </w:r>
      </w:hyperlink>
    </w:p>
    <w:p w14:paraId="7AEFC0AD" w14:textId="24C94250" w:rsidR="004F7364" w:rsidRDefault="00BF7646" w:rsidP="00CF3FB0">
      <w:pPr>
        <w:rPr>
          <w:sz w:val="18"/>
          <w:szCs w:val="18"/>
        </w:rPr>
      </w:pPr>
      <w:r w:rsidRPr="00BF7646">
        <w:rPr>
          <w:sz w:val="18"/>
          <w:szCs w:val="18"/>
        </w:rPr>
        <w:t xml:space="preserve">The views expressed </w:t>
      </w:r>
      <w:r w:rsidRPr="00FF6235">
        <w:rPr>
          <w:sz w:val="18"/>
          <w:szCs w:val="18"/>
        </w:rPr>
        <w:t xml:space="preserve">in this </w:t>
      </w:r>
      <w:r w:rsidR="00FF6235">
        <w:rPr>
          <w:sz w:val="18"/>
          <w:szCs w:val="18"/>
        </w:rPr>
        <w:t>r</w:t>
      </w:r>
      <w:r w:rsidR="00EF0EC2" w:rsidRPr="00FF6235">
        <w:rPr>
          <w:sz w:val="18"/>
          <w:szCs w:val="18"/>
        </w:rPr>
        <w:t>eport</w:t>
      </w:r>
      <w:r w:rsidRPr="00FF6235">
        <w:rPr>
          <w:sz w:val="18"/>
          <w:szCs w:val="18"/>
        </w:rPr>
        <w:t xml:space="preserve"> do</w:t>
      </w:r>
      <w:r w:rsidRPr="00BF7646">
        <w:rPr>
          <w:sz w:val="18"/>
          <w:szCs w:val="18"/>
        </w:rPr>
        <w:t xml:space="preserve"> not represent the views of the Australian Government. The Australian Government—including the Department of Agriculture and Water Resources, their employees and advisers—and the </w:t>
      </w:r>
      <w:r w:rsidR="002314F6">
        <w:rPr>
          <w:sz w:val="18"/>
          <w:szCs w:val="18"/>
        </w:rPr>
        <w:t>r</w:t>
      </w:r>
      <w:r w:rsidR="0005647E">
        <w:rPr>
          <w:sz w:val="18"/>
          <w:szCs w:val="18"/>
        </w:rPr>
        <w:t xml:space="preserve">eview </w:t>
      </w:r>
      <w:r w:rsidR="002314F6">
        <w:rPr>
          <w:sz w:val="18"/>
          <w:szCs w:val="18"/>
        </w:rPr>
        <w:t>p</w:t>
      </w:r>
      <w:r w:rsidRPr="00BF7646">
        <w:rPr>
          <w:sz w:val="18"/>
          <w:szCs w:val="18"/>
        </w:rPr>
        <w:t xml:space="preserve">anel members disclaim all liability, including liability for negligence and for any loss, damage, injury, expense or cost incurred by any person as a result of accessing, using or relying upon </w:t>
      </w:r>
      <w:r w:rsidR="00EF0EC2">
        <w:rPr>
          <w:sz w:val="18"/>
          <w:szCs w:val="18"/>
        </w:rPr>
        <w:t xml:space="preserve">any of the information in </w:t>
      </w:r>
      <w:r w:rsidR="00EF0EC2" w:rsidRPr="00FF6235">
        <w:rPr>
          <w:sz w:val="18"/>
          <w:szCs w:val="18"/>
        </w:rPr>
        <w:t xml:space="preserve">this </w:t>
      </w:r>
      <w:r w:rsidR="00FF6235">
        <w:rPr>
          <w:sz w:val="18"/>
          <w:szCs w:val="18"/>
        </w:rPr>
        <w:t>r</w:t>
      </w:r>
      <w:r w:rsidR="00EF0EC2" w:rsidRPr="00FF6235">
        <w:rPr>
          <w:sz w:val="18"/>
          <w:szCs w:val="18"/>
        </w:rPr>
        <w:t>eport</w:t>
      </w:r>
      <w:r w:rsidRPr="00BF7646">
        <w:rPr>
          <w:sz w:val="18"/>
          <w:szCs w:val="18"/>
        </w:rPr>
        <w:t xml:space="preserve"> to the maximum extent permitted by law.</w:t>
      </w:r>
    </w:p>
    <w:p w14:paraId="762B1B99" w14:textId="29E1ED13" w:rsidR="00BA0BB6" w:rsidRDefault="004150D6" w:rsidP="00CC0B2F">
      <w:pPr>
        <w:pStyle w:val="Heading2"/>
        <w:numPr>
          <w:ilvl w:val="0"/>
          <w:numId w:val="0"/>
        </w:numPr>
        <w:ind w:left="720" w:hanging="720"/>
      </w:pPr>
      <w:bookmarkStart w:id="0" w:name="_Toc486236018"/>
      <w:bookmarkStart w:id="1" w:name="_Toc430782148"/>
      <w:bookmarkStart w:id="2" w:name="_Toc454439248"/>
      <w:r>
        <w:lastRenderedPageBreak/>
        <w:t>Letter of transmittal</w:t>
      </w:r>
      <w:bookmarkEnd w:id="0"/>
    </w:p>
    <w:p w14:paraId="02B46C3D" w14:textId="6C1A158D" w:rsidR="00CC566C" w:rsidRPr="00CB7152" w:rsidRDefault="00CC566C" w:rsidP="00E94CF8">
      <w:pPr>
        <w:rPr>
          <w:bCs/>
        </w:rPr>
      </w:pPr>
      <w:r w:rsidRPr="00A80CFE">
        <w:t>Agriculture Ministers’ Forum</w:t>
      </w:r>
    </w:p>
    <w:p w14:paraId="5EA90EEA" w14:textId="54D1EAD1" w:rsidR="00CC566C" w:rsidRPr="00CB7152" w:rsidRDefault="00CC566C" w:rsidP="00A12A8F">
      <w:pPr>
        <w:rPr>
          <w:bCs/>
        </w:rPr>
      </w:pPr>
      <w:r w:rsidRPr="005706E5">
        <w:t xml:space="preserve">Dear </w:t>
      </w:r>
      <w:r w:rsidRPr="00CB7152">
        <w:rPr>
          <w:bCs/>
        </w:rPr>
        <w:t>Minister</w:t>
      </w:r>
      <w:r w:rsidR="001271A6">
        <w:rPr>
          <w:bCs/>
        </w:rPr>
        <w:t>s</w:t>
      </w:r>
    </w:p>
    <w:p w14:paraId="16AE0E0A" w14:textId="01A54C3D" w:rsidR="00CC566C" w:rsidRPr="00CB7152" w:rsidRDefault="00CC566C" w:rsidP="00E94CF8">
      <w:r w:rsidRPr="00CB7152">
        <w:t xml:space="preserve">In </w:t>
      </w:r>
      <w:r w:rsidRPr="00E94CF8">
        <w:t xml:space="preserve">accordance with the </w:t>
      </w:r>
      <w:r w:rsidR="002314F6">
        <w:t>r</w:t>
      </w:r>
      <w:r w:rsidRPr="00E94CF8">
        <w:t xml:space="preserve">eview’s </w:t>
      </w:r>
      <w:r w:rsidR="002314F6">
        <w:t>t</w:t>
      </w:r>
      <w:r w:rsidRPr="00E94CF8">
        <w:t xml:space="preserve">erms of </w:t>
      </w:r>
      <w:r w:rsidR="002314F6">
        <w:t>r</w:t>
      </w:r>
      <w:r w:rsidRPr="00E94CF8">
        <w:t>eference, we are pleased to present to members of the Agriculture Ministers’</w:t>
      </w:r>
      <w:r w:rsidRPr="00CB7152">
        <w:t xml:space="preserve"> </w:t>
      </w:r>
      <w:r w:rsidRPr="001A6111">
        <w:t>Forum</w:t>
      </w:r>
      <w:r w:rsidRPr="001A6111">
        <w:rPr>
          <w:i/>
        </w:rPr>
        <w:t xml:space="preserve"> Priorities for Australia’s </w:t>
      </w:r>
      <w:r w:rsidR="00AC1E7E" w:rsidRPr="001A6111">
        <w:rPr>
          <w:i/>
        </w:rPr>
        <w:t>b</w:t>
      </w:r>
      <w:r w:rsidRPr="001A6111">
        <w:rPr>
          <w:i/>
        </w:rPr>
        <w:t xml:space="preserve">iosecurity </w:t>
      </w:r>
      <w:r w:rsidR="00AC1E7E" w:rsidRPr="001A6111">
        <w:rPr>
          <w:i/>
        </w:rPr>
        <w:t>s</w:t>
      </w:r>
      <w:r w:rsidRPr="001A6111">
        <w:rPr>
          <w:i/>
        </w:rPr>
        <w:t>ystem</w:t>
      </w:r>
      <w:r w:rsidRPr="001A6111">
        <w:t>, the</w:t>
      </w:r>
      <w:r w:rsidRPr="00CB7152">
        <w:t xml:space="preserve"> final report of the independent review of the capacity of Australia’s biosecurity system and the underpinning Intergovernmental Agreement </w:t>
      </w:r>
      <w:r w:rsidRPr="00E94CF8">
        <w:t>on Biosecurity</w:t>
      </w:r>
      <w:r w:rsidRPr="00CB7152">
        <w:t xml:space="preserve"> (IGAB). While this report fulfils the commitment within the IGAB for a review of the agreement within five years, the report also explicitly addresses a range of issues pertinent to the broader national system, as provided for by the </w:t>
      </w:r>
      <w:r w:rsidR="00700033">
        <w:t>t</w:t>
      </w:r>
      <w:r w:rsidRPr="00CB7152">
        <w:t xml:space="preserve">erms of </w:t>
      </w:r>
      <w:r w:rsidR="00700033">
        <w:t>r</w:t>
      </w:r>
      <w:r w:rsidRPr="00CB7152">
        <w:t>eference.</w:t>
      </w:r>
    </w:p>
    <w:p w14:paraId="2E5D56BF" w14:textId="77777777" w:rsidR="00CC566C" w:rsidRPr="00CB7152" w:rsidRDefault="00CC566C" w:rsidP="00E94CF8">
      <w:r w:rsidRPr="00CB7152">
        <w:t>Australia’s biosecurity system is an essential national asset—its strength and effectiveness are paramount. This report provides findings, recommendations and advice on the priorities we believe will ensure an effective national system into the future. We strongly believe that adoption of the report’s recommendations will assist all governments—in partnership with other major system participants—to be better prepared for the significant, current and impending biosecurity challenges, including those brought about by the changing global biosecurity environment.</w:t>
      </w:r>
    </w:p>
    <w:p w14:paraId="4DD5B14E" w14:textId="3D6A7D74" w:rsidR="00CC566C" w:rsidRPr="00CB7152" w:rsidRDefault="00CC566C" w:rsidP="00E94CF8">
      <w:r w:rsidRPr="00CB7152">
        <w:t>The IGAB has provided a significant foundation for further developing the national biosecurity system and the intergovernmental cooperation and relationships that underpin it. Nevertheless, this review has recommended changes for a refreshed intergovernmental agreement, including those which reflect the strengthened relationships and build on the substantial achievements since its first signing.</w:t>
      </w:r>
    </w:p>
    <w:p w14:paraId="19FFE7F6" w14:textId="77777777" w:rsidR="00CC566C" w:rsidRPr="00CB7152" w:rsidRDefault="00CC566C" w:rsidP="00E94CF8">
      <w:r w:rsidRPr="00CB7152">
        <w:t>Separately, we have identified changes that would better reflect and acknowledge the critical roles of the many non-government stakeholders across the national system. There is ample opportunity for industries, community groups and others to realise a level of cooperation and relationship maturity comparable to that achieved by governments in recent years.</w:t>
      </w:r>
    </w:p>
    <w:p w14:paraId="09728E0E" w14:textId="395B94F2" w:rsidR="00CC566C" w:rsidRPr="00CB7152" w:rsidRDefault="00CC566C" w:rsidP="00E94CF8">
      <w:r w:rsidRPr="00CB7152">
        <w:t xml:space="preserve">We commend governments’ willingness to review Australia’s biosecurity system and expose it to independent scrutiny. Regular periodic review is necessary to safeguard the national system, maintain confidence in its effectiveness and ensure its continuous </w:t>
      </w:r>
      <w:r w:rsidR="001271A6">
        <w:t>improvement</w:t>
      </w:r>
      <w:r w:rsidRPr="00CB7152">
        <w:t>.</w:t>
      </w:r>
    </w:p>
    <w:p w14:paraId="0AC05FB8" w14:textId="77777777" w:rsidR="00CC566C" w:rsidRPr="00CB7152" w:rsidRDefault="00CC566C" w:rsidP="00E94CF8">
      <w:r w:rsidRPr="00CB7152">
        <w:lastRenderedPageBreak/>
        <w:t>We record our appreciation for the efforts of many individuals, organisations and governments, and the considerable time and resources given to assist the review, including the provision of input, advice, research and written submissions, which have given the final report greater relevance and grounding.</w:t>
      </w:r>
    </w:p>
    <w:p w14:paraId="1124C4E7" w14:textId="77777777" w:rsidR="00CC566C" w:rsidRPr="00A12A8F" w:rsidRDefault="00CC566C" w:rsidP="00E94CF8">
      <w:r w:rsidRPr="00A12A8F">
        <w:t>Yours sincerely</w:t>
      </w:r>
    </w:p>
    <w:p w14:paraId="4AA28817" w14:textId="58B6AC8F" w:rsidR="00CC566C" w:rsidRPr="00A12A8F" w:rsidRDefault="00CC566C" w:rsidP="00E94CF8">
      <w:r w:rsidRPr="00A12A8F">
        <w:t>Wendy Craik AM (Chair)</w:t>
      </w:r>
      <w:r w:rsidR="001271A6">
        <w:t xml:space="preserve">, </w:t>
      </w:r>
      <w:r w:rsidRPr="00A12A8F">
        <w:t>David Palmer</w:t>
      </w:r>
      <w:r w:rsidR="001271A6">
        <w:t xml:space="preserve"> and </w:t>
      </w:r>
      <w:r w:rsidRPr="00A12A8F">
        <w:t>Richard Sheldrake AM</w:t>
      </w:r>
    </w:p>
    <w:p w14:paraId="6C9E61D3" w14:textId="6E926344" w:rsidR="00BA0BB6" w:rsidRDefault="004150D6" w:rsidP="00CC5FD3">
      <w:pPr>
        <w:pStyle w:val="Heading2"/>
        <w:numPr>
          <w:ilvl w:val="0"/>
          <w:numId w:val="0"/>
        </w:numPr>
        <w:ind w:left="720" w:hanging="720"/>
      </w:pPr>
      <w:bookmarkStart w:id="3" w:name="_Toc486236019"/>
      <w:r>
        <w:lastRenderedPageBreak/>
        <w:t>Acknowledgements</w:t>
      </w:r>
      <w:bookmarkEnd w:id="1"/>
      <w:bookmarkEnd w:id="2"/>
      <w:bookmarkEnd w:id="3"/>
    </w:p>
    <w:p w14:paraId="06FB31AB" w14:textId="1A504DAB" w:rsidR="00CC566C" w:rsidRPr="00A14FA0" w:rsidRDefault="00CC566C" w:rsidP="00CC566C">
      <w:r>
        <w:t xml:space="preserve">The </w:t>
      </w:r>
      <w:r w:rsidR="00E10653">
        <w:t>p</w:t>
      </w:r>
      <w:r>
        <w:t xml:space="preserve">anel thanks the many stakeholders </w:t>
      </w:r>
      <w:r w:rsidRPr="00A227EB">
        <w:t xml:space="preserve">who </w:t>
      </w:r>
      <w:r>
        <w:t xml:space="preserve">contributed to the review, especially those who gave their time to make written </w:t>
      </w:r>
      <w:r w:rsidRPr="00A227EB">
        <w:t>submissions, participate in meeting</w:t>
      </w:r>
      <w:r>
        <w:t>s during national consultation and other targeted discussions</w:t>
      </w:r>
      <w:r w:rsidRPr="00A227EB">
        <w:t>, or assist with research</w:t>
      </w:r>
      <w:r>
        <w:t xml:space="preserve"> and advice. </w:t>
      </w:r>
      <w:r w:rsidRPr="00A14FA0">
        <w:t xml:space="preserve">This includes representatives from the Australian, state and territory governments, </w:t>
      </w:r>
      <w:r>
        <w:t xml:space="preserve">the New Zealand Government, </w:t>
      </w:r>
      <w:r w:rsidRPr="00A14FA0">
        <w:t>peak industry and community groups, researchers, businesses and other individuals. These contributions have proven valuable in providing us with a diverse range of views and insights into the issues we were requested to consider.</w:t>
      </w:r>
    </w:p>
    <w:p w14:paraId="6DAD301B" w14:textId="12E3170D" w:rsidR="00CC566C" w:rsidRDefault="00CC566C" w:rsidP="00CC566C">
      <w:r>
        <w:t xml:space="preserve">The </w:t>
      </w:r>
      <w:r w:rsidR="00E10653">
        <w:t>p</w:t>
      </w:r>
      <w:r>
        <w:t xml:space="preserve">anel acknowledges the professional support of the </w:t>
      </w:r>
      <w:r w:rsidR="00E10653">
        <w:t>r</w:t>
      </w:r>
      <w:r>
        <w:t xml:space="preserve">eview </w:t>
      </w:r>
      <w:r w:rsidR="00E10653">
        <w:t>s</w:t>
      </w:r>
      <w:r>
        <w:t xml:space="preserve">ecretariat from the </w:t>
      </w:r>
      <w:r w:rsidRPr="00A14FA0">
        <w:t>Australian Government Department of Agriculture and Water Resources</w:t>
      </w:r>
      <w:r>
        <w:t xml:space="preserve">. The secretariat supported the </w:t>
      </w:r>
      <w:r w:rsidR="00E10653">
        <w:t>p</w:t>
      </w:r>
      <w:r>
        <w:t xml:space="preserve">anel in drafting, </w:t>
      </w:r>
      <w:r w:rsidRPr="00D2058D">
        <w:t>reviewing submissions, conductin</w:t>
      </w:r>
      <w:r>
        <w:t>g additional research, liaising with stakeholders</w:t>
      </w:r>
      <w:r w:rsidRPr="00D2058D">
        <w:t xml:space="preserve">, arranging </w:t>
      </w:r>
      <w:r>
        <w:t xml:space="preserve">travel and meeting </w:t>
      </w:r>
      <w:r w:rsidRPr="00D2058D">
        <w:t>logistics, and more</w:t>
      </w:r>
      <w:r>
        <w:t xml:space="preserve">. Primary members of the secretariat were Barbara Jones, Timothy Robertson, Jason Bakonji, Glenn McMellon, Teal Petri and Gloria </w:t>
      </w:r>
      <w:r w:rsidRPr="00507EA2">
        <w:t>Pantano</w:t>
      </w:r>
      <w:r>
        <w:t xml:space="preserve">; other departmental officers undertook specific tasks for the review. </w:t>
      </w:r>
      <w:r w:rsidRPr="004D3617">
        <w:t xml:space="preserve">In particular, the </w:t>
      </w:r>
      <w:r w:rsidR="00052EA0">
        <w:t>p</w:t>
      </w:r>
      <w:r w:rsidRPr="004D3617">
        <w:t>anel would like to express its considerable gratitude to Barbara Jones</w:t>
      </w:r>
      <w:r w:rsidR="00052EA0">
        <w:t>,</w:t>
      </w:r>
      <w:r w:rsidRPr="004D3617">
        <w:t xml:space="preserve"> whose </w:t>
      </w:r>
      <w:r w:rsidR="001271A6">
        <w:t xml:space="preserve">perceptive and thoughtful </w:t>
      </w:r>
      <w:r w:rsidRPr="004D3617">
        <w:t xml:space="preserve">leadership of the </w:t>
      </w:r>
      <w:r w:rsidR="00052EA0">
        <w:t>s</w:t>
      </w:r>
      <w:r w:rsidRPr="004D3617">
        <w:t>ecretariat added significantly to the quality and depth of analysis and conclusions.</w:t>
      </w:r>
    </w:p>
    <w:p w14:paraId="0E239AED" w14:textId="3FC441CE" w:rsidR="00CC566C" w:rsidRDefault="00CC566C" w:rsidP="00CC566C">
      <w:r>
        <w:t xml:space="preserve">The </w:t>
      </w:r>
      <w:r w:rsidR="00052EA0">
        <w:t>p</w:t>
      </w:r>
      <w:r>
        <w:t xml:space="preserve">anel also appreciates the contributions made by Mr Russell Phillips and two independent reviewers who assisted the </w:t>
      </w:r>
      <w:r w:rsidR="00EB62D6">
        <w:t>p</w:t>
      </w:r>
      <w:r>
        <w:t>anel with their views and feedback on our draft and final reports.</w:t>
      </w:r>
    </w:p>
    <w:p w14:paraId="4899772C" w14:textId="7D198A05" w:rsidR="00B94D70" w:rsidRPr="002D2085" w:rsidRDefault="00FB69D8" w:rsidP="002D2085">
      <w:r w:rsidRPr="00FB69D8">
        <w:rPr>
          <w:lang w:eastAsia="ja-JP"/>
        </w:rPr>
        <w:t>The panel unanimously supports all of its recommendations and takes full responsibility for the views expressed.</w:t>
      </w:r>
      <w:r w:rsidR="00B94D70">
        <w:rPr>
          <w:color w:val="FF0000"/>
        </w:rPr>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53CED027" w14:textId="581E0344" w:rsidR="00A50834" w:rsidRPr="00C163B2" w:rsidRDefault="00A50834">
          <w:pPr>
            <w:pStyle w:val="TOCHeading"/>
            <w:rPr>
              <w:rStyle w:val="Heading2Char"/>
            </w:rPr>
          </w:pPr>
          <w:r w:rsidRPr="00C163B2">
            <w:rPr>
              <w:rStyle w:val="Heading2Char"/>
            </w:rPr>
            <w:t>Contents</w:t>
          </w:r>
        </w:p>
        <w:p w14:paraId="02761A12" w14:textId="77777777" w:rsidR="004A27FF" w:rsidRDefault="002A3865">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486236018" w:history="1">
            <w:r w:rsidR="004A27FF" w:rsidRPr="00A663B9">
              <w:rPr>
                <w:rStyle w:val="Hyperlink"/>
              </w:rPr>
              <w:t>Letter of transmittal</w:t>
            </w:r>
            <w:r w:rsidR="004A27FF">
              <w:rPr>
                <w:webHidden/>
              </w:rPr>
              <w:tab/>
            </w:r>
            <w:r w:rsidR="004A27FF">
              <w:rPr>
                <w:webHidden/>
              </w:rPr>
              <w:fldChar w:fldCharType="begin"/>
            </w:r>
            <w:r w:rsidR="004A27FF">
              <w:rPr>
                <w:webHidden/>
              </w:rPr>
              <w:instrText xml:space="preserve"> PAGEREF _Toc486236018 \h </w:instrText>
            </w:r>
            <w:r w:rsidR="004A27FF">
              <w:rPr>
                <w:webHidden/>
              </w:rPr>
            </w:r>
            <w:r w:rsidR="004A27FF">
              <w:rPr>
                <w:webHidden/>
              </w:rPr>
              <w:fldChar w:fldCharType="separate"/>
            </w:r>
            <w:r w:rsidR="004A27FF">
              <w:rPr>
                <w:webHidden/>
              </w:rPr>
              <w:t>iii</w:t>
            </w:r>
            <w:r w:rsidR="004A27FF">
              <w:rPr>
                <w:webHidden/>
              </w:rPr>
              <w:fldChar w:fldCharType="end"/>
            </w:r>
          </w:hyperlink>
        </w:p>
        <w:p w14:paraId="07D2D685" w14:textId="77777777" w:rsidR="004A27FF" w:rsidRDefault="00041132">
          <w:pPr>
            <w:pStyle w:val="TOC1"/>
            <w:rPr>
              <w:rFonts w:asciiTheme="minorHAnsi" w:eastAsiaTheme="minorEastAsia" w:hAnsiTheme="minorHAnsi"/>
              <w:b w:val="0"/>
              <w:lang w:eastAsia="en-AU"/>
            </w:rPr>
          </w:pPr>
          <w:hyperlink w:anchor="_Toc486236019" w:history="1">
            <w:r w:rsidR="004A27FF" w:rsidRPr="00A663B9">
              <w:rPr>
                <w:rStyle w:val="Hyperlink"/>
              </w:rPr>
              <w:t>Acknowledgements</w:t>
            </w:r>
            <w:r w:rsidR="004A27FF">
              <w:rPr>
                <w:webHidden/>
              </w:rPr>
              <w:tab/>
            </w:r>
            <w:r w:rsidR="004A27FF">
              <w:rPr>
                <w:webHidden/>
              </w:rPr>
              <w:fldChar w:fldCharType="begin"/>
            </w:r>
            <w:r w:rsidR="004A27FF">
              <w:rPr>
                <w:webHidden/>
              </w:rPr>
              <w:instrText xml:space="preserve"> PAGEREF _Toc486236019 \h </w:instrText>
            </w:r>
            <w:r w:rsidR="004A27FF">
              <w:rPr>
                <w:webHidden/>
              </w:rPr>
            </w:r>
            <w:r w:rsidR="004A27FF">
              <w:rPr>
                <w:webHidden/>
              </w:rPr>
              <w:fldChar w:fldCharType="separate"/>
            </w:r>
            <w:r w:rsidR="004A27FF">
              <w:rPr>
                <w:webHidden/>
              </w:rPr>
              <w:t>iv</w:t>
            </w:r>
            <w:r w:rsidR="004A27FF">
              <w:rPr>
                <w:webHidden/>
              </w:rPr>
              <w:fldChar w:fldCharType="end"/>
            </w:r>
          </w:hyperlink>
        </w:p>
        <w:p w14:paraId="3E7C65B7" w14:textId="77777777" w:rsidR="004A27FF" w:rsidRDefault="00041132">
          <w:pPr>
            <w:pStyle w:val="TOC1"/>
            <w:rPr>
              <w:rFonts w:asciiTheme="minorHAnsi" w:eastAsiaTheme="minorEastAsia" w:hAnsiTheme="minorHAnsi"/>
              <w:b w:val="0"/>
              <w:lang w:eastAsia="en-AU"/>
            </w:rPr>
          </w:pPr>
          <w:hyperlink w:anchor="_Toc486236020" w:history="1">
            <w:r w:rsidR="004A27FF" w:rsidRPr="00A663B9">
              <w:rPr>
                <w:rStyle w:val="Hyperlink"/>
              </w:rPr>
              <w:t>Summary</w:t>
            </w:r>
            <w:r w:rsidR="004A27FF">
              <w:rPr>
                <w:webHidden/>
              </w:rPr>
              <w:tab/>
            </w:r>
            <w:r w:rsidR="004A27FF">
              <w:rPr>
                <w:webHidden/>
              </w:rPr>
              <w:fldChar w:fldCharType="begin"/>
            </w:r>
            <w:r w:rsidR="004A27FF">
              <w:rPr>
                <w:webHidden/>
              </w:rPr>
              <w:instrText xml:space="preserve"> PAGEREF _Toc486236020 \h </w:instrText>
            </w:r>
            <w:r w:rsidR="004A27FF">
              <w:rPr>
                <w:webHidden/>
              </w:rPr>
            </w:r>
            <w:r w:rsidR="004A27FF">
              <w:rPr>
                <w:webHidden/>
              </w:rPr>
              <w:fldChar w:fldCharType="separate"/>
            </w:r>
            <w:r w:rsidR="004A27FF">
              <w:rPr>
                <w:webHidden/>
              </w:rPr>
              <w:t>vii</w:t>
            </w:r>
            <w:r w:rsidR="004A27FF">
              <w:rPr>
                <w:webHidden/>
              </w:rPr>
              <w:fldChar w:fldCharType="end"/>
            </w:r>
          </w:hyperlink>
        </w:p>
        <w:p w14:paraId="4556ED32" w14:textId="77777777" w:rsidR="004A27FF" w:rsidRDefault="00041132">
          <w:pPr>
            <w:pStyle w:val="TOC1"/>
            <w:rPr>
              <w:rFonts w:asciiTheme="minorHAnsi" w:eastAsiaTheme="minorEastAsia" w:hAnsiTheme="minorHAnsi"/>
              <w:b w:val="0"/>
              <w:lang w:eastAsia="en-AU"/>
            </w:rPr>
          </w:pPr>
          <w:hyperlink w:anchor="_Toc486236021" w:history="1">
            <w:r w:rsidR="004A27FF" w:rsidRPr="00A663B9">
              <w:rPr>
                <w:rStyle w:val="Hyperlink"/>
              </w:rPr>
              <w:t>Recommendations</w:t>
            </w:r>
            <w:r w:rsidR="004A27FF">
              <w:rPr>
                <w:webHidden/>
              </w:rPr>
              <w:tab/>
            </w:r>
            <w:r w:rsidR="004A27FF">
              <w:rPr>
                <w:webHidden/>
              </w:rPr>
              <w:fldChar w:fldCharType="begin"/>
            </w:r>
            <w:r w:rsidR="004A27FF">
              <w:rPr>
                <w:webHidden/>
              </w:rPr>
              <w:instrText xml:space="preserve"> PAGEREF _Toc486236021 \h </w:instrText>
            </w:r>
            <w:r w:rsidR="004A27FF">
              <w:rPr>
                <w:webHidden/>
              </w:rPr>
            </w:r>
            <w:r w:rsidR="004A27FF">
              <w:rPr>
                <w:webHidden/>
              </w:rPr>
              <w:fldChar w:fldCharType="separate"/>
            </w:r>
            <w:r w:rsidR="004A27FF">
              <w:rPr>
                <w:webHidden/>
              </w:rPr>
              <w:t>xi</w:t>
            </w:r>
            <w:r w:rsidR="004A27FF">
              <w:rPr>
                <w:webHidden/>
              </w:rPr>
              <w:fldChar w:fldCharType="end"/>
            </w:r>
          </w:hyperlink>
        </w:p>
        <w:p w14:paraId="32D66BE9" w14:textId="77777777" w:rsidR="004A27FF" w:rsidRDefault="00041132">
          <w:pPr>
            <w:pStyle w:val="TOC1"/>
            <w:rPr>
              <w:rFonts w:asciiTheme="minorHAnsi" w:eastAsiaTheme="minorEastAsia" w:hAnsiTheme="minorHAnsi"/>
              <w:b w:val="0"/>
              <w:lang w:eastAsia="en-AU"/>
            </w:rPr>
          </w:pPr>
          <w:hyperlink w:anchor="_Toc486236022" w:history="1">
            <w:r w:rsidR="004A27FF" w:rsidRPr="00A663B9">
              <w:rPr>
                <w:rStyle w:val="Hyperlink"/>
              </w:rPr>
              <w:t>Acronyms and abbreviations</w:t>
            </w:r>
            <w:r w:rsidR="004A27FF">
              <w:rPr>
                <w:webHidden/>
              </w:rPr>
              <w:tab/>
            </w:r>
            <w:r w:rsidR="004A27FF">
              <w:rPr>
                <w:webHidden/>
              </w:rPr>
              <w:fldChar w:fldCharType="begin"/>
            </w:r>
            <w:r w:rsidR="004A27FF">
              <w:rPr>
                <w:webHidden/>
              </w:rPr>
              <w:instrText xml:space="preserve"> PAGEREF _Toc486236022 \h </w:instrText>
            </w:r>
            <w:r w:rsidR="004A27FF">
              <w:rPr>
                <w:webHidden/>
              </w:rPr>
            </w:r>
            <w:r w:rsidR="004A27FF">
              <w:rPr>
                <w:webHidden/>
              </w:rPr>
              <w:fldChar w:fldCharType="separate"/>
            </w:r>
            <w:r w:rsidR="004A27FF">
              <w:rPr>
                <w:webHidden/>
              </w:rPr>
              <w:t>xvii</w:t>
            </w:r>
            <w:r w:rsidR="004A27FF">
              <w:rPr>
                <w:webHidden/>
              </w:rPr>
              <w:fldChar w:fldCharType="end"/>
            </w:r>
          </w:hyperlink>
        </w:p>
        <w:p w14:paraId="66F68DD4" w14:textId="77777777" w:rsidR="004A27FF" w:rsidRDefault="00041132">
          <w:pPr>
            <w:pStyle w:val="TOC1"/>
            <w:rPr>
              <w:rFonts w:asciiTheme="minorHAnsi" w:eastAsiaTheme="minorEastAsia" w:hAnsiTheme="minorHAnsi"/>
              <w:b w:val="0"/>
              <w:lang w:eastAsia="en-AU"/>
            </w:rPr>
          </w:pPr>
          <w:hyperlink w:anchor="_Toc486236023" w:history="1">
            <w:r w:rsidR="004A27FF" w:rsidRPr="00A663B9">
              <w:rPr>
                <w:rStyle w:val="Hyperlink"/>
              </w:rPr>
              <w:t>1</w:t>
            </w:r>
            <w:r w:rsidR="004A27FF">
              <w:rPr>
                <w:rFonts w:asciiTheme="minorHAnsi" w:eastAsiaTheme="minorEastAsia" w:hAnsiTheme="minorHAnsi"/>
                <w:b w:val="0"/>
                <w:lang w:eastAsia="en-AU"/>
              </w:rPr>
              <w:tab/>
            </w:r>
            <w:r w:rsidR="004A27FF" w:rsidRPr="00A663B9">
              <w:rPr>
                <w:rStyle w:val="Hyperlink"/>
              </w:rPr>
              <w:t>Australia’s biosecurity system</w:t>
            </w:r>
            <w:r w:rsidR="004A27FF">
              <w:rPr>
                <w:webHidden/>
              </w:rPr>
              <w:tab/>
            </w:r>
            <w:r w:rsidR="004A27FF">
              <w:rPr>
                <w:webHidden/>
              </w:rPr>
              <w:fldChar w:fldCharType="begin"/>
            </w:r>
            <w:r w:rsidR="004A27FF">
              <w:rPr>
                <w:webHidden/>
              </w:rPr>
              <w:instrText xml:space="preserve"> PAGEREF _Toc486236023 \h </w:instrText>
            </w:r>
            <w:r w:rsidR="004A27FF">
              <w:rPr>
                <w:webHidden/>
              </w:rPr>
            </w:r>
            <w:r w:rsidR="004A27FF">
              <w:rPr>
                <w:webHidden/>
              </w:rPr>
              <w:fldChar w:fldCharType="separate"/>
            </w:r>
            <w:r w:rsidR="004A27FF">
              <w:rPr>
                <w:webHidden/>
              </w:rPr>
              <w:t>1</w:t>
            </w:r>
            <w:r w:rsidR="004A27FF">
              <w:rPr>
                <w:webHidden/>
              </w:rPr>
              <w:fldChar w:fldCharType="end"/>
            </w:r>
          </w:hyperlink>
        </w:p>
        <w:p w14:paraId="1BABE319" w14:textId="77777777" w:rsidR="004A27FF" w:rsidRDefault="00041132">
          <w:pPr>
            <w:pStyle w:val="TOC2"/>
            <w:tabs>
              <w:tab w:val="left" w:pos="1100"/>
            </w:tabs>
            <w:rPr>
              <w:rFonts w:asciiTheme="minorHAnsi" w:eastAsiaTheme="minorEastAsia" w:hAnsiTheme="minorHAnsi"/>
              <w:lang w:eastAsia="en-AU"/>
            </w:rPr>
          </w:pPr>
          <w:hyperlink w:anchor="_Toc486236024" w:history="1">
            <w:r w:rsidR="004A27FF" w:rsidRPr="00A663B9">
              <w:rPr>
                <w:rStyle w:val="Hyperlink"/>
                <w:lang w:eastAsia="ja-JP"/>
              </w:rPr>
              <w:t>1.1</w:t>
            </w:r>
            <w:r w:rsidR="004A27FF">
              <w:rPr>
                <w:rFonts w:asciiTheme="minorHAnsi" w:eastAsiaTheme="minorEastAsia" w:hAnsiTheme="minorHAnsi"/>
                <w:lang w:eastAsia="en-AU"/>
              </w:rPr>
              <w:tab/>
            </w:r>
            <w:r w:rsidR="004A27FF" w:rsidRPr="00A663B9">
              <w:rPr>
                <w:rStyle w:val="Hyperlink"/>
                <w:lang w:eastAsia="ja-JP"/>
              </w:rPr>
              <w:t>Benefits of national biosecurity</w:t>
            </w:r>
            <w:r w:rsidR="004A27FF">
              <w:rPr>
                <w:webHidden/>
              </w:rPr>
              <w:tab/>
            </w:r>
            <w:r w:rsidR="004A27FF">
              <w:rPr>
                <w:webHidden/>
              </w:rPr>
              <w:fldChar w:fldCharType="begin"/>
            </w:r>
            <w:r w:rsidR="004A27FF">
              <w:rPr>
                <w:webHidden/>
              </w:rPr>
              <w:instrText xml:space="preserve"> PAGEREF _Toc486236024 \h </w:instrText>
            </w:r>
            <w:r w:rsidR="004A27FF">
              <w:rPr>
                <w:webHidden/>
              </w:rPr>
            </w:r>
            <w:r w:rsidR="004A27FF">
              <w:rPr>
                <w:webHidden/>
              </w:rPr>
              <w:fldChar w:fldCharType="separate"/>
            </w:r>
            <w:r w:rsidR="004A27FF">
              <w:rPr>
                <w:webHidden/>
              </w:rPr>
              <w:t>2</w:t>
            </w:r>
            <w:r w:rsidR="004A27FF">
              <w:rPr>
                <w:webHidden/>
              </w:rPr>
              <w:fldChar w:fldCharType="end"/>
            </w:r>
          </w:hyperlink>
        </w:p>
        <w:p w14:paraId="2C33EAD5" w14:textId="77777777" w:rsidR="004A27FF" w:rsidRDefault="00041132">
          <w:pPr>
            <w:pStyle w:val="TOC2"/>
            <w:tabs>
              <w:tab w:val="left" w:pos="1100"/>
            </w:tabs>
            <w:rPr>
              <w:rFonts w:asciiTheme="minorHAnsi" w:eastAsiaTheme="minorEastAsia" w:hAnsiTheme="minorHAnsi"/>
              <w:lang w:eastAsia="en-AU"/>
            </w:rPr>
          </w:pPr>
          <w:hyperlink w:anchor="_Toc486236025" w:history="1">
            <w:r w:rsidR="004A27FF" w:rsidRPr="00A663B9">
              <w:rPr>
                <w:rStyle w:val="Hyperlink"/>
              </w:rPr>
              <w:t>1.2</w:t>
            </w:r>
            <w:r w:rsidR="004A27FF">
              <w:rPr>
                <w:rFonts w:asciiTheme="minorHAnsi" w:eastAsiaTheme="minorEastAsia" w:hAnsiTheme="minorHAnsi"/>
                <w:lang w:eastAsia="en-AU"/>
              </w:rPr>
              <w:tab/>
            </w:r>
            <w:r w:rsidR="004A27FF" w:rsidRPr="00A663B9">
              <w:rPr>
                <w:rStyle w:val="Hyperlink"/>
              </w:rPr>
              <w:t>An evolving system</w:t>
            </w:r>
            <w:r w:rsidR="004A27FF">
              <w:rPr>
                <w:webHidden/>
              </w:rPr>
              <w:tab/>
            </w:r>
            <w:r w:rsidR="004A27FF">
              <w:rPr>
                <w:webHidden/>
              </w:rPr>
              <w:fldChar w:fldCharType="begin"/>
            </w:r>
            <w:r w:rsidR="004A27FF">
              <w:rPr>
                <w:webHidden/>
              </w:rPr>
              <w:instrText xml:space="preserve"> PAGEREF _Toc486236025 \h </w:instrText>
            </w:r>
            <w:r w:rsidR="004A27FF">
              <w:rPr>
                <w:webHidden/>
              </w:rPr>
            </w:r>
            <w:r w:rsidR="004A27FF">
              <w:rPr>
                <w:webHidden/>
              </w:rPr>
              <w:fldChar w:fldCharType="separate"/>
            </w:r>
            <w:r w:rsidR="004A27FF">
              <w:rPr>
                <w:webHidden/>
              </w:rPr>
              <w:t>2</w:t>
            </w:r>
            <w:r w:rsidR="004A27FF">
              <w:rPr>
                <w:webHidden/>
              </w:rPr>
              <w:fldChar w:fldCharType="end"/>
            </w:r>
          </w:hyperlink>
        </w:p>
        <w:p w14:paraId="5EC4C26C" w14:textId="77777777" w:rsidR="004A27FF" w:rsidRDefault="00041132">
          <w:pPr>
            <w:pStyle w:val="TOC2"/>
            <w:tabs>
              <w:tab w:val="left" w:pos="1100"/>
            </w:tabs>
            <w:rPr>
              <w:rFonts w:asciiTheme="minorHAnsi" w:eastAsiaTheme="minorEastAsia" w:hAnsiTheme="minorHAnsi"/>
              <w:lang w:eastAsia="en-AU"/>
            </w:rPr>
          </w:pPr>
          <w:hyperlink w:anchor="_Toc486236026" w:history="1">
            <w:r w:rsidR="004A27FF" w:rsidRPr="00A663B9">
              <w:rPr>
                <w:rStyle w:val="Hyperlink"/>
              </w:rPr>
              <w:t>1.3</w:t>
            </w:r>
            <w:r w:rsidR="004A27FF">
              <w:rPr>
                <w:rFonts w:asciiTheme="minorHAnsi" w:eastAsiaTheme="minorEastAsia" w:hAnsiTheme="minorHAnsi"/>
                <w:lang w:eastAsia="en-AU"/>
              </w:rPr>
              <w:tab/>
            </w:r>
            <w:r w:rsidR="004A27FF" w:rsidRPr="00A663B9">
              <w:rPr>
                <w:rStyle w:val="Hyperlink"/>
              </w:rPr>
              <w:t>Future risks and pathways</w:t>
            </w:r>
            <w:r w:rsidR="004A27FF">
              <w:rPr>
                <w:webHidden/>
              </w:rPr>
              <w:tab/>
            </w:r>
            <w:r w:rsidR="004A27FF">
              <w:rPr>
                <w:webHidden/>
              </w:rPr>
              <w:fldChar w:fldCharType="begin"/>
            </w:r>
            <w:r w:rsidR="004A27FF">
              <w:rPr>
                <w:webHidden/>
              </w:rPr>
              <w:instrText xml:space="preserve"> PAGEREF _Toc486236026 \h </w:instrText>
            </w:r>
            <w:r w:rsidR="004A27FF">
              <w:rPr>
                <w:webHidden/>
              </w:rPr>
            </w:r>
            <w:r w:rsidR="004A27FF">
              <w:rPr>
                <w:webHidden/>
              </w:rPr>
              <w:fldChar w:fldCharType="separate"/>
            </w:r>
            <w:r w:rsidR="004A27FF">
              <w:rPr>
                <w:webHidden/>
              </w:rPr>
              <w:t>6</w:t>
            </w:r>
            <w:r w:rsidR="004A27FF">
              <w:rPr>
                <w:webHidden/>
              </w:rPr>
              <w:fldChar w:fldCharType="end"/>
            </w:r>
          </w:hyperlink>
        </w:p>
        <w:p w14:paraId="3D63894B" w14:textId="77777777" w:rsidR="004A27FF" w:rsidRDefault="00041132">
          <w:pPr>
            <w:pStyle w:val="TOC2"/>
            <w:tabs>
              <w:tab w:val="left" w:pos="1100"/>
            </w:tabs>
            <w:rPr>
              <w:rFonts w:asciiTheme="minorHAnsi" w:eastAsiaTheme="minorEastAsia" w:hAnsiTheme="minorHAnsi"/>
              <w:lang w:eastAsia="en-AU"/>
            </w:rPr>
          </w:pPr>
          <w:hyperlink w:anchor="_Toc486236027" w:history="1">
            <w:r w:rsidR="004A27FF" w:rsidRPr="00A663B9">
              <w:rPr>
                <w:rStyle w:val="Hyperlink"/>
              </w:rPr>
              <w:t>1.4</w:t>
            </w:r>
            <w:r w:rsidR="004A27FF">
              <w:rPr>
                <w:rFonts w:asciiTheme="minorHAnsi" w:eastAsiaTheme="minorEastAsia" w:hAnsiTheme="minorHAnsi"/>
                <w:lang w:eastAsia="en-AU"/>
              </w:rPr>
              <w:tab/>
            </w:r>
            <w:r w:rsidR="004A27FF" w:rsidRPr="00A663B9">
              <w:rPr>
                <w:rStyle w:val="Hyperlink"/>
              </w:rPr>
              <w:t>The 2012 IGAB</w:t>
            </w:r>
            <w:r w:rsidR="004A27FF">
              <w:rPr>
                <w:webHidden/>
              </w:rPr>
              <w:tab/>
            </w:r>
            <w:r w:rsidR="004A27FF">
              <w:rPr>
                <w:webHidden/>
              </w:rPr>
              <w:fldChar w:fldCharType="begin"/>
            </w:r>
            <w:r w:rsidR="004A27FF">
              <w:rPr>
                <w:webHidden/>
              </w:rPr>
              <w:instrText xml:space="preserve"> PAGEREF _Toc486236027 \h </w:instrText>
            </w:r>
            <w:r w:rsidR="004A27FF">
              <w:rPr>
                <w:webHidden/>
              </w:rPr>
            </w:r>
            <w:r w:rsidR="004A27FF">
              <w:rPr>
                <w:webHidden/>
              </w:rPr>
              <w:fldChar w:fldCharType="separate"/>
            </w:r>
            <w:r w:rsidR="004A27FF">
              <w:rPr>
                <w:webHidden/>
              </w:rPr>
              <w:t>10</w:t>
            </w:r>
            <w:r w:rsidR="004A27FF">
              <w:rPr>
                <w:webHidden/>
              </w:rPr>
              <w:fldChar w:fldCharType="end"/>
            </w:r>
          </w:hyperlink>
        </w:p>
        <w:p w14:paraId="2E96D6D7" w14:textId="77777777" w:rsidR="004A27FF" w:rsidRDefault="00041132">
          <w:pPr>
            <w:pStyle w:val="TOC1"/>
            <w:rPr>
              <w:rFonts w:asciiTheme="minorHAnsi" w:eastAsiaTheme="minorEastAsia" w:hAnsiTheme="minorHAnsi"/>
              <w:b w:val="0"/>
              <w:lang w:eastAsia="en-AU"/>
            </w:rPr>
          </w:pPr>
          <w:hyperlink w:anchor="_Toc486236028" w:history="1">
            <w:r w:rsidR="004A27FF" w:rsidRPr="00A663B9">
              <w:rPr>
                <w:rStyle w:val="Hyperlink"/>
              </w:rPr>
              <w:t>2</w:t>
            </w:r>
            <w:r w:rsidR="004A27FF">
              <w:rPr>
                <w:rFonts w:asciiTheme="minorHAnsi" w:eastAsiaTheme="minorEastAsia" w:hAnsiTheme="minorHAnsi"/>
                <w:b w:val="0"/>
                <w:lang w:eastAsia="en-AU"/>
              </w:rPr>
              <w:tab/>
            </w:r>
            <w:r w:rsidR="004A27FF" w:rsidRPr="00A663B9">
              <w:rPr>
                <w:rStyle w:val="Hyperlink"/>
              </w:rPr>
              <w:t>Knowing and owning our roles and responsibilities</w:t>
            </w:r>
            <w:r w:rsidR="004A27FF">
              <w:rPr>
                <w:webHidden/>
              </w:rPr>
              <w:tab/>
            </w:r>
            <w:r w:rsidR="004A27FF">
              <w:rPr>
                <w:webHidden/>
              </w:rPr>
              <w:fldChar w:fldCharType="begin"/>
            </w:r>
            <w:r w:rsidR="004A27FF">
              <w:rPr>
                <w:webHidden/>
              </w:rPr>
              <w:instrText xml:space="preserve"> PAGEREF _Toc486236028 \h </w:instrText>
            </w:r>
            <w:r w:rsidR="004A27FF">
              <w:rPr>
                <w:webHidden/>
              </w:rPr>
            </w:r>
            <w:r w:rsidR="004A27FF">
              <w:rPr>
                <w:webHidden/>
              </w:rPr>
              <w:fldChar w:fldCharType="separate"/>
            </w:r>
            <w:r w:rsidR="004A27FF">
              <w:rPr>
                <w:webHidden/>
              </w:rPr>
              <w:t>11</w:t>
            </w:r>
            <w:r w:rsidR="004A27FF">
              <w:rPr>
                <w:webHidden/>
              </w:rPr>
              <w:fldChar w:fldCharType="end"/>
            </w:r>
          </w:hyperlink>
        </w:p>
        <w:p w14:paraId="6BBCD2B7" w14:textId="77777777" w:rsidR="004A27FF" w:rsidRDefault="00041132">
          <w:pPr>
            <w:pStyle w:val="TOC2"/>
            <w:tabs>
              <w:tab w:val="left" w:pos="1100"/>
            </w:tabs>
            <w:rPr>
              <w:rFonts w:asciiTheme="minorHAnsi" w:eastAsiaTheme="minorEastAsia" w:hAnsiTheme="minorHAnsi"/>
              <w:lang w:eastAsia="en-AU"/>
            </w:rPr>
          </w:pPr>
          <w:hyperlink w:anchor="_Toc486236029" w:history="1">
            <w:r w:rsidR="004A27FF" w:rsidRPr="00A663B9">
              <w:rPr>
                <w:rStyle w:val="Hyperlink"/>
              </w:rPr>
              <w:t>2.1</w:t>
            </w:r>
            <w:r w:rsidR="004A27FF">
              <w:rPr>
                <w:rFonts w:asciiTheme="minorHAnsi" w:eastAsiaTheme="minorEastAsia" w:hAnsiTheme="minorHAnsi"/>
                <w:lang w:eastAsia="en-AU"/>
              </w:rPr>
              <w:tab/>
            </w:r>
            <w:r w:rsidR="004A27FF" w:rsidRPr="00A663B9">
              <w:rPr>
                <w:rStyle w:val="Hyperlink"/>
              </w:rPr>
              <w:t>Shared responsibility?</w:t>
            </w:r>
            <w:r w:rsidR="004A27FF">
              <w:rPr>
                <w:webHidden/>
              </w:rPr>
              <w:tab/>
            </w:r>
            <w:r w:rsidR="004A27FF">
              <w:rPr>
                <w:webHidden/>
              </w:rPr>
              <w:fldChar w:fldCharType="begin"/>
            </w:r>
            <w:r w:rsidR="004A27FF">
              <w:rPr>
                <w:webHidden/>
              </w:rPr>
              <w:instrText xml:space="preserve"> PAGEREF _Toc486236029 \h </w:instrText>
            </w:r>
            <w:r w:rsidR="004A27FF">
              <w:rPr>
                <w:webHidden/>
              </w:rPr>
            </w:r>
            <w:r w:rsidR="004A27FF">
              <w:rPr>
                <w:webHidden/>
              </w:rPr>
              <w:fldChar w:fldCharType="separate"/>
            </w:r>
            <w:r w:rsidR="004A27FF">
              <w:rPr>
                <w:webHidden/>
              </w:rPr>
              <w:t>11</w:t>
            </w:r>
            <w:r w:rsidR="004A27FF">
              <w:rPr>
                <w:webHidden/>
              </w:rPr>
              <w:fldChar w:fldCharType="end"/>
            </w:r>
          </w:hyperlink>
        </w:p>
        <w:p w14:paraId="45ECA3CD" w14:textId="77777777" w:rsidR="004A27FF" w:rsidRDefault="00041132">
          <w:pPr>
            <w:pStyle w:val="TOC2"/>
            <w:tabs>
              <w:tab w:val="left" w:pos="1100"/>
            </w:tabs>
            <w:rPr>
              <w:rFonts w:asciiTheme="minorHAnsi" w:eastAsiaTheme="minorEastAsia" w:hAnsiTheme="minorHAnsi"/>
              <w:lang w:eastAsia="en-AU"/>
            </w:rPr>
          </w:pPr>
          <w:hyperlink w:anchor="_Toc486236030" w:history="1">
            <w:r w:rsidR="004A27FF" w:rsidRPr="00A663B9">
              <w:rPr>
                <w:rStyle w:val="Hyperlink"/>
              </w:rPr>
              <w:t>2.2</w:t>
            </w:r>
            <w:r w:rsidR="004A27FF">
              <w:rPr>
                <w:rFonts w:asciiTheme="minorHAnsi" w:eastAsiaTheme="minorEastAsia" w:hAnsiTheme="minorHAnsi"/>
                <w:lang w:eastAsia="en-AU"/>
              </w:rPr>
              <w:tab/>
            </w:r>
            <w:r w:rsidR="004A27FF" w:rsidRPr="00A663B9">
              <w:rPr>
                <w:rStyle w:val="Hyperlink"/>
              </w:rPr>
              <w:t>Greater ownership and participation</w:t>
            </w:r>
            <w:r w:rsidR="004A27FF">
              <w:rPr>
                <w:webHidden/>
              </w:rPr>
              <w:tab/>
            </w:r>
            <w:r w:rsidR="004A27FF">
              <w:rPr>
                <w:webHidden/>
              </w:rPr>
              <w:fldChar w:fldCharType="begin"/>
            </w:r>
            <w:r w:rsidR="004A27FF">
              <w:rPr>
                <w:webHidden/>
              </w:rPr>
              <w:instrText xml:space="preserve"> PAGEREF _Toc486236030 \h </w:instrText>
            </w:r>
            <w:r w:rsidR="004A27FF">
              <w:rPr>
                <w:webHidden/>
              </w:rPr>
            </w:r>
            <w:r w:rsidR="004A27FF">
              <w:rPr>
                <w:webHidden/>
              </w:rPr>
              <w:fldChar w:fldCharType="separate"/>
            </w:r>
            <w:r w:rsidR="004A27FF">
              <w:rPr>
                <w:webHidden/>
              </w:rPr>
              <w:t>14</w:t>
            </w:r>
            <w:r w:rsidR="004A27FF">
              <w:rPr>
                <w:webHidden/>
              </w:rPr>
              <w:fldChar w:fldCharType="end"/>
            </w:r>
          </w:hyperlink>
        </w:p>
        <w:p w14:paraId="2254C9EA" w14:textId="77777777" w:rsidR="004A27FF" w:rsidRDefault="00041132">
          <w:pPr>
            <w:pStyle w:val="TOC2"/>
            <w:tabs>
              <w:tab w:val="left" w:pos="1100"/>
            </w:tabs>
            <w:rPr>
              <w:rFonts w:asciiTheme="minorHAnsi" w:eastAsiaTheme="minorEastAsia" w:hAnsiTheme="minorHAnsi"/>
              <w:lang w:eastAsia="en-AU"/>
            </w:rPr>
          </w:pPr>
          <w:hyperlink w:anchor="_Toc486236031" w:history="1">
            <w:r w:rsidR="004A27FF" w:rsidRPr="00A663B9">
              <w:rPr>
                <w:rStyle w:val="Hyperlink"/>
              </w:rPr>
              <w:t>2.3</w:t>
            </w:r>
            <w:r w:rsidR="004A27FF">
              <w:rPr>
                <w:rFonts w:asciiTheme="minorHAnsi" w:eastAsiaTheme="minorEastAsia" w:hAnsiTheme="minorHAnsi"/>
                <w:lang w:eastAsia="en-AU"/>
              </w:rPr>
              <w:tab/>
            </w:r>
            <w:r w:rsidR="004A27FF" w:rsidRPr="00A663B9">
              <w:rPr>
                <w:rStyle w:val="Hyperlink"/>
              </w:rPr>
              <w:t>Improving communication and engagement</w:t>
            </w:r>
            <w:r w:rsidR="004A27FF">
              <w:rPr>
                <w:webHidden/>
              </w:rPr>
              <w:tab/>
            </w:r>
            <w:r w:rsidR="004A27FF">
              <w:rPr>
                <w:webHidden/>
              </w:rPr>
              <w:fldChar w:fldCharType="begin"/>
            </w:r>
            <w:r w:rsidR="004A27FF">
              <w:rPr>
                <w:webHidden/>
              </w:rPr>
              <w:instrText xml:space="preserve"> PAGEREF _Toc486236031 \h </w:instrText>
            </w:r>
            <w:r w:rsidR="004A27FF">
              <w:rPr>
                <w:webHidden/>
              </w:rPr>
            </w:r>
            <w:r w:rsidR="004A27FF">
              <w:rPr>
                <w:webHidden/>
              </w:rPr>
              <w:fldChar w:fldCharType="separate"/>
            </w:r>
            <w:r w:rsidR="004A27FF">
              <w:rPr>
                <w:webHidden/>
              </w:rPr>
              <w:t>17</w:t>
            </w:r>
            <w:r w:rsidR="004A27FF">
              <w:rPr>
                <w:webHidden/>
              </w:rPr>
              <w:fldChar w:fldCharType="end"/>
            </w:r>
          </w:hyperlink>
        </w:p>
        <w:p w14:paraId="29D2D2B4" w14:textId="77777777" w:rsidR="004A27FF" w:rsidRDefault="00041132">
          <w:pPr>
            <w:pStyle w:val="TOC2"/>
            <w:tabs>
              <w:tab w:val="left" w:pos="1100"/>
            </w:tabs>
            <w:rPr>
              <w:rFonts w:asciiTheme="minorHAnsi" w:eastAsiaTheme="minorEastAsia" w:hAnsiTheme="minorHAnsi"/>
              <w:lang w:eastAsia="en-AU"/>
            </w:rPr>
          </w:pPr>
          <w:hyperlink w:anchor="_Toc486236032" w:history="1">
            <w:r w:rsidR="004A27FF" w:rsidRPr="00A663B9">
              <w:rPr>
                <w:rStyle w:val="Hyperlink"/>
              </w:rPr>
              <w:t>2.4</w:t>
            </w:r>
            <w:r w:rsidR="004A27FF">
              <w:rPr>
                <w:rFonts w:asciiTheme="minorHAnsi" w:eastAsiaTheme="minorEastAsia" w:hAnsiTheme="minorHAnsi"/>
                <w:lang w:eastAsia="en-AU"/>
              </w:rPr>
              <w:tab/>
            </w:r>
            <w:r w:rsidR="004A27FF" w:rsidRPr="00A663B9">
              <w:rPr>
                <w:rStyle w:val="Hyperlink"/>
              </w:rPr>
              <w:t>A National Biosecurity Statement</w:t>
            </w:r>
            <w:r w:rsidR="004A27FF">
              <w:rPr>
                <w:webHidden/>
              </w:rPr>
              <w:tab/>
            </w:r>
            <w:r w:rsidR="004A27FF">
              <w:rPr>
                <w:webHidden/>
              </w:rPr>
              <w:fldChar w:fldCharType="begin"/>
            </w:r>
            <w:r w:rsidR="004A27FF">
              <w:rPr>
                <w:webHidden/>
              </w:rPr>
              <w:instrText xml:space="preserve"> PAGEREF _Toc486236032 \h </w:instrText>
            </w:r>
            <w:r w:rsidR="004A27FF">
              <w:rPr>
                <w:webHidden/>
              </w:rPr>
            </w:r>
            <w:r w:rsidR="004A27FF">
              <w:rPr>
                <w:webHidden/>
              </w:rPr>
              <w:fldChar w:fldCharType="separate"/>
            </w:r>
            <w:r w:rsidR="004A27FF">
              <w:rPr>
                <w:webHidden/>
              </w:rPr>
              <w:t>19</w:t>
            </w:r>
            <w:r w:rsidR="004A27FF">
              <w:rPr>
                <w:webHidden/>
              </w:rPr>
              <w:fldChar w:fldCharType="end"/>
            </w:r>
          </w:hyperlink>
        </w:p>
        <w:p w14:paraId="17E9FBD0" w14:textId="77777777" w:rsidR="004A27FF" w:rsidRDefault="00041132">
          <w:pPr>
            <w:pStyle w:val="TOC1"/>
            <w:rPr>
              <w:rFonts w:asciiTheme="minorHAnsi" w:eastAsiaTheme="minorEastAsia" w:hAnsiTheme="minorHAnsi"/>
              <w:b w:val="0"/>
              <w:lang w:eastAsia="en-AU"/>
            </w:rPr>
          </w:pPr>
          <w:hyperlink w:anchor="_Toc486236033" w:history="1">
            <w:r w:rsidR="004A27FF" w:rsidRPr="00A663B9">
              <w:rPr>
                <w:rStyle w:val="Hyperlink"/>
              </w:rPr>
              <w:t>3</w:t>
            </w:r>
            <w:r w:rsidR="004A27FF">
              <w:rPr>
                <w:rFonts w:asciiTheme="minorHAnsi" w:eastAsiaTheme="minorEastAsia" w:hAnsiTheme="minorHAnsi"/>
                <w:b w:val="0"/>
                <w:lang w:eastAsia="en-AU"/>
              </w:rPr>
              <w:tab/>
            </w:r>
            <w:r w:rsidR="004A27FF" w:rsidRPr="00A663B9">
              <w:rPr>
                <w:rStyle w:val="Hyperlink"/>
              </w:rPr>
              <w:t>Market access is key</w:t>
            </w:r>
            <w:r w:rsidR="004A27FF">
              <w:rPr>
                <w:webHidden/>
              </w:rPr>
              <w:tab/>
            </w:r>
            <w:r w:rsidR="004A27FF">
              <w:rPr>
                <w:webHidden/>
              </w:rPr>
              <w:fldChar w:fldCharType="begin"/>
            </w:r>
            <w:r w:rsidR="004A27FF">
              <w:rPr>
                <w:webHidden/>
              </w:rPr>
              <w:instrText xml:space="preserve"> PAGEREF _Toc486236033 \h </w:instrText>
            </w:r>
            <w:r w:rsidR="004A27FF">
              <w:rPr>
                <w:webHidden/>
              </w:rPr>
            </w:r>
            <w:r w:rsidR="004A27FF">
              <w:rPr>
                <w:webHidden/>
              </w:rPr>
              <w:fldChar w:fldCharType="separate"/>
            </w:r>
            <w:r w:rsidR="004A27FF">
              <w:rPr>
                <w:webHidden/>
              </w:rPr>
              <w:t>25</w:t>
            </w:r>
            <w:r w:rsidR="004A27FF">
              <w:rPr>
                <w:webHidden/>
              </w:rPr>
              <w:fldChar w:fldCharType="end"/>
            </w:r>
          </w:hyperlink>
        </w:p>
        <w:p w14:paraId="066E2BCA" w14:textId="77777777" w:rsidR="004A27FF" w:rsidRDefault="00041132">
          <w:pPr>
            <w:pStyle w:val="TOC2"/>
            <w:tabs>
              <w:tab w:val="left" w:pos="1100"/>
            </w:tabs>
            <w:rPr>
              <w:rFonts w:asciiTheme="minorHAnsi" w:eastAsiaTheme="minorEastAsia" w:hAnsiTheme="minorHAnsi"/>
              <w:lang w:eastAsia="en-AU"/>
            </w:rPr>
          </w:pPr>
          <w:hyperlink w:anchor="_Toc486236034" w:history="1">
            <w:r w:rsidR="004A27FF" w:rsidRPr="00A663B9">
              <w:rPr>
                <w:rStyle w:val="Hyperlink"/>
                <w:lang w:eastAsia="ja-JP"/>
              </w:rPr>
              <w:t>3.1</w:t>
            </w:r>
            <w:r w:rsidR="004A27FF">
              <w:rPr>
                <w:rFonts w:asciiTheme="minorHAnsi" w:eastAsiaTheme="minorEastAsia" w:hAnsiTheme="minorHAnsi"/>
                <w:lang w:eastAsia="en-AU"/>
              </w:rPr>
              <w:tab/>
            </w:r>
            <w:r w:rsidR="004A27FF" w:rsidRPr="00A663B9">
              <w:rPr>
                <w:rStyle w:val="Hyperlink"/>
                <w:lang w:eastAsia="ja-JP"/>
              </w:rPr>
              <w:t>Biosecurity and trade</w:t>
            </w:r>
            <w:r w:rsidR="004A27FF">
              <w:rPr>
                <w:webHidden/>
              </w:rPr>
              <w:tab/>
            </w:r>
            <w:r w:rsidR="004A27FF">
              <w:rPr>
                <w:webHidden/>
              </w:rPr>
              <w:fldChar w:fldCharType="begin"/>
            </w:r>
            <w:r w:rsidR="004A27FF">
              <w:rPr>
                <w:webHidden/>
              </w:rPr>
              <w:instrText xml:space="preserve"> PAGEREF _Toc486236034 \h </w:instrText>
            </w:r>
            <w:r w:rsidR="004A27FF">
              <w:rPr>
                <w:webHidden/>
              </w:rPr>
            </w:r>
            <w:r w:rsidR="004A27FF">
              <w:rPr>
                <w:webHidden/>
              </w:rPr>
              <w:fldChar w:fldCharType="separate"/>
            </w:r>
            <w:r w:rsidR="004A27FF">
              <w:rPr>
                <w:webHidden/>
              </w:rPr>
              <w:t>25</w:t>
            </w:r>
            <w:r w:rsidR="004A27FF">
              <w:rPr>
                <w:webHidden/>
              </w:rPr>
              <w:fldChar w:fldCharType="end"/>
            </w:r>
          </w:hyperlink>
        </w:p>
        <w:p w14:paraId="4B9293F6" w14:textId="77777777" w:rsidR="004A27FF" w:rsidRDefault="00041132">
          <w:pPr>
            <w:pStyle w:val="TOC2"/>
            <w:tabs>
              <w:tab w:val="left" w:pos="1100"/>
            </w:tabs>
            <w:rPr>
              <w:rFonts w:asciiTheme="minorHAnsi" w:eastAsiaTheme="minorEastAsia" w:hAnsiTheme="minorHAnsi"/>
              <w:lang w:eastAsia="en-AU"/>
            </w:rPr>
          </w:pPr>
          <w:hyperlink w:anchor="_Toc486236035" w:history="1">
            <w:r w:rsidR="004A27FF" w:rsidRPr="00A663B9">
              <w:rPr>
                <w:rStyle w:val="Hyperlink"/>
                <w:lang w:eastAsia="ja-JP"/>
              </w:rPr>
              <w:t>3.2</w:t>
            </w:r>
            <w:r w:rsidR="004A27FF">
              <w:rPr>
                <w:rFonts w:asciiTheme="minorHAnsi" w:eastAsiaTheme="minorEastAsia" w:hAnsiTheme="minorHAnsi"/>
                <w:lang w:eastAsia="en-AU"/>
              </w:rPr>
              <w:tab/>
            </w:r>
            <w:r w:rsidR="004A27FF" w:rsidRPr="00A663B9">
              <w:rPr>
                <w:rStyle w:val="Hyperlink"/>
                <w:lang w:eastAsia="ja-JP"/>
              </w:rPr>
              <w:t>International exports</w:t>
            </w:r>
            <w:r w:rsidR="004A27FF">
              <w:rPr>
                <w:webHidden/>
              </w:rPr>
              <w:tab/>
            </w:r>
            <w:r w:rsidR="004A27FF">
              <w:rPr>
                <w:webHidden/>
              </w:rPr>
              <w:fldChar w:fldCharType="begin"/>
            </w:r>
            <w:r w:rsidR="004A27FF">
              <w:rPr>
                <w:webHidden/>
              </w:rPr>
              <w:instrText xml:space="preserve"> PAGEREF _Toc486236035 \h </w:instrText>
            </w:r>
            <w:r w:rsidR="004A27FF">
              <w:rPr>
                <w:webHidden/>
              </w:rPr>
            </w:r>
            <w:r w:rsidR="004A27FF">
              <w:rPr>
                <w:webHidden/>
              </w:rPr>
              <w:fldChar w:fldCharType="separate"/>
            </w:r>
            <w:r w:rsidR="004A27FF">
              <w:rPr>
                <w:webHidden/>
              </w:rPr>
              <w:t>26</w:t>
            </w:r>
            <w:r w:rsidR="004A27FF">
              <w:rPr>
                <w:webHidden/>
              </w:rPr>
              <w:fldChar w:fldCharType="end"/>
            </w:r>
          </w:hyperlink>
        </w:p>
        <w:p w14:paraId="51432B51" w14:textId="77777777" w:rsidR="004A27FF" w:rsidRDefault="00041132">
          <w:pPr>
            <w:pStyle w:val="TOC2"/>
            <w:tabs>
              <w:tab w:val="left" w:pos="1100"/>
            </w:tabs>
            <w:rPr>
              <w:rFonts w:asciiTheme="minorHAnsi" w:eastAsiaTheme="minorEastAsia" w:hAnsiTheme="minorHAnsi"/>
              <w:lang w:eastAsia="en-AU"/>
            </w:rPr>
          </w:pPr>
          <w:hyperlink w:anchor="_Toc486236036" w:history="1">
            <w:r w:rsidR="004A27FF" w:rsidRPr="00A663B9">
              <w:rPr>
                <w:rStyle w:val="Hyperlink"/>
                <w:lang w:eastAsia="ja-JP"/>
              </w:rPr>
              <w:t>3.3</w:t>
            </w:r>
            <w:r w:rsidR="004A27FF">
              <w:rPr>
                <w:rFonts w:asciiTheme="minorHAnsi" w:eastAsiaTheme="minorEastAsia" w:hAnsiTheme="minorHAnsi"/>
                <w:lang w:eastAsia="en-AU"/>
              </w:rPr>
              <w:tab/>
            </w:r>
            <w:r w:rsidR="004A27FF" w:rsidRPr="00A663B9">
              <w:rPr>
                <w:rStyle w:val="Hyperlink"/>
                <w:lang w:eastAsia="ja-JP"/>
              </w:rPr>
              <w:t>Domestic trade</w:t>
            </w:r>
            <w:r w:rsidR="004A27FF">
              <w:rPr>
                <w:webHidden/>
              </w:rPr>
              <w:tab/>
            </w:r>
            <w:r w:rsidR="004A27FF">
              <w:rPr>
                <w:webHidden/>
              </w:rPr>
              <w:fldChar w:fldCharType="begin"/>
            </w:r>
            <w:r w:rsidR="004A27FF">
              <w:rPr>
                <w:webHidden/>
              </w:rPr>
              <w:instrText xml:space="preserve"> PAGEREF _Toc486236036 \h </w:instrText>
            </w:r>
            <w:r w:rsidR="004A27FF">
              <w:rPr>
                <w:webHidden/>
              </w:rPr>
            </w:r>
            <w:r w:rsidR="004A27FF">
              <w:rPr>
                <w:webHidden/>
              </w:rPr>
              <w:fldChar w:fldCharType="separate"/>
            </w:r>
            <w:r w:rsidR="004A27FF">
              <w:rPr>
                <w:webHidden/>
              </w:rPr>
              <w:t>31</w:t>
            </w:r>
            <w:r w:rsidR="004A27FF">
              <w:rPr>
                <w:webHidden/>
              </w:rPr>
              <w:fldChar w:fldCharType="end"/>
            </w:r>
          </w:hyperlink>
        </w:p>
        <w:p w14:paraId="18E1B24C" w14:textId="77777777" w:rsidR="004A27FF" w:rsidRDefault="00041132">
          <w:pPr>
            <w:pStyle w:val="TOC2"/>
            <w:tabs>
              <w:tab w:val="left" w:pos="1100"/>
            </w:tabs>
            <w:rPr>
              <w:rFonts w:asciiTheme="minorHAnsi" w:eastAsiaTheme="minorEastAsia" w:hAnsiTheme="minorHAnsi"/>
              <w:lang w:eastAsia="en-AU"/>
            </w:rPr>
          </w:pPr>
          <w:hyperlink w:anchor="_Toc486236037" w:history="1">
            <w:r w:rsidR="004A27FF" w:rsidRPr="00A663B9">
              <w:rPr>
                <w:rStyle w:val="Hyperlink"/>
              </w:rPr>
              <w:t>3.4</w:t>
            </w:r>
            <w:r w:rsidR="004A27FF">
              <w:rPr>
                <w:rFonts w:asciiTheme="minorHAnsi" w:eastAsiaTheme="minorEastAsia" w:hAnsiTheme="minorHAnsi"/>
                <w:lang w:eastAsia="en-AU"/>
              </w:rPr>
              <w:tab/>
            </w:r>
            <w:r w:rsidR="004A27FF" w:rsidRPr="00A663B9">
              <w:rPr>
                <w:rStyle w:val="Hyperlink"/>
              </w:rPr>
              <w:t>Regulatory efficiency</w:t>
            </w:r>
            <w:r w:rsidR="004A27FF">
              <w:rPr>
                <w:webHidden/>
              </w:rPr>
              <w:tab/>
            </w:r>
            <w:r w:rsidR="004A27FF">
              <w:rPr>
                <w:webHidden/>
              </w:rPr>
              <w:fldChar w:fldCharType="begin"/>
            </w:r>
            <w:r w:rsidR="004A27FF">
              <w:rPr>
                <w:webHidden/>
              </w:rPr>
              <w:instrText xml:space="preserve"> PAGEREF _Toc486236037 \h </w:instrText>
            </w:r>
            <w:r w:rsidR="004A27FF">
              <w:rPr>
                <w:webHidden/>
              </w:rPr>
            </w:r>
            <w:r w:rsidR="004A27FF">
              <w:rPr>
                <w:webHidden/>
              </w:rPr>
              <w:fldChar w:fldCharType="separate"/>
            </w:r>
            <w:r w:rsidR="004A27FF">
              <w:rPr>
                <w:webHidden/>
              </w:rPr>
              <w:t>32</w:t>
            </w:r>
            <w:r w:rsidR="004A27FF">
              <w:rPr>
                <w:webHidden/>
              </w:rPr>
              <w:fldChar w:fldCharType="end"/>
            </w:r>
          </w:hyperlink>
        </w:p>
        <w:p w14:paraId="2581C85B" w14:textId="77777777" w:rsidR="004A27FF" w:rsidRDefault="00041132">
          <w:pPr>
            <w:pStyle w:val="TOC2"/>
            <w:tabs>
              <w:tab w:val="left" w:pos="1100"/>
            </w:tabs>
            <w:rPr>
              <w:rFonts w:asciiTheme="minorHAnsi" w:eastAsiaTheme="minorEastAsia" w:hAnsiTheme="minorHAnsi"/>
              <w:lang w:eastAsia="en-AU"/>
            </w:rPr>
          </w:pPr>
          <w:hyperlink w:anchor="_Toc486236038" w:history="1">
            <w:r w:rsidR="004A27FF" w:rsidRPr="00A663B9">
              <w:rPr>
                <w:rStyle w:val="Hyperlink"/>
              </w:rPr>
              <w:t>3.5</w:t>
            </w:r>
            <w:r w:rsidR="004A27FF">
              <w:rPr>
                <w:rFonts w:asciiTheme="minorHAnsi" w:eastAsiaTheme="minorEastAsia" w:hAnsiTheme="minorHAnsi"/>
                <w:lang w:eastAsia="en-AU"/>
              </w:rPr>
              <w:tab/>
            </w:r>
            <w:r w:rsidR="004A27FF" w:rsidRPr="00A663B9">
              <w:rPr>
                <w:rStyle w:val="Hyperlink"/>
              </w:rPr>
              <w:t>Aligning the agendas</w:t>
            </w:r>
            <w:r w:rsidR="004A27FF">
              <w:rPr>
                <w:webHidden/>
              </w:rPr>
              <w:tab/>
            </w:r>
            <w:r w:rsidR="004A27FF">
              <w:rPr>
                <w:webHidden/>
              </w:rPr>
              <w:fldChar w:fldCharType="begin"/>
            </w:r>
            <w:r w:rsidR="004A27FF">
              <w:rPr>
                <w:webHidden/>
              </w:rPr>
              <w:instrText xml:space="preserve"> PAGEREF _Toc486236038 \h </w:instrText>
            </w:r>
            <w:r w:rsidR="004A27FF">
              <w:rPr>
                <w:webHidden/>
              </w:rPr>
            </w:r>
            <w:r w:rsidR="004A27FF">
              <w:rPr>
                <w:webHidden/>
              </w:rPr>
              <w:fldChar w:fldCharType="separate"/>
            </w:r>
            <w:r w:rsidR="004A27FF">
              <w:rPr>
                <w:webHidden/>
              </w:rPr>
              <w:t>34</w:t>
            </w:r>
            <w:r w:rsidR="004A27FF">
              <w:rPr>
                <w:webHidden/>
              </w:rPr>
              <w:fldChar w:fldCharType="end"/>
            </w:r>
          </w:hyperlink>
        </w:p>
        <w:p w14:paraId="7EF00E1E" w14:textId="77777777" w:rsidR="004A27FF" w:rsidRDefault="00041132">
          <w:pPr>
            <w:pStyle w:val="TOC1"/>
            <w:rPr>
              <w:rFonts w:asciiTheme="minorHAnsi" w:eastAsiaTheme="minorEastAsia" w:hAnsiTheme="minorHAnsi"/>
              <w:b w:val="0"/>
              <w:lang w:eastAsia="en-AU"/>
            </w:rPr>
          </w:pPr>
          <w:hyperlink w:anchor="_Toc486236039" w:history="1">
            <w:r w:rsidR="004A27FF" w:rsidRPr="00A663B9">
              <w:rPr>
                <w:rStyle w:val="Hyperlink"/>
              </w:rPr>
              <w:t>4</w:t>
            </w:r>
            <w:r w:rsidR="004A27FF">
              <w:rPr>
                <w:rFonts w:asciiTheme="minorHAnsi" w:eastAsiaTheme="minorEastAsia" w:hAnsiTheme="minorHAnsi"/>
                <w:b w:val="0"/>
                <w:lang w:eastAsia="en-AU"/>
              </w:rPr>
              <w:tab/>
            </w:r>
            <w:r w:rsidR="004A27FF" w:rsidRPr="00A663B9">
              <w:rPr>
                <w:rStyle w:val="Hyperlink"/>
              </w:rPr>
              <w:t>Stronger environmental biosecurity</w:t>
            </w:r>
            <w:r w:rsidR="004A27FF">
              <w:rPr>
                <w:webHidden/>
              </w:rPr>
              <w:tab/>
            </w:r>
            <w:r w:rsidR="004A27FF">
              <w:rPr>
                <w:webHidden/>
              </w:rPr>
              <w:fldChar w:fldCharType="begin"/>
            </w:r>
            <w:r w:rsidR="004A27FF">
              <w:rPr>
                <w:webHidden/>
              </w:rPr>
              <w:instrText xml:space="preserve"> PAGEREF _Toc486236039 \h </w:instrText>
            </w:r>
            <w:r w:rsidR="004A27FF">
              <w:rPr>
                <w:webHidden/>
              </w:rPr>
            </w:r>
            <w:r w:rsidR="004A27FF">
              <w:rPr>
                <w:webHidden/>
              </w:rPr>
              <w:fldChar w:fldCharType="separate"/>
            </w:r>
            <w:r w:rsidR="004A27FF">
              <w:rPr>
                <w:webHidden/>
              </w:rPr>
              <w:t>36</w:t>
            </w:r>
            <w:r w:rsidR="004A27FF">
              <w:rPr>
                <w:webHidden/>
              </w:rPr>
              <w:fldChar w:fldCharType="end"/>
            </w:r>
          </w:hyperlink>
        </w:p>
        <w:p w14:paraId="5A5A848A" w14:textId="77777777" w:rsidR="004A27FF" w:rsidRDefault="00041132">
          <w:pPr>
            <w:pStyle w:val="TOC2"/>
            <w:tabs>
              <w:tab w:val="left" w:pos="1100"/>
            </w:tabs>
            <w:rPr>
              <w:rFonts w:asciiTheme="minorHAnsi" w:eastAsiaTheme="minorEastAsia" w:hAnsiTheme="minorHAnsi"/>
              <w:lang w:eastAsia="en-AU"/>
            </w:rPr>
          </w:pPr>
          <w:hyperlink w:anchor="_Toc486236040" w:history="1">
            <w:r w:rsidR="004A27FF" w:rsidRPr="00A663B9">
              <w:rPr>
                <w:rStyle w:val="Hyperlink"/>
                <w:lang w:eastAsia="ja-JP"/>
              </w:rPr>
              <w:t>4.1</w:t>
            </w:r>
            <w:r w:rsidR="004A27FF">
              <w:rPr>
                <w:rFonts w:asciiTheme="minorHAnsi" w:eastAsiaTheme="minorEastAsia" w:hAnsiTheme="minorHAnsi"/>
                <w:lang w:eastAsia="en-AU"/>
              </w:rPr>
              <w:tab/>
            </w:r>
            <w:r w:rsidR="004A27FF" w:rsidRPr="00A663B9">
              <w:rPr>
                <w:rStyle w:val="Hyperlink"/>
                <w:lang w:eastAsia="ja-JP"/>
              </w:rPr>
              <w:t>The problem for governments</w:t>
            </w:r>
            <w:r w:rsidR="004A27FF">
              <w:rPr>
                <w:webHidden/>
              </w:rPr>
              <w:tab/>
            </w:r>
            <w:r w:rsidR="004A27FF">
              <w:rPr>
                <w:webHidden/>
              </w:rPr>
              <w:fldChar w:fldCharType="begin"/>
            </w:r>
            <w:r w:rsidR="004A27FF">
              <w:rPr>
                <w:webHidden/>
              </w:rPr>
              <w:instrText xml:space="preserve"> PAGEREF _Toc486236040 \h </w:instrText>
            </w:r>
            <w:r w:rsidR="004A27FF">
              <w:rPr>
                <w:webHidden/>
              </w:rPr>
            </w:r>
            <w:r w:rsidR="004A27FF">
              <w:rPr>
                <w:webHidden/>
              </w:rPr>
              <w:fldChar w:fldCharType="separate"/>
            </w:r>
            <w:r w:rsidR="004A27FF">
              <w:rPr>
                <w:webHidden/>
              </w:rPr>
              <w:t>37</w:t>
            </w:r>
            <w:r w:rsidR="004A27FF">
              <w:rPr>
                <w:webHidden/>
              </w:rPr>
              <w:fldChar w:fldCharType="end"/>
            </w:r>
          </w:hyperlink>
        </w:p>
        <w:p w14:paraId="5D9B94D9" w14:textId="77777777" w:rsidR="004A27FF" w:rsidRDefault="00041132">
          <w:pPr>
            <w:pStyle w:val="TOC2"/>
            <w:tabs>
              <w:tab w:val="left" w:pos="1100"/>
            </w:tabs>
            <w:rPr>
              <w:rFonts w:asciiTheme="minorHAnsi" w:eastAsiaTheme="minorEastAsia" w:hAnsiTheme="minorHAnsi"/>
              <w:lang w:eastAsia="en-AU"/>
            </w:rPr>
          </w:pPr>
          <w:hyperlink w:anchor="_Toc486236041" w:history="1">
            <w:r w:rsidR="004A27FF" w:rsidRPr="00A663B9">
              <w:rPr>
                <w:rStyle w:val="Hyperlink"/>
              </w:rPr>
              <w:t>4.2</w:t>
            </w:r>
            <w:r w:rsidR="004A27FF">
              <w:rPr>
                <w:rFonts w:asciiTheme="minorHAnsi" w:eastAsiaTheme="minorEastAsia" w:hAnsiTheme="minorHAnsi"/>
                <w:lang w:eastAsia="en-AU"/>
              </w:rPr>
              <w:tab/>
            </w:r>
            <w:r w:rsidR="004A27FF" w:rsidRPr="00A663B9">
              <w:rPr>
                <w:rStyle w:val="Hyperlink"/>
              </w:rPr>
              <w:t>Views on environmental biosecurity</w:t>
            </w:r>
            <w:r w:rsidR="004A27FF">
              <w:rPr>
                <w:webHidden/>
              </w:rPr>
              <w:tab/>
            </w:r>
            <w:r w:rsidR="004A27FF">
              <w:rPr>
                <w:webHidden/>
              </w:rPr>
              <w:fldChar w:fldCharType="begin"/>
            </w:r>
            <w:r w:rsidR="004A27FF">
              <w:rPr>
                <w:webHidden/>
              </w:rPr>
              <w:instrText xml:space="preserve"> PAGEREF _Toc486236041 \h </w:instrText>
            </w:r>
            <w:r w:rsidR="004A27FF">
              <w:rPr>
                <w:webHidden/>
              </w:rPr>
            </w:r>
            <w:r w:rsidR="004A27FF">
              <w:rPr>
                <w:webHidden/>
              </w:rPr>
              <w:fldChar w:fldCharType="separate"/>
            </w:r>
            <w:r w:rsidR="004A27FF">
              <w:rPr>
                <w:webHidden/>
              </w:rPr>
              <w:t>40</w:t>
            </w:r>
            <w:r w:rsidR="004A27FF">
              <w:rPr>
                <w:webHidden/>
              </w:rPr>
              <w:fldChar w:fldCharType="end"/>
            </w:r>
          </w:hyperlink>
        </w:p>
        <w:p w14:paraId="34AA2632" w14:textId="77777777" w:rsidR="004A27FF" w:rsidRDefault="00041132">
          <w:pPr>
            <w:pStyle w:val="TOC2"/>
            <w:tabs>
              <w:tab w:val="left" w:pos="1100"/>
            </w:tabs>
            <w:rPr>
              <w:rFonts w:asciiTheme="minorHAnsi" w:eastAsiaTheme="minorEastAsia" w:hAnsiTheme="minorHAnsi"/>
              <w:lang w:eastAsia="en-AU"/>
            </w:rPr>
          </w:pPr>
          <w:hyperlink w:anchor="_Toc486236042" w:history="1">
            <w:r w:rsidR="004A27FF" w:rsidRPr="00A663B9">
              <w:rPr>
                <w:rStyle w:val="Hyperlink"/>
              </w:rPr>
              <w:t>4.3</w:t>
            </w:r>
            <w:r w:rsidR="004A27FF">
              <w:rPr>
                <w:rFonts w:asciiTheme="minorHAnsi" w:eastAsiaTheme="minorEastAsia" w:hAnsiTheme="minorHAnsi"/>
                <w:lang w:eastAsia="en-AU"/>
              </w:rPr>
              <w:tab/>
            </w:r>
            <w:r w:rsidR="004A27FF" w:rsidRPr="00A663B9">
              <w:rPr>
                <w:rStyle w:val="Hyperlink"/>
              </w:rPr>
              <w:t>Governing for environmental outcomes</w:t>
            </w:r>
            <w:r w:rsidR="004A27FF">
              <w:rPr>
                <w:webHidden/>
              </w:rPr>
              <w:tab/>
            </w:r>
            <w:r w:rsidR="004A27FF">
              <w:rPr>
                <w:webHidden/>
              </w:rPr>
              <w:fldChar w:fldCharType="begin"/>
            </w:r>
            <w:r w:rsidR="004A27FF">
              <w:rPr>
                <w:webHidden/>
              </w:rPr>
              <w:instrText xml:space="preserve"> PAGEREF _Toc486236042 \h </w:instrText>
            </w:r>
            <w:r w:rsidR="004A27FF">
              <w:rPr>
                <w:webHidden/>
              </w:rPr>
            </w:r>
            <w:r w:rsidR="004A27FF">
              <w:rPr>
                <w:webHidden/>
              </w:rPr>
              <w:fldChar w:fldCharType="separate"/>
            </w:r>
            <w:r w:rsidR="004A27FF">
              <w:rPr>
                <w:webHidden/>
              </w:rPr>
              <w:t>43</w:t>
            </w:r>
            <w:r w:rsidR="004A27FF">
              <w:rPr>
                <w:webHidden/>
              </w:rPr>
              <w:fldChar w:fldCharType="end"/>
            </w:r>
          </w:hyperlink>
        </w:p>
        <w:p w14:paraId="7E880C13" w14:textId="77777777" w:rsidR="004A27FF" w:rsidRDefault="00041132">
          <w:pPr>
            <w:pStyle w:val="TOC2"/>
            <w:tabs>
              <w:tab w:val="left" w:pos="1100"/>
            </w:tabs>
            <w:rPr>
              <w:rFonts w:asciiTheme="minorHAnsi" w:eastAsiaTheme="minorEastAsia" w:hAnsiTheme="minorHAnsi"/>
              <w:lang w:eastAsia="en-AU"/>
            </w:rPr>
          </w:pPr>
          <w:hyperlink w:anchor="_Toc486236043" w:history="1">
            <w:r w:rsidR="004A27FF" w:rsidRPr="00A663B9">
              <w:rPr>
                <w:rStyle w:val="Hyperlink"/>
              </w:rPr>
              <w:t>4.4</w:t>
            </w:r>
            <w:r w:rsidR="004A27FF">
              <w:rPr>
                <w:rFonts w:asciiTheme="minorHAnsi" w:eastAsiaTheme="minorEastAsia" w:hAnsiTheme="minorHAnsi"/>
                <w:lang w:eastAsia="en-AU"/>
              </w:rPr>
              <w:tab/>
            </w:r>
            <w:r w:rsidR="004A27FF" w:rsidRPr="00A663B9">
              <w:rPr>
                <w:rStyle w:val="Hyperlink"/>
              </w:rPr>
              <w:t>Institutionalising environmental biosecurity</w:t>
            </w:r>
            <w:r w:rsidR="004A27FF">
              <w:rPr>
                <w:webHidden/>
              </w:rPr>
              <w:tab/>
            </w:r>
            <w:r w:rsidR="004A27FF">
              <w:rPr>
                <w:webHidden/>
              </w:rPr>
              <w:fldChar w:fldCharType="begin"/>
            </w:r>
            <w:r w:rsidR="004A27FF">
              <w:rPr>
                <w:webHidden/>
              </w:rPr>
              <w:instrText xml:space="preserve"> PAGEREF _Toc486236043 \h </w:instrText>
            </w:r>
            <w:r w:rsidR="004A27FF">
              <w:rPr>
                <w:webHidden/>
              </w:rPr>
            </w:r>
            <w:r w:rsidR="004A27FF">
              <w:rPr>
                <w:webHidden/>
              </w:rPr>
              <w:fldChar w:fldCharType="separate"/>
            </w:r>
            <w:r w:rsidR="004A27FF">
              <w:rPr>
                <w:webHidden/>
              </w:rPr>
              <w:t>45</w:t>
            </w:r>
            <w:r w:rsidR="004A27FF">
              <w:rPr>
                <w:webHidden/>
              </w:rPr>
              <w:fldChar w:fldCharType="end"/>
            </w:r>
          </w:hyperlink>
        </w:p>
        <w:p w14:paraId="444432C8" w14:textId="77777777" w:rsidR="004A27FF" w:rsidRDefault="00041132">
          <w:pPr>
            <w:pStyle w:val="TOC1"/>
            <w:rPr>
              <w:rFonts w:asciiTheme="minorHAnsi" w:eastAsiaTheme="minorEastAsia" w:hAnsiTheme="minorHAnsi"/>
              <w:b w:val="0"/>
              <w:lang w:eastAsia="en-AU"/>
            </w:rPr>
          </w:pPr>
          <w:hyperlink w:anchor="_Toc486236044" w:history="1">
            <w:r w:rsidR="004A27FF" w:rsidRPr="00A663B9">
              <w:rPr>
                <w:rStyle w:val="Hyperlink"/>
              </w:rPr>
              <w:t>5</w:t>
            </w:r>
            <w:r w:rsidR="004A27FF">
              <w:rPr>
                <w:rFonts w:asciiTheme="minorHAnsi" w:eastAsiaTheme="minorEastAsia" w:hAnsiTheme="minorHAnsi"/>
                <w:b w:val="0"/>
                <w:lang w:eastAsia="en-AU"/>
              </w:rPr>
              <w:tab/>
            </w:r>
            <w:r w:rsidR="004A27FF" w:rsidRPr="00A663B9">
              <w:rPr>
                <w:rStyle w:val="Hyperlink"/>
              </w:rPr>
              <w:t>Building the national system: pest by pest; disease by disease</w:t>
            </w:r>
            <w:r w:rsidR="004A27FF">
              <w:rPr>
                <w:webHidden/>
              </w:rPr>
              <w:tab/>
            </w:r>
            <w:r w:rsidR="004A27FF">
              <w:rPr>
                <w:webHidden/>
              </w:rPr>
              <w:fldChar w:fldCharType="begin"/>
            </w:r>
            <w:r w:rsidR="004A27FF">
              <w:rPr>
                <w:webHidden/>
              </w:rPr>
              <w:instrText xml:space="preserve"> PAGEREF _Toc486236044 \h </w:instrText>
            </w:r>
            <w:r w:rsidR="004A27FF">
              <w:rPr>
                <w:webHidden/>
              </w:rPr>
            </w:r>
            <w:r w:rsidR="004A27FF">
              <w:rPr>
                <w:webHidden/>
              </w:rPr>
              <w:fldChar w:fldCharType="separate"/>
            </w:r>
            <w:r w:rsidR="004A27FF">
              <w:rPr>
                <w:webHidden/>
              </w:rPr>
              <w:t>49</w:t>
            </w:r>
            <w:r w:rsidR="004A27FF">
              <w:rPr>
                <w:webHidden/>
              </w:rPr>
              <w:fldChar w:fldCharType="end"/>
            </w:r>
          </w:hyperlink>
        </w:p>
        <w:p w14:paraId="075D027E" w14:textId="77777777" w:rsidR="004A27FF" w:rsidRDefault="00041132">
          <w:pPr>
            <w:pStyle w:val="TOC2"/>
            <w:tabs>
              <w:tab w:val="left" w:pos="1100"/>
            </w:tabs>
            <w:rPr>
              <w:rFonts w:asciiTheme="minorHAnsi" w:eastAsiaTheme="minorEastAsia" w:hAnsiTheme="minorHAnsi"/>
              <w:lang w:eastAsia="en-AU"/>
            </w:rPr>
          </w:pPr>
          <w:hyperlink w:anchor="_Toc486236045" w:history="1">
            <w:r w:rsidR="004A27FF" w:rsidRPr="00A663B9">
              <w:rPr>
                <w:rStyle w:val="Hyperlink"/>
                <w:lang w:eastAsia="ja-JP"/>
              </w:rPr>
              <w:t>5.1</w:t>
            </w:r>
            <w:r w:rsidR="004A27FF">
              <w:rPr>
                <w:rFonts w:asciiTheme="minorHAnsi" w:eastAsiaTheme="minorEastAsia" w:hAnsiTheme="minorHAnsi"/>
                <w:lang w:eastAsia="en-AU"/>
              </w:rPr>
              <w:tab/>
            </w:r>
            <w:r w:rsidR="004A27FF" w:rsidRPr="00A663B9">
              <w:rPr>
                <w:rStyle w:val="Hyperlink"/>
                <w:lang w:eastAsia="ja-JP"/>
              </w:rPr>
              <w:t>Determining national priorities</w:t>
            </w:r>
            <w:r w:rsidR="004A27FF">
              <w:rPr>
                <w:webHidden/>
              </w:rPr>
              <w:tab/>
            </w:r>
            <w:r w:rsidR="004A27FF">
              <w:rPr>
                <w:webHidden/>
              </w:rPr>
              <w:fldChar w:fldCharType="begin"/>
            </w:r>
            <w:r w:rsidR="004A27FF">
              <w:rPr>
                <w:webHidden/>
              </w:rPr>
              <w:instrText xml:space="preserve"> PAGEREF _Toc486236045 \h </w:instrText>
            </w:r>
            <w:r w:rsidR="004A27FF">
              <w:rPr>
                <w:webHidden/>
              </w:rPr>
            </w:r>
            <w:r w:rsidR="004A27FF">
              <w:rPr>
                <w:webHidden/>
              </w:rPr>
              <w:fldChar w:fldCharType="separate"/>
            </w:r>
            <w:r w:rsidR="004A27FF">
              <w:rPr>
                <w:webHidden/>
              </w:rPr>
              <w:t>50</w:t>
            </w:r>
            <w:r w:rsidR="004A27FF">
              <w:rPr>
                <w:webHidden/>
              </w:rPr>
              <w:fldChar w:fldCharType="end"/>
            </w:r>
          </w:hyperlink>
        </w:p>
        <w:p w14:paraId="16355B77" w14:textId="77777777" w:rsidR="004A27FF" w:rsidRDefault="00041132">
          <w:pPr>
            <w:pStyle w:val="TOC2"/>
            <w:tabs>
              <w:tab w:val="left" w:pos="1100"/>
            </w:tabs>
            <w:rPr>
              <w:rFonts w:asciiTheme="minorHAnsi" w:eastAsiaTheme="minorEastAsia" w:hAnsiTheme="minorHAnsi"/>
              <w:lang w:eastAsia="en-AU"/>
            </w:rPr>
          </w:pPr>
          <w:hyperlink w:anchor="_Toc486236046" w:history="1">
            <w:r w:rsidR="004A27FF" w:rsidRPr="00A663B9">
              <w:rPr>
                <w:rStyle w:val="Hyperlink"/>
                <w:lang w:eastAsia="ja-JP"/>
              </w:rPr>
              <w:t>5.2</w:t>
            </w:r>
            <w:r w:rsidR="004A27FF">
              <w:rPr>
                <w:rFonts w:asciiTheme="minorHAnsi" w:eastAsiaTheme="minorEastAsia" w:hAnsiTheme="minorHAnsi"/>
                <w:lang w:eastAsia="en-AU"/>
              </w:rPr>
              <w:tab/>
            </w:r>
            <w:r w:rsidR="004A27FF" w:rsidRPr="00A663B9">
              <w:rPr>
                <w:rStyle w:val="Hyperlink"/>
                <w:lang w:eastAsia="ja-JP"/>
              </w:rPr>
              <w:t>Benefits and opportunities</w:t>
            </w:r>
            <w:r w:rsidR="004A27FF">
              <w:rPr>
                <w:webHidden/>
              </w:rPr>
              <w:tab/>
            </w:r>
            <w:r w:rsidR="004A27FF">
              <w:rPr>
                <w:webHidden/>
              </w:rPr>
              <w:fldChar w:fldCharType="begin"/>
            </w:r>
            <w:r w:rsidR="004A27FF">
              <w:rPr>
                <w:webHidden/>
              </w:rPr>
              <w:instrText xml:space="preserve"> PAGEREF _Toc486236046 \h </w:instrText>
            </w:r>
            <w:r w:rsidR="004A27FF">
              <w:rPr>
                <w:webHidden/>
              </w:rPr>
            </w:r>
            <w:r w:rsidR="004A27FF">
              <w:rPr>
                <w:webHidden/>
              </w:rPr>
              <w:fldChar w:fldCharType="separate"/>
            </w:r>
            <w:r w:rsidR="004A27FF">
              <w:rPr>
                <w:webHidden/>
              </w:rPr>
              <w:t>58</w:t>
            </w:r>
            <w:r w:rsidR="004A27FF">
              <w:rPr>
                <w:webHidden/>
              </w:rPr>
              <w:fldChar w:fldCharType="end"/>
            </w:r>
          </w:hyperlink>
        </w:p>
        <w:p w14:paraId="1802A6D8" w14:textId="77777777" w:rsidR="004A27FF" w:rsidRDefault="00041132">
          <w:pPr>
            <w:pStyle w:val="TOC1"/>
            <w:rPr>
              <w:rFonts w:asciiTheme="minorHAnsi" w:eastAsiaTheme="minorEastAsia" w:hAnsiTheme="minorHAnsi"/>
              <w:b w:val="0"/>
              <w:lang w:eastAsia="en-AU"/>
            </w:rPr>
          </w:pPr>
          <w:hyperlink w:anchor="_Toc486236047" w:history="1">
            <w:r w:rsidR="004A27FF" w:rsidRPr="00A663B9">
              <w:rPr>
                <w:rStyle w:val="Hyperlink"/>
              </w:rPr>
              <w:t>6</w:t>
            </w:r>
            <w:r w:rsidR="004A27FF">
              <w:rPr>
                <w:rFonts w:asciiTheme="minorHAnsi" w:eastAsiaTheme="minorEastAsia" w:hAnsiTheme="minorHAnsi"/>
                <w:b w:val="0"/>
                <w:lang w:eastAsia="en-AU"/>
              </w:rPr>
              <w:tab/>
            </w:r>
            <w:r w:rsidR="004A27FF" w:rsidRPr="00A663B9">
              <w:rPr>
                <w:rStyle w:val="Hyperlink"/>
              </w:rPr>
              <w:t>Research and innovation</w:t>
            </w:r>
            <w:r w:rsidR="004A27FF">
              <w:rPr>
                <w:webHidden/>
              </w:rPr>
              <w:tab/>
            </w:r>
            <w:r w:rsidR="004A27FF">
              <w:rPr>
                <w:webHidden/>
              </w:rPr>
              <w:fldChar w:fldCharType="begin"/>
            </w:r>
            <w:r w:rsidR="004A27FF">
              <w:rPr>
                <w:webHidden/>
              </w:rPr>
              <w:instrText xml:space="preserve"> PAGEREF _Toc486236047 \h </w:instrText>
            </w:r>
            <w:r w:rsidR="004A27FF">
              <w:rPr>
                <w:webHidden/>
              </w:rPr>
            </w:r>
            <w:r w:rsidR="004A27FF">
              <w:rPr>
                <w:webHidden/>
              </w:rPr>
              <w:fldChar w:fldCharType="separate"/>
            </w:r>
            <w:r w:rsidR="004A27FF">
              <w:rPr>
                <w:webHidden/>
              </w:rPr>
              <w:t>60</w:t>
            </w:r>
            <w:r w:rsidR="004A27FF">
              <w:rPr>
                <w:webHidden/>
              </w:rPr>
              <w:fldChar w:fldCharType="end"/>
            </w:r>
          </w:hyperlink>
        </w:p>
        <w:p w14:paraId="38C7724D" w14:textId="77777777" w:rsidR="004A27FF" w:rsidRDefault="00041132">
          <w:pPr>
            <w:pStyle w:val="TOC2"/>
            <w:tabs>
              <w:tab w:val="left" w:pos="1100"/>
            </w:tabs>
            <w:rPr>
              <w:rFonts w:asciiTheme="minorHAnsi" w:eastAsiaTheme="minorEastAsia" w:hAnsiTheme="minorHAnsi"/>
              <w:lang w:eastAsia="en-AU"/>
            </w:rPr>
          </w:pPr>
          <w:hyperlink w:anchor="_Toc486236048" w:history="1">
            <w:r w:rsidR="004A27FF" w:rsidRPr="00A663B9">
              <w:rPr>
                <w:rStyle w:val="Hyperlink"/>
                <w:lang w:eastAsia="ja-JP"/>
              </w:rPr>
              <w:t>6.1</w:t>
            </w:r>
            <w:r w:rsidR="004A27FF">
              <w:rPr>
                <w:rFonts w:asciiTheme="minorHAnsi" w:eastAsiaTheme="minorEastAsia" w:hAnsiTheme="minorHAnsi"/>
                <w:lang w:eastAsia="en-AU"/>
              </w:rPr>
              <w:tab/>
            </w:r>
            <w:r w:rsidR="004A27FF" w:rsidRPr="00A663B9">
              <w:rPr>
                <w:rStyle w:val="Hyperlink"/>
                <w:lang w:eastAsia="ja-JP"/>
              </w:rPr>
              <w:t>The key role of biosecurity R&amp;I</w:t>
            </w:r>
            <w:r w:rsidR="004A27FF">
              <w:rPr>
                <w:webHidden/>
              </w:rPr>
              <w:tab/>
            </w:r>
            <w:r w:rsidR="004A27FF">
              <w:rPr>
                <w:webHidden/>
              </w:rPr>
              <w:fldChar w:fldCharType="begin"/>
            </w:r>
            <w:r w:rsidR="004A27FF">
              <w:rPr>
                <w:webHidden/>
              </w:rPr>
              <w:instrText xml:space="preserve"> PAGEREF _Toc486236048 \h </w:instrText>
            </w:r>
            <w:r w:rsidR="004A27FF">
              <w:rPr>
                <w:webHidden/>
              </w:rPr>
            </w:r>
            <w:r w:rsidR="004A27FF">
              <w:rPr>
                <w:webHidden/>
              </w:rPr>
              <w:fldChar w:fldCharType="separate"/>
            </w:r>
            <w:r w:rsidR="004A27FF">
              <w:rPr>
                <w:webHidden/>
              </w:rPr>
              <w:t>60</w:t>
            </w:r>
            <w:r w:rsidR="004A27FF">
              <w:rPr>
                <w:webHidden/>
              </w:rPr>
              <w:fldChar w:fldCharType="end"/>
            </w:r>
          </w:hyperlink>
        </w:p>
        <w:p w14:paraId="5678D8E6" w14:textId="77777777" w:rsidR="004A27FF" w:rsidRDefault="00041132">
          <w:pPr>
            <w:pStyle w:val="TOC2"/>
            <w:tabs>
              <w:tab w:val="left" w:pos="1100"/>
            </w:tabs>
            <w:rPr>
              <w:rFonts w:asciiTheme="minorHAnsi" w:eastAsiaTheme="minorEastAsia" w:hAnsiTheme="minorHAnsi"/>
              <w:lang w:eastAsia="en-AU"/>
            </w:rPr>
          </w:pPr>
          <w:hyperlink w:anchor="_Toc486236049" w:history="1">
            <w:r w:rsidR="004A27FF" w:rsidRPr="00A663B9">
              <w:rPr>
                <w:rStyle w:val="Hyperlink"/>
              </w:rPr>
              <w:t>6.2</w:t>
            </w:r>
            <w:r w:rsidR="004A27FF">
              <w:rPr>
                <w:rFonts w:asciiTheme="minorHAnsi" w:eastAsiaTheme="minorEastAsia" w:hAnsiTheme="minorHAnsi"/>
                <w:lang w:eastAsia="en-AU"/>
              </w:rPr>
              <w:tab/>
            </w:r>
            <w:r w:rsidR="004A27FF" w:rsidRPr="00A663B9">
              <w:rPr>
                <w:rStyle w:val="Hyperlink"/>
              </w:rPr>
              <w:t>Current state</w:t>
            </w:r>
            <w:r w:rsidR="004A27FF">
              <w:rPr>
                <w:webHidden/>
              </w:rPr>
              <w:tab/>
            </w:r>
            <w:r w:rsidR="004A27FF">
              <w:rPr>
                <w:webHidden/>
              </w:rPr>
              <w:fldChar w:fldCharType="begin"/>
            </w:r>
            <w:r w:rsidR="004A27FF">
              <w:rPr>
                <w:webHidden/>
              </w:rPr>
              <w:instrText xml:space="preserve"> PAGEREF _Toc486236049 \h </w:instrText>
            </w:r>
            <w:r w:rsidR="004A27FF">
              <w:rPr>
                <w:webHidden/>
              </w:rPr>
            </w:r>
            <w:r w:rsidR="004A27FF">
              <w:rPr>
                <w:webHidden/>
              </w:rPr>
              <w:fldChar w:fldCharType="separate"/>
            </w:r>
            <w:r w:rsidR="004A27FF">
              <w:rPr>
                <w:webHidden/>
              </w:rPr>
              <w:t>62</w:t>
            </w:r>
            <w:r w:rsidR="004A27FF">
              <w:rPr>
                <w:webHidden/>
              </w:rPr>
              <w:fldChar w:fldCharType="end"/>
            </w:r>
          </w:hyperlink>
        </w:p>
        <w:p w14:paraId="7525E317" w14:textId="77777777" w:rsidR="004A27FF" w:rsidRDefault="00041132">
          <w:pPr>
            <w:pStyle w:val="TOC2"/>
            <w:tabs>
              <w:tab w:val="left" w:pos="1100"/>
            </w:tabs>
            <w:rPr>
              <w:rFonts w:asciiTheme="minorHAnsi" w:eastAsiaTheme="minorEastAsia" w:hAnsiTheme="minorHAnsi"/>
              <w:lang w:eastAsia="en-AU"/>
            </w:rPr>
          </w:pPr>
          <w:hyperlink w:anchor="_Toc486236050" w:history="1">
            <w:r w:rsidR="004A27FF" w:rsidRPr="00A663B9">
              <w:rPr>
                <w:rStyle w:val="Hyperlink"/>
              </w:rPr>
              <w:t>6.3</w:t>
            </w:r>
            <w:r w:rsidR="004A27FF">
              <w:rPr>
                <w:rFonts w:asciiTheme="minorHAnsi" w:eastAsiaTheme="minorEastAsia" w:hAnsiTheme="minorHAnsi"/>
                <w:lang w:eastAsia="en-AU"/>
              </w:rPr>
              <w:tab/>
            </w:r>
            <w:r w:rsidR="004A27FF" w:rsidRPr="00A663B9">
              <w:rPr>
                <w:rStyle w:val="Hyperlink"/>
              </w:rPr>
              <w:t>Future-focused biosecurity R&amp;I</w:t>
            </w:r>
            <w:r w:rsidR="004A27FF">
              <w:rPr>
                <w:webHidden/>
              </w:rPr>
              <w:tab/>
            </w:r>
            <w:r w:rsidR="004A27FF">
              <w:rPr>
                <w:webHidden/>
              </w:rPr>
              <w:fldChar w:fldCharType="begin"/>
            </w:r>
            <w:r w:rsidR="004A27FF">
              <w:rPr>
                <w:webHidden/>
              </w:rPr>
              <w:instrText xml:space="preserve"> PAGEREF _Toc486236050 \h </w:instrText>
            </w:r>
            <w:r w:rsidR="004A27FF">
              <w:rPr>
                <w:webHidden/>
              </w:rPr>
            </w:r>
            <w:r w:rsidR="004A27FF">
              <w:rPr>
                <w:webHidden/>
              </w:rPr>
              <w:fldChar w:fldCharType="separate"/>
            </w:r>
            <w:r w:rsidR="004A27FF">
              <w:rPr>
                <w:webHidden/>
              </w:rPr>
              <w:t>71</w:t>
            </w:r>
            <w:r w:rsidR="004A27FF">
              <w:rPr>
                <w:webHidden/>
              </w:rPr>
              <w:fldChar w:fldCharType="end"/>
            </w:r>
          </w:hyperlink>
        </w:p>
        <w:p w14:paraId="4985ED01" w14:textId="77777777" w:rsidR="004A27FF" w:rsidRDefault="00041132">
          <w:pPr>
            <w:pStyle w:val="TOC1"/>
            <w:rPr>
              <w:rFonts w:asciiTheme="minorHAnsi" w:eastAsiaTheme="minorEastAsia" w:hAnsiTheme="minorHAnsi"/>
              <w:b w:val="0"/>
              <w:lang w:eastAsia="en-AU"/>
            </w:rPr>
          </w:pPr>
          <w:hyperlink w:anchor="_Toc486236051" w:history="1">
            <w:r w:rsidR="004A27FF" w:rsidRPr="00A663B9">
              <w:rPr>
                <w:rStyle w:val="Hyperlink"/>
              </w:rPr>
              <w:t>7</w:t>
            </w:r>
            <w:r w:rsidR="004A27FF">
              <w:rPr>
                <w:rFonts w:asciiTheme="minorHAnsi" w:eastAsiaTheme="minorEastAsia" w:hAnsiTheme="minorHAnsi"/>
                <w:b w:val="0"/>
                <w:lang w:eastAsia="en-AU"/>
              </w:rPr>
              <w:tab/>
            </w:r>
            <w:r w:rsidR="004A27FF" w:rsidRPr="00A663B9">
              <w:rPr>
                <w:rStyle w:val="Hyperlink"/>
              </w:rPr>
              <w:t>Strengthening governance</w:t>
            </w:r>
            <w:r w:rsidR="004A27FF">
              <w:rPr>
                <w:webHidden/>
              </w:rPr>
              <w:tab/>
            </w:r>
            <w:r w:rsidR="004A27FF">
              <w:rPr>
                <w:webHidden/>
              </w:rPr>
              <w:fldChar w:fldCharType="begin"/>
            </w:r>
            <w:r w:rsidR="004A27FF">
              <w:rPr>
                <w:webHidden/>
              </w:rPr>
              <w:instrText xml:space="preserve"> PAGEREF _Toc486236051 \h </w:instrText>
            </w:r>
            <w:r w:rsidR="004A27FF">
              <w:rPr>
                <w:webHidden/>
              </w:rPr>
            </w:r>
            <w:r w:rsidR="004A27FF">
              <w:rPr>
                <w:webHidden/>
              </w:rPr>
              <w:fldChar w:fldCharType="separate"/>
            </w:r>
            <w:r w:rsidR="004A27FF">
              <w:rPr>
                <w:webHidden/>
              </w:rPr>
              <w:t>76</w:t>
            </w:r>
            <w:r w:rsidR="004A27FF">
              <w:rPr>
                <w:webHidden/>
              </w:rPr>
              <w:fldChar w:fldCharType="end"/>
            </w:r>
          </w:hyperlink>
        </w:p>
        <w:p w14:paraId="31E21EC0" w14:textId="77777777" w:rsidR="004A27FF" w:rsidRDefault="00041132">
          <w:pPr>
            <w:pStyle w:val="TOC2"/>
            <w:tabs>
              <w:tab w:val="left" w:pos="1100"/>
            </w:tabs>
            <w:rPr>
              <w:rFonts w:asciiTheme="minorHAnsi" w:eastAsiaTheme="minorEastAsia" w:hAnsiTheme="minorHAnsi"/>
              <w:lang w:eastAsia="en-AU"/>
            </w:rPr>
          </w:pPr>
          <w:hyperlink w:anchor="_Toc486236052" w:history="1">
            <w:r w:rsidR="004A27FF" w:rsidRPr="00A663B9">
              <w:rPr>
                <w:rStyle w:val="Hyperlink"/>
                <w:lang w:eastAsia="ja-JP"/>
              </w:rPr>
              <w:t>7.1</w:t>
            </w:r>
            <w:r w:rsidR="004A27FF">
              <w:rPr>
                <w:rFonts w:asciiTheme="minorHAnsi" w:eastAsiaTheme="minorEastAsia" w:hAnsiTheme="minorHAnsi"/>
                <w:lang w:eastAsia="en-AU"/>
              </w:rPr>
              <w:tab/>
            </w:r>
            <w:r w:rsidR="004A27FF" w:rsidRPr="00A663B9">
              <w:rPr>
                <w:rStyle w:val="Hyperlink"/>
                <w:lang w:eastAsia="ja-JP"/>
              </w:rPr>
              <w:t>A strong mandate</w:t>
            </w:r>
            <w:r w:rsidR="004A27FF">
              <w:rPr>
                <w:webHidden/>
              </w:rPr>
              <w:tab/>
            </w:r>
            <w:r w:rsidR="004A27FF">
              <w:rPr>
                <w:webHidden/>
              </w:rPr>
              <w:fldChar w:fldCharType="begin"/>
            </w:r>
            <w:r w:rsidR="004A27FF">
              <w:rPr>
                <w:webHidden/>
              </w:rPr>
              <w:instrText xml:space="preserve"> PAGEREF _Toc486236052 \h </w:instrText>
            </w:r>
            <w:r w:rsidR="004A27FF">
              <w:rPr>
                <w:webHidden/>
              </w:rPr>
            </w:r>
            <w:r w:rsidR="004A27FF">
              <w:rPr>
                <w:webHidden/>
              </w:rPr>
              <w:fldChar w:fldCharType="separate"/>
            </w:r>
            <w:r w:rsidR="004A27FF">
              <w:rPr>
                <w:webHidden/>
              </w:rPr>
              <w:t>76</w:t>
            </w:r>
            <w:r w:rsidR="004A27FF">
              <w:rPr>
                <w:webHidden/>
              </w:rPr>
              <w:fldChar w:fldCharType="end"/>
            </w:r>
          </w:hyperlink>
        </w:p>
        <w:p w14:paraId="4AC267FE" w14:textId="77777777" w:rsidR="004A27FF" w:rsidRDefault="00041132">
          <w:pPr>
            <w:pStyle w:val="TOC2"/>
            <w:tabs>
              <w:tab w:val="left" w:pos="1100"/>
            </w:tabs>
            <w:rPr>
              <w:rFonts w:asciiTheme="minorHAnsi" w:eastAsiaTheme="minorEastAsia" w:hAnsiTheme="minorHAnsi"/>
              <w:lang w:eastAsia="en-AU"/>
            </w:rPr>
          </w:pPr>
          <w:hyperlink w:anchor="_Toc486236053" w:history="1">
            <w:r w:rsidR="004A27FF" w:rsidRPr="00A663B9">
              <w:rPr>
                <w:rStyle w:val="Hyperlink"/>
              </w:rPr>
              <w:t>7.2</w:t>
            </w:r>
            <w:r w:rsidR="004A27FF">
              <w:rPr>
                <w:rFonts w:asciiTheme="minorHAnsi" w:eastAsiaTheme="minorEastAsia" w:hAnsiTheme="minorHAnsi"/>
                <w:lang w:eastAsia="en-AU"/>
              </w:rPr>
              <w:tab/>
            </w:r>
            <w:r w:rsidR="004A27FF" w:rsidRPr="00A663B9">
              <w:rPr>
                <w:rStyle w:val="Hyperlink"/>
              </w:rPr>
              <w:t>An empowered National Biosecurity Committee</w:t>
            </w:r>
            <w:r w:rsidR="004A27FF">
              <w:rPr>
                <w:webHidden/>
              </w:rPr>
              <w:tab/>
            </w:r>
            <w:r w:rsidR="004A27FF">
              <w:rPr>
                <w:webHidden/>
              </w:rPr>
              <w:fldChar w:fldCharType="begin"/>
            </w:r>
            <w:r w:rsidR="004A27FF">
              <w:rPr>
                <w:webHidden/>
              </w:rPr>
              <w:instrText xml:space="preserve"> PAGEREF _Toc486236053 \h </w:instrText>
            </w:r>
            <w:r w:rsidR="004A27FF">
              <w:rPr>
                <w:webHidden/>
              </w:rPr>
            </w:r>
            <w:r w:rsidR="004A27FF">
              <w:rPr>
                <w:webHidden/>
              </w:rPr>
              <w:fldChar w:fldCharType="separate"/>
            </w:r>
            <w:r w:rsidR="004A27FF">
              <w:rPr>
                <w:webHidden/>
              </w:rPr>
              <w:t>77</w:t>
            </w:r>
            <w:r w:rsidR="004A27FF">
              <w:rPr>
                <w:webHidden/>
              </w:rPr>
              <w:fldChar w:fldCharType="end"/>
            </w:r>
          </w:hyperlink>
        </w:p>
        <w:p w14:paraId="1F1C569D" w14:textId="77777777" w:rsidR="004A27FF" w:rsidRDefault="00041132">
          <w:pPr>
            <w:pStyle w:val="TOC2"/>
            <w:tabs>
              <w:tab w:val="left" w:pos="1100"/>
            </w:tabs>
            <w:rPr>
              <w:rFonts w:asciiTheme="minorHAnsi" w:eastAsiaTheme="minorEastAsia" w:hAnsiTheme="minorHAnsi"/>
              <w:lang w:eastAsia="en-AU"/>
            </w:rPr>
          </w:pPr>
          <w:hyperlink w:anchor="_Toc486236054" w:history="1">
            <w:r w:rsidR="004A27FF" w:rsidRPr="00A663B9">
              <w:rPr>
                <w:rStyle w:val="Hyperlink"/>
              </w:rPr>
              <w:t>7.3</w:t>
            </w:r>
            <w:r w:rsidR="004A27FF">
              <w:rPr>
                <w:rFonts w:asciiTheme="minorHAnsi" w:eastAsiaTheme="minorEastAsia" w:hAnsiTheme="minorHAnsi"/>
                <w:lang w:eastAsia="en-AU"/>
              </w:rPr>
              <w:tab/>
            </w:r>
            <w:r w:rsidR="004A27FF" w:rsidRPr="00A663B9">
              <w:rPr>
                <w:rStyle w:val="Hyperlink"/>
              </w:rPr>
              <w:t>Bringing others into the fold</w:t>
            </w:r>
            <w:r w:rsidR="004A27FF">
              <w:rPr>
                <w:webHidden/>
              </w:rPr>
              <w:tab/>
            </w:r>
            <w:r w:rsidR="004A27FF">
              <w:rPr>
                <w:webHidden/>
              </w:rPr>
              <w:fldChar w:fldCharType="begin"/>
            </w:r>
            <w:r w:rsidR="004A27FF">
              <w:rPr>
                <w:webHidden/>
              </w:rPr>
              <w:instrText xml:space="preserve"> PAGEREF _Toc486236054 \h </w:instrText>
            </w:r>
            <w:r w:rsidR="004A27FF">
              <w:rPr>
                <w:webHidden/>
              </w:rPr>
            </w:r>
            <w:r w:rsidR="004A27FF">
              <w:rPr>
                <w:webHidden/>
              </w:rPr>
              <w:fldChar w:fldCharType="separate"/>
            </w:r>
            <w:r w:rsidR="004A27FF">
              <w:rPr>
                <w:webHidden/>
              </w:rPr>
              <w:t>87</w:t>
            </w:r>
            <w:r w:rsidR="004A27FF">
              <w:rPr>
                <w:webHidden/>
              </w:rPr>
              <w:fldChar w:fldCharType="end"/>
            </w:r>
          </w:hyperlink>
        </w:p>
        <w:p w14:paraId="1D33889F" w14:textId="77777777" w:rsidR="004A27FF" w:rsidRDefault="00041132">
          <w:pPr>
            <w:pStyle w:val="TOC2"/>
            <w:tabs>
              <w:tab w:val="left" w:pos="1100"/>
            </w:tabs>
            <w:rPr>
              <w:rFonts w:asciiTheme="minorHAnsi" w:eastAsiaTheme="minorEastAsia" w:hAnsiTheme="minorHAnsi"/>
              <w:lang w:eastAsia="en-AU"/>
            </w:rPr>
          </w:pPr>
          <w:hyperlink w:anchor="_Toc486236055" w:history="1">
            <w:r w:rsidR="004A27FF" w:rsidRPr="00A663B9">
              <w:rPr>
                <w:rStyle w:val="Hyperlink"/>
              </w:rPr>
              <w:t>7.4</w:t>
            </w:r>
            <w:r w:rsidR="004A27FF">
              <w:rPr>
                <w:rFonts w:asciiTheme="minorHAnsi" w:eastAsiaTheme="minorEastAsia" w:hAnsiTheme="minorHAnsi"/>
                <w:lang w:eastAsia="en-AU"/>
              </w:rPr>
              <w:tab/>
            </w:r>
            <w:r w:rsidR="004A27FF" w:rsidRPr="00A663B9">
              <w:rPr>
                <w:rStyle w:val="Hyperlink"/>
              </w:rPr>
              <w:t>Updated governance arrangements</w:t>
            </w:r>
            <w:r w:rsidR="004A27FF">
              <w:rPr>
                <w:webHidden/>
              </w:rPr>
              <w:tab/>
            </w:r>
            <w:r w:rsidR="004A27FF">
              <w:rPr>
                <w:webHidden/>
              </w:rPr>
              <w:fldChar w:fldCharType="begin"/>
            </w:r>
            <w:r w:rsidR="004A27FF">
              <w:rPr>
                <w:webHidden/>
              </w:rPr>
              <w:instrText xml:space="preserve"> PAGEREF _Toc486236055 \h </w:instrText>
            </w:r>
            <w:r w:rsidR="004A27FF">
              <w:rPr>
                <w:webHidden/>
              </w:rPr>
            </w:r>
            <w:r w:rsidR="004A27FF">
              <w:rPr>
                <w:webHidden/>
              </w:rPr>
              <w:fldChar w:fldCharType="separate"/>
            </w:r>
            <w:r w:rsidR="004A27FF">
              <w:rPr>
                <w:webHidden/>
              </w:rPr>
              <w:t>89</w:t>
            </w:r>
            <w:r w:rsidR="004A27FF">
              <w:rPr>
                <w:webHidden/>
              </w:rPr>
              <w:fldChar w:fldCharType="end"/>
            </w:r>
          </w:hyperlink>
        </w:p>
        <w:p w14:paraId="5D0D0F75" w14:textId="77777777" w:rsidR="004A27FF" w:rsidRDefault="00041132">
          <w:pPr>
            <w:pStyle w:val="TOC1"/>
            <w:rPr>
              <w:rFonts w:asciiTheme="minorHAnsi" w:eastAsiaTheme="minorEastAsia" w:hAnsiTheme="minorHAnsi"/>
              <w:b w:val="0"/>
              <w:lang w:eastAsia="en-AU"/>
            </w:rPr>
          </w:pPr>
          <w:hyperlink w:anchor="_Toc486236056" w:history="1">
            <w:r w:rsidR="004A27FF" w:rsidRPr="00A663B9">
              <w:rPr>
                <w:rStyle w:val="Hyperlink"/>
              </w:rPr>
              <w:t>8</w:t>
            </w:r>
            <w:r w:rsidR="004A27FF">
              <w:rPr>
                <w:rFonts w:asciiTheme="minorHAnsi" w:eastAsiaTheme="minorEastAsia" w:hAnsiTheme="minorHAnsi"/>
                <w:b w:val="0"/>
                <w:lang w:eastAsia="en-AU"/>
              </w:rPr>
              <w:tab/>
            </w:r>
            <w:r w:rsidR="004A27FF" w:rsidRPr="00A663B9">
              <w:rPr>
                <w:rStyle w:val="Hyperlink"/>
              </w:rPr>
              <w:t>Funding the national system</w:t>
            </w:r>
            <w:r w:rsidR="004A27FF">
              <w:rPr>
                <w:webHidden/>
              </w:rPr>
              <w:tab/>
            </w:r>
            <w:r w:rsidR="004A27FF">
              <w:rPr>
                <w:webHidden/>
              </w:rPr>
              <w:fldChar w:fldCharType="begin"/>
            </w:r>
            <w:r w:rsidR="004A27FF">
              <w:rPr>
                <w:webHidden/>
              </w:rPr>
              <w:instrText xml:space="preserve"> PAGEREF _Toc486236056 \h </w:instrText>
            </w:r>
            <w:r w:rsidR="004A27FF">
              <w:rPr>
                <w:webHidden/>
              </w:rPr>
            </w:r>
            <w:r w:rsidR="004A27FF">
              <w:rPr>
                <w:webHidden/>
              </w:rPr>
              <w:fldChar w:fldCharType="separate"/>
            </w:r>
            <w:r w:rsidR="004A27FF">
              <w:rPr>
                <w:webHidden/>
              </w:rPr>
              <w:t>91</w:t>
            </w:r>
            <w:r w:rsidR="004A27FF">
              <w:rPr>
                <w:webHidden/>
              </w:rPr>
              <w:fldChar w:fldCharType="end"/>
            </w:r>
          </w:hyperlink>
        </w:p>
        <w:p w14:paraId="5916D138" w14:textId="77777777" w:rsidR="004A27FF" w:rsidRDefault="00041132">
          <w:pPr>
            <w:pStyle w:val="TOC2"/>
            <w:tabs>
              <w:tab w:val="left" w:pos="1100"/>
            </w:tabs>
            <w:rPr>
              <w:rFonts w:asciiTheme="minorHAnsi" w:eastAsiaTheme="minorEastAsia" w:hAnsiTheme="minorHAnsi"/>
              <w:lang w:eastAsia="en-AU"/>
            </w:rPr>
          </w:pPr>
          <w:hyperlink w:anchor="_Toc486236057" w:history="1">
            <w:r w:rsidR="004A27FF" w:rsidRPr="00A663B9">
              <w:rPr>
                <w:rStyle w:val="Hyperlink"/>
                <w:lang w:eastAsia="ja-JP"/>
              </w:rPr>
              <w:t>8.1</w:t>
            </w:r>
            <w:r w:rsidR="004A27FF">
              <w:rPr>
                <w:rFonts w:asciiTheme="minorHAnsi" w:eastAsiaTheme="minorEastAsia" w:hAnsiTheme="minorHAnsi"/>
                <w:lang w:eastAsia="en-AU"/>
              </w:rPr>
              <w:tab/>
            </w:r>
            <w:r w:rsidR="004A27FF" w:rsidRPr="00A663B9">
              <w:rPr>
                <w:rStyle w:val="Hyperlink"/>
                <w:lang w:eastAsia="ja-JP"/>
              </w:rPr>
              <w:t>The shared funding challenge</w:t>
            </w:r>
            <w:r w:rsidR="004A27FF">
              <w:rPr>
                <w:webHidden/>
              </w:rPr>
              <w:tab/>
            </w:r>
            <w:r w:rsidR="004A27FF">
              <w:rPr>
                <w:webHidden/>
              </w:rPr>
              <w:fldChar w:fldCharType="begin"/>
            </w:r>
            <w:r w:rsidR="004A27FF">
              <w:rPr>
                <w:webHidden/>
              </w:rPr>
              <w:instrText xml:space="preserve"> PAGEREF _Toc486236057 \h </w:instrText>
            </w:r>
            <w:r w:rsidR="004A27FF">
              <w:rPr>
                <w:webHidden/>
              </w:rPr>
            </w:r>
            <w:r w:rsidR="004A27FF">
              <w:rPr>
                <w:webHidden/>
              </w:rPr>
              <w:fldChar w:fldCharType="separate"/>
            </w:r>
            <w:r w:rsidR="004A27FF">
              <w:rPr>
                <w:webHidden/>
              </w:rPr>
              <w:t>91</w:t>
            </w:r>
            <w:r w:rsidR="004A27FF">
              <w:rPr>
                <w:webHidden/>
              </w:rPr>
              <w:fldChar w:fldCharType="end"/>
            </w:r>
          </w:hyperlink>
        </w:p>
        <w:p w14:paraId="5B6549C1" w14:textId="77777777" w:rsidR="004A27FF" w:rsidRDefault="00041132">
          <w:pPr>
            <w:pStyle w:val="TOC2"/>
            <w:tabs>
              <w:tab w:val="left" w:pos="1100"/>
            </w:tabs>
            <w:rPr>
              <w:rFonts w:asciiTheme="minorHAnsi" w:eastAsiaTheme="minorEastAsia" w:hAnsiTheme="minorHAnsi"/>
              <w:lang w:eastAsia="en-AU"/>
            </w:rPr>
          </w:pPr>
          <w:hyperlink w:anchor="_Toc486236058" w:history="1">
            <w:r w:rsidR="004A27FF" w:rsidRPr="00A663B9">
              <w:rPr>
                <w:rStyle w:val="Hyperlink"/>
                <w:lang w:eastAsia="ja-JP"/>
              </w:rPr>
              <w:t>8.2</w:t>
            </w:r>
            <w:r w:rsidR="004A27FF">
              <w:rPr>
                <w:rFonts w:asciiTheme="minorHAnsi" w:eastAsiaTheme="minorEastAsia" w:hAnsiTheme="minorHAnsi"/>
                <w:lang w:eastAsia="en-AU"/>
              </w:rPr>
              <w:tab/>
            </w:r>
            <w:r w:rsidR="004A27FF" w:rsidRPr="00A663B9">
              <w:rPr>
                <w:rStyle w:val="Hyperlink"/>
                <w:lang w:eastAsia="ja-JP"/>
              </w:rPr>
              <w:t>Consideration of the three NBC projects listed in the terms of reference</w:t>
            </w:r>
            <w:r w:rsidR="004A27FF">
              <w:rPr>
                <w:webHidden/>
              </w:rPr>
              <w:tab/>
            </w:r>
            <w:r w:rsidR="004A27FF">
              <w:rPr>
                <w:webHidden/>
              </w:rPr>
              <w:fldChar w:fldCharType="begin"/>
            </w:r>
            <w:r w:rsidR="004A27FF">
              <w:rPr>
                <w:webHidden/>
              </w:rPr>
              <w:instrText xml:space="preserve"> PAGEREF _Toc486236058 \h </w:instrText>
            </w:r>
            <w:r w:rsidR="004A27FF">
              <w:rPr>
                <w:webHidden/>
              </w:rPr>
            </w:r>
            <w:r w:rsidR="004A27FF">
              <w:rPr>
                <w:webHidden/>
              </w:rPr>
              <w:fldChar w:fldCharType="separate"/>
            </w:r>
            <w:r w:rsidR="004A27FF">
              <w:rPr>
                <w:webHidden/>
              </w:rPr>
              <w:t>97</w:t>
            </w:r>
            <w:r w:rsidR="004A27FF">
              <w:rPr>
                <w:webHidden/>
              </w:rPr>
              <w:fldChar w:fldCharType="end"/>
            </w:r>
          </w:hyperlink>
        </w:p>
        <w:p w14:paraId="57CB46FB" w14:textId="77777777" w:rsidR="004A27FF" w:rsidRDefault="00041132">
          <w:pPr>
            <w:pStyle w:val="TOC2"/>
            <w:tabs>
              <w:tab w:val="left" w:pos="1100"/>
            </w:tabs>
            <w:rPr>
              <w:rFonts w:asciiTheme="minorHAnsi" w:eastAsiaTheme="minorEastAsia" w:hAnsiTheme="minorHAnsi"/>
              <w:lang w:eastAsia="en-AU"/>
            </w:rPr>
          </w:pPr>
          <w:hyperlink w:anchor="_Toc486236059" w:history="1">
            <w:r w:rsidR="004A27FF" w:rsidRPr="00A663B9">
              <w:rPr>
                <w:rStyle w:val="Hyperlink"/>
                <w:lang w:eastAsia="ja-JP"/>
              </w:rPr>
              <w:t>8.3</w:t>
            </w:r>
            <w:r w:rsidR="004A27FF">
              <w:rPr>
                <w:rFonts w:asciiTheme="minorHAnsi" w:eastAsiaTheme="minorEastAsia" w:hAnsiTheme="minorHAnsi"/>
                <w:lang w:eastAsia="en-AU"/>
              </w:rPr>
              <w:tab/>
            </w:r>
            <w:r w:rsidR="004A27FF" w:rsidRPr="00A663B9">
              <w:rPr>
                <w:rStyle w:val="Hyperlink"/>
                <w:lang w:eastAsia="ja-JP"/>
              </w:rPr>
              <w:t>Other guiding principles and frameworks</w:t>
            </w:r>
            <w:r w:rsidR="004A27FF">
              <w:rPr>
                <w:webHidden/>
              </w:rPr>
              <w:tab/>
            </w:r>
            <w:r w:rsidR="004A27FF">
              <w:rPr>
                <w:webHidden/>
              </w:rPr>
              <w:fldChar w:fldCharType="begin"/>
            </w:r>
            <w:r w:rsidR="004A27FF">
              <w:rPr>
                <w:webHidden/>
              </w:rPr>
              <w:instrText xml:space="preserve"> PAGEREF _Toc486236059 \h </w:instrText>
            </w:r>
            <w:r w:rsidR="004A27FF">
              <w:rPr>
                <w:webHidden/>
              </w:rPr>
            </w:r>
            <w:r w:rsidR="004A27FF">
              <w:rPr>
                <w:webHidden/>
              </w:rPr>
              <w:fldChar w:fldCharType="separate"/>
            </w:r>
            <w:r w:rsidR="004A27FF">
              <w:rPr>
                <w:webHidden/>
              </w:rPr>
              <w:t>101</w:t>
            </w:r>
            <w:r w:rsidR="004A27FF">
              <w:rPr>
                <w:webHidden/>
              </w:rPr>
              <w:fldChar w:fldCharType="end"/>
            </w:r>
          </w:hyperlink>
        </w:p>
        <w:p w14:paraId="2C6EEB2B" w14:textId="77777777" w:rsidR="004A27FF" w:rsidRDefault="00041132">
          <w:pPr>
            <w:pStyle w:val="TOC2"/>
            <w:tabs>
              <w:tab w:val="left" w:pos="1100"/>
            </w:tabs>
            <w:rPr>
              <w:rFonts w:asciiTheme="minorHAnsi" w:eastAsiaTheme="minorEastAsia" w:hAnsiTheme="minorHAnsi"/>
              <w:lang w:eastAsia="en-AU"/>
            </w:rPr>
          </w:pPr>
          <w:hyperlink w:anchor="_Toc486236060" w:history="1">
            <w:r w:rsidR="004A27FF" w:rsidRPr="00A663B9">
              <w:rPr>
                <w:rStyle w:val="Hyperlink"/>
                <w:lang w:eastAsia="ja-JP"/>
              </w:rPr>
              <w:t>8.4</w:t>
            </w:r>
            <w:r w:rsidR="004A27FF">
              <w:rPr>
                <w:rFonts w:asciiTheme="minorHAnsi" w:eastAsiaTheme="minorEastAsia" w:hAnsiTheme="minorHAnsi"/>
                <w:lang w:eastAsia="en-AU"/>
              </w:rPr>
              <w:tab/>
            </w:r>
            <w:r w:rsidR="004A27FF" w:rsidRPr="00A663B9">
              <w:rPr>
                <w:rStyle w:val="Hyperlink"/>
                <w:lang w:eastAsia="ja-JP"/>
              </w:rPr>
              <w:t>How much is enough?</w:t>
            </w:r>
            <w:r w:rsidR="004A27FF">
              <w:rPr>
                <w:webHidden/>
              </w:rPr>
              <w:tab/>
            </w:r>
            <w:r w:rsidR="004A27FF">
              <w:rPr>
                <w:webHidden/>
              </w:rPr>
              <w:fldChar w:fldCharType="begin"/>
            </w:r>
            <w:r w:rsidR="004A27FF">
              <w:rPr>
                <w:webHidden/>
              </w:rPr>
              <w:instrText xml:space="preserve"> PAGEREF _Toc486236060 \h </w:instrText>
            </w:r>
            <w:r w:rsidR="004A27FF">
              <w:rPr>
                <w:webHidden/>
              </w:rPr>
            </w:r>
            <w:r w:rsidR="004A27FF">
              <w:rPr>
                <w:webHidden/>
              </w:rPr>
              <w:fldChar w:fldCharType="separate"/>
            </w:r>
            <w:r w:rsidR="004A27FF">
              <w:rPr>
                <w:webHidden/>
              </w:rPr>
              <w:t>103</w:t>
            </w:r>
            <w:r w:rsidR="004A27FF">
              <w:rPr>
                <w:webHidden/>
              </w:rPr>
              <w:fldChar w:fldCharType="end"/>
            </w:r>
          </w:hyperlink>
        </w:p>
        <w:p w14:paraId="36409E3F" w14:textId="77777777" w:rsidR="004A27FF" w:rsidRDefault="00041132">
          <w:pPr>
            <w:pStyle w:val="TOC2"/>
            <w:tabs>
              <w:tab w:val="left" w:pos="1100"/>
            </w:tabs>
            <w:rPr>
              <w:rFonts w:asciiTheme="minorHAnsi" w:eastAsiaTheme="minorEastAsia" w:hAnsiTheme="minorHAnsi"/>
              <w:lang w:eastAsia="en-AU"/>
            </w:rPr>
          </w:pPr>
          <w:hyperlink w:anchor="_Toc486236061" w:history="1">
            <w:r w:rsidR="004A27FF" w:rsidRPr="00A663B9">
              <w:rPr>
                <w:rStyle w:val="Hyperlink"/>
                <w:lang w:eastAsia="ja-JP"/>
              </w:rPr>
              <w:t>8.5</w:t>
            </w:r>
            <w:r w:rsidR="004A27FF">
              <w:rPr>
                <w:rFonts w:asciiTheme="minorHAnsi" w:eastAsiaTheme="minorEastAsia" w:hAnsiTheme="minorHAnsi"/>
                <w:lang w:eastAsia="en-AU"/>
              </w:rPr>
              <w:tab/>
            </w:r>
            <w:r w:rsidR="004A27FF" w:rsidRPr="00A663B9">
              <w:rPr>
                <w:rStyle w:val="Hyperlink"/>
                <w:lang w:eastAsia="ja-JP"/>
              </w:rPr>
              <w:t>Sustainable funding</w:t>
            </w:r>
            <w:r w:rsidR="004A27FF">
              <w:rPr>
                <w:webHidden/>
              </w:rPr>
              <w:tab/>
            </w:r>
            <w:r w:rsidR="004A27FF">
              <w:rPr>
                <w:webHidden/>
              </w:rPr>
              <w:fldChar w:fldCharType="begin"/>
            </w:r>
            <w:r w:rsidR="004A27FF">
              <w:rPr>
                <w:webHidden/>
              </w:rPr>
              <w:instrText xml:space="preserve"> PAGEREF _Toc486236061 \h </w:instrText>
            </w:r>
            <w:r w:rsidR="004A27FF">
              <w:rPr>
                <w:webHidden/>
              </w:rPr>
            </w:r>
            <w:r w:rsidR="004A27FF">
              <w:rPr>
                <w:webHidden/>
              </w:rPr>
              <w:fldChar w:fldCharType="separate"/>
            </w:r>
            <w:r w:rsidR="004A27FF">
              <w:rPr>
                <w:webHidden/>
              </w:rPr>
              <w:t>108</w:t>
            </w:r>
            <w:r w:rsidR="004A27FF">
              <w:rPr>
                <w:webHidden/>
              </w:rPr>
              <w:fldChar w:fldCharType="end"/>
            </w:r>
          </w:hyperlink>
        </w:p>
        <w:p w14:paraId="6803B79E" w14:textId="77777777" w:rsidR="004A27FF" w:rsidRDefault="00041132">
          <w:pPr>
            <w:pStyle w:val="TOC2"/>
            <w:tabs>
              <w:tab w:val="left" w:pos="1100"/>
            </w:tabs>
            <w:rPr>
              <w:rFonts w:asciiTheme="minorHAnsi" w:eastAsiaTheme="minorEastAsia" w:hAnsiTheme="minorHAnsi"/>
              <w:lang w:eastAsia="en-AU"/>
            </w:rPr>
          </w:pPr>
          <w:hyperlink w:anchor="_Toc486236062" w:history="1">
            <w:r w:rsidR="004A27FF" w:rsidRPr="00A663B9">
              <w:rPr>
                <w:rStyle w:val="Hyperlink"/>
              </w:rPr>
              <w:t>8.6</w:t>
            </w:r>
            <w:r w:rsidR="004A27FF">
              <w:rPr>
                <w:rFonts w:asciiTheme="minorHAnsi" w:eastAsiaTheme="minorEastAsia" w:hAnsiTheme="minorHAnsi"/>
                <w:lang w:eastAsia="en-AU"/>
              </w:rPr>
              <w:tab/>
            </w:r>
            <w:r w:rsidR="004A27FF" w:rsidRPr="00A663B9">
              <w:rPr>
                <w:rStyle w:val="Hyperlink"/>
              </w:rPr>
              <w:t>Summary</w:t>
            </w:r>
            <w:r w:rsidR="004A27FF">
              <w:rPr>
                <w:webHidden/>
              </w:rPr>
              <w:tab/>
            </w:r>
            <w:r w:rsidR="004A27FF">
              <w:rPr>
                <w:webHidden/>
              </w:rPr>
              <w:fldChar w:fldCharType="begin"/>
            </w:r>
            <w:r w:rsidR="004A27FF">
              <w:rPr>
                <w:webHidden/>
              </w:rPr>
              <w:instrText xml:space="preserve"> PAGEREF _Toc486236062 \h </w:instrText>
            </w:r>
            <w:r w:rsidR="004A27FF">
              <w:rPr>
                <w:webHidden/>
              </w:rPr>
            </w:r>
            <w:r w:rsidR="004A27FF">
              <w:rPr>
                <w:webHidden/>
              </w:rPr>
              <w:fldChar w:fldCharType="separate"/>
            </w:r>
            <w:r w:rsidR="004A27FF">
              <w:rPr>
                <w:webHidden/>
              </w:rPr>
              <w:t>121</w:t>
            </w:r>
            <w:r w:rsidR="004A27FF">
              <w:rPr>
                <w:webHidden/>
              </w:rPr>
              <w:fldChar w:fldCharType="end"/>
            </w:r>
          </w:hyperlink>
        </w:p>
        <w:p w14:paraId="71A81557" w14:textId="77777777" w:rsidR="004A27FF" w:rsidRDefault="00041132">
          <w:pPr>
            <w:pStyle w:val="TOC1"/>
            <w:rPr>
              <w:rFonts w:asciiTheme="minorHAnsi" w:eastAsiaTheme="minorEastAsia" w:hAnsiTheme="minorHAnsi"/>
              <w:b w:val="0"/>
              <w:lang w:eastAsia="en-AU"/>
            </w:rPr>
          </w:pPr>
          <w:hyperlink w:anchor="_Toc486236063" w:history="1">
            <w:r w:rsidR="004A27FF" w:rsidRPr="00A663B9">
              <w:rPr>
                <w:rStyle w:val="Hyperlink"/>
              </w:rPr>
              <w:t>9</w:t>
            </w:r>
            <w:r w:rsidR="004A27FF">
              <w:rPr>
                <w:rFonts w:asciiTheme="minorHAnsi" w:eastAsiaTheme="minorEastAsia" w:hAnsiTheme="minorHAnsi"/>
                <w:b w:val="0"/>
                <w:lang w:eastAsia="en-AU"/>
              </w:rPr>
              <w:tab/>
            </w:r>
            <w:r w:rsidR="004A27FF" w:rsidRPr="00A663B9">
              <w:rPr>
                <w:rStyle w:val="Hyperlink"/>
              </w:rPr>
              <w:t>Measuring system performance</w:t>
            </w:r>
            <w:r w:rsidR="004A27FF">
              <w:rPr>
                <w:webHidden/>
              </w:rPr>
              <w:tab/>
            </w:r>
            <w:r w:rsidR="004A27FF">
              <w:rPr>
                <w:webHidden/>
              </w:rPr>
              <w:fldChar w:fldCharType="begin"/>
            </w:r>
            <w:r w:rsidR="004A27FF">
              <w:rPr>
                <w:webHidden/>
              </w:rPr>
              <w:instrText xml:space="preserve"> PAGEREF _Toc486236063 \h </w:instrText>
            </w:r>
            <w:r w:rsidR="004A27FF">
              <w:rPr>
                <w:webHidden/>
              </w:rPr>
            </w:r>
            <w:r w:rsidR="004A27FF">
              <w:rPr>
                <w:webHidden/>
              </w:rPr>
              <w:fldChar w:fldCharType="separate"/>
            </w:r>
            <w:r w:rsidR="004A27FF">
              <w:rPr>
                <w:webHidden/>
              </w:rPr>
              <w:t>123</w:t>
            </w:r>
            <w:r w:rsidR="004A27FF">
              <w:rPr>
                <w:webHidden/>
              </w:rPr>
              <w:fldChar w:fldCharType="end"/>
            </w:r>
          </w:hyperlink>
        </w:p>
        <w:p w14:paraId="5847AEDA" w14:textId="77777777" w:rsidR="004A27FF" w:rsidRDefault="00041132">
          <w:pPr>
            <w:pStyle w:val="TOC2"/>
            <w:tabs>
              <w:tab w:val="left" w:pos="1100"/>
            </w:tabs>
            <w:rPr>
              <w:rFonts w:asciiTheme="minorHAnsi" w:eastAsiaTheme="minorEastAsia" w:hAnsiTheme="minorHAnsi"/>
              <w:lang w:eastAsia="en-AU"/>
            </w:rPr>
          </w:pPr>
          <w:hyperlink w:anchor="_Toc486236064" w:history="1">
            <w:r w:rsidR="004A27FF" w:rsidRPr="00A663B9">
              <w:rPr>
                <w:rStyle w:val="Hyperlink"/>
                <w:lang w:eastAsia="ja-JP"/>
              </w:rPr>
              <w:t>9.1</w:t>
            </w:r>
            <w:r w:rsidR="004A27FF">
              <w:rPr>
                <w:rFonts w:asciiTheme="minorHAnsi" w:eastAsiaTheme="minorEastAsia" w:hAnsiTheme="minorHAnsi"/>
                <w:lang w:eastAsia="en-AU"/>
              </w:rPr>
              <w:tab/>
            </w:r>
            <w:r w:rsidR="004A27FF" w:rsidRPr="00A663B9">
              <w:rPr>
                <w:rStyle w:val="Hyperlink"/>
                <w:lang w:eastAsia="ja-JP"/>
              </w:rPr>
              <w:t>Valuing national biosecurity</w:t>
            </w:r>
            <w:r w:rsidR="004A27FF">
              <w:rPr>
                <w:webHidden/>
              </w:rPr>
              <w:tab/>
            </w:r>
            <w:r w:rsidR="004A27FF">
              <w:rPr>
                <w:webHidden/>
              </w:rPr>
              <w:fldChar w:fldCharType="begin"/>
            </w:r>
            <w:r w:rsidR="004A27FF">
              <w:rPr>
                <w:webHidden/>
              </w:rPr>
              <w:instrText xml:space="preserve"> PAGEREF _Toc486236064 \h </w:instrText>
            </w:r>
            <w:r w:rsidR="004A27FF">
              <w:rPr>
                <w:webHidden/>
              </w:rPr>
            </w:r>
            <w:r w:rsidR="004A27FF">
              <w:rPr>
                <w:webHidden/>
              </w:rPr>
              <w:fldChar w:fldCharType="separate"/>
            </w:r>
            <w:r w:rsidR="004A27FF">
              <w:rPr>
                <w:webHidden/>
              </w:rPr>
              <w:t>123</w:t>
            </w:r>
            <w:r w:rsidR="004A27FF">
              <w:rPr>
                <w:webHidden/>
              </w:rPr>
              <w:fldChar w:fldCharType="end"/>
            </w:r>
          </w:hyperlink>
        </w:p>
        <w:p w14:paraId="510BD1F6" w14:textId="77777777" w:rsidR="004A27FF" w:rsidRDefault="00041132">
          <w:pPr>
            <w:pStyle w:val="TOC2"/>
            <w:tabs>
              <w:tab w:val="left" w:pos="1100"/>
            </w:tabs>
            <w:rPr>
              <w:rFonts w:asciiTheme="minorHAnsi" w:eastAsiaTheme="minorEastAsia" w:hAnsiTheme="minorHAnsi"/>
              <w:lang w:eastAsia="en-AU"/>
            </w:rPr>
          </w:pPr>
          <w:hyperlink w:anchor="_Toc486236065" w:history="1">
            <w:r w:rsidR="004A27FF" w:rsidRPr="00A663B9">
              <w:rPr>
                <w:rStyle w:val="Hyperlink"/>
                <w:lang w:eastAsia="ja-JP"/>
              </w:rPr>
              <w:t>9.2</w:t>
            </w:r>
            <w:r w:rsidR="004A27FF">
              <w:rPr>
                <w:rFonts w:asciiTheme="minorHAnsi" w:eastAsiaTheme="minorEastAsia" w:hAnsiTheme="minorHAnsi"/>
                <w:lang w:eastAsia="en-AU"/>
              </w:rPr>
              <w:tab/>
            </w:r>
            <w:r w:rsidR="004A27FF" w:rsidRPr="00A663B9">
              <w:rPr>
                <w:rStyle w:val="Hyperlink"/>
                <w:lang w:eastAsia="ja-JP"/>
              </w:rPr>
              <w:t>Performance measurement and reporting</w:t>
            </w:r>
            <w:r w:rsidR="004A27FF">
              <w:rPr>
                <w:webHidden/>
              </w:rPr>
              <w:tab/>
            </w:r>
            <w:r w:rsidR="004A27FF">
              <w:rPr>
                <w:webHidden/>
              </w:rPr>
              <w:fldChar w:fldCharType="begin"/>
            </w:r>
            <w:r w:rsidR="004A27FF">
              <w:rPr>
                <w:webHidden/>
              </w:rPr>
              <w:instrText xml:space="preserve"> PAGEREF _Toc486236065 \h </w:instrText>
            </w:r>
            <w:r w:rsidR="004A27FF">
              <w:rPr>
                <w:webHidden/>
              </w:rPr>
            </w:r>
            <w:r w:rsidR="004A27FF">
              <w:rPr>
                <w:webHidden/>
              </w:rPr>
              <w:fldChar w:fldCharType="separate"/>
            </w:r>
            <w:r w:rsidR="004A27FF">
              <w:rPr>
                <w:webHidden/>
              </w:rPr>
              <w:t>124</w:t>
            </w:r>
            <w:r w:rsidR="004A27FF">
              <w:rPr>
                <w:webHidden/>
              </w:rPr>
              <w:fldChar w:fldCharType="end"/>
            </w:r>
          </w:hyperlink>
        </w:p>
        <w:p w14:paraId="4D82B25E" w14:textId="77777777" w:rsidR="004A27FF" w:rsidRDefault="00041132">
          <w:pPr>
            <w:pStyle w:val="TOC2"/>
            <w:tabs>
              <w:tab w:val="left" w:pos="1100"/>
            </w:tabs>
            <w:rPr>
              <w:rFonts w:asciiTheme="minorHAnsi" w:eastAsiaTheme="minorEastAsia" w:hAnsiTheme="minorHAnsi"/>
              <w:lang w:eastAsia="en-AU"/>
            </w:rPr>
          </w:pPr>
          <w:hyperlink w:anchor="_Toc486236066" w:history="1">
            <w:r w:rsidR="004A27FF" w:rsidRPr="00A663B9">
              <w:rPr>
                <w:rStyle w:val="Hyperlink"/>
              </w:rPr>
              <w:t>9.3</w:t>
            </w:r>
            <w:r w:rsidR="004A27FF">
              <w:rPr>
                <w:rFonts w:asciiTheme="minorHAnsi" w:eastAsiaTheme="minorEastAsia" w:hAnsiTheme="minorHAnsi"/>
                <w:lang w:eastAsia="en-AU"/>
              </w:rPr>
              <w:tab/>
            </w:r>
            <w:r w:rsidR="004A27FF" w:rsidRPr="00A663B9">
              <w:rPr>
                <w:rStyle w:val="Hyperlink"/>
              </w:rPr>
              <w:t>Informed biosecurity: data availability and management</w:t>
            </w:r>
            <w:r w:rsidR="004A27FF">
              <w:rPr>
                <w:webHidden/>
              </w:rPr>
              <w:tab/>
            </w:r>
            <w:r w:rsidR="004A27FF">
              <w:rPr>
                <w:webHidden/>
              </w:rPr>
              <w:fldChar w:fldCharType="begin"/>
            </w:r>
            <w:r w:rsidR="004A27FF">
              <w:rPr>
                <w:webHidden/>
              </w:rPr>
              <w:instrText xml:space="preserve"> PAGEREF _Toc486236066 \h </w:instrText>
            </w:r>
            <w:r w:rsidR="004A27FF">
              <w:rPr>
                <w:webHidden/>
              </w:rPr>
            </w:r>
            <w:r w:rsidR="004A27FF">
              <w:rPr>
                <w:webHidden/>
              </w:rPr>
              <w:fldChar w:fldCharType="separate"/>
            </w:r>
            <w:r w:rsidR="004A27FF">
              <w:rPr>
                <w:webHidden/>
              </w:rPr>
              <w:t>129</w:t>
            </w:r>
            <w:r w:rsidR="004A27FF">
              <w:rPr>
                <w:webHidden/>
              </w:rPr>
              <w:fldChar w:fldCharType="end"/>
            </w:r>
          </w:hyperlink>
        </w:p>
        <w:p w14:paraId="2A019E7C" w14:textId="77777777" w:rsidR="004A27FF" w:rsidRDefault="00041132">
          <w:pPr>
            <w:pStyle w:val="TOC2"/>
            <w:tabs>
              <w:tab w:val="left" w:pos="1100"/>
            </w:tabs>
            <w:rPr>
              <w:rFonts w:asciiTheme="minorHAnsi" w:eastAsiaTheme="minorEastAsia" w:hAnsiTheme="minorHAnsi"/>
              <w:lang w:eastAsia="en-AU"/>
            </w:rPr>
          </w:pPr>
          <w:hyperlink w:anchor="_Toc486236067" w:history="1">
            <w:r w:rsidR="004A27FF" w:rsidRPr="00A663B9">
              <w:rPr>
                <w:rStyle w:val="Hyperlink"/>
              </w:rPr>
              <w:t>9.4</w:t>
            </w:r>
            <w:r w:rsidR="004A27FF">
              <w:rPr>
                <w:rFonts w:asciiTheme="minorHAnsi" w:eastAsiaTheme="minorEastAsia" w:hAnsiTheme="minorHAnsi"/>
                <w:lang w:eastAsia="en-AU"/>
              </w:rPr>
              <w:tab/>
            </w:r>
            <w:r w:rsidR="004A27FF" w:rsidRPr="00A663B9">
              <w:rPr>
                <w:rStyle w:val="Hyperlink"/>
              </w:rPr>
              <w:t>Smarter biosecurity: data analytics and intelligence</w:t>
            </w:r>
            <w:r w:rsidR="004A27FF">
              <w:rPr>
                <w:webHidden/>
              </w:rPr>
              <w:tab/>
            </w:r>
            <w:r w:rsidR="004A27FF">
              <w:rPr>
                <w:webHidden/>
              </w:rPr>
              <w:fldChar w:fldCharType="begin"/>
            </w:r>
            <w:r w:rsidR="004A27FF">
              <w:rPr>
                <w:webHidden/>
              </w:rPr>
              <w:instrText xml:space="preserve"> PAGEREF _Toc486236067 \h </w:instrText>
            </w:r>
            <w:r w:rsidR="004A27FF">
              <w:rPr>
                <w:webHidden/>
              </w:rPr>
            </w:r>
            <w:r w:rsidR="004A27FF">
              <w:rPr>
                <w:webHidden/>
              </w:rPr>
              <w:fldChar w:fldCharType="separate"/>
            </w:r>
            <w:r w:rsidR="004A27FF">
              <w:rPr>
                <w:webHidden/>
              </w:rPr>
              <w:t>132</w:t>
            </w:r>
            <w:r w:rsidR="004A27FF">
              <w:rPr>
                <w:webHidden/>
              </w:rPr>
              <w:fldChar w:fldCharType="end"/>
            </w:r>
          </w:hyperlink>
        </w:p>
        <w:p w14:paraId="1B29C8D3" w14:textId="77777777" w:rsidR="004A27FF" w:rsidRDefault="00041132">
          <w:pPr>
            <w:pStyle w:val="TOC1"/>
            <w:rPr>
              <w:rFonts w:asciiTheme="minorHAnsi" w:eastAsiaTheme="minorEastAsia" w:hAnsiTheme="minorHAnsi"/>
              <w:b w:val="0"/>
              <w:lang w:eastAsia="en-AU"/>
            </w:rPr>
          </w:pPr>
          <w:hyperlink w:anchor="_Toc486236068" w:history="1">
            <w:r w:rsidR="004A27FF" w:rsidRPr="00A663B9">
              <w:rPr>
                <w:rStyle w:val="Hyperlink"/>
              </w:rPr>
              <w:t>10</w:t>
            </w:r>
            <w:r w:rsidR="004A27FF">
              <w:rPr>
                <w:rFonts w:asciiTheme="minorHAnsi" w:eastAsiaTheme="minorEastAsia" w:hAnsiTheme="minorHAnsi"/>
                <w:b w:val="0"/>
                <w:lang w:eastAsia="en-AU"/>
              </w:rPr>
              <w:tab/>
            </w:r>
            <w:r w:rsidR="004A27FF" w:rsidRPr="00A663B9">
              <w:rPr>
                <w:rStyle w:val="Hyperlink"/>
              </w:rPr>
              <w:t>A future system; a future IGAB</w:t>
            </w:r>
            <w:r w:rsidR="004A27FF">
              <w:rPr>
                <w:webHidden/>
              </w:rPr>
              <w:tab/>
            </w:r>
            <w:r w:rsidR="004A27FF">
              <w:rPr>
                <w:webHidden/>
              </w:rPr>
              <w:fldChar w:fldCharType="begin"/>
            </w:r>
            <w:r w:rsidR="004A27FF">
              <w:rPr>
                <w:webHidden/>
              </w:rPr>
              <w:instrText xml:space="preserve"> PAGEREF _Toc486236068 \h </w:instrText>
            </w:r>
            <w:r w:rsidR="004A27FF">
              <w:rPr>
                <w:webHidden/>
              </w:rPr>
            </w:r>
            <w:r w:rsidR="004A27FF">
              <w:rPr>
                <w:webHidden/>
              </w:rPr>
              <w:fldChar w:fldCharType="separate"/>
            </w:r>
            <w:r w:rsidR="004A27FF">
              <w:rPr>
                <w:webHidden/>
              </w:rPr>
              <w:t>135</w:t>
            </w:r>
            <w:r w:rsidR="004A27FF">
              <w:rPr>
                <w:webHidden/>
              </w:rPr>
              <w:fldChar w:fldCharType="end"/>
            </w:r>
          </w:hyperlink>
        </w:p>
        <w:p w14:paraId="2D0A0EF6" w14:textId="77777777" w:rsidR="004A27FF" w:rsidRDefault="00041132">
          <w:pPr>
            <w:pStyle w:val="TOC2"/>
            <w:tabs>
              <w:tab w:val="left" w:pos="1100"/>
            </w:tabs>
            <w:rPr>
              <w:rFonts w:asciiTheme="minorHAnsi" w:eastAsiaTheme="minorEastAsia" w:hAnsiTheme="minorHAnsi"/>
              <w:lang w:eastAsia="en-AU"/>
            </w:rPr>
          </w:pPr>
          <w:hyperlink w:anchor="_Toc486236069" w:history="1">
            <w:r w:rsidR="004A27FF" w:rsidRPr="00A663B9">
              <w:rPr>
                <w:rStyle w:val="Hyperlink"/>
                <w:lang w:eastAsia="ja-JP"/>
              </w:rPr>
              <w:t>10.1</w:t>
            </w:r>
            <w:r w:rsidR="004A27FF">
              <w:rPr>
                <w:rFonts w:asciiTheme="minorHAnsi" w:eastAsiaTheme="minorEastAsia" w:hAnsiTheme="minorHAnsi"/>
                <w:lang w:eastAsia="en-AU"/>
              </w:rPr>
              <w:tab/>
            </w:r>
            <w:r w:rsidR="004A27FF" w:rsidRPr="00A663B9">
              <w:rPr>
                <w:rStyle w:val="Hyperlink"/>
                <w:lang w:eastAsia="ja-JP"/>
              </w:rPr>
              <w:t>A future system</w:t>
            </w:r>
            <w:r w:rsidR="004A27FF">
              <w:rPr>
                <w:webHidden/>
              </w:rPr>
              <w:tab/>
            </w:r>
            <w:r w:rsidR="004A27FF">
              <w:rPr>
                <w:webHidden/>
              </w:rPr>
              <w:fldChar w:fldCharType="begin"/>
            </w:r>
            <w:r w:rsidR="004A27FF">
              <w:rPr>
                <w:webHidden/>
              </w:rPr>
              <w:instrText xml:space="preserve"> PAGEREF _Toc486236069 \h </w:instrText>
            </w:r>
            <w:r w:rsidR="004A27FF">
              <w:rPr>
                <w:webHidden/>
              </w:rPr>
            </w:r>
            <w:r w:rsidR="004A27FF">
              <w:rPr>
                <w:webHidden/>
              </w:rPr>
              <w:fldChar w:fldCharType="separate"/>
            </w:r>
            <w:r w:rsidR="004A27FF">
              <w:rPr>
                <w:webHidden/>
              </w:rPr>
              <w:t>135</w:t>
            </w:r>
            <w:r w:rsidR="004A27FF">
              <w:rPr>
                <w:webHidden/>
              </w:rPr>
              <w:fldChar w:fldCharType="end"/>
            </w:r>
          </w:hyperlink>
        </w:p>
        <w:p w14:paraId="75ECB1B4" w14:textId="77777777" w:rsidR="004A27FF" w:rsidRDefault="00041132">
          <w:pPr>
            <w:pStyle w:val="TOC2"/>
            <w:tabs>
              <w:tab w:val="left" w:pos="1100"/>
            </w:tabs>
            <w:rPr>
              <w:rFonts w:asciiTheme="minorHAnsi" w:eastAsiaTheme="minorEastAsia" w:hAnsiTheme="minorHAnsi"/>
              <w:lang w:eastAsia="en-AU"/>
            </w:rPr>
          </w:pPr>
          <w:hyperlink w:anchor="_Toc486236070" w:history="1">
            <w:r w:rsidR="004A27FF" w:rsidRPr="00A663B9">
              <w:rPr>
                <w:rStyle w:val="Hyperlink"/>
                <w:lang w:eastAsia="ja-JP"/>
              </w:rPr>
              <w:t>10.2</w:t>
            </w:r>
            <w:r w:rsidR="004A27FF">
              <w:rPr>
                <w:rFonts w:asciiTheme="minorHAnsi" w:eastAsiaTheme="minorEastAsia" w:hAnsiTheme="minorHAnsi"/>
                <w:lang w:eastAsia="en-AU"/>
              </w:rPr>
              <w:tab/>
            </w:r>
            <w:r w:rsidR="004A27FF" w:rsidRPr="00A663B9">
              <w:rPr>
                <w:rStyle w:val="Hyperlink"/>
                <w:lang w:eastAsia="ja-JP"/>
              </w:rPr>
              <w:t>A future IGAB</w:t>
            </w:r>
            <w:r w:rsidR="004A27FF">
              <w:rPr>
                <w:webHidden/>
              </w:rPr>
              <w:tab/>
            </w:r>
            <w:r w:rsidR="004A27FF">
              <w:rPr>
                <w:webHidden/>
              </w:rPr>
              <w:fldChar w:fldCharType="begin"/>
            </w:r>
            <w:r w:rsidR="004A27FF">
              <w:rPr>
                <w:webHidden/>
              </w:rPr>
              <w:instrText xml:space="preserve"> PAGEREF _Toc486236070 \h </w:instrText>
            </w:r>
            <w:r w:rsidR="004A27FF">
              <w:rPr>
                <w:webHidden/>
              </w:rPr>
            </w:r>
            <w:r w:rsidR="004A27FF">
              <w:rPr>
                <w:webHidden/>
              </w:rPr>
              <w:fldChar w:fldCharType="separate"/>
            </w:r>
            <w:r w:rsidR="004A27FF">
              <w:rPr>
                <w:webHidden/>
              </w:rPr>
              <w:t>138</w:t>
            </w:r>
            <w:r w:rsidR="004A27FF">
              <w:rPr>
                <w:webHidden/>
              </w:rPr>
              <w:fldChar w:fldCharType="end"/>
            </w:r>
          </w:hyperlink>
        </w:p>
        <w:p w14:paraId="146A4B64" w14:textId="77777777" w:rsidR="004A27FF" w:rsidRDefault="00041132">
          <w:pPr>
            <w:pStyle w:val="TOC1"/>
            <w:rPr>
              <w:rFonts w:asciiTheme="minorHAnsi" w:eastAsiaTheme="minorEastAsia" w:hAnsiTheme="minorHAnsi"/>
              <w:b w:val="0"/>
              <w:lang w:eastAsia="en-AU"/>
            </w:rPr>
          </w:pPr>
          <w:hyperlink w:anchor="_Toc486236071" w:history="1">
            <w:r w:rsidR="004A27FF" w:rsidRPr="00A663B9">
              <w:rPr>
                <w:rStyle w:val="Hyperlink"/>
              </w:rPr>
              <w:t>Appendix A Terms of reference and links to the report</w:t>
            </w:r>
            <w:r w:rsidR="004A27FF">
              <w:rPr>
                <w:webHidden/>
              </w:rPr>
              <w:tab/>
            </w:r>
            <w:r w:rsidR="004A27FF">
              <w:rPr>
                <w:webHidden/>
              </w:rPr>
              <w:fldChar w:fldCharType="begin"/>
            </w:r>
            <w:r w:rsidR="004A27FF">
              <w:rPr>
                <w:webHidden/>
              </w:rPr>
              <w:instrText xml:space="preserve"> PAGEREF _Toc486236071 \h </w:instrText>
            </w:r>
            <w:r w:rsidR="004A27FF">
              <w:rPr>
                <w:webHidden/>
              </w:rPr>
            </w:r>
            <w:r w:rsidR="004A27FF">
              <w:rPr>
                <w:webHidden/>
              </w:rPr>
              <w:fldChar w:fldCharType="separate"/>
            </w:r>
            <w:r w:rsidR="004A27FF">
              <w:rPr>
                <w:webHidden/>
              </w:rPr>
              <w:t>155</w:t>
            </w:r>
            <w:r w:rsidR="004A27FF">
              <w:rPr>
                <w:webHidden/>
              </w:rPr>
              <w:fldChar w:fldCharType="end"/>
            </w:r>
          </w:hyperlink>
        </w:p>
        <w:p w14:paraId="4CDAFEB0" w14:textId="77777777" w:rsidR="004A27FF" w:rsidRDefault="00041132">
          <w:pPr>
            <w:pStyle w:val="TOC1"/>
            <w:rPr>
              <w:rFonts w:asciiTheme="minorHAnsi" w:eastAsiaTheme="minorEastAsia" w:hAnsiTheme="minorHAnsi"/>
              <w:b w:val="0"/>
              <w:lang w:eastAsia="en-AU"/>
            </w:rPr>
          </w:pPr>
          <w:hyperlink w:anchor="_Toc486236072" w:history="1">
            <w:r w:rsidR="004A27FF" w:rsidRPr="00A663B9">
              <w:rPr>
                <w:rStyle w:val="Hyperlink"/>
              </w:rPr>
              <w:t>Appendix B Review panel biographies</w:t>
            </w:r>
            <w:r w:rsidR="004A27FF">
              <w:rPr>
                <w:webHidden/>
              </w:rPr>
              <w:tab/>
            </w:r>
            <w:r w:rsidR="004A27FF">
              <w:rPr>
                <w:webHidden/>
              </w:rPr>
              <w:fldChar w:fldCharType="begin"/>
            </w:r>
            <w:r w:rsidR="004A27FF">
              <w:rPr>
                <w:webHidden/>
              </w:rPr>
              <w:instrText xml:space="preserve"> PAGEREF _Toc486236072 \h </w:instrText>
            </w:r>
            <w:r w:rsidR="004A27FF">
              <w:rPr>
                <w:webHidden/>
              </w:rPr>
            </w:r>
            <w:r w:rsidR="004A27FF">
              <w:rPr>
                <w:webHidden/>
              </w:rPr>
              <w:fldChar w:fldCharType="separate"/>
            </w:r>
            <w:r w:rsidR="004A27FF">
              <w:rPr>
                <w:webHidden/>
              </w:rPr>
              <w:t>157</w:t>
            </w:r>
            <w:r w:rsidR="004A27FF">
              <w:rPr>
                <w:webHidden/>
              </w:rPr>
              <w:fldChar w:fldCharType="end"/>
            </w:r>
          </w:hyperlink>
        </w:p>
        <w:p w14:paraId="08698B18" w14:textId="77777777" w:rsidR="004A27FF" w:rsidRDefault="00041132">
          <w:pPr>
            <w:pStyle w:val="TOC1"/>
            <w:rPr>
              <w:rFonts w:asciiTheme="minorHAnsi" w:eastAsiaTheme="minorEastAsia" w:hAnsiTheme="minorHAnsi"/>
              <w:b w:val="0"/>
              <w:lang w:eastAsia="en-AU"/>
            </w:rPr>
          </w:pPr>
          <w:hyperlink w:anchor="_Toc486236073" w:history="1">
            <w:r w:rsidR="004A27FF" w:rsidRPr="00A663B9">
              <w:rPr>
                <w:rStyle w:val="Hyperlink"/>
              </w:rPr>
              <w:t>Appendix C Public consultation</w:t>
            </w:r>
            <w:r w:rsidR="004A27FF">
              <w:rPr>
                <w:webHidden/>
              </w:rPr>
              <w:tab/>
            </w:r>
            <w:r w:rsidR="004A27FF">
              <w:rPr>
                <w:webHidden/>
              </w:rPr>
              <w:fldChar w:fldCharType="begin"/>
            </w:r>
            <w:r w:rsidR="004A27FF">
              <w:rPr>
                <w:webHidden/>
              </w:rPr>
              <w:instrText xml:space="preserve"> PAGEREF _Toc486236073 \h </w:instrText>
            </w:r>
            <w:r w:rsidR="004A27FF">
              <w:rPr>
                <w:webHidden/>
              </w:rPr>
            </w:r>
            <w:r w:rsidR="004A27FF">
              <w:rPr>
                <w:webHidden/>
              </w:rPr>
              <w:fldChar w:fldCharType="separate"/>
            </w:r>
            <w:r w:rsidR="004A27FF">
              <w:rPr>
                <w:webHidden/>
              </w:rPr>
              <w:t>158</w:t>
            </w:r>
            <w:r w:rsidR="004A27FF">
              <w:rPr>
                <w:webHidden/>
              </w:rPr>
              <w:fldChar w:fldCharType="end"/>
            </w:r>
          </w:hyperlink>
        </w:p>
        <w:p w14:paraId="5409D370" w14:textId="77777777" w:rsidR="004A27FF" w:rsidRDefault="00041132">
          <w:pPr>
            <w:pStyle w:val="TOC1"/>
            <w:rPr>
              <w:rFonts w:asciiTheme="minorHAnsi" w:eastAsiaTheme="minorEastAsia" w:hAnsiTheme="minorHAnsi"/>
              <w:b w:val="0"/>
              <w:lang w:eastAsia="en-AU"/>
            </w:rPr>
          </w:pPr>
          <w:hyperlink w:anchor="_Toc486236074" w:history="1">
            <w:r w:rsidR="004A27FF" w:rsidRPr="00A663B9">
              <w:rPr>
                <w:rStyle w:val="Hyperlink"/>
              </w:rPr>
              <w:t>Appendix D Risk Return Resource Allocation model</w:t>
            </w:r>
            <w:r w:rsidR="004A27FF">
              <w:rPr>
                <w:webHidden/>
              </w:rPr>
              <w:tab/>
            </w:r>
            <w:r w:rsidR="004A27FF">
              <w:rPr>
                <w:webHidden/>
              </w:rPr>
              <w:fldChar w:fldCharType="begin"/>
            </w:r>
            <w:r w:rsidR="004A27FF">
              <w:rPr>
                <w:webHidden/>
              </w:rPr>
              <w:instrText xml:space="preserve"> PAGEREF _Toc486236074 \h </w:instrText>
            </w:r>
            <w:r w:rsidR="004A27FF">
              <w:rPr>
                <w:webHidden/>
              </w:rPr>
            </w:r>
            <w:r w:rsidR="004A27FF">
              <w:rPr>
                <w:webHidden/>
              </w:rPr>
              <w:fldChar w:fldCharType="separate"/>
            </w:r>
            <w:r w:rsidR="004A27FF">
              <w:rPr>
                <w:webHidden/>
              </w:rPr>
              <w:t>162</w:t>
            </w:r>
            <w:r w:rsidR="004A27FF">
              <w:rPr>
                <w:webHidden/>
              </w:rPr>
              <w:fldChar w:fldCharType="end"/>
            </w:r>
          </w:hyperlink>
        </w:p>
        <w:p w14:paraId="1801409D" w14:textId="77777777" w:rsidR="004A27FF" w:rsidRDefault="00041132">
          <w:pPr>
            <w:pStyle w:val="TOC1"/>
            <w:rPr>
              <w:rFonts w:asciiTheme="minorHAnsi" w:eastAsiaTheme="minorEastAsia" w:hAnsiTheme="minorHAnsi"/>
              <w:b w:val="0"/>
              <w:lang w:eastAsia="en-AU"/>
            </w:rPr>
          </w:pPr>
          <w:hyperlink w:anchor="_Toc486236075" w:history="1">
            <w:r w:rsidR="004A27FF" w:rsidRPr="00A663B9">
              <w:rPr>
                <w:rStyle w:val="Hyperlink"/>
              </w:rPr>
              <w:t>Appendix E Biosecurity performance frameworks: national government examples</w:t>
            </w:r>
            <w:r w:rsidR="004A27FF">
              <w:rPr>
                <w:webHidden/>
              </w:rPr>
              <w:tab/>
            </w:r>
            <w:r w:rsidR="004A27FF">
              <w:rPr>
                <w:webHidden/>
              </w:rPr>
              <w:fldChar w:fldCharType="begin"/>
            </w:r>
            <w:r w:rsidR="004A27FF">
              <w:rPr>
                <w:webHidden/>
              </w:rPr>
              <w:instrText xml:space="preserve"> PAGEREF _Toc486236075 \h </w:instrText>
            </w:r>
            <w:r w:rsidR="004A27FF">
              <w:rPr>
                <w:webHidden/>
              </w:rPr>
            </w:r>
            <w:r w:rsidR="004A27FF">
              <w:rPr>
                <w:webHidden/>
              </w:rPr>
              <w:fldChar w:fldCharType="separate"/>
            </w:r>
            <w:r w:rsidR="004A27FF">
              <w:rPr>
                <w:webHidden/>
              </w:rPr>
              <w:t>163</w:t>
            </w:r>
            <w:r w:rsidR="004A27FF">
              <w:rPr>
                <w:webHidden/>
              </w:rPr>
              <w:fldChar w:fldCharType="end"/>
            </w:r>
          </w:hyperlink>
        </w:p>
        <w:p w14:paraId="0318811C" w14:textId="77777777" w:rsidR="004A27FF" w:rsidRDefault="00041132">
          <w:pPr>
            <w:pStyle w:val="TOC1"/>
            <w:rPr>
              <w:rFonts w:asciiTheme="minorHAnsi" w:eastAsiaTheme="minorEastAsia" w:hAnsiTheme="minorHAnsi"/>
              <w:b w:val="0"/>
              <w:lang w:eastAsia="en-AU"/>
            </w:rPr>
          </w:pPr>
          <w:hyperlink w:anchor="_Toc486236076" w:history="1">
            <w:r w:rsidR="004A27FF" w:rsidRPr="00A663B9">
              <w:rPr>
                <w:rStyle w:val="Hyperlink"/>
              </w:rPr>
              <w:t>Appendix F Comparing industry and environmental preparedness</w:t>
            </w:r>
            <w:r w:rsidR="004A27FF">
              <w:rPr>
                <w:webHidden/>
              </w:rPr>
              <w:tab/>
            </w:r>
            <w:r w:rsidR="004A27FF">
              <w:rPr>
                <w:webHidden/>
              </w:rPr>
              <w:fldChar w:fldCharType="begin"/>
            </w:r>
            <w:r w:rsidR="004A27FF">
              <w:rPr>
                <w:webHidden/>
              </w:rPr>
              <w:instrText xml:space="preserve"> PAGEREF _Toc486236076 \h </w:instrText>
            </w:r>
            <w:r w:rsidR="004A27FF">
              <w:rPr>
                <w:webHidden/>
              </w:rPr>
            </w:r>
            <w:r w:rsidR="004A27FF">
              <w:rPr>
                <w:webHidden/>
              </w:rPr>
              <w:fldChar w:fldCharType="separate"/>
            </w:r>
            <w:r w:rsidR="004A27FF">
              <w:rPr>
                <w:webHidden/>
              </w:rPr>
              <w:t>165</w:t>
            </w:r>
            <w:r w:rsidR="004A27FF">
              <w:rPr>
                <w:webHidden/>
              </w:rPr>
              <w:fldChar w:fldCharType="end"/>
            </w:r>
          </w:hyperlink>
        </w:p>
        <w:p w14:paraId="5E1DB9E1" w14:textId="77777777" w:rsidR="004A27FF" w:rsidRDefault="00041132">
          <w:pPr>
            <w:pStyle w:val="TOC1"/>
            <w:rPr>
              <w:rFonts w:asciiTheme="minorHAnsi" w:eastAsiaTheme="minorEastAsia" w:hAnsiTheme="minorHAnsi"/>
              <w:b w:val="0"/>
              <w:lang w:eastAsia="en-AU"/>
            </w:rPr>
          </w:pPr>
          <w:hyperlink w:anchor="_Toc486236077" w:history="1">
            <w:r w:rsidR="004A27FF" w:rsidRPr="00A663B9">
              <w:rPr>
                <w:rStyle w:val="Hyperlink"/>
              </w:rPr>
              <w:t>Glossary</w:t>
            </w:r>
            <w:r w:rsidR="004A27FF">
              <w:rPr>
                <w:webHidden/>
              </w:rPr>
              <w:tab/>
            </w:r>
            <w:r w:rsidR="004A27FF">
              <w:rPr>
                <w:webHidden/>
              </w:rPr>
              <w:fldChar w:fldCharType="begin"/>
            </w:r>
            <w:r w:rsidR="004A27FF">
              <w:rPr>
                <w:webHidden/>
              </w:rPr>
              <w:instrText xml:space="preserve"> PAGEREF _Toc486236077 \h </w:instrText>
            </w:r>
            <w:r w:rsidR="004A27FF">
              <w:rPr>
                <w:webHidden/>
              </w:rPr>
            </w:r>
            <w:r w:rsidR="004A27FF">
              <w:rPr>
                <w:webHidden/>
              </w:rPr>
              <w:fldChar w:fldCharType="separate"/>
            </w:r>
            <w:r w:rsidR="004A27FF">
              <w:rPr>
                <w:webHidden/>
              </w:rPr>
              <w:t>166</w:t>
            </w:r>
            <w:r w:rsidR="004A27FF">
              <w:rPr>
                <w:webHidden/>
              </w:rPr>
              <w:fldChar w:fldCharType="end"/>
            </w:r>
          </w:hyperlink>
        </w:p>
        <w:p w14:paraId="3570DB1C" w14:textId="77777777" w:rsidR="004A27FF" w:rsidRDefault="00041132">
          <w:pPr>
            <w:pStyle w:val="TOC1"/>
            <w:rPr>
              <w:rFonts w:asciiTheme="minorHAnsi" w:eastAsiaTheme="minorEastAsia" w:hAnsiTheme="minorHAnsi"/>
              <w:b w:val="0"/>
              <w:lang w:eastAsia="en-AU"/>
            </w:rPr>
          </w:pPr>
          <w:hyperlink w:anchor="_Toc486236078" w:history="1">
            <w:r w:rsidR="004A27FF" w:rsidRPr="00A663B9">
              <w:rPr>
                <w:rStyle w:val="Hyperlink"/>
              </w:rPr>
              <w:t>References</w:t>
            </w:r>
            <w:r w:rsidR="004A27FF">
              <w:rPr>
                <w:webHidden/>
              </w:rPr>
              <w:tab/>
            </w:r>
            <w:r w:rsidR="004A27FF">
              <w:rPr>
                <w:webHidden/>
              </w:rPr>
              <w:fldChar w:fldCharType="begin"/>
            </w:r>
            <w:r w:rsidR="004A27FF">
              <w:rPr>
                <w:webHidden/>
              </w:rPr>
              <w:instrText xml:space="preserve"> PAGEREF _Toc486236078 \h </w:instrText>
            </w:r>
            <w:r w:rsidR="004A27FF">
              <w:rPr>
                <w:webHidden/>
              </w:rPr>
            </w:r>
            <w:r w:rsidR="004A27FF">
              <w:rPr>
                <w:webHidden/>
              </w:rPr>
              <w:fldChar w:fldCharType="separate"/>
            </w:r>
            <w:r w:rsidR="004A27FF">
              <w:rPr>
                <w:webHidden/>
              </w:rPr>
              <w:t>167</w:t>
            </w:r>
            <w:r w:rsidR="004A27FF">
              <w:rPr>
                <w:webHidden/>
              </w:rPr>
              <w:fldChar w:fldCharType="end"/>
            </w:r>
          </w:hyperlink>
        </w:p>
        <w:p w14:paraId="6C37F75F" w14:textId="2C7613B3" w:rsidR="00AD170E" w:rsidRDefault="002A3865" w:rsidP="00442B8C">
          <w:pPr>
            <w:pStyle w:val="TOC1"/>
          </w:pPr>
          <w:r>
            <w:rPr>
              <w:b w:val="0"/>
            </w:rPr>
            <w:fldChar w:fldCharType="end"/>
          </w:r>
        </w:p>
      </w:sdtContent>
    </w:sdt>
    <w:p w14:paraId="79A41302" w14:textId="399D811A" w:rsidR="0003507A" w:rsidRDefault="0003507A" w:rsidP="00A50834">
      <w:pPr>
        <w:pStyle w:val="Heading2"/>
        <w:numPr>
          <w:ilvl w:val="0"/>
          <w:numId w:val="0"/>
        </w:numPr>
        <w:ind w:left="709" w:hanging="709"/>
      </w:pPr>
      <w:bookmarkStart w:id="4" w:name="_Toc430782149"/>
      <w:bookmarkStart w:id="5" w:name="_Toc486236020"/>
      <w:r w:rsidRPr="00665BC3">
        <w:lastRenderedPageBreak/>
        <w:t>Summary</w:t>
      </w:r>
      <w:bookmarkEnd w:id="4"/>
      <w:bookmarkEnd w:id="5"/>
    </w:p>
    <w:p w14:paraId="267A246C" w14:textId="27288005" w:rsidR="007009E7" w:rsidRDefault="007009E7" w:rsidP="007009E7">
      <w:r>
        <w:t>Australia’s biosecurity system is a trade and economic asset. It underpins $5</w:t>
      </w:r>
      <w:r w:rsidR="00A43D67">
        <w:t>9</w:t>
      </w:r>
      <w:r w:rsidR="00752EEA">
        <w:t> </w:t>
      </w:r>
      <w:r>
        <w:t>billion in agricultural production, $4</w:t>
      </w:r>
      <w:r w:rsidR="00A43D67">
        <w:t>5</w:t>
      </w:r>
      <w:r w:rsidR="008E1818">
        <w:t> </w:t>
      </w:r>
      <w:r>
        <w:t>billion of a</w:t>
      </w:r>
      <w:r w:rsidR="008E1818">
        <w:t>gricultural exports and our $38 </w:t>
      </w:r>
      <w:r>
        <w:t xml:space="preserve">billion inbound tourism industry. Equally, national biosecurity efforts protect human health and social amenity and help </w:t>
      </w:r>
      <w:r w:rsidR="00906763">
        <w:t xml:space="preserve">to </w:t>
      </w:r>
      <w:r>
        <w:t xml:space="preserve">maintain our </w:t>
      </w:r>
      <w:r w:rsidR="00173FF2">
        <w:t xml:space="preserve">unique, </w:t>
      </w:r>
      <w:r>
        <w:t>biodiverse, natural environments</w:t>
      </w:r>
      <w:r w:rsidR="00906763">
        <w:t>:</w:t>
      </w:r>
      <w:r w:rsidR="00D66D3F">
        <w:t xml:space="preserve"> the A</w:t>
      </w:r>
      <w:r w:rsidR="00906763">
        <w:t xml:space="preserve">ustralian </w:t>
      </w:r>
      <w:r w:rsidR="00D66D3F">
        <w:t>B</w:t>
      </w:r>
      <w:r w:rsidR="00906763">
        <w:t xml:space="preserve">ureau of </w:t>
      </w:r>
      <w:r w:rsidR="00D66D3F">
        <w:t>S</w:t>
      </w:r>
      <w:r w:rsidR="00906763">
        <w:t>tatistics</w:t>
      </w:r>
      <w:r w:rsidR="00D66D3F">
        <w:t xml:space="preserve"> valu</w:t>
      </w:r>
      <w:r w:rsidR="00906763">
        <w:t>ed</w:t>
      </w:r>
      <w:r w:rsidR="00D66D3F">
        <w:t xml:space="preserve"> Australia’s environmental assets at </w:t>
      </w:r>
      <w:r w:rsidR="00D66D3F" w:rsidRPr="001D29B6">
        <w:t>over $6</w:t>
      </w:r>
      <w:r w:rsidR="00A535DE">
        <w:t xml:space="preserve"> trillion</w:t>
      </w:r>
      <w:r w:rsidR="00D66D3F">
        <w:t xml:space="preserve"> </w:t>
      </w:r>
      <w:r w:rsidR="000B3061">
        <w:t xml:space="preserve">at 30 June 2016 </w:t>
      </w:r>
      <w:r w:rsidR="00D66D3F">
        <w:t>(</w:t>
      </w:r>
      <w:hyperlink w:anchor="ABS_2017" w:history="1">
        <w:r w:rsidR="00F104FD" w:rsidRPr="00F104FD">
          <w:rPr>
            <w:rStyle w:val="Hyperlink"/>
          </w:rPr>
          <w:t>ABS 2017</w:t>
        </w:r>
      </w:hyperlink>
      <w:r w:rsidR="00D66D3F">
        <w:t>)</w:t>
      </w:r>
      <w:r>
        <w:t>.</w:t>
      </w:r>
    </w:p>
    <w:p w14:paraId="2915D17D" w14:textId="5592E398" w:rsidR="00F1005C" w:rsidRPr="00F1005C" w:rsidRDefault="00F1005C" w:rsidP="00F1005C">
      <w:pPr>
        <w:rPr>
          <w:rFonts w:eastAsia="Calibri" w:cs="Times New Roman"/>
        </w:rPr>
      </w:pPr>
      <w:r w:rsidRPr="00F1005C">
        <w:rPr>
          <w:rFonts w:eastAsia="Calibri" w:cs="Times New Roman"/>
        </w:rPr>
        <w:t xml:space="preserve">Our national </w:t>
      </w:r>
      <w:r w:rsidR="00731E88">
        <w:rPr>
          <w:rFonts w:eastAsia="Calibri" w:cs="Times New Roman"/>
        </w:rPr>
        <w:t xml:space="preserve">biosecurity </w:t>
      </w:r>
      <w:r w:rsidRPr="00F1005C">
        <w:rPr>
          <w:rFonts w:eastAsia="Calibri" w:cs="Times New Roman"/>
        </w:rPr>
        <w:t>system does not exist as a single physical or legal entity. It is built on ‘shared responsibility’—the cooperation, investment and actions by all governments, industry bodies, exporters and importers, farmers, miners, tourists</w:t>
      </w:r>
      <w:r w:rsidR="006E3973">
        <w:rPr>
          <w:rFonts w:eastAsia="Calibri" w:cs="Times New Roman"/>
        </w:rPr>
        <w:t>, researchers</w:t>
      </w:r>
      <w:r w:rsidRPr="00F1005C">
        <w:rPr>
          <w:rFonts w:eastAsia="Calibri" w:cs="Times New Roman"/>
        </w:rPr>
        <w:t xml:space="preserve"> and the broader community. For governments, the sharing of responsibility occurs through a cooperative partnership under the Intergovernmental Agreement on Biosecurity (IGAB), which was signed by Australia’s then Prime Minister, Premiers and Chief Ministers (First Ministers) </w:t>
      </w:r>
      <w:r w:rsidR="00573B0F">
        <w:rPr>
          <w:rFonts w:eastAsia="Calibri" w:cs="Times New Roman"/>
        </w:rPr>
        <w:t xml:space="preserve">of all mainland states and territories </w:t>
      </w:r>
      <w:r w:rsidR="009A1AC1">
        <w:rPr>
          <w:rFonts w:eastAsia="Calibri" w:cs="Times New Roman"/>
        </w:rPr>
        <w:t>in 2012.</w:t>
      </w:r>
    </w:p>
    <w:p w14:paraId="451264CD" w14:textId="23B237FA" w:rsidR="00F1005C" w:rsidRPr="00F1005C" w:rsidRDefault="00F1005C" w:rsidP="00F1005C">
      <w:pPr>
        <w:rPr>
          <w:rFonts w:eastAsia="Calibri" w:cs="Times New Roman"/>
        </w:rPr>
      </w:pPr>
      <w:r w:rsidRPr="00F1005C">
        <w:rPr>
          <w:rFonts w:eastAsia="Calibri" w:cs="Times New Roman"/>
        </w:rPr>
        <w:t xml:space="preserve">The IGAB has created a framework for governments to coordinate and identify priority areas of reform and action to build a stronger and more effective national biosecurity system. The IGAB was an important step for governments, recognising the value of strengthening and institutionalising intergovernmental relationships and building on the previous memoranda of understanding between Australia’s </w:t>
      </w:r>
      <w:r w:rsidRPr="00573B0F">
        <w:rPr>
          <w:rFonts w:eastAsia="Calibri" w:cs="Times New Roman"/>
        </w:rPr>
        <w:t xml:space="preserve">governments. This </w:t>
      </w:r>
      <w:r w:rsidR="00171523">
        <w:rPr>
          <w:rFonts w:eastAsia="Calibri" w:cs="Times New Roman"/>
        </w:rPr>
        <w:t>r</w:t>
      </w:r>
      <w:r w:rsidRPr="00573B0F">
        <w:rPr>
          <w:rFonts w:eastAsia="Calibri" w:cs="Times New Roman"/>
        </w:rPr>
        <w:t>eview of</w:t>
      </w:r>
      <w:r w:rsidRPr="00F1005C">
        <w:rPr>
          <w:rFonts w:eastAsia="Calibri" w:cs="Times New Roman"/>
        </w:rPr>
        <w:t xml:space="preserve"> the first IGAB (IGAB1) recognises its significant achievements, including a strong and healthy working partnership between all governments and the development of sound national policy principles and frameworks for an effe</w:t>
      </w:r>
      <w:r w:rsidR="009A1AC1">
        <w:rPr>
          <w:rFonts w:eastAsia="Calibri" w:cs="Times New Roman"/>
        </w:rPr>
        <w:t>ctive and well-regarded system.</w:t>
      </w:r>
    </w:p>
    <w:p w14:paraId="6DB1F5BF" w14:textId="5ED4875B" w:rsidR="00F1005C" w:rsidRPr="00D14D67" w:rsidRDefault="00F1005C" w:rsidP="00F1005C">
      <w:pPr>
        <w:rPr>
          <w:rFonts w:eastAsia="Calibri" w:cs="Times New Roman"/>
        </w:rPr>
      </w:pPr>
      <w:r w:rsidRPr="00D14D67">
        <w:rPr>
          <w:rFonts w:eastAsia="Calibri" w:cs="Times New Roman"/>
        </w:rPr>
        <w:t>This report fulfils the commitment within IGAB</w:t>
      </w:r>
      <w:r w:rsidR="00171523">
        <w:rPr>
          <w:rFonts w:eastAsia="Calibri" w:cs="Times New Roman"/>
        </w:rPr>
        <w:t>1</w:t>
      </w:r>
      <w:r w:rsidRPr="00D14D67">
        <w:rPr>
          <w:rFonts w:eastAsia="Calibri" w:cs="Times New Roman"/>
        </w:rPr>
        <w:t xml:space="preserve"> for a review of implementation and effectiveness of the </w:t>
      </w:r>
      <w:r w:rsidR="00171523">
        <w:rPr>
          <w:rFonts w:eastAsia="Calibri" w:cs="Times New Roman"/>
        </w:rPr>
        <w:t>IGAB</w:t>
      </w:r>
      <w:r w:rsidR="00171523" w:rsidRPr="00D14D67">
        <w:rPr>
          <w:rFonts w:eastAsia="Calibri" w:cs="Times New Roman"/>
        </w:rPr>
        <w:t xml:space="preserve"> </w:t>
      </w:r>
      <w:r w:rsidRPr="00D14D67">
        <w:rPr>
          <w:rFonts w:eastAsia="Calibri" w:cs="Times New Roman"/>
        </w:rPr>
        <w:t xml:space="preserve">and recommendations for amendment. The report also provides the </w:t>
      </w:r>
      <w:r w:rsidR="00171523">
        <w:rPr>
          <w:rFonts w:eastAsia="Calibri" w:cs="Times New Roman"/>
        </w:rPr>
        <w:t>p</w:t>
      </w:r>
      <w:r w:rsidRPr="00D14D67">
        <w:rPr>
          <w:rFonts w:eastAsia="Calibri" w:cs="Times New Roman"/>
        </w:rPr>
        <w:t xml:space="preserve">anel’s assessment and recommendations of the capacity of key components of </w:t>
      </w:r>
      <w:r w:rsidR="00731E88">
        <w:rPr>
          <w:rFonts w:eastAsia="Calibri" w:cs="Times New Roman"/>
        </w:rPr>
        <w:t xml:space="preserve">the </w:t>
      </w:r>
      <w:r w:rsidRPr="00D14D67">
        <w:rPr>
          <w:rFonts w:eastAsia="Calibri" w:cs="Times New Roman"/>
        </w:rPr>
        <w:t xml:space="preserve">national system, as detailed in the </w:t>
      </w:r>
      <w:r w:rsidR="00171523">
        <w:rPr>
          <w:rFonts w:eastAsia="Calibri" w:cs="Times New Roman"/>
        </w:rPr>
        <w:t>r</w:t>
      </w:r>
      <w:r w:rsidRPr="00D14D67">
        <w:rPr>
          <w:rFonts w:eastAsia="Calibri" w:cs="Times New Roman"/>
        </w:rPr>
        <w:t>eview</w:t>
      </w:r>
      <w:r w:rsidR="00E70931">
        <w:rPr>
          <w:rFonts w:eastAsia="Calibri" w:cs="Times New Roman"/>
        </w:rPr>
        <w:t>’s</w:t>
      </w:r>
      <w:r w:rsidRPr="00D14D67">
        <w:rPr>
          <w:rFonts w:eastAsia="Calibri" w:cs="Times New Roman"/>
        </w:rPr>
        <w:t xml:space="preserve"> terms of reference (</w:t>
      </w:r>
      <w:hyperlink w:anchor="_Appendix_A:_Terms_1" w:history="1">
        <w:r w:rsidR="000B3061" w:rsidRPr="00392F65">
          <w:rPr>
            <w:rStyle w:val="Hyperlink"/>
            <w:lang w:eastAsia="ja-JP"/>
          </w:rPr>
          <w:t>Appendix A</w:t>
        </w:r>
      </w:hyperlink>
      <w:r w:rsidRPr="00D14D67">
        <w:rPr>
          <w:rFonts w:eastAsia="Calibri" w:cs="Times New Roman"/>
        </w:rPr>
        <w:t>).</w:t>
      </w:r>
    </w:p>
    <w:p w14:paraId="5F2D8217" w14:textId="671D554C" w:rsidR="00F1005C" w:rsidRPr="00F1005C" w:rsidRDefault="00F1005C" w:rsidP="00F1005C">
      <w:pPr>
        <w:rPr>
          <w:rFonts w:eastAsia="Calibri" w:cs="Times New Roman"/>
        </w:rPr>
      </w:pPr>
      <w:r w:rsidRPr="00573B0F">
        <w:rPr>
          <w:rFonts w:eastAsia="Calibri" w:cs="Times New Roman"/>
        </w:rPr>
        <w:t xml:space="preserve">The </w:t>
      </w:r>
      <w:r w:rsidR="008E6D16">
        <w:rPr>
          <w:rFonts w:eastAsia="Calibri" w:cs="Times New Roman"/>
        </w:rPr>
        <w:t>r</w:t>
      </w:r>
      <w:r w:rsidRPr="00573B0F">
        <w:rPr>
          <w:rFonts w:eastAsia="Calibri" w:cs="Times New Roman"/>
        </w:rPr>
        <w:t xml:space="preserve">eview has confirmed that the challenges facing government stewardship of the national </w:t>
      </w:r>
      <w:r w:rsidRPr="005D1A59">
        <w:rPr>
          <w:rFonts w:eastAsia="Calibri" w:cs="Times New Roman"/>
        </w:rPr>
        <w:t>biosecurity</w:t>
      </w:r>
      <w:r w:rsidRPr="00573B0F">
        <w:rPr>
          <w:rFonts w:eastAsia="Calibri" w:cs="Times New Roman"/>
        </w:rPr>
        <w:t xml:space="preserve"> system</w:t>
      </w:r>
      <w:r w:rsidRPr="00F1005C">
        <w:rPr>
          <w:rFonts w:eastAsia="Calibri" w:cs="Times New Roman"/>
        </w:rPr>
        <w:t xml:space="preserve"> continue to build. Biosecurity risks are increasing due to increased global trade and travel, increased agricultural expansion and intensification, increased urbanisation close to farmlands, and other factors such as climate change. A tight fiscal environment for governments has placed significant pressure on biosecurity </w:t>
      </w:r>
      <w:r w:rsidRPr="00F1005C">
        <w:rPr>
          <w:rFonts w:eastAsia="Calibri" w:cs="Times New Roman"/>
        </w:rPr>
        <w:lastRenderedPageBreak/>
        <w:t>budgets and the ongoing capacity of jurisdictions to meet their biosecurity commitments. Biosecurity stakeholders</w:t>
      </w:r>
      <w:r w:rsidR="008E6D16">
        <w:rPr>
          <w:rFonts w:eastAsia="Calibri" w:cs="Times New Roman"/>
        </w:rPr>
        <w:t>,</w:t>
      </w:r>
      <w:r w:rsidR="00D66D3F">
        <w:rPr>
          <w:rFonts w:eastAsia="Calibri" w:cs="Times New Roman"/>
        </w:rPr>
        <w:t xml:space="preserve"> especially those bearing an increasing share of the costs,</w:t>
      </w:r>
      <w:r w:rsidR="0043587A">
        <w:rPr>
          <w:rFonts w:eastAsia="Calibri" w:cs="Times New Roman"/>
        </w:rPr>
        <w:t xml:space="preserve"> want a greater say in decision </w:t>
      </w:r>
      <w:r w:rsidRPr="00F1005C">
        <w:rPr>
          <w:rFonts w:eastAsia="Calibri" w:cs="Times New Roman"/>
        </w:rPr>
        <w:t>making about the national system, greater alignment of biosecurity and market access efforts, more efficient delivery of government biosecurity services, and stronger arrangements for environmental biosecurity, among other things. In addition, major biosecurity incidents continue to test public confidence in the national biosecurity arrangements.</w:t>
      </w:r>
    </w:p>
    <w:p w14:paraId="6FE4A729" w14:textId="27AED727" w:rsidR="00F1005C" w:rsidRPr="00F1005C" w:rsidRDefault="00F1005C" w:rsidP="00F1005C">
      <w:pPr>
        <w:rPr>
          <w:rFonts w:eastAsia="Calibri" w:cs="Times New Roman"/>
        </w:rPr>
      </w:pPr>
      <w:r w:rsidRPr="00F1005C">
        <w:rPr>
          <w:rFonts w:eastAsia="Calibri" w:cs="Times New Roman"/>
        </w:rPr>
        <w:t>Governments are committed to addressing these issues</w:t>
      </w:r>
      <w:r w:rsidR="008E6D16">
        <w:rPr>
          <w:rFonts w:eastAsia="Calibri" w:cs="Times New Roman"/>
        </w:rPr>
        <w:t>,</w:t>
      </w:r>
      <w:r w:rsidRPr="00F1005C">
        <w:rPr>
          <w:rFonts w:eastAsia="Calibri" w:cs="Times New Roman"/>
        </w:rPr>
        <w:t xml:space="preserve"> but the efforts of biosecurity agencies are hampered by eroding biosecurity budgets, </w:t>
      </w:r>
      <w:r w:rsidR="00D66D3F">
        <w:rPr>
          <w:rFonts w:eastAsia="Calibri" w:cs="Times New Roman"/>
        </w:rPr>
        <w:t xml:space="preserve">declining and </w:t>
      </w:r>
      <w:r w:rsidRPr="00F1005C">
        <w:rPr>
          <w:rFonts w:eastAsia="Calibri" w:cs="Times New Roman"/>
        </w:rPr>
        <w:t xml:space="preserve">uneven capability and expertise across the jurisdictions, leadership churn (ministerial and executive), </w:t>
      </w:r>
      <w:r w:rsidR="003D2F75">
        <w:rPr>
          <w:rFonts w:eastAsia="Calibri" w:cs="Times New Roman"/>
        </w:rPr>
        <w:t>patchy coverage by</w:t>
      </w:r>
      <w:r w:rsidRPr="00F1005C">
        <w:rPr>
          <w:rFonts w:eastAsia="Calibri" w:cs="Times New Roman"/>
        </w:rPr>
        <w:t xml:space="preserve"> formal institutions and </w:t>
      </w:r>
      <w:r w:rsidR="00573B0F">
        <w:rPr>
          <w:rFonts w:eastAsia="Calibri" w:cs="Times New Roman"/>
        </w:rPr>
        <w:t xml:space="preserve">a lack of </w:t>
      </w:r>
      <w:r w:rsidRPr="00F1005C">
        <w:rPr>
          <w:rFonts w:eastAsia="Calibri" w:cs="Times New Roman"/>
        </w:rPr>
        <w:t>codified practices. That said, the policy and practical challenges of melding nine jurisdictional biosecurity agendas into one national system are significant, but progress is being made.</w:t>
      </w:r>
    </w:p>
    <w:p w14:paraId="31EDC4EF" w14:textId="0ACBF51D" w:rsidR="00F1005C" w:rsidRPr="00F1005C" w:rsidRDefault="00F1005C" w:rsidP="00F1005C">
      <w:pPr>
        <w:rPr>
          <w:rFonts w:eastAsia="Calibri" w:cs="Times New Roman"/>
        </w:rPr>
      </w:pPr>
      <w:r w:rsidRPr="00F1005C">
        <w:rPr>
          <w:rFonts w:eastAsia="Calibri" w:cs="Times New Roman"/>
        </w:rPr>
        <w:t xml:space="preserve">Australia’s biosecurity system must remain strong and focused to build the national capacity and capability required in the face of inevitable and growing biosecurity risks. The </w:t>
      </w:r>
      <w:r w:rsidR="008E6D16">
        <w:rPr>
          <w:rFonts w:eastAsia="Calibri" w:cs="Times New Roman"/>
        </w:rPr>
        <w:t>p</w:t>
      </w:r>
      <w:r w:rsidRPr="00F1005C">
        <w:rPr>
          <w:rFonts w:eastAsia="Calibri" w:cs="Times New Roman"/>
        </w:rPr>
        <w:t xml:space="preserve">anel’s </w:t>
      </w:r>
      <w:r w:rsidR="008E6D16">
        <w:rPr>
          <w:rFonts w:eastAsia="Calibri" w:cs="Times New Roman"/>
        </w:rPr>
        <w:t>r</w:t>
      </w:r>
      <w:r w:rsidRPr="00F1005C">
        <w:rPr>
          <w:rFonts w:eastAsia="Calibri" w:cs="Times New Roman"/>
        </w:rPr>
        <w:t xml:space="preserve">eport sets </w:t>
      </w:r>
      <w:r w:rsidRPr="00573B0F">
        <w:rPr>
          <w:rFonts w:eastAsia="Calibri" w:cs="Times New Roman"/>
        </w:rPr>
        <w:t>out 4</w:t>
      </w:r>
      <w:r w:rsidR="00D66D3F" w:rsidRPr="00573B0F">
        <w:rPr>
          <w:rFonts w:eastAsia="Calibri" w:cs="Times New Roman"/>
        </w:rPr>
        <w:t>2</w:t>
      </w:r>
      <w:r w:rsidRPr="00573B0F">
        <w:rPr>
          <w:rFonts w:eastAsia="Calibri" w:cs="Times New Roman"/>
        </w:rPr>
        <w:t xml:space="preserve"> recommendations</w:t>
      </w:r>
      <w:r w:rsidRPr="00F1005C">
        <w:rPr>
          <w:rFonts w:eastAsia="Calibri" w:cs="Times New Roman"/>
        </w:rPr>
        <w:t xml:space="preserve"> aimed at strengthening the national system over the next five to ten-year period, to be advanced by governments, industry and other parties, including under a refreshed intergovernmental agreement (IGAB2). The </w:t>
      </w:r>
      <w:r w:rsidR="00924AC8">
        <w:rPr>
          <w:rFonts w:eastAsia="Calibri" w:cs="Times New Roman"/>
        </w:rPr>
        <w:t>p</w:t>
      </w:r>
      <w:r w:rsidRPr="00F1005C">
        <w:rPr>
          <w:rFonts w:eastAsia="Calibri" w:cs="Times New Roman"/>
        </w:rPr>
        <w:t xml:space="preserve">anel recognises that implementation of this </w:t>
      </w:r>
      <w:r w:rsidR="00A2342E">
        <w:rPr>
          <w:rFonts w:eastAsia="Calibri" w:cs="Times New Roman"/>
        </w:rPr>
        <w:t>r</w:t>
      </w:r>
      <w:r w:rsidRPr="00F1005C">
        <w:rPr>
          <w:rFonts w:eastAsia="Calibri" w:cs="Times New Roman"/>
        </w:rPr>
        <w:t xml:space="preserve">eview’s recommendations </w:t>
      </w:r>
      <w:r w:rsidR="003D2F75" w:rsidRPr="003D2F75">
        <w:rPr>
          <w:rFonts w:eastAsia="Calibri" w:cs="Times New Roman"/>
        </w:rPr>
        <w:t>is a substantial program of work and</w:t>
      </w:r>
      <w:r w:rsidR="003D2F75">
        <w:rPr>
          <w:rFonts w:eastAsia="Calibri" w:cs="Times New Roman"/>
        </w:rPr>
        <w:t xml:space="preserve"> </w:t>
      </w:r>
      <w:r w:rsidRPr="00F1005C">
        <w:rPr>
          <w:rFonts w:eastAsia="Calibri" w:cs="Times New Roman"/>
        </w:rPr>
        <w:t xml:space="preserve">will increase the cost of the national system. While resourcing the national system is </w:t>
      </w:r>
      <w:r w:rsidR="000F00C4">
        <w:rPr>
          <w:rFonts w:eastAsia="Calibri" w:cs="Times New Roman"/>
        </w:rPr>
        <w:t xml:space="preserve">a </w:t>
      </w:r>
      <w:r w:rsidRPr="00F1005C">
        <w:rPr>
          <w:rFonts w:eastAsia="Calibri" w:cs="Times New Roman"/>
        </w:rPr>
        <w:t xml:space="preserve">key challenge, </w:t>
      </w:r>
      <w:r w:rsidR="003D2F75" w:rsidRPr="003D2F75">
        <w:rPr>
          <w:rFonts w:eastAsia="Calibri" w:cs="Times New Roman"/>
        </w:rPr>
        <w:t xml:space="preserve">progress will be limited without new </w:t>
      </w:r>
      <w:r w:rsidR="003D2F75">
        <w:rPr>
          <w:rFonts w:eastAsia="Calibri" w:cs="Times New Roman"/>
        </w:rPr>
        <w:t>investment. T</w:t>
      </w:r>
      <w:r w:rsidRPr="00F1005C">
        <w:rPr>
          <w:rFonts w:eastAsia="Calibri" w:cs="Times New Roman"/>
        </w:rPr>
        <w:t>his increased cost needs to be balanced against the cost of no additional action</w:t>
      </w:r>
      <w:r w:rsidR="003D2F75" w:rsidRPr="003D2F75">
        <w:t xml:space="preserve"> </w:t>
      </w:r>
      <w:r w:rsidR="003D2F75" w:rsidRPr="003D2F75">
        <w:rPr>
          <w:rFonts w:eastAsia="Calibri" w:cs="Times New Roman"/>
        </w:rPr>
        <w:t xml:space="preserve">which, in the </w:t>
      </w:r>
      <w:r w:rsidR="00A2342E">
        <w:rPr>
          <w:rFonts w:eastAsia="Calibri" w:cs="Times New Roman"/>
        </w:rPr>
        <w:t>p</w:t>
      </w:r>
      <w:r w:rsidR="003D2F75" w:rsidRPr="003D2F75">
        <w:rPr>
          <w:rFonts w:eastAsia="Calibri" w:cs="Times New Roman"/>
        </w:rPr>
        <w:t>anel’s view, poses a significant risk to the durability and effectiveness of the national system.</w:t>
      </w:r>
    </w:p>
    <w:p w14:paraId="09A8D42D" w14:textId="77777777" w:rsidR="00F1005C" w:rsidRPr="009B18DE" w:rsidRDefault="00F1005C" w:rsidP="00F1005C">
      <w:pPr>
        <w:rPr>
          <w:rStyle w:val="Strong"/>
          <w:sz w:val="28"/>
          <w:szCs w:val="28"/>
        </w:rPr>
      </w:pPr>
      <w:r w:rsidRPr="009B18DE">
        <w:rPr>
          <w:rStyle w:val="Strong"/>
          <w:sz w:val="28"/>
          <w:szCs w:val="28"/>
        </w:rPr>
        <w:t>Key focus areas</w:t>
      </w:r>
    </w:p>
    <w:p w14:paraId="2CE08389" w14:textId="77777777" w:rsidR="00F1005C" w:rsidRPr="009B18DE" w:rsidRDefault="00F1005C" w:rsidP="00285E5F">
      <w:pPr>
        <w:spacing w:after="0"/>
        <w:rPr>
          <w:rStyle w:val="Strong"/>
        </w:rPr>
      </w:pPr>
      <w:r w:rsidRPr="009B18DE">
        <w:rPr>
          <w:rStyle w:val="Strong"/>
        </w:rPr>
        <w:t>National priority pests and diseases</w:t>
      </w:r>
    </w:p>
    <w:p w14:paraId="33196B15" w14:textId="77777777" w:rsidR="002B7794" w:rsidRDefault="00F1005C" w:rsidP="00F1005C">
      <w:pPr>
        <w:rPr>
          <w:rFonts w:eastAsia="Calibri" w:cs="Times New Roman"/>
        </w:rPr>
      </w:pPr>
      <w:r w:rsidRPr="00F1005C">
        <w:rPr>
          <w:rFonts w:eastAsia="Calibri" w:cs="Times New Roman"/>
        </w:rPr>
        <w:t xml:space="preserve">A central theme of </w:t>
      </w:r>
      <w:r w:rsidRPr="00573B0F">
        <w:rPr>
          <w:rFonts w:eastAsia="Calibri" w:cs="Times New Roman"/>
        </w:rPr>
        <w:t>th</w:t>
      </w:r>
      <w:r w:rsidR="00573B0F" w:rsidRPr="00573B0F">
        <w:rPr>
          <w:rFonts w:eastAsia="Calibri" w:cs="Times New Roman"/>
        </w:rPr>
        <w:t>e</w:t>
      </w:r>
      <w:r w:rsidRPr="00573B0F">
        <w:rPr>
          <w:rFonts w:eastAsia="Calibri" w:cs="Times New Roman"/>
        </w:rPr>
        <w:t xml:space="preserve"> </w:t>
      </w:r>
      <w:r w:rsidR="006134D7">
        <w:rPr>
          <w:rFonts w:eastAsia="Calibri" w:cs="Times New Roman"/>
        </w:rPr>
        <w:t>r</w:t>
      </w:r>
      <w:r w:rsidRPr="00573B0F">
        <w:rPr>
          <w:rFonts w:eastAsia="Calibri" w:cs="Times New Roman"/>
        </w:rPr>
        <w:t>eview, flowing</w:t>
      </w:r>
      <w:r w:rsidRPr="00F1005C">
        <w:rPr>
          <w:rFonts w:eastAsia="Calibri" w:cs="Times New Roman"/>
        </w:rPr>
        <w:t xml:space="preserve"> through many of the recommendations, is that governments and industry/community should adopt a systematic approach to determining and planning for national priority animal, plant and environmental pests and diseases. Essentially, this involves building the national system from the ground up: pest by pest</w:t>
      </w:r>
      <w:r w:rsidR="006134D7">
        <w:rPr>
          <w:rFonts w:eastAsia="Calibri" w:cs="Times New Roman"/>
        </w:rPr>
        <w:t>;</w:t>
      </w:r>
      <w:r w:rsidRPr="00F1005C">
        <w:rPr>
          <w:rFonts w:eastAsia="Calibri" w:cs="Times New Roman"/>
        </w:rPr>
        <w:t xml:space="preserve"> disease by disease. It will not be possible to individually address the vast array of pests and pathogens, particularly those affecting plants, so the national system must also embrace some generic inspection and treatment practices to manage classes of pests. This is consistent with the purpose and intent of international standard development and harmonisation of risk management procedures. </w:t>
      </w:r>
    </w:p>
    <w:p w14:paraId="3C22F9A8" w14:textId="1E54A88B" w:rsidR="00F1005C" w:rsidRPr="00F1005C" w:rsidRDefault="00F1005C" w:rsidP="00F1005C">
      <w:pPr>
        <w:rPr>
          <w:rFonts w:eastAsia="Calibri" w:cs="Times New Roman"/>
        </w:rPr>
      </w:pPr>
      <w:r w:rsidRPr="00F1005C">
        <w:rPr>
          <w:rFonts w:eastAsia="Calibri" w:cs="Times New Roman"/>
        </w:rPr>
        <w:lastRenderedPageBreak/>
        <w:t xml:space="preserve">Some work to prioritise national biosecurity risks has already occurred or is underway, but this process does not appear to be standardised, is incomplete and </w:t>
      </w:r>
      <w:r w:rsidR="006134D7">
        <w:rPr>
          <w:rFonts w:eastAsia="Calibri" w:cs="Times New Roman"/>
        </w:rPr>
        <w:t xml:space="preserve">is </w:t>
      </w:r>
      <w:r w:rsidRPr="00F1005C">
        <w:rPr>
          <w:rFonts w:eastAsia="Calibri" w:cs="Times New Roman"/>
        </w:rPr>
        <w:t xml:space="preserve">far from comprehensive. </w:t>
      </w:r>
      <w:r w:rsidRPr="00573B0F">
        <w:rPr>
          <w:rFonts w:eastAsia="Calibri" w:cs="Times New Roman"/>
        </w:rPr>
        <w:t>Th</w:t>
      </w:r>
      <w:r w:rsidR="00573B0F" w:rsidRPr="00573B0F">
        <w:rPr>
          <w:rFonts w:eastAsia="Calibri" w:cs="Times New Roman"/>
        </w:rPr>
        <w:t>e</w:t>
      </w:r>
      <w:r w:rsidRPr="00573B0F">
        <w:rPr>
          <w:rFonts w:eastAsia="Calibri" w:cs="Times New Roman"/>
        </w:rPr>
        <w:t xml:space="preserve"> </w:t>
      </w:r>
      <w:r w:rsidR="006134D7">
        <w:rPr>
          <w:rFonts w:eastAsia="Calibri" w:cs="Times New Roman"/>
        </w:rPr>
        <w:t>r</w:t>
      </w:r>
      <w:r w:rsidRPr="00573B0F">
        <w:rPr>
          <w:rFonts w:eastAsia="Calibri" w:cs="Times New Roman"/>
        </w:rPr>
        <w:t>eview proposes a specific process to profile and plan for each national priority pest and</w:t>
      </w:r>
      <w:r w:rsidRPr="00F1005C">
        <w:rPr>
          <w:rFonts w:eastAsia="Calibri" w:cs="Times New Roman"/>
        </w:rPr>
        <w:t xml:space="preserve"> disease, inclusive of the parties involved and funding required. This approach will allow for the ‘rolling-up’ or ‘sum</w:t>
      </w:r>
      <w:r w:rsidR="003D2F75">
        <w:rPr>
          <w:rFonts w:eastAsia="Calibri" w:cs="Times New Roman"/>
        </w:rPr>
        <w:t>ming</w:t>
      </w:r>
      <w:r w:rsidRPr="00F1005C">
        <w:rPr>
          <w:rFonts w:eastAsia="Calibri" w:cs="Times New Roman"/>
        </w:rPr>
        <w:t>’ of the various components of the national system to provide national perspectives of system elements such as pre-border activity</w:t>
      </w:r>
      <w:r w:rsidR="00492C44">
        <w:rPr>
          <w:rFonts w:eastAsia="Calibri" w:cs="Times New Roman"/>
        </w:rPr>
        <w:t>,</w:t>
      </w:r>
      <w:r w:rsidRPr="00F1005C">
        <w:rPr>
          <w:rFonts w:eastAsia="Calibri" w:cs="Times New Roman"/>
        </w:rPr>
        <w:t xml:space="preserve"> surveillance, response, and research and development. Only then can effective national strategies be developed, costed and effectively actioned using the principles developed under IGAB1.</w:t>
      </w:r>
    </w:p>
    <w:p w14:paraId="24D08889" w14:textId="77777777" w:rsidR="00F1005C" w:rsidRPr="009B18DE" w:rsidRDefault="00F1005C" w:rsidP="00285E5F">
      <w:pPr>
        <w:spacing w:after="0"/>
        <w:rPr>
          <w:rStyle w:val="Strong"/>
        </w:rPr>
      </w:pPr>
      <w:r w:rsidRPr="009B18DE">
        <w:rPr>
          <w:rStyle w:val="Strong"/>
        </w:rPr>
        <w:t>Resourcing pressures</w:t>
      </w:r>
    </w:p>
    <w:p w14:paraId="76F560A4" w14:textId="0BA62B2F" w:rsidR="00C90A19" w:rsidRDefault="00F1005C" w:rsidP="00F1005C">
      <w:pPr>
        <w:rPr>
          <w:rFonts w:eastAsia="Calibri" w:cs="Times New Roman"/>
        </w:rPr>
      </w:pPr>
      <w:r w:rsidRPr="00573B0F">
        <w:rPr>
          <w:rFonts w:eastAsia="Calibri" w:cs="Times New Roman"/>
        </w:rPr>
        <w:t xml:space="preserve">Governments and industry are facing, and will continue to face, ongoing resourcing challenges. The </w:t>
      </w:r>
      <w:r w:rsidR="006134D7">
        <w:rPr>
          <w:rFonts w:eastAsia="Calibri" w:cs="Times New Roman"/>
        </w:rPr>
        <w:t>r</w:t>
      </w:r>
      <w:r w:rsidRPr="00573B0F">
        <w:rPr>
          <w:rFonts w:eastAsia="Calibri" w:cs="Times New Roman"/>
        </w:rPr>
        <w:t>eview found that government appropriation funding has generally been static or in decline</w:t>
      </w:r>
      <w:r w:rsidR="006134D7">
        <w:rPr>
          <w:rFonts w:eastAsia="Calibri" w:cs="Times New Roman"/>
        </w:rPr>
        <w:t>,</w:t>
      </w:r>
      <w:r w:rsidRPr="00F1005C">
        <w:rPr>
          <w:rFonts w:eastAsia="Calibri" w:cs="Times New Roman"/>
        </w:rPr>
        <w:t xml:space="preserve"> while externally sourced funds (cost</w:t>
      </w:r>
      <w:r w:rsidR="002B7794">
        <w:rPr>
          <w:rFonts w:eastAsia="Calibri" w:cs="Times New Roman"/>
        </w:rPr>
        <w:t>-</w:t>
      </w:r>
      <w:r w:rsidRPr="00F1005C">
        <w:rPr>
          <w:rFonts w:eastAsia="Calibri" w:cs="Times New Roman"/>
        </w:rPr>
        <w:t>recovered funds and levies) have been increasing</w:t>
      </w:r>
      <w:r w:rsidRPr="00052764">
        <w:rPr>
          <w:rFonts w:eastAsia="Calibri" w:cs="Times New Roman"/>
        </w:rPr>
        <w:t xml:space="preserve">. National system funding needs to be sufficient </w:t>
      </w:r>
      <w:r w:rsidR="00F80519" w:rsidRPr="00052764">
        <w:rPr>
          <w:rFonts w:eastAsia="Calibri" w:cs="Times New Roman"/>
        </w:rPr>
        <w:t xml:space="preserve">to fulfil governments’ obligations to the </w:t>
      </w:r>
      <w:r w:rsidR="000E6A39" w:rsidRPr="00052764">
        <w:rPr>
          <w:rFonts w:eastAsia="Calibri" w:cs="Times New Roman"/>
        </w:rPr>
        <w:t xml:space="preserve">national </w:t>
      </w:r>
      <w:r w:rsidR="00F80519" w:rsidRPr="00052764">
        <w:rPr>
          <w:rFonts w:eastAsia="Calibri" w:cs="Times New Roman"/>
        </w:rPr>
        <w:t xml:space="preserve">system: the Australian Government’s components need to be sufficiently funded </w:t>
      </w:r>
      <w:r w:rsidRPr="00052764">
        <w:rPr>
          <w:rFonts w:eastAsia="Calibri" w:cs="Times New Roman"/>
        </w:rPr>
        <w:t>to achieve Australia’s legislated Appropriate Level of Protection (ALOP)</w:t>
      </w:r>
      <w:r w:rsidR="00F80519" w:rsidRPr="00052764">
        <w:rPr>
          <w:rFonts w:eastAsia="Calibri" w:cs="Times New Roman"/>
        </w:rPr>
        <w:t>;</w:t>
      </w:r>
      <w:r w:rsidRPr="00052764">
        <w:rPr>
          <w:rFonts w:eastAsia="Calibri" w:cs="Times New Roman"/>
        </w:rPr>
        <w:t xml:space="preserve"> </w:t>
      </w:r>
      <w:r w:rsidR="002B7794">
        <w:rPr>
          <w:rFonts w:eastAsia="Calibri" w:cs="Times New Roman"/>
        </w:rPr>
        <w:t xml:space="preserve">and </w:t>
      </w:r>
      <w:r w:rsidR="00F80519" w:rsidRPr="00052764">
        <w:rPr>
          <w:rFonts w:eastAsia="Calibri" w:cs="Times New Roman"/>
        </w:rPr>
        <w:t xml:space="preserve">states and territories need to increase funding </w:t>
      </w:r>
      <w:r w:rsidR="000E6A39" w:rsidRPr="00052764">
        <w:rPr>
          <w:rFonts w:eastAsia="Calibri" w:cs="Times New Roman"/>
        </w:rPr>
        <w:t>to meet their baseline, or core, commitments.</w:t>
      </w:r>
      <w:r w:rsidR="00F80519" w:rsidRPr="00052764">
        <w:rPr>
          <w:rFonts w:eastAsia="Calibri" w:cs="Times New Roman"/>
        </w:rPr>
        <w:t xml:space="preserve"> </w:t>
      </w:r>
      <w:r w:rsidRPr="00052764">
        <w:rPr>
          <w:rFonts w:eastAsia="Calibri" w:cs="Times New Roman"/>
        </w:rPr>
        <w:t>The appropriate level of funding</w:t>
      </w:r>
      <w:r w:rsidRPr="00C76AAE">
        <w:rPr>
          <w:rFonts w:eastAsia="Calibri" w:cs="Times New Roman"/>
        </w:rPr>
        <w:t xml:space="preserve"> required—or ‘how much is enough’—to</w:t>
      </w:r>
      <w:r w:rsidRPr="00F1005C">
        <w:rPr>
          <w:rFonts w:eastAsia="Calibri" w:cs="Times New Roman"/>
        </w:rPr>
        <w:t xml:space="preserve"> operate the national system will not be clear until the suite of high-priority pests and diseases and their biosecurity requirements have been agreed and worked through, including with key </w:t>
      </w:r>
      <w:r w:rsidR="00A81F11">
        <w:rPr>
          <w:rFonts w:eastAsia="Calibri" w:cs="Times New Roman"/>
        </w:rPr>
        <w:t>industry and community players.</w:t>
      </w:r>
    </w:p>
    <w:p w14:paraId="6F12B5D3" w14:textId="2E1A7C69" w:rsidR="00F1005C" w:rsidRPr="00F1005C" w:rsidRDefault="00F1005C" w:rsidP="00F1005C">
      <w:pPr>
        <w:rPr>
          <w:rFonts w:eastAsia="Calibri" w:cs="Times New Roman"/>
        </w:rPr>
      </w:pPr>
      <w:r w:rsidRPr="00F1005C">
        <w:rPr>
          <w:rFonts w:eastAsia="Calibri" w:cs="Times New Roman"/>
        </w:rPr>
        <w:t>Governments do have some options available to provide a more sustainable funding base, inc</w:t>
      </w:r>
      <w:r w:rsidR="00B038C7">
        <w:rPr>
          <w:rFonts w:eastAsia="Calibri" w:cs="Times New Roman"/>
        </w:rPr>
        <w:t>luding reviewing their own cost-</w:t>
      </w:r>
      <w:r w:rsidRPr="00F1005C">
        <w:rPr>
          <w:rFonts w:eastAsia="Calibri" w:cs="Times New Roman"/>
        </w:rPr>
        <w:t>recovery arrangements and implementing new biosecurity levies (</w:t>
      </w:r>
      <w:r w:rsidR="0064363B">
        <w:rPr>
          <w:rFonts w:eastAsia="Calibri" w:cs="Times New Roman"/>
        </w:rPr>
        <w:t>for example</w:t>
      </w:r>
      <w:r w:rsidR="003D2F75">
        <w:rPr>
          <w:rFonts w:eastAsia="Calibri" w:cs="Times New Roman"/>
        </w:rPr>
        <w:t>,</w:t>
      </w:r>
      <w:r w:rsidRPr="00F1005C">
        <w:rPr>
          <w:rFonts w:eastAsia="Calibri" w:cs="Times New Roman"/>
        </w:rPr>
        <w:t xml:space="preserve"> on</w:t>
      </w:r>
      <w:r w:rsidR="003A4621">
        <w:rPr>
          <w:rFonts w:eastAsia="Calibri" w:cs="Times New Roman"/>
        </w:rPr>
        <w:t xml:space="preserve"> </w:t>
      </w:r>
      <w:r w:rsidR="000C521B">
        <w:rPr>
          <w:rFonts w:eastAsia="Calibri" w:cs="Times New Roman"/>
        </w:rPr>
        <w:t>inbound</w:t>
      </w:r>
      <w:r w:rsidR="000C521B" w:rsidRPr="00F1005C">
        <w:rPr>
          <w:rFonts w:eastAsia="Calibri" w:cs="Times New Roman"/>
        </w:rPr>
        <w:t xml:space="preserve"> </w:t>
      </w:r>
      <w:r w:rsidRPr="00F1005C">
        <w:rPr>
          <w:rFonts w:eastAsia="Calibri" w:cs="Times New Roman"/>
        </w:rPr>
        <w:t>shipping containers, inbound passengers and land</w:t>
      </w:r>
      <w:r w:rsidR="00612454">
        <w:rPr>
          <w:rFonts w:eastAsia="Calibri" w:cs="Times New Roman"/>
        </w:rPr>
        <w:t>-</w:t>
      </w:r>
      <w:r w:rsidRPr="00F1005C">
        <w:rPr>
          <w:rFonts w:eastAsia="Calibri" w:cs="Times New Roman"/>
        </w:rPr>
        <w:t>owners) to contribute further to funding the national system. Governments have agreed sound national investment principles and frameworks under the IGAB—the challenge is building support within governments and with industry for implementation.</w:t>
      </w:r>
    </w:p>
    <w:p w14:paraId="3BD6597D" w14:textId="77777777" w:rsidR="00F1005C" w:rsidRPr="009B18DE" w:rsidRDefault="00F1005C" w:rsidP="00285E5F">
      <w:pPr>
        <w:spacing w:after="0"/>
        <w:rPr>
          <w:rStyle w:val="Strong"/>
        </w:rPr>
      </w:pPr>
      <w:r w:rsidRPr="009B18DE">
        <w:rPr>
          <w:rStyle w:val="Strong"/>
        </w:rPr>
        <w:t>Research and innovation priorities</w:t>
      </w:r>
    </w:p>
    <w:p w14:paraId="2933D160" w14:textId="73933116" w:rsidR="00F1005C" w:rsidRPr="00F1005C" w:rsidRDefault="00F1005C" w:rsidP="00F1005C">
      <w:pPr>
        <w:rPr>
          <w:rFonts w:eastAsia="Calibri" w:cs="Times New Roman"/>
        </w:rPr>
      </w:pPr>
      <w:r w:rsidRPr="00F1005C">
        <w:rPr>
          <w:rFonts w:eastAsia="Calibri" w:cs="Times New Roman"/>
        </w:rPr>
        <w:t>Research and innovation (R&amp;I) underpins Australia</w:t>
      </w:r>
      <w:r w:rsidR="00AF761F">
        <w:rPr>
          <w:rFonts w:eastAsia="Calibri" w:cs="Times New Roman"/>
        </w:rPr>
        <w:t>’</w:t>
      </w:r>
      <w:r w:rsidRPr="00F1005C">
        <w:rPr>
          <w:rFonts w:eastAsia="Calibri" w:cs="Times New Roman"/>
        </w:rPr>
        <w:t>s science-based approach to biosecurity, but targeted investments in technological innovations can also help reduce the c</w:t>
      </w:r>
      <w:r w:rsidR="00EA2934">
        <w:rPr>
          <w:rFonts w:eastAsia="Calibri" w:cs="Times New Roman"/>
        </w:rPr>
        <w:t>ost of typically high</w:t>
      </w:r>
      <w:r w:rsidR="00EA2934">
        <w:rPr>
          <w:rFonts w:eastAsia="Calibri" w:cs="Times New Roman"/>
        </w:rPr>
        <w:noBreakHyphen/>
      </w:r>
      <w:r w:rsidRPr="00F1005C">
        <w:rPr>
          <w:rFonts w:eastAsia="Calibri" w:cs="Times New Roman"/>
        </w:rPr>
        <w:t>cost activities, such as surveillance. Current arrangements do not optimise these outcomes. Clear national biosecurity R&amp;I priorities are needed to focus investment, and improved coordination of biosecurity R&amp;I is needed to drive cross-sectoral research, technological developments and behavioural change. Further investment, particularly by the Australian Government, will be needed to effect these changes.</w:t>
      </w:r>
    </w:p>
    <w:p w14:paraId="43F415DC" w14:textId="77777777" w:rsidR="00F1005C" w:rsidRPr="009B18DE" w:rsidRDefault="00F1005C" w:rsidP="00285E5F">
      <w:pPr>
        <w:spacing w:after="0"/>
        <w:rPr>
          <w:rStyle w:val="Strong"/>
        </w:rPr>
      </w:pPr>
      <w:r w:rsidRPr="009B18DE">
        <w:rPr>
          <w:rStyle w:val="Strong"/>
        </w:rPr>
        <w:lastRenderedPageBreak/>
        <w:t>Shared responsibility: everyone’s priority</w:t>
      </w:r>
    </w:p>
    <w:p w14:paraId="05F7656D" w14:textId="24715C16" w:rsidR="00F1005C" w:rsidRPr="00F1005C" w:rsidRDefault="00F1005C" w:rsidP="00F1005C">
      <w:pPr>
        <w:rPr>
          <w:rFonts w:eastAsia="Calibri" w:cs="Times New Roman"/>
        </w:rPr>
      </w:pPr>
      <w:r w:rsidRPr="00573B0F">
        <w:rPr>
          <w:rFonts w:eastAsia="Calibri" w:cs="Times New Roman"/>
        </w:rPr>
        <w:t>Th</w:t>
      </w:r>
      <w:r w:rsidR="00573B0F" w:rsidRPr="00573B0F">
        <w:rPr>
          <w:rFonts w:eastAsia="Calibri" w:cs="Times New Roman"/>
        </w:rPr>
        <w:t>e</w:t>
      </w:r>
      <w:r w:rsidRPr="00573B0F">
        <w:rPr>
          <w:rFonts w:eastAsia="Calibri" w:cs="Times New Roman"/>
        </w:rPr>
        <w:t xml:space="preserve"> </w:t>
      </w:r>
      <w:r w:rsidR="00875778">
        <w:rPr>
          <w:rFonts w:eastAsia="Calibri" w:cs="Times New Roman"/>
        </w:rPr>
        <w:t>r</w:t>
      </w:r>
      <w:r w:rsidRPr="00573B0F">
        <w:rPr>
          <w:rFonts w:eastAsia="Calibri" w:cs="Times New Roman"/>
        </w:rPr>
        <w:t>eview</w:t>
      </w:r>
      <w:r w:rsidRPr="00F1005C">
        <w:rPr>
          <w:rFonts w:eastAsia="Calibri" w:cs="Times New Roman"/>
        </w:rPr>
        <w:t xml:space="preserve"> has found</w:t>
      </w:r>
      <w:r w:rsidR="00875778">
        <w:rPr>
          <w:rFonts w:eastAsia="Calibri" w:cs="Times New Roman"/>
        </w:rPr>
        <w:t xml:space="preserve"> that</w:t>
      </w:r>
      <w:r w:rsidR="003D2F75">
        <w:rPr>
          <w:rFonts w:eastAsia="Calibri" w:cs="Times New Roman"/>
        </w:rPr>
        <w:t>,</w:t>
      </w:r>
      <w:r w:rsidRPr="00F1005C">
        <w:rPr>
          <w:rFonts w:eastAsia="Calibri" w:cs="Times New Roman"/>
        </w:rPr>
        <w:t xml:space="preserve"> </w:t>
      </w:r>
      <w:r w:rsidR="003D2F75" w:rsidRPr="003D2F75">
        <w:rPr>
          <w:rFonts w:eastAsia="Calibri" w:cs="Times New Roman"/>
        </w:rPr>
        <w:t>while governments and industry have well-developed</w:t>
      </w:r>
      <w:r w:rsidR="003D2F75">
        <w:rPr>
          <w:rFonts w:eastAsia="Calibri" w:cs="Times New Roman"/>
        </w:rPr>
        <w:t xml:space="preserve"> partnership </w:t>
      </w:r>
      <w:r w:rsidR="003D2F75" w:rsidRPr="003D2F75">
        <w:rPr>
          <w:rFonts w:eastAsia="Calibri" w:cs="Times New Roman"/>
        </w:rPr>
        <w:t xml:space="preserve">arrangements for parts of the </w:t>
      </w:r>
      <w:r w:rsidR="00E70931">
        <w:rPr>
          <w:rFonts w:eastAsia="Calibri" w:cs="Times New Roman"/>
        </w:rPr>
        <w:t xml:space="preserve">national </w:t>
      </w:r>
      <w:r w:rsidR="003D2F75" w:rsidRPr="003D2F75">
        <w:rPr>
          <w:rFonts w:eastAsia="Calibri" w:cs="Times New Roman"/>
        </w:rPr>
        <w:t xml:space="preserve">system, </w:t>
      </w:r>
      <w:r w:rsidR="00875778">
        <w:rPr>
          <w:rFonts w:eastAsia="Calibri" w:cs="Times New Roman"/>
        </w:rPr>
        <w:t>the foundation principle of ‘shared responsibility’</w:t>
      </w:r>
      <w:r w:rsidRPr="00F1005C">
        <w:rPr>
          <w:rFonts w:eastAsia="Calibri" w:cs="Times New Roman"/>
        </w:rPr>
        <w:t xml:space="preserve"> is not clearly understood, agreed or broadly accepted across the system. Similarly, the roles and responsibilities of participants are not well defined or agreed. Agreeing roles and responsibilities will be an important first step in realising shared responsibility. To that end, </w:t>
      </w:r>
      <w:r w:rsidRPr="00573B0F">
        <w:rPr>
          <w:rFonts w:eastAsia="Calibri" w:cs="Times New Roman"/>
        </w:rPr>
        <w:t>th</w:t>
      </w:r>
      <w:r w:rsidR="00573B0F" w:rsidRPr="00573B0F">
        <w:rPr>
          <w:rFonts w:eastAsia="Calibri" w:cs="Times New Roman"/>
        </w:rPr>
        <w:t>e</w:t>
      </w:r>
      <w:r w:rsidRPr="00573B0F">
        <w:rPr>
          <w:rFonts w:eastAsia="Calibri" w:cs="Times New Roman"/>
        </w:rPr>
        <w:t xml:space="preserve"> </w:t>
      </w:r>
      <w:r w:rsidR="002B2DAF">
        <w:rPr>
          <w:rFonts w:eastAsia="Calibri" w:cs="Times New Roman"/>
        </w:rPr>
        <w:t>r</w:t>
      </w:r>
      <w:r w:rsidRPr="00573B0F">
        <w:rPr>
          <w:rFonts w:eastAsia="Calibri" w:cs="Times New Roman"/>
        </w:rPr>
        <w:t>eview</w:t>
      </w:r>
      <w:r w:rsidRPr="00F1005C">
        <w:rPr>
          <w:rFonts w:eastAsia="Calibri" w:cs="Times New Roman"/>
        </w:rPr>
        <w:t xml:space="preserve"> has recommended a National Biosecurity Statement </w:t>
      </w:r>
      <w:r w:rsidR="002B2DAF">
        <w:rPr>
          <w:rFonts w:eastAsia="Calibri" w:cs="Times New Roman"/>
        </w:rPr>
        <w:t>that</w:t>
      </w:r>
      <w:r w:rsidRPr="00F1005C">
        <w:rPr>
          <w:rFonts w:eastAsia="Calibri" w:cs="Times New Roman"/>
        </w:rPr>
        <w:t xml:space="preserve"> outline</w:t>
      </w:r>
      <w:r w:rsidR="002B2DAF">
        <w:rPr>
          <w:rFonts w:eastAsia="Calibri" w:cs="Times New Roman"/>
        </w:rPr>
        <w:t>s</w:t>
      </w:r>
      <w:r w:rsidRPr="00F1005C">
        <w:rPr>
          <w:rFonts w:eastAsia="Calibri" w:cs="Times New Roman"/>
        </w:rPr>
        <w:t xml:space="preserve"> a common and unifying approach to biosecurity for all system participants</w:t>
      </w:r>
      <w:r w:rsidRPr="00573B0F">
        <w:rPr>
          <w:rFonts w:eastAsia="Calibri" w:cs="Times New Roman"/>
        </w:rPr>
        <w:t xml:space="preserve">. The </w:t>
      </w:r>
      <w:r w:rsidR="002B2DAF">
        <w:rPr>
          <w:rFonts w:eastAsia="Calibri" w:cs="Times New Roman"/>
        </w:rPr>
        <w:t>r</w:t>
      </w:r>
      <w:r w:rsidRPr="00573B0F">
        <w:rPr>
          <w:rFonts w:eastAsia="Calibri" w:cs="Times New Roman"/>
        </w:rPr>
        <w:t>eview</w:t>
      </w:r>
      <w:r w:rsidRPr="00F1005C">
        <w:rPr>
          <w:rFonts w:eastAsia="Calibri" w:cs="Times New Roman"/>
        </w:rPr>
        <w:t xml:space="preserve"> </w:t>
      </w:r>
      <w:r w:rsidR="0064363B">
        <w:rPr>
          <w:rFonts w:eastAsia="Calibri" w:cs="Times New Roman"/>
        </w:rPr>
        <w:t>h</w:t>
      </w:r>
      <w:r w:rsidRPr="00F1005C">
        <w:rPr>
          <w:rFonts w:eastAsia="Calibri" w:cs="Times New Roman"/>
        </w:rPr>
        <w:t xml:space="preserve">as developed a </w:t>
      </w:r>
      <w:r w:rsidRPr="00C90A19">
        <w:rPr>
          <w:rFonts w:eastAsia="Calibri" w:cs="Times New Roman"/>
        </w:rPr>
        <w:t>draft</w:t>
      </w:r>
      <w:r w:rsidRPr="00F1005C">
        <w:rPr>
          <w:rFonts w:eastAsia="Calibri" w:cs="Times New Roman"/>
        </w:rPr>
        <w:t xml:space="preserve"> National Biosecurity Statement</w:t>
      </w:r>
      <w:r w:rsidR="009E2FE7">
        <w:rPr>
          <w:rFonts w:eastAsia="Calibri" w:cs="Times New Roman"/>
        </w:rPr>
        <w:t>,</w:t>
      </w:r>
      <w:r w:rsidRPr="00F1005C">
        <w:rPr>
          <w:rFonts w:eastAsia="Calibri" w:cs="Times New Roman"/>
        </w:rPr>
        <w:t xml:space="preserve"> </w:t>
      </w:r>
      <w:r w:rsidR="009E2FE7">
        <w:rPr>
          <w:rFonts w:eastAsia="Calibri" w:cs="Times New Roman"/>
        </w:rPr>
        <w:t xml:space="preserve">which includes a simple definition of shared responsibility, </w:t>
      </w:r>
      <w:r w:rsidRPr="00F1005C">
        <w:rPr>
          <w:rFonts w:eastAsia="Calibri" w:cs="Times New Roman"/>
        </w:rPr>
        <w:t>as the basis for consultation and further development.</w:t>
      </w:r>
    </w:p>
    <w:p w14:paraId="7EFACB87" w14:textId="2BE68DA3" w:rsidR="00F1005C" w:rsidRPr="009B18DE" w:rsidRDefault="00D66D3F" w:rsidP="00285E5F">
      <w:pPr>
        <w:spacing w:after="0"/>
        <w:rPr>
          <w:rStyle w:val="Strong"/>
        </w:rPr>
      </w:pPr>
      <w:r w:rsidRPr="009B18DE">
        <w:rPr>
          <w:rStyle w:val="Strong"/>
        </w:rPr>
        <w:t xml:space="preserve">Community and </w:t>
      </w:r>
      <w:r w:rsidR="002B2DAF">
        <w:rPr>
          <w:rStyle w:val="Strong"/>
        </w:rPr>
        <w:t>e</w:t>
      </w:r>
      <w:r w:rsidR="00F1005C" w:rsidRPr="009B18DE">
        <w:rPr>
          <w:rStyle w:val="Strong"/>
        </w:rPr>
        <w:t>nvironmental biosecurity: an equal priority</w:t>
      </w:r>
    </w:p>
    <w:p w14:paraId="765EFE70" w14:textId="7AA57D03" w:rsidR="00F1005C" w:rsidRPr="00F1005C" w:rsidRDefault="00F1005C" w:rsidP="00F1005C">
      <w:pPr>
        <w:rPr>
          <w:rFonts w:eastAsia="Calibri" w:cs="Times New Roman"/>
        </w:rPr>
      </w:pPr>
      <w:r w:rsidRPr="00F1005C">
        <w:rPr>
          <w:rFonts w:eastAsia="Calibri" w:cs="Times New Roman"/>
        </w:rPr>
        <w:t xml:space="preserve">One of the strongest areas of debate during the course </w:t>
      </w:r>
      <w:r w:rsidRPr="00573B0F">
        <w:rPr>
          <w:rFonts w:eastAsia="Calibri" w:cs="Times New Roman"/>
        </w:rPr>
        <w:t xml:space="preserve">of this </w:t>
      </w:r>
      <w:r w:rsidR="002B2DAF">
        <w:rPr>
          <w:rFonts w:eastAsia="Calibri" w:cs="Times New Roman"/>
        </w:rPr>
        <w:t>r</w:t>
      </w:r>
      <w:r w:rsidRPr="00573B0F">
        <w:rPr>
          <w:rFonts w:eastAsia="Calibri" w:cs="Times New Roman"/>
        </w:rPr>
        <w:t>eview c</w:t>
      </w:r>
      <w:r w:rsidRPr="00F1005C">
        <w:rPr>
          <w:rFonts w:eastAsia="Calibri" w:cs="Times New Roman"/>
        </w:rPr>
        <w:t xml:space="preserve">oncerned the adequacy of the national system in addressing biosecurity risks impacting </w:t>
      </w:r>
      <w:r w:rsidR="002B2DAF">
        <w:rPr>
          <w:rFonts w:eastAsia="Calibri" w:cs="Times New Roman"/>
        </w:rPr>
        <w:t xml:space="preserve">on </w:t>
      </w:r>
      <w:r w:rsidRPr="00F1005C">
        <w:rPr>
          <w:rFonts w:eastAsia="Calibri" w:cs="Times New Roman"/>
        </w:rPr>
        <w:t>biodiversity and the environment. Incursions of exotic</w:t>
      </w:r>
      <w:r w:rsidR="002B2DAF">
        <w:rPr>
          <w:rFonts w:eastAsia="Calibri" w:cs="Times New Roman"/>
        </w:rPr>
        <w:t xml:space="preserve"> organisms harmful to Australia’</w:t>
      </w:r>
      <w:r w:rsidRPr="00F1005C">
        <w:rPr>
          <w:rFonts w:eastAsia="Calibri" w:cs="Times New Roman"/>
        </w:rPr>
        <w:t xml:space="preserve">s environment and </w:t>
      </w:r>
      <w:r w:rsidR="009E2FE7">
        <w:rPr>
          <w:rFonts w:eastAsia="Calibri" w:cs="Times New Roman"/>
        </w:rPr>
        <w:t>social</w:t>
      </w:r>
      <w:r w:rsidR="009E2FE7" w:rsidRPr="00F1005C">
        <w:rPr>
          <w:rFonts w:eastAsia="Calibri" w:cs="Times New Roman"/>
        </w:rPr>
        <w:t xml:space="preserve"> </w:t>
      </w:r>
      <w:r w:rsidRPr="00F1005C">
        <w:rPr>
          <w:rFonts w:eastAsia="Calibri" w:cs="Times New Roman"/>
        </w:rPr>
        <w:t xml:space="preserve">amenity are a regular occurrence and have been the focus of recent emergency responses, but national environmental pest and disease risks are yet to be systematically identified, prioritised and planned for. </w:t>
      </w:r>
      <w:r w:rsidR="00D66D3F">
        <w:rPr>
          <w:rFonts w:eastAsia="Calibri" w:cs="Times New Roman"/>
        </w:rPr>
        <w:t xml:space="preserve">Community and </w:t>
      </w:r>
      <w:r w:rsidR="00203154">
        <w:rPr>
          <w:rFonts w:eastAsia="Calibri" w:cs="Times New Roman"/>
        </w:rPr>
        <w:t>e</w:t>
      </w:r>
      <w:r w:rsidRPr="00F1005C">
        <w:rPr>
          <w:rFonts w:eastAsia="Calibri" w:cs="Times New Roman"/>
        </w:rPr>
        <w:t xml:space="preserve">nvironmental biosecurity considerations should be comparable to human health and primary production, and national arrangements need to be explicitly developed to address environmental risks. Environment agencies must play a far stronger and direct role in development of national biosecurity policy and in response arrangements, particularly in those situations where the primary impact of a newly introduced pest is environmental </w:t>
      </w:r>
      <w:r w:rsidR="003D2F75" w:rsidRPr="003D2F75">
        <w:rPr>
          <w:rFonts w:eastAsia="Calibri" w:cs="Times New Roman"/>
        </w:rPr>
        <w:t>or impacts heavily on social amenity.</w:t>
      </w:r>
    </w:p>
    <w:p w14:paraId="35540D64" w14:textId="77777777" w:rsidR="00F1005C" w:rsidRPr="009B18DE" w:rsidRDefault="00F1005C" w:rsidP="00285E5F">
      <w:pPr>
        <w:spacing w:after="0"/>
        <w:rPr>
          <w:rStyle w:val="Strong"/>
        </w:rPr>
      </w:pPr>
      <w:r w:rsidRPr="009B18DE">
        <w:rPr>
          <w:rStyle w:val="Strong"/>
        </w:rPr>
        <w:t>A refreshed IGAB</w:t>
      </w:r>
    </w:p>
    <w:p w14:paraId="74929529" w14:textId="3666A94A" w:rsidR="00F1005C" w:rsidRPr="00F1005C" w:rsidRDefault="00F1005C" w:rsidP="00F1005C">
      <w:pPr>
        <w:rPr>
          <w:rFonts w:eastAsia="Calibri" w:cs="Times New Roman"/>
        </w:rPr>
      </w:pPr>
      <w:r w:rsidRPr="00F1005C">
        <w:rPr>
          <w:rFonts w:eastAsia="Calibri" w:cs="Times New Roman"/>
        </w:rPr>
        <w:t xml:space="preserve">The </w:t>
      </w:r>
      <w:r w:rsidR="00203154">
        <w:rPr>
          <w:rFonts w:eastAsia="Calibri" w:cs="Times New Roman"/>
        </w:rPr>
        <w:t>p</w:t>
      </w:r>
      <w:r w:rsidRPr="00F1005C">
        <w:rPr>
          <w:rFonts w:eastAsia="Calibri" w:cs="Times New Roman"/>
        </w:rPr>
        <w:t xml:space="preserve">anel has concluded that a refreshed agreement between Australia’s governments is appropriate and necessary to ensure robust national biosecurity arrangements into the future. The </w:t>
      </w:r>
      <w:r w:rsidR="00203154">
        <w:rPr>
          <w:rFonts w:eastAsia="Calibri" w:cs="Times New Roman"/>
        </w:rPr>
        <w:t>p</w:t>
      </w:r>
      <w:r w:rsidRPr="00F1005C">
        <w:rPr>
          <w:rFonts w:eastAsia="Calibri" w:cs="Times New Roman"/>
        </w:rPr>
        <w:t xml:space="preserve">anel has proposed three priority reform areas and associated programs of work to be delivered under a streamlined intergovernmental agreement, which are detailed below. IGAB1 was a significant foundation agreement for government cooperation and collaboration. IGAB2 and subsequent agreements should build on achievements to date and demonstrate a measured and deliberate advancement in the commitments and achievements of jurisdictions. While the IGAB should remain a government agreement, its governance structures should provide the National Biosecurity Committee (NBC) with greater autonomy, and industry and community with a </w:t>
      </w:r>
      <w:r w:rsidRPr="00F1005C">
        <w:rPr>
          <w:rFonts w:eastAsia="Calibri" w:cs="Times New Roman"/>
        </w:rPr>
        <w:lastRenderedPageBreak/>
        <w:t>stronger role and voice in further developing the national system. Finally and importantly, First Ministers should continue to authorise a strong whole-of-government mandate for jurisdictions to advance the national biosecurity agenda</w:t>
      </w:r>
      <w:r w:rsidRPr="007C349C">
        <w:rPr>
          <w:rFonts w:eastAsia="Calibri" w:cs="Times New Roman"/>
        </w:rPr>
        <w:t xml:space="preserve">. The </w:t>
      </w:r>
      <w:r w:rsidR="00203154">
        <w:rPr>
          <w:rFonts w:eastAsia="Calibri" w:cs="Times New Roman"/>
        </w:rPr>
        <w:t>r</w:t>
      </w:r>
      <w:r w:rsidRPr="007C349C">
        <w:rPr>
          <w:rFonts w:eastAsia="Calibri" w:cs="Times New Roman"/>
        </w:rPr>
        <w:t xml:space="preserve">eview </w:t>
      </w:r>
      <w:r w:rsidR="00203154">
        <w:rPr>
          <w:rFonts w:eastAsia="Calibri" w:cs="Times New Roman"/>
        </w:rPr>
        <w:t>r</w:t>
      </w:r>
      <w:r w:rsidRPr="007C349C">
        <w:rPr>
          <w:rFonts w:eastAsia="Calibri" w:cs="Times New Roman"/>
        </w:rPr>
        <w:t xml:space="preserve">eport includes a </w:t>
      </w:r>
      <w:r w:rsidR="00B66B98" w:rsidRPr="007C349C">
        <w:rPr>
          <w:rFonts w:eastAsia="Calibri" w:cs="Times New Roman"/>
        </w:rPr>
        <w:t>draft</w:t>
      </w:r>
      <w:r w:rsidRPr="007C349C">
        <w:rPr>
          <w:rFonts w:eastAsia="Calibri" w:cs="Times New Roman"/>
        </w:rPr>
        <w:t xml:space="preserve"> agreement or </w:t>
      </w:r>
      <w:r w:rsidR="00F80519" w:rsidRPr="007C349C">
        <w:rPr>
          <w:rFonts w:eastAsia="Calibri" w:cs="Times New Roman"/>
        </w:rPr>
        <w:t xml:space="preserve">draft </w:t>
      </w:r>
      <w:r w:rsidRPr="007C349C">
        <w:rPr>
          <w:rFonts w:eastAsia="Calibri" w:cs="Times New Roman"/>
        </w:rPr>
        <w:t xml:space="preserve">‘IGAB2’ </w:t>
      </w:r>
      <w:r w:rsidR="007E7C23" w:rsidRPr="007C349C">
        <w:rPr>
          <w:rFonts w:eastAsia="Calibri" w:cs="Times New Roman"/>
        </w:rPr>
        <w:t xml:space="preserve">to </w:t>
      </w:r>
      <w:r w:rsidR="007E7C23" w:rsidRPr="007C349C">
        <w:rPr>
          <w:lang w:eastAsia="ja-JP"/>
        </w:rPr>
        <w:t xml:space="preserve">demonstrate to jurisdictions how a refreshed IGAB </w:t>
      </w:r>
      <w:r w:rsidR="00F80519" w:rsidRPr="007C349C">
        <w:rPr>
          <w:lang w:eastAsia="ja-JP"/>
        </w:rPr>
        <w:t xml:space="preserve">would be constructed </w:t>
      </w:r>
      <w:r w:rsidR="0075308F" w:rsidRPr="007C349C">
        <w:rPr>
          <w:rFonts w:eastAsia="Calibri" w:cs="Times New Roman"/>
        </w:rPr>
        <w:t>(</w:t>
      </w:r>
      <w:hyperlink w:anchor="_A_future_system;" w:history="1">
        <w:r w:rsidR="0075308F" w:rsidRPr="00307A29">
          <w:rPr>
            <w:rStyle w:val="Hyperlink"/>
            <w:rFonts w:eastAsia="Calibri" w:cs="Times New Roman"/>
          </w:rPr>
          <w:t>Chapter 10</w:t>
        </w:r>
      </w:hyperlink>
      <w:r w:rsidR="0075308F" w:rsidRPr="00307A29">
        <w:rPr>
          <w:rFonts w:eastAsia="Calibri" w:cs="Times New Roman"/>
        </w:rPr>
        <w:t>).</w:t>
      </w:r>
    </w:p>
    <w:p w14:paraId="49F9933E" w14:textId="071BB183" w:rsidR="005F71C4" w:rsidRPr="00D36278" w:rsidRDefault="00683D8B" w:rsidP="0046407D">
      <w:pPr>
        <w:keepNext/>
        <w:spacing w:after="0"/>
        <w:ind w:left="-426"/>
        <w:rPr>
          <w:rStyle w:val="Strong"/>
        </w:rPr>
      </w:pPr>
      <w:r>
        <w:rPr>
          <w:rStyle w:val="Strong"/>
        </w:rPr>
        <w:t>IGAB p</w:t>
      </w:r>
      <w:r w:rsidR="000C703F" w:rsidRPr="007D292C">
        <w:rPr>
          <w:rStyle w:val="Strong"/>
        </w:rPr>
        <w:t>roposed p</w:t>
      </w:r>
      <w:r w:rsidR="00A73FE0" w:rsidRPr="007D292C">
        <w:rPr>
          <w:rStyle w:val="Strong"/>
        </w:rPr>
        <w:t>riority reform areas</w:t>
      </w:r>
      <w:r w:rsidR="00D36278" w:rsidRPr="007D292C">
        <w:rPr>
          <w:rStyle w:val="Strong"/>
        </w:rPr>
        <w:t>*</w:t>
      </w:r>
    </w:p>
    <w:tbl>
      <w:tblPr>
        <w:tblStyle w:val="TableGrid"/>
        <w:tblW w:w="10065"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Proposed priority reform areas for the IGAB2"/>
      </w:tblPr>
      <w:tblGrid>
        <w:gridCol w:w="1701"/>
        <w:gridCol w:w="2410"/>
        <w:gridCol w:w="5954"/>
      </w:tblGrid>
      <w:tr w:rsidR="008D6DFD" w:rsidRPr="005F71C4" w14:paraId="50989ED5" w14:textId="77777777" w:rsidTr="00967B93">
        <w:trPr>
          <w:tblHeader/>
        </w:trPr>
        <w:tc>
          <w:tcPr>
            <w:tcW w:w="1701" w:type="dxa"/>
          </w:tcPr>
          <w:p w14:paraId="06928659" w14:textId="3C00B16A" w:rsidR="008D6DFD" w:rsidRPr="005F71C4" w:rsidRDefault="00A16522" w:rsidP="00434C79">
            <w:pPr>
              <w:pStyle w:val="TableHeading"/>
              <w:widowControl w:val="0"/>
              <w:rPr>
                <w:sz w:val="22"/>
              </w:rPr>
            </w:pPr>
            <w:r>
              <w:rPr>
                <w:sz w:val="22"/>
              </w:rPr>
              <w:t>Reform areas</w:t>
            </w:r>
          </w:p>
        </w:tc>
        <w:tc>
          <w:tcPr>
            <w:tcW w:w="2410" w:type="dxa"/>
          </w:tcPr>
          <w:p w14:paraId="3E38A91F" w14:textId="2E78ED8F" w:rsidR="008D6DFD" w:rsidRPr="005F71C4" w:rsidRDefault="008D6DFD" w:rsidP="00434C79">
            <w:pPr>
              <w:pStyle w:val="TableHeading"/>
              <w:widowControl w:val="0"/>
              <w:rPr>
                <w:sz w:val="22"/>
              </w:rPr>
            </w:pPr>
            <w:r w:rsidRPr="005F71C4">
              <w:rPr>
                <w:sz w:val="22"/>
              </w:rPr>
              <w:t>Outcomes</w:t>
            </w:r>
          </w:p>
        </w:tc>
        <w:tc>
          <w:tcPr>
            <w:tcW w:w="5954" w:type="dxa"/>
          </w:tcPr>
          <w:p w14:paraId="1EBCEB39" w14:textId="50EB166E" w:rsidR="008D6DFD" w:rsidRPr="005F71C4" w:rsidRDefault="00683D8B" w:rsidP="00434C79">
            <w:pPr>
              <w:pStyle w:val="TableHeading"/>
              <w:widowControl w:val="0"/>
              <w:rPr>
                <w:sz w:val="22"/>
              </w:rPr>
            </w:pPr>
            <w:r>
              <w:rPr>
                <w:sz w:val="22"/>
              </w:rPr>
              <w:t>Deliverables</w:t>
            </w:r>
          </w:p>
        </w:tc>
      </w:tr>
      <w:tr w:rsidR="008D6DFD" w:rsidRPr="00391019" w14:paraId="01D26FC7" w14:textId="77777777" w:rsidTr="00967B93">
        <w:tc>
          <w:tcPr>
            <w:tcW w:w="1701" w:type="dxa"/>
          </w:tcPr>
          <w:p w14:paraId="0A1222E8" w14:textId="51EE2C3D" w:rsidR="008D6DFD" w:rsidRPr="00391019" w:rsidRDefault="004F46DA" w:rsidP="008E0AAB">
            <w:pPr>
              <w:pStyle w:val="TableText"/>
            </w:pPr>
            <w:r>
              <w:t>1. Governance and s</w:t>
            </w:r>
            <w:r w:rsidR="008D6DFD" w:rsidRPr="00391019">
              <w:t>trategy</w:t>
            </w:r>
          </w:p>
        </w:tc>
        <w:tc>
          <w:tcPr>
            <w:tcW w:w="2410" w:type="dxa"/>
          </w:tcPr>
          <w:p w14:paraId="74D1C35E" w14:textId="77777777" w:rsidR="008D6DFD" w:rsidRDefault="008D6DFD" w:rsidP="00434C79">
            <w:pPr>
              <w:pStyle w:val="TableText"/>
              <w:keepNext/>
              <w:widowControl w:val="0"/>
            </w:pPr>
            <w:r w:rsidRPr="00391019">
              <w:t>A unified strategic framework for the national biosecurity system</w:t>
            </w:r>
          </w:p>
          <w:p w14:paraId="2E40E9FB" w14:textId="77777777" w:rsidR="008D6DFD" w:rsidRDefault="008D6DFD" w:rsidP="00434C79">
            <w:pPr>
              <w:pStyle w:val="TableText"/>
              <w:keepNext/>
              <w:widowControl w:val="0"/>
            </w:pPr>
            <w:r w:rsidRPr="00391019">
              <w:t>Improved governance of the national system</w:t>
            </w:r>
          </w:p>
          <w:p w14:paraId="0B5D0D57" w14:textId="65900020" w:rsidR="008D6DFD" w:rsidRPr="00391019" w:rsidRDefault="008D6DFD" w:rsidP="00434C79">
            <w:pPr>
              <w:pStyle w:val="TableText"/>
              <w:keepNext/>
              <w:widowControl w:val="0"/>
            </w:pPr>
            <w:r w:rsidRPr="00391019">
              <w:t>A consistent approach to biosecurity risk prioritisation and investment across the system (for animal, plant and environmental</w:t>
            </w:r>
            <w:r w:rsidR="00371CE8">
              <w:t>^</w:t>
            </w:r>
            <w:r w:rsidRPr="00391019">
              <w:t xml:space="preserve"> streams)</w:t>
            </w:r>
          </w:p>
        </w:tc>
        <w:tc>
          <w:tcPr>
            <w:tcW w:w="5954" w:type="dxa"/>
          </w:tcPr>
          <w:p w14:paraId="0BD57D34" w14:textId="72B7B927" w:rsidR="008D6DFD" w:rsidRDefault="008D6DFD" w:rsidP="00434C79">
            <w:pPr>
              <w:pStyle w:val="TableText"/>
              <w:keepNext/>
              <w:widowControl w:val="0"/>
            </w:pPr>
            <w:r w:rsidRPr="00391019">
              <w:t>Agreed roles and responsibilities for all system participants</w:t>
            </w:r>
          </w:p>
          <w:p w14:paraId="1830E904" w14:textId="2EC0F278" w:rsidR="008D6DFD" w:rsidRDefault="008D6DFD" w:rsidP="00434C79">
            <w:pPr>
              <w:pStyle w:val="TableText"/>
              <w:keepNext/>
              <w:widowControl w:val="0"/>
            </w:pPr>
            <w:r w:rsidRPr="00391019">
              <w:t xml:space="preserve">A National </w:t>
            </w:r>
            <w:r w:rsidR="009C2335">
              <w:t>Biosecurity Statement,</w:t>
            </w:r>
            <w:r w:rsidRPr="00391019">
              <w:t xml:space="preserve"> developed in collaboration with key system participants</w:t>
            </w:r>
          </w:p>
          <w:p w14:paraId="5E39B546" w14:textId="77777777" w:rsidR="008D6DFD" w:rsidRDefault="008D6DFD" w:rsidP="00434C79">
            <w:pPr>
              <w:pStyle w:val="TableText"/>
              <w:keepNext/>
              <w:widowControl w:val="0"/>
            </w:pPr>
            <w:r w:rsidRPr="00391019">
              <w:t>Formalised whole-of-government biosecurity arrangements within all jurisdictions, including through memoranda of understanding</w:t>
            </w:r>
          </w:p>
          <w:p w14:paraId="66EC14E5" w14:textId="77777777" w:rsidR="008D6DFD" w:rsidRDefault="008D6DFD" w:rsidP="00434C79">
            <w:pPr>
              <w:pStyle w:val="TableText"/>
              <w:keepNext/>
              <w:widowControl w:val="0"/>
            </w:pPr>
            <w:r w:rsidRPr="00391019">
              <w:t>Defined core commitments for jurisdictions under the national system</w:t>
            </w:r>
          </w:p>
          <w:p w14:paraId="09EA8690" w14:textId="1FC9B32F" w:rsidR="008D6DFD" w:rsidRDefault="003666CA" w:rsidP="00434C79">
            <w:pPr>
              <w:pStyle w:val="TableText"/>
              <w:keepNext/>
              <w:widowControl w:val="0"/>
            </w:pPr>
            <w:r>
              <w:t xml:space="preserve">An empowered </w:t>
            </w:r>
            <w:r w:rsidR="00307000">
              <w:t>N</w:t>
            </w:r>
            <w:r w:rsidR="00DB318C">
              <w:t xml:space="preserve">ational </w:t>
            </w:r>
            <w:r w:rsidR="00307000">
              <w:t>B</w:t>
            </w:r>
            <w:r w:rsidR="00DB318C">
              <w:t xml:space="preserve">iosecurity </w:t>
            </w:r>
            <w:r w:rsidR="00307000">
              <w:t>C</w:t>
            </w:r>
            <w:r w:rsidR="00DB318C">
              <w:t>ommittee (NBC)</w:t>
            </w:r>
            <w:r w:rsidR="00307000">
              <w:t xml:space="preserve"> and revised sub</w:t>
            </w:r>
            <w:r w:rsidR="008D6DFD" w:rsidRPr="00391019">
              <w:t>committee structure, including a</w:t>
            </w:r>
            <w:r w:rsidR="00B1557B">
              <w:t>n Industry and Community</w:t>
            </w:r>
            <w:r w:rsidR="003442D3">
              <w:t xml:space="preserve"> Biosecurity</w:t>
            </w:r>
            <w:r w:rsidR="00B1557B">
              <w:t xml:space="preserve"> </w:t>
            </w:r>
            <w:r w:rsidR="008D6DFD" w:rsidRPr="00391019">
              <w:t xml:space="preserve">Committee, a Chief </w:t>
            </w:r>
            <w:r w:rsidR="009C2335">
              <w:t xml:space="preserve">Community and </w:t>
            </w:r>
            <w:r w:rsidR="008D6DFD" w:rsidRPr="00391019">
              <w:t xml:space="preserve">Environmental Biosecurity Officer, and </w:t>
            </w:r>
            <w:r w:rsidR="009C2335">
              <w:t xml:space="preserve">Community and </w:t>
            </w:r>
            <w:r w:rsidR="008D6DFD" w:rsidRPr="00391019">
              <w:t>Environmental Biosecurity Committee</w:t>
            </w:r>
          </w:p>
          <w:p w14:paraId="0538EEF9" w14:textId="09566DA2" w:rsidR="008D6DFD" w:rsidRDefault="008D6DFD" w:rsidP="00434C79">
            <w:pPr>
              <w:pStyle w:val="TableText"/>
              <w:keepNext/>
              <w:widowControl w:val="0"/>
            </w:pPr>
            <w:r w:rsidRPr="00391019">
              <w:t>A revised National Framework for Cost</w:t>
            </w:r>
            <w:r w:rsidR="00CB21E8">
              <w:t xml:space="preserve"> </w:t>
            </w:r>
            <w:r w:rsidRPr="00391019">
              <w:t>Sharing Biosecurity Activities</w:t>
            </w:r>
          </w:p>
          <w:p w14:paraId="1DB2066D" w14:textId="77777777" w:rsidR="008D6DFD" w:rsidRDefault="008D6DFD" w:rsidP="00434C79">
            <w:pPr>
              <w:pStyle w:val="TableText"/>
              <w:keepNext/>
              <w:widowControl w:val="0"/>
            </w:pPr>
            <w:r w:rsidRPr="00391019">
              <w:t>National biosecurity research and innovation priorities</w:t>
            </w:r>
          </w:p>
          <w:p w14:paraId="2D01D088" w14:textId="77777777" w:rsidR="008D6DFD" w:rsidRDefault="008D6DFD" w:rsidP="00434C79">
            <w:pPr>
              <w:pStyle w:val="TableText"/>
              <w:keepNext/>
              <w:widowControl w:val="0"/>
            </w:pPr>
            <w:r w:rsidRPr="00391019">
              <w:t>Agreed uniform and fully inclusive categories of funding activity</w:t>
            </w:r>
          </w:p>
          <w:p w14:paraId="51AD563E" w14:textId="6E19940F" w:rsidR="003666CA" w:rsidRPr="00391019" w:rsidRDefault="003666CA" w:rsidP="00434C79">
            <w:pPr>
              <w:pStyle w:val="TableText"/>
              <w:keepNext/>
              <w:widowControl w:val="0"/>
            </w:pPr>
            <w:r w:rsidRPr="003666CA">
              <w:t>A standalone website for the NBC</w:t>
            </w:r>
          </w:p>
        </w:tc>
      </w:tr>
      <w:tr w:rsidR="008D6DFD" w:rsidRPr="00391019" w14:paraId="13DAF497" w14:textId="77777777" w:rsidTr="00967B93">
        <w:tc>
          <w:tcPr>
            <w:tcW w:w="1701" w:type="dxa"/>
          </w:tcPr>
          <w:p w14:paraId="0116E450" w14:textId="77777777" w:rsidR="008D6DFD" w:rsidRPr="00391019" w:rsidRDefault="008D6DFD" w:rsidP="008E0AAB">
            <w:pPr>
              <w:pStyle w:val="TableText"/>
            </w:pPr>
            <w:r w:rsidRPr="00391019">
              <w:t>2. National priority pests and diseases</w:t>
            </w:r>
          </w:p>
        </w:tc>
        <w:tc>
          <w:tcPr>
            <w:tcW w:w="2410" w:type="dxa"/>
          </w:tcPr>
          <w:p w14:paraId="66417B53" w14:textId="71C8E019" w:rsidR="008D6DFD" w:rsidRDefault="008D6DFD" w:rsidP="005276D7">
            <w:pPr>
              <w:pStyle w:val="TableText"/>
              <w:widowControl w:val="0"/>
            </w:pPr>
            <w:r w:rsidRPr="00391019">
              <w:t>Identification of national priority pests and diseases (animal, plant, environmental</w:t>
            </w:r>
            <w:r w:rsidR="009E2FE7">
              <w:t>^</w:t>
            </w:r>
            <w:r w:rsidRPr="00391019">
              <w:t>)</w:t>
            </w:r>
          </w:p>
          <w:p w14:paraId="7924FAB5" w14:textId="77777777" w:rsidR="008D6DFD" w:rsidRDefault="008D6DFD" w:rsidP="005276D7">
            <w:pPr>
              <w:pStyle w:val="TableText"/>
              <w:widowControl w:val="0"/>
            </w:pPr>
            <w:r w:rsidRPr="00391019">
              <w:t>Identification of prevention, emergency preparedness and response requirements and responsibilities</w:t>
            </w:r>
          </w:p>
          <w:p w14:paraId="1AB2DD81" w14:textId="77777777" w:rsidR="008D6DFD" w:rsidRDefault="008D6DFD" w:rsidP="005276D7">
            <w:pPr>
              <w:pStyle w:val="TableText"/>
              <w:widowControl w:val="0"/>
            </w:pPr>
            <w:r w:rsidRPr="00391019">
              <w:t>Early detection and accurate, timely diagnosis of national priority pests and diseases</w:t>
            </w:r>
          </w:p>
          <w:p w14:paraId="0ED1ABC6" w14:textId="77777777" w:rsidR="008D6DFD" w:rsidRDefault="008D6DFD" w:rsidP="00A7561D">
            <w:pPr>
              <w:pStyle w:val="TableText"/>
              <w:widowControl w:val="0"/>
            </w:pPr>
            <w:r w:rsidRPr="00391019">
              <w:t>Demonstration of Australia’s pest and disease status for market access</w:t>
            </w:r>
          </w:p>
          <w:p w14:paraId="11F85F64" w14:textId="4D78B915" w:rsidR="006D444A" w:rsidRPr="00391019" w:rsidRDefault="006D444A" w:rsidP="00A7561D">
            <w:pPr>
              <w:pStyle w:val="TableText"/>
              <w:widowControl w:val="0"/>
            </w:pPr>
            <w:r>
              <w:t>Identification of responsibilities for established pests and diseases</w:t>
            </w:r>
          </w:p>
        </w:tc>
        <w:tc>
          <w:tcPr>
            <w:tcW w:w="5954" w:type="dxa"/>
          </w:tcPr>
          <w:p w14:paraId="0070361B" w14:textId="6061B798" w:rsidR="008D6DFD" w:rsidRDefault="008D6DFD" w:rsidP="005276D7">
            <w:pPr>
              <w:pStyle w:val="TableText"/>
              <w:widowControl w:val="0"/>
            </w:pPr>
            <w:r w:rsidRPr="00DB358A">
              <w:t xml:space="preserve">Implementation of a systematic </w:t>
            </w:r>
            <w:r w:rsidR="003666CA">
              <w:t xml:space="preserve">approach for </w:t>
            </w:r>
            <w:r w:rsidRPr="00DB358A">
              <w:t>national priority pest</w:t>
            </w:r>
            <w:r w:rsidR="003666CA">
              <w:t>s</w:t>
            </w:r>
            <w:r w:rsidRPr="00DB358A">
              <w:t xml:space="preserve"> and disease</w:t>
            </w:r>
            <w:r w:rsidR="003666CA">
              <w:t>s</w:t>
            </w:r>
            <w:r w:rsidRPr="00DB358A">
              <w:t xml:space="preserve">, including environmental </w:t>
            </w:r>
          </w:p>
          <w:p w14:paraId="6BD854D1" w14:textId="77777777" w:rsidR="008D6DFD" w:rsidRDefault="008D6DFD" w:rsidP="005276D7">
            <w:pPr>
              <w:pStyle w:val="TableText"/>
              <w:widowControl w:val="0"/>
            </w:pPr>
            <w:r w:rsidRPr="00DB358A">
              <w:t>Risk assessments for national priority pests and diseases</w:t>
            </w:r>
          </w:p>
          <w:p w14:paraId="653AB9CE" w14:textId="7EBFE341" w:rsidR="008D6DFD" w:rsidRDefault="009C2335" w:rsidP="005276D7">
            <w:pPr>
              <w:pStyle w:val="TableText"/>
              <w:widowControl w:val="0"/>
            </w:pPr>
            <w:r>
              <w:t>Action</w:t>
            </w:r>
            <w:r w:rsidR="008D6DFD" w:rsidRPr="00B03979">
              <w:t xml:space="preserve"> plans</w:t>
            </w:r>
            <w:r w:rsidR="008D6DFD" w:rsidRPr="00DB358A">
              <w:t xml:space="preserve"> for managing national priority pest</w:t>
            </w:r>
            <w:r w:rsidR="00A15803">
              <w:t>s</w:t>
            </w:r>
            <w:r w:rsidR="008D6DFD" w:rsidRPr="00DB358A">
              <w:t xml:space="preserve"> and diseases, agreed by all relevant participants, outlin</w:t>
            </w:r>
            <w:r w:rsidR="008D6DFD">
              <w:t>ing</w:t>
            </w:r>
            <w:r w:rsidR="008D6DFD" w:rsidRPr="00DB358A">
              <w:t xml:space="preserve"> risk mitigation</w:t>
            </w:r>
            <w:r w:rsidR="008D6DFD">
              <w:t xml:space="preserve"> measures</w:t>
            </w:r>
            <w:r w:rsidR="008D6DFD" w:rsidRPr="00DB358A">
              <w:t xml:space="preserve">, surveillance, diagnostics </w:t>
            </w:r>
            <w:r w:rsidR="00BF5E68">
              <w:t xml:space="preserve">and </w:t>
            </w:r>
            <w:r w:rsidR="008D6DFD" w:rsidRPr="00DB358A">
              <w:t>response, as well as the relevant participants (including their roles and responsibilities and cost</w:t>
            </w:r>
            <w:r w:rsidR="00B038C7">
              <w:t>-</w:t>
            </w:r>
            <w:r w:rsidR="008D6DFD" w:rsidRPr="00DB358A">
              <w:t>sharing arrangements)</w:t>
            </w:r>
          </w:p>
          <w:p w14:paraId="18F6FE29" w14:textId="59FBF1EC" w:rsidR="008D6DFD" w:rsidRDefault="008D6DFD" w:rsidP="005276D7">
            <w:pPr>
              <w:pStyle w:val="TableText"/>
              <w:widowControl w:val="0"/>
            </w:pPr>
            <w:r w:rsidRPr="00DB358A">
              <w:t>Alignment of biosecurity surveillance activities with major export market risks</w:t>
            </w:r>
            <w:r w:rsidR="003666CA">
              <w:t xml:space="preserve"> and tourism</w:t>
            </w:r>
          </w:p>
          <w:p w14:paraId="29FFFFA7" w14:textId="77777777" w:rsidR="008D6DFD" w:rsidRDefault="008D6DFD" w:rsidP="00A7561D">
            <w:pPr>
              <w:pStyle w:val="TableText"/>
              <w:widowControl w:val="0"/>
            </w:pPr>
            <w:r w:rsidRPr="00DB358A">
              <w:t xml:space="preserve">Emergency response deeds for aquatic animals and exotic </w:t>
            </w:r>
            <w:r w:rsidR="00081AD5">
              <w:t xml:space="preserve">production </w:t>
            </w:r>
            <w:r w:rsidRPr="00DB358A">
              <w:t>weeds</w:t>
            </w:r>
          </w:p>
          <w:p w14:paraId="36C3E2A7" w14:textId="10D91C15" w:rsidR="00F13E8C" w:rsidRPr="00391019" w:rsidRDefault="00F13E8C" w:rsidP="00A7561D">
            <w:pPr>
              <w:pStyle w:val="TableText"/>
              <w:widowControl w:val="0"/>
            </w:pPr>
            <w:r w:rsidRPr="00F13E8C">
              <w:t>Greater landowner-led resourcing and management of nationally significant established pests and diseases</w:t>
            </w:r>
          </w:p>
        </w:tc>
      </w:tr>
      <w:tr w:rsidR="008D6DFD" w:rsidRPr="00391019" w14:paraId="65A4E3BC" w14:textId="77777777" w:rsidTr="00967B93">
        <w:tc>
          <w:tcPr>
            <w:tcW w:w="1701" w:type="dxa"/>
          </w:tcPr>
          <w:p w14:paraId="51E6091D" w14:textId="77777777" w:rsidR="008D6DFD" w:rsidRPr="00391019" w:rsidRDefault="008D6DFD" w:rsidP="008E0AAB">
            <w:pPr>
              <w:pStyle w:val="TableText"/>
            </w:pPr>
            <w:r w:rsidRPr="00DB358A">
              <w:t>3. Knowledge management and system performance</w:t>
            </w:r>
          </w:p>
        </w:tc>
        <w:tc>
          <w:tcPr>
            <w:tcW w:w="2410" w:type="dxa"/>
          </w:tcPr>
          <w:p w14:paraId="00F88996" w14:textId="66266D0E" w:rsidR="008D6DFD" w:rsidRDefault="008D6DFD" w:rsidP="005276D7">
            <w:pPr>
              <w:pStyle w:val="TableText"/>
              <w:widowControl w:val="0"/>
            </w:pPr>
            <w:r w:rsidRPr="00DB358A">
              <w:t xml:space="preserve">Improved </w:t>
            </w:r>
            <w:r w:rsidR="0043587A">
              <w:t xml:space="preserve">decision </w:t>
            </w:r>
            <w:r w:rsidRPr="00DB358A">
              <w:t>making and operational efficiency and effectiveness</w:t>
            </w:r>
          </w:p>
          <w:p w14:paraId="59C2F01F" w14:textId="77777777" w:rsidR="008D6DFD" w:rsidRDefault="008D6DFD" w:rsidP="005276D7">
            <w:pPr>
              <w:pStyle w:val="TableText"/>
              <w:widowControl w:val="0"/>
            </w:pPr>
            <w:r w:rsidRPr="00DB358A">
              <w:t>Increased capacity to measure and demonstrate the performance of the national biosecurity system</w:t>
            </w:r>
          </w:p>
          <w:p w14:paraId="2682AAAF" w14:textId="77777777" w:rsidR="008D6DFD" w:rsidRDefault="008D6DFD" w:rsidP="005276D7">
            <w:pPr>
              <w:pStyle w:val="TableText"/>
              <w:widowControl w:val="0"/>
            </w:pPr>
            <w:r w:rsidRPr="00DB358A">
              <w:t>Improved accountability of jurisdictions for commitments under the IGAB</w:t>
            </w:r>
          </w:p>
          <w:p w14:paraId="7DDABD35" w14:textId="1D2E9535" w:rsidR="00D36278" w:rsidRPr="00391019" w:rsidRDefault="008D6DFD" w:rsidP="005276D7">
            <w:pPr>
              <w:pStyle w:val="TableText"/>
              <w:widowControl w:val="0"/>
            </w:pPr>
            <w:r w:rsidRPr="00DB358A">
              <w:t xml:space="preserve">Greater public </w:t>
            </w:r>
            <w:r w:rsidRPr="00DB358A">
              <w:lastRenderedPageBreak/>
              <w:t>understanding of the performance of the system</w:t>
            </w:r>
          </w:p>
        </w:tc>
        <w:tc>
          <w:tcPr>
            <w:tcW w:w="5954" w:type="dxa"/>
          </w:tcPr>
          <w:p w14:paraId="4B999EF4" w14:textId="77777777" w:rsidR="008D6DFD" w:rsidRDefault="008D6DFD" w:rsidP="005276D7">
            <w:pPr>
              <w:pStyle w:val="TableText"/>
              <w:widowControl w:val="0"/>
            </w:pPr>
            <w:r w:rsidRPr="00DB358A">
              <w:lastRenderedPageBreak/>
              <w:t>National collaboration on data</w:t>
            </w:r>
            <w:r>
              <w:t xml:space="preserve"> and intelligence</w:t>
            </w:r>
            <w:r w:rsidRPr="00DB358A">
              <w:t xml:space="preserve"> sharing</w:t>
            </w:r>
          </w:p>
          <w:p w14:paraId="5F73C47D" w14:textId="1B55C51C" w:rsidR="008D6DFD" w:rsidRDefault="008D6DFD" w:rsidP="005276D7">
            <w:pPr>
              <w:pStyle w:val="TableText"/>
              <w:widowControl w:val="0"/>
            </w:pPr>
            <w:r w:rsidRPr="00DB358A">
              <w:t xml:space="preserve">Agreement </w:t>
            </w:r>
            <w:r w:rsidR="00A43D67">
              <w:t>to</w:t>
            </w:r>
            <w:r w:rsidR="003666CA">
              <w:t xml:space="preserve"> </w:t>
            </w:r>
            <w:r w:rsidR="003666CA" w:rsidRPr="003666CA">
              <w:t>common information architecture for the national system, including data sharing protocols and data standards</w:t>
            </w:r>
          </w:p>
          <w:p w14:paraId="37FF45A3" w14:textId="7FE5B882" w:rsidR="008D6DFD" w:rsidRDefault="00A7561D" w:rsidP="005276D7">
            <w:pPr>
              <w:pStyle w:val="TableText"/>
              <w:widowControl w:val="0"/>
            </w:pPr>
            <w:r>
              <w:t>A</w:t>
            </w:r>
            <w:r w:rsidR="003666CA" w:rsidRPr="003666CA">
              <w:t>n inde</w:t>
            </w:r>
            <w:r w:rsidR="00A43D67">
              <w:t>pe</w:t>
            </w:r>
            <w:r w:rsidR="003666CA" w:rsidRPr="003666CA">
              <w:t>ndent comparative Report of Government Biosecurity Services (ROGBS)</w:t>
            </w:r>
          </w:p>
          <w:p w14:paraId="6DDB3905" w14:textId="77777777" w:rsidR="003666CA" w:rsidRDefault="008D6DFD" w:rsidP="00981929">
            <w:pPr>
              <w:pStyle w:val="TableText"/>
              <w:widowControl w:val="0"/>
            </w:pPr>
            <w:r w:rsidRPr="00DB358A">
              <w:t>An independent IGAB Evaluation Program of jurisdictional commitments</w:t>
            </w:r>
          </w:p>
          <w:p w14:paraId="1DBC810B" w14:textId="77777777" w:rsidR="006D444A" w:rsidRDefault="006D444A" w:rsidP="006D444A">
            <w:pPr>
              <w:pStyle w:val="TableText"/>
              <w:widowControl w:val="0"/>
            </w:pPr>
            <w:r w:rsidRPr="003666CA">
              <w:t>Nationally consistent system for property identification codes (PICs)</w:t>
            </w:r>
          </w:p>
          <w:p w14:paraId="571F44F2" w14:textId="15E24C0B" w:rsidR="006D444A" w:rsidRPr="00391019" w:rsidRDefault="006D444A" w:rsidP="00981929">
            <w:pPr>
              <w:pStyle w:val="TableText"/>
              <w:widowControl w:val="0"/>
            </w:pPr>
          </w:p>
        </w:tc>
      </w:tr>
    </w:tbl>
    <w:p w14:paraId="3EB7508B" w14:textId="03847C83" w:rsidR="00285E5F" w:rsidRPr="00A57509" w:rsidRDefault="000A1812" w:rsidP="00E132D7">
      <w:pPr>
        <w:pStyle w:val="FigureTableNoteSource"/>
        <w:ind w:left="-426"/>
        <w:rPr>
          <w:szCs w:val="18"/>
        </w:rPr>
      </w:pPr>
      <w:r w:rsidRPr="00A57509">
        <w:rPr>
          <w:szCs w:val="18"/>
        </w:rPr>
        <w:t xml:space="preserve">*This table also appears in </w:t>
      </w:r>
      <w:r w:rsidR="002567E2" w:rsidRPr="00A57509">
        <w:rPr>
          <w:szCs w:val="18"/>
        </w:rPr>
        <w:t xml:space="preserve">Chapter </w:t>
      </w:r>
      <w:r w:rsidR="001759B4">
        <w:rPr>
          <w:szCs w:val="18"/>
        </w:rPr>
        <w:t>10</w:t>
      </w:r>
      <w:r w:rsidR="002567E2" w:rsidRPr="00A57509">
        <w:rPr>
          <w:szCs w:val="18"/>
        </w:rPr>
        <w:t xml:space="preserve"> </w:t>
      </w:r>
      <w:r w:rsidR="00285E5F">
        <w:rPr>
          <w:szCs w:val="18"/>
        </w:rPr>
        <w:t>(Table 12)</w:t>
      </w:r>
      <w:r w:rsidR="00AE757B">
        <w:rPr>
          <w:szCs w:val="18"/>
        </w:rPr>
        <w:t>.</w:t>
      </w:r>
      <w:r w:rsidR="001759B4">
        <w:rPr>
          <w:szCs w:val="18"/>
        </w:rPr>
        <w:t xml:space="preserve"> </w:t>
      </w:r>
      <w:r w:rsidR="009E2FE7">
        <w:rPr>
          <w:szCs w:val="18"/>
        </w:rPr>
        <w:t>^Environmental biosecurity includes risks to social amenity.</w:t>
      </w:r>
    </w:p>
    <w:p w14:paraId="791B002A" w14:textId="14D26A44" w:rsidR="00BF7646" w:rsidRDefault="00AC7AD8" w:rsidP="00D0740F">
      <w:pPr>
        <w:pStyle w:val="Heading2"/>
        <w:numPr>
          <w:ilvl w:val="0"/>
          <w:numId w:val="0"/>
        </w:numPr>
        <w:ind w:left="720" w:hanging="720"/>
      </w:pPr>
      <w:bookmarkStart w:id="6" w:name="_Toc486236021"/>
      <w:bookmarkStart w:id="7" w:name="_Toc430782150"/>
      <w:r>
        <w:lastRenderedPageBreak/>
        <w:t>R</w:t>
      </w:r>
      <w:r w:rsidR="00BF7646">
        <w:t>ecommendations</w:t>
      </w:r>
      <w:bookmarkEnd w:id="6"/>
    </w:p>
    <w:p w14:paraId="1BE24D0A" w14:textId="0AAB365E" w:rsidR="008F0F2B" w:rsidRPr="008F0F2B" w:rsidRDefault="009A1AC1" w:rsidP="00080148">
      <w:pPr>
        <w:pStyle w:val="Glossary"/>
        <w:rPr>
          <w:rStyle w:val="Strong"/>
        </w:rPr>
      </w:pPr>
      <w:r>
        <w:rPr>
          <w:rStyle w:val="Strong"/>
        </w:rPr>
        <w:t>Risk and capability</w:t>
      </w:r>
    </w:p>
    <w:p w14:paraId="10AF07DE" w14:textId="4DF45F0C" w:rsidR="0046407D" w:rsidRPr="00022B10" w:rsidRDefault="00041132" w:rsidP="00022B10">
      <w:pPr>
        <w:spacing w:before="120" w:after="120"/>
        <w:ind w:left="2126" w:hanging="2126"/>
        <w:rPr>
          <w:bCs/>
        </w:rPr>
      </w:pPr>
      <w:hyperlink w:anchor="Draft_recommendation_14" w:history="1">
        <w:r w:rsidR="0046407D" w:rsidRPr="00022B10">
          <w:rPr>
            <w:bCs/>
          </w:rPr>
          <w:fldChar w:fldCharType="begin"/>
        </w:r>
        <w:r w:rsidR="0046407D" w:rsidRPr="00022B10">
          <w:rPr>
            <w:bCs/>
          </w:rPr>
          <w:instrText xml:space="preserve"> REF _Ref482709854 \h  \* MERGEFORMAT </w:instrText>
        </w:r>
        <w:r w:rsidR="0046407D" w:rsidRPr="00022B10">
          <w:rPr>
            <w:bCs/>
          </w:rPr>
        </w:r>
        <w:r w:rsidR="0046407D" w:rsidRPr="00022B10">
          <w:rPr>
            <w:bCs/>
          </w:rPr>
          <w:fldChar w:fldCharType="separate"/>
        </w:r>
        <w:r w:rsidR="009F6923" w:rsidRPr="009F6923">
          <w:rPr>
            <w:bCs/>
          </w:rPr>
          <w:t>Recommendation 11</w:t>
        </w:r>
        <w:r w:rsidR="0046407D" w:rsidRPr="00022B10">
          <w:rPr>
            <w:bCs/>
          </w:rPr>
          <w:fldChar w:fldCharType="end"/>
        </w:r>
      </w:hyperlink>
      <w:r w:rsidR="0046407D" w:rsidRPr="00022B10">
        <w:rPr>
          <w:bCs/>
        </w:rPr>
        <w:tab/>
        <w:t>The NBC should adopt a systematic approach to determine and plan for national priority pests and diseases</w:t>
      </w:r>
      <w:r w:rsidR="00BF5E68">
        <w:rPr>
          <w:bCs/>
        </w:rPr>
        <w:t>:</w:t>
      </w:r>
    </w:p>
    <w:p w14:paraId="25CD7E55" w14:textId="77777777" w:rsidR="0046407D" w:rsidRPr="008C50B7" w:rsidRDefault="0046407D" w:rsidP="0046407D">
      <w:pPr>
        <w:pStyle w:val="ListBullet"/>
        <w:tabs>
          <w:tab w:val="num" w:pos="2444"/>
        </w:tabs>
        <w:ind w:left="2444"/>
        <w:rPr>
          <w:lang w:eastAsia="ja-JP"/>
        </w:rPr>
      </w:pPr>
      <w:r>
        <w:rPr>
          <w:lang w:eastAsia="ja-JP"/>
        </w:rPr>
        <w:t>T</w:t>
      </w:r>
      <w:r w:rsidRPr="00206476">
        <w:rPr>
          <w:lang w:eastAsia="ja-JP"/>
        </w:rPr>
        <w:t>hree national priority lists</w:t>
      </w:r>
      <w:r>
        <w:rPr>
          <w:lang w:eastAsia="ja-JP"/>
        </w:rPr>
        <w:t>—</w:t>
      </w:r>
      <w:r w:rsidRPr="00206476">
        <w:rPr>
          <w:lang w:eastAsia="ja-JP"/>
        </w:rPr>
        <w:t>one each for animal, plant and e</w:t>
      </w:r>
      <w:r>
        <w:rPr>
          <w:lang w:eastAsia="ja-JP"/>
        </w:rPr>
        <w:t>nvironmental pests and diseases—</w:t>
      </w:r>
      <w:r w:rsidRPr="00206476">
        <w:rPr>
          <w:lang w:eastAsia="ja-JP"/>
        </w:rPr>
        <w:t>should be developed in partnership with system participants</w:t>
      </w:r>
      <w:r>
        <w:rPr>
          <w:lang w:eastAsia="ja-JP"/>
        </w:rPr>
        <w:t>.</w:t>
      </w:r>
    </w:p>
    <w:p w14:paraId="57743C93" w14:textId="77777777" w:rsidR="0046407D" w:rsidRPr="001A4508" w:rsidRDefault="0046407D" w:rsidP="0046407D">
      <w:pPr>
        <w:pStyle w:val="ListBullet"/>
        <w:tabs>
          <w:tab w:val="num" w:pos="2444"/>
        </w:tabs>
        <w:ind w:left="2444"/>
        <w:rPr>
          <w:lang w:eastAsia="ja-JP"/>
        </w:rPr>
      </w:pPr>
      <w:r w:rsidRPr="001A4508">
        <w:rPr>
          <w:lang w:eastAsia="ja-JP"/>
        </w:rPr>
        <w:t>The three national lists should be completed by 2020</w:t>
      </w:r>
      <w:r>
        <w:rPr>
          <w:lang w:eastAsia="ja-JP"/>
        </w:rPr>
        <w:t>.</w:t>
      </w:r>
    </w:p>
    <w:p w14:paraId="2144A800" w14:textId="46F4540D" w:rsidR="0046407D" w:rsidRPr="001A4508" w:rsidRDefault="0046407D" w:rsidP="0046407D">
      <w:pPr>
        <w:pStyle w:val="ListBullet"/>
        <w:tabs>
          <w:tab w:val="num" w:pos="2444"/>
        </w:tabs>
        <w:ind w:left="2444"/>
        <w:rPr>
          <w:lang w:eastAsia="ja-JP"/>
        </w:rPr>
      </w:pPr>
      <w:r w:rsidRPr="001A4508">
        <w:rPr>
          <w:lang w:eastAsia="ja-JP"/>
        </w:rPr>
        <w:t>Thereafter</w:t>
      </w:r>
      <w:r w:rsidR="00657A18">
        <w:rPr>
          <w:lang w:eastAsia="ja-JP"/>
        </w:rPr>
        <w:t>, the</w:t>
      </w:r>
      <w:r w:rsidRPr="001A4508">
        <w:rPr>
          <w:lang w:eastAsia="ja-JP"/>
        </w:rPr>
        <w:t xml:space="preserve"> NBC should lead reviews of the </w:t>
      </w:r>
      <w:r w:rsidR="006E3973">
        <w:rPr>
          <w:lang w:eastAsia="ja-JP"/>
        </w:rPr>
        <w:t xml:space="preserve">national </w:t>
      </w:r>
      <w:r w:rsidRPr="001A4508">
        <w:rPr>
          <w:lang w:eastAsia="ja-JP"/>
        </w:rPr>
        <w:t>priority lists at least every five years</w:t>
      </w:r>
      <w:r w:rsidR="00A81F11">
        <w:rPr>
          <w:lang w:eastAsia="ja-JP"/>
        </w:rPr>
        <w:t>, reporting to AGSOC and AGMIN.</w:t>
      </w:r>
    </w:p>
    <w:p w14:paraId="4B5D53C5" w14:textId="01934064" w:rsidR="0046407D" w:rsidRPr="00022B10" w:rsidRDefault="00041132" w:rsidP="00022B10">
      <w:pPr>
        <w:spacing w:before="120" w:after="120"/>
        <w:ind w:left="2126" w:hanging="2126"/>
        <w:rPr>
          <w:bCs/>
        </w:rPr>
      </w:pPr>
      <w:hyperlink w:anchor="Draft_recommendation_15" w:history="1">
        <w:r w:rsidR="0046407D" w:rsidRPr="00022B10">
          <w:rPr>
            <w:bCs/>
          </w:rPr>
          <w:fldChar w:fldCharType="begin"/>
        </w:r>
        <w:r w:rsidR="0046407D" w:rsidRPr="00022B10">
          <w:rPr>
            <w:bCs/>
          </w:rPr>
          <w:instrText xml:space="preserve"> REF _Ref482709898 \h </w:instrText>
        </w:r>
        <w:r w:rsidR="00022B10">
          <w:rPr>
            <w:bCs/>
          </w:rPr>
          <w:instrText xml:space="preserve"> \* MERGEFORMAT </w:instrText>
        </w:r>
        <w:r w:rsidR="0046407D" w:rsidRPr="00022B10">
          <w:rPr>
            <w:bCs/>
          </w:rPr>
        </w:r>
        <w:r w:rsidR="0046407D" w:rsidRPr="00022B10">
          <w:rPr>
            <w:bCs/>
          </w:rPr>
          <w:fldChar w:fldCharType="separate"/>
        </w:r>
        <w:r w:rsidR="009F6923" w:rsidRPr="009F6923">
          <w:rPr>
            <w:bCs/>
          </w:rPr>
          <w:t>Recommendation 13</w:t>
        </w:r>
        <w:r w:rsidR="0046407D" w:rsidRPr="00022B10">
          <w:rPr>
            <w:bCs/>
          </w:rPr>
          <w:fldChar w:fldCharType="end"/>
        </w:r>
      </w:hyperlink>
      <w:r w:rsidR="0046407D" w:rsidRPr="00022B10">
        <w:rPr>
          <w:bCs/>
        </w:rPr>
        <w:tab/>
        <w:t>The NBC should authorise and drive development of an agreed set of National Biosecurity R&amp;I Priorities, in consultation with key biosecurity R&amp;I system participants, to guide national R&amp;I investment:</w:t>
      </w:r>
    </w:p>
    <w:p w14:paraId="56637C24" w14:textId="7BF5D080" w:rsidR="0046407D" w:rsidRDefault="0050170E" w:rsidP="0046407D">
      <w:pPr>
        <w:pStyle w:val="ListBullet"/>
        <w:tabs>
          <w:tab w:val="num" w:pos="2444"/>
        </w:tabs>
        <w:ind w:left="2444"/>
        <w:rPr>
          <w:lang w:eastAsia="ja-JP"/>
        </w:rPr>
      </w:pPr>
      <w:r>
        <w:rPr>
          <w:lang w:eastAsia="ja-JP"/>
        </w:rPr>
        <w:t>T</w:t>
      </w:r>
      <w:r w:rsidR="0046407D" w:rsidRPr="003301B7">
        <w:rPr>
          <w:lang w:eastAsia="ja-JP"/>
        </w:rPr>
        <w:t>he sectoral committees of the NBC should lead the development of sectoral and cross-sectoral level national priorities in line with the national priority exotic animal, plant and environmental risks and their pathways</w:t>
      </w:r>
      <w:r w:rsidR="0046407D">
        <w:rPr>
          <w:lang w:eastAsia="ja-JP"/>
        </w:rPr>
        <w:t>, once agreed</w:t>
      </w:r>
      <w:r>
        <w:rPr>
          <w:lang w:eastAsia="ja-JP"/>
        </w:rPr>
        <w:t>.</w:t>
      </w:r>
    </w:p>
    <w:p w14:paraId="419E472C" w14:textId="57C3FF48" w:rsidR="0046407D" w:rsidRDefault="0050170E" w:rsidP="0046407D">
      <w:pPr>
        <w:pStyle w:val="ListBullet"/>
        <w:tabs>
          <w:tab w:val="num" w:pos="2444"/>
        </w:tabs>
        <w:ind w:left="2444"/>
        <w:rPr>
          <w:lang w:eastAsia="ja-JP"/>
        </w:rPr>
      </w:pPr>
      <w:r>
        <w:rPr>
          <w:lang w:eastAsia="ja-JP"/>
        </w:rPr>
        <w:t>T</w:t>
      </w:r>
      <w:r w:rsidR="00657A18">
        <w:rPr>
          <w:lang w:eastAsia="ja-JP"/>
        </w:rPr>
        <w:t xml:space="preserve">he </w:t>
      </w:r>
      <w:r w:rsidR="0046407D" w:rsidRPr="003301B7">
        <w:rPr>
          <w:lang w:eastAsia="ja-JP"/>
        </w:rPr>
        <w:t>NBC, CSIRO, CEBRA and ABARES should jointly develop system-level national biosecurity priorities (including for the environment) focusing on the policy and decision-making frameworks, tools, innovations and behavioural changes needed to build an effective nation</w:t>
      </w:r>
      <w:r w:rsidR="0046407D">
        <w:rPr>
          <w:lang w:eastAsia="ja-JP"/>
        </w:rPr>
        <w:t>al</w:t>
      </w:r>
      <w:r w:rsidR="0046407D" w:rsidRPr="003301B7">
        <w:rPr>
          <w:lang w:eastAsia="ja-JP"/>
        </w:rPr>
        <w:t xml:space="preserve"> system</w:t>
      </w:r>
      <w:r>
        <w:rPr>
          <w:lang w:eastAsia="ja-JP"/>
        </w:rPr>
        <w:t>.</w:t>
      </w:r>
    </w:p>
    <w:p w14:paraId="701D3182" w14:textId="3D96B482" w:rsidR="0046407D" w:rsidRDefault="0050170E" w:rsidP="0046407D">
      <w:pPr>
        <w:pStyle w:val="ListBullet"/>
        <w:tabs>
          <w:tab w:val="num" w:pos="2444"/>
        </w:tabs>
        <w:ind w:left="2444"/>
        <w:rPr>
          <w:lang w:eastAsia="ja-JP"/>
        </w:rPr>
      </w:pPr>
      <w:r>
        <w:rPr>
          <w:lang w:eastAsia="ja-JP"/>
        </w:rPr>
        <w:t>T</w:t>
      </w:r>
      <w:r w:rsidR="00657A18">
        <w:rPr>
          <w:lang w:eastAsia="ja-JP"/>
        </w:rPr>
        <w:t xml:space="preserve">he </w:t>
      </w:r>
      <w:r w:rsidR="0046407D" w:rsidRPr="003301B7">
        <w:rPr>
          <w:lang w:eastAsia="ja-JP"/>
        </w:rPr>
        <w:t xml:space="preserve">NBC should determine the final integrated list of </w:t>
      </w:r>
      <w:r w:rsidR="0028321F">
        <w:rPr>
          <w:lang w:eastAsia="ja-JP"/>
        </w:rPr>
        <w:t>N</w:t>
      </w:r>
      <w:r w:rsidR="0046407D" w:rsidRPr="003301B7">
        <w:rPr>
          <w:lang w:eastAsia="ja-JP"/>
        </w:rPr>
        <w:t xml:space="preserve">ational </w:t>
      </w:r>
      <w:r w:rsidR="0028321F">
        <w:rPr>
          <w:lang w:eastAsia="ja-JP"/>
        </w:rPr>
        <w:t>B</w:t>
      </w:r>
      <w:r w:rsidR="0046407D" w:rsidRPr="003301B7">
        <w:rPr>
          <w:lang w:eastAsia="ja-JP"/>
        </w:rPr>
        <w:t xml:space="preserve">iosecurity R&amp;I </w:t>
      </w:r>
      <w:r w:rsidR="0028321F">
        <w:rPr>
          <w:lang w:eastAsia="ja-JP"/>
        </w:rPr>
        <w:t>P</w:t>
      </w:r>
      <w:r w:rsidR="0046407D" w:rsidRPr="003301B7">
        <w:rPr>
          <w:lang w:eastAsia="ja-JP"/>
        </w:rPr>
        <w:t>riorities.</w:t>
      </w:r>
      <w:r w:rsidR="0046407D">
        <w:rPr>
          <w:lang w:eastAsia="ja-JP"/>
        </w:rPr>
        <w:t xml:space="preserve"> </w:t>
      </w:r>
      <w:r w:rsidR="0046407D" w:rsidRPr="003301B7">
        <w:rPr>
          <w:lang w:eastAsia="ja-JP"/>
        </w:rPr>
        <w:t xml:space="preserve">The priorities should be developed within </w:t>
      </w:r>
      <w:r>
        <w:rPr>
          <w:lang w:eastAsia="ja-JP"/>
        </w:rPr>
        <w:t>eighteen</w:t>
      </w:r>
      <w:r w:rsidR="00752EEA">
        <w:rPr>
          <w:lang w:eastAsia="ja-JP"/>
        </w:rPr>
        <w:t> </w:t>
      </w:r>
      <w:r w:rsidR="0046407D">
        <w:rPr>
          <w:lang w:eastAsia="ja-JP"/>
        </w:rPr>
        <w:t>months</w:t>
      </w:r>
      <w:r w:rsidR="0046407D" w:rsidRPr="003301B7">
        <w:rPr>
          <w:lang w:eastAsia="ja-JP"/>
        </w:rPr>
        <w:t xml:space="preserve"> of the IGAB </w:t>
      </w:r>
      <w:r>
        <w:rPr>
          <w:lang w:eastAsia="ja-JP"/>
        </w:rPr>
        <w:t>r</w:t>
      </w:r>
      <w:r w:rsidR="0046407D" w:rsidRPr="003301B7">
        <w:rPr>
          <w:lang w:eastAsia="ja-JP"/>
        </w:rPr>
        <w:t xml:space="preserve">eview </w:t>
      </w:r>
      <w:r>
        <w:rPr>
          <w:lang w:eastAsia="ja-JP"/>
        </w:rPr>
        <w:t>r</w:t>
      </w:r>
      <w:r w:rsidR="0046407D" w:rsidRPr="003301B7">
        <w:rPr>
          <w:lang w:eastAsia="ja-JP"/>
        </w:rPr>
        <w:t>eport, and should be reviewed at least every five years.</w:t>
      </w:r>
    </w:p>
    <w:p w14:paraId="5A7D11C0" w14:textId="77777777" w:rsidR="0046407D" w:rsidRPr="003301B7" w:rsidRDefault="00041132" w:rsidP="0046407D">
      <w:pPr>
        <w:spacing w:before="120" w:after="120"/>
        <w:ind w:left="2126" w:hanging="2126"/>
        <w:rPr>
          <w:rFonts w:eastAsia="Calibri"/>
          <w:color w:val="000000"/>
          <w:lang w:eastAsia="ja-JP"/>
        </w:rPr>
      </w:pPr>
      <w:hyperlink w:anchor="Draft_recommendation_9" w:history="1">
        <w:r w:rsidR="0046407D" w:rsidRPr="00201684">
          <w:rPr>
            <w:rFonts w:eastAsia="Calibri"/>
            <w:color w:val="165788"/>
            <w:u w:val="single"/>
            <w:lang w:eastAsia="ja-JP"/>
          </w:rPr>
          <w:fldChar w:fldCharType="begin"/>
        </w:r>
        <w:r w:rsidR="0046407D" w:rsidRPr="00201684">
          <w:instrText xml:space="preserve"> REF _Ref482709912 \h </w:instrText>
        </w:r>
        <w:r w:rsidR="0046407D" w:rsidRPr="00201684">
          <w:rPr>
            <w:rFonts w:eastAsia="Calibri"/>
            <w:color w:val="165788"/>
            <w:u w:val="single"/>
            <w:lang w:eastAsia="ja-JP"/>
          </w:rPr>
          <w:instrText xml:space="preserve"> \* MERGEFORMAT </w:instrText>
        </w:r>
        <w:r w:rsidR="0046407D" w:rsidRPr="00201684">
          <w:rPr>
            <w:rFonts w:eastAsia="Calibri"/>
            <w:color w:val="165788"/>
            <w:u w:val="single"/>
            <w:lang w:eastAsia="ja-JP"/>
          </w:rPr>
        </w:r>
        <w:r w:rsidR="0046407D" w:rsidRPr="00201684">
          <w:rPr>
            <w:rFonts w:eastAsia="Calibri"/>
            <w:color w:val="165788"/>
            <w:u w:val="single"/>
            <w:lang w:eastAsia="ja-JP"/>
          </w:rPr>
          <w:fldChar w:fldCharType="separate"/>
        </w:r>
        <w:r w:rsidR="009F6923" w:rsidRPr="009F6923">
          <w:rPr>
            <w:bCs/>
          </w:rPr>
          <w:t xml:space="preserve">Recommendation </w:t>
        </w:r>
        <w:r w:rsidR="009F6923" w:rsidRPr="009F6923">
          <w:rPr>
            <w:bCs/>
            <w:noProof/>
          </w:rPr>
          <w:t>14</w:t>
        </w:r>
        <w:r w:rsidR="0046407D" w:rsidRPr="00201684">
          <w:rPr>
            <w:rFonts w:eastAsia="Calibri"/>
            <w:color w:val="165788"/>
            <w:u w:val="single"/>
            <w:lang w:eastAsia="ja-JP"/>
          </w:rPr>
          <w:fldChar w:fldCharType="end"/>
        </w:r>
      </w:hyperlink>
      <w:r w:rsidR="0046407D" w:rsidRPr="003301B7">
        <w:rPr>
          <w:rFonts w:eastAsia="Calibri"/>
          <w:color w:val="000000"/>
          <w:lang w:eastAsia="ja-JP"/>
        </w:rPr>
        <w:tab/>
        <w:t>To accelerate national system innovation the Australian Government should:</w:t>
      </w:r>
    </w:p>
    <w:p w14:paraId="0B1EC8C5" w14:textId="7738AA87" w:rsidR="0046407D" w:rsidRDefault="001E61CE" w:rsidP="0046407D">
      <w:pPr>
        <w:pStyle w:val="ListBullet"/>
        <w:tabs>
          <w:tab w:val="num" w:pos="2444"/>
        </w:tabs>
        <w:ind w:left="2444"/>
        <w:rPr>
          <w:lang w:eastAsia="ja-JP"/>
        </w:rPr>
      </w:pPr>
      <w:r>
        <w:rPr>
          <w:lang w:eastAsia="ja-JP"/>
        </w:rPr>
        <w:t>establish a $25 </w:t>
      </w:r>
      <w:r w:rsidR="0046407D" w:rsidRPr="003301B7">
        <w:rPr>
          <w:lang w:eastAsia="ja-JP"/>
        </w:rPr>
        <w:t xml:space="preserve">million National Biosecurity Innovation Program to enable strategic co-investment in the system-level </w:t>
      </w:r>
      <w:r w:rsidR="00827623">
        <w:rPr>
          <w:lang w:eastAsia="ja-JP"/>
        </w:rPr>
        <w:t xml:space="preserve">(including </w:t>
      </w:r>
      <w:r w:rsidR="0046407D" w:rsidRPr="003301B7">
        <w:rPr>
          <w:lang w:eastAsia="ja-JP"/>
        </w:rPr>
        <w:t>environmental</w:t>
      </w:r>
      <w:r w:rsidR="00827623">
        <w:rPr>
          <w:lang w:eastAsia="ja-JP"/>
        </w:rPr>
        <w:t>)</w:t>
      </w:r>
      <w:r w:rsidR="0046407D" w:rsidRPr="003301B7">
        <w:rPr>
          <w:lang w:eastAsia="ja-JP"/>
        </w:rPr>
        <w:t xml:space="preserve"> national priorities developed under Recommendation 1</w:t>
      </w:r>
      <w:r w:rsidR="0046407D">
        <w:rPr>
          <w:lang w:eastAsia="ja-JP"/>
        </w:rPr>
        <w:t>3</w:t>
      </w:r>
      <w:r w:rsidR="0046407D" w:rsidRPr="003301B7">
        <w:rPr>
          <w:lang w:eastAsia="ja-JP"/>
        </w:rPr>
        <w:t xml:space="preserve">. The program should be funded initially for a </w:t>
      </w:r>
      <w:r w:rsidR="0050170E">
        <w:rPr>
          <w:lang w:eastAsia="ja-JP"/>
        </w:rPr>
        <w:t>five</w:t>
      </w:r>
      <w:r w:rsidR="0046407D" w:rsidRPr="003301B7">
        <w:rPr>
          <w:lang w:eastAsia="ja-JP"/>
        </w:rPr>
        <w:t xml:space="preserve">-year </w:t>
      </w:r>
      <w:r w:rsidR="0046407D" w:rsidRPr="003301B7">
        <w:rPr>
          <w:lang w:eastAsia="ja-JP"/>
        </w:rPr>
        <w:lastRenderedPageBreak/>
        <w:t xml:space="preserve">period from 2018–19 through the funding mechanisms in </w:t>
      </w:r>
      <w:hyperlink w:anchor="_Funding_the_national" w:history="1">
        <w:r w:rsidR="0046407D" w:rsidRPr="00307A29">
          <w:rPr>
            <w:rStyle w:val="Hyperlink"/>
            <w:lang w:eastAsia="ja-JP"/>
          </w:rPr>
          <w:t>Chapter 8</w:t>
        </w:r>
      </w:hyperlink>
      <w:r w:rsidR="0046407D" w:rsidRPr="003301B7">
        <w:rPr>
          <w:lang w:eastAsia="ja-JP"/>
        </w:rPr>
        <w:t xml:space="preserve"> and be administered by the Australian Go</w:t>
      </w:r>
      <w:r w:rsidR="0046407D">
        <w:rPr>
          <w:lang w:eastAsia="ja-JP"/>
        </w:rPr>
        <w:t>vernment agriculture department</w:t>
      </w:r>
    </w:p>
    <w:p w14:paraId="3708F520" w14:textId="7EFBAB8E" w:rsidR="0046407D" w:rsidRPr="009A66F9" w:rsidRDefault="0046407D" w:rsidP="0046407D">
      <w:pPr>
        <w:pStyle w:val="ListBullet"/>
        <w:tabs>
          <w:tab w:val="num" w:pos="2444"/>
        </w:tabs>
        <w:ind w:left="2444"/>
        <w:rPr>
          <w:lang w:eastAsia="ja-JP"/>
        </w:rPr>
      </w:pPr>
      <w:r w:rsidRPr="003301B7">
        <w:rPr>
          <w:lang w:eastAsia="ja-JP"/>
        </w:rPr>
        <w:t>increase the funding appropriation to the Rural Industries RDC by $2</w:t>
      </w:r>
      <w:r w:rsidR="0050170E">
        <w:rPr>
          <w:lang w:eastAsia="ja-JP"/>
        </w:rPr>
        <w:t> </w:t>
      </w:r>
      <w:r w:rsidRPr="003301B7">
        <w:rPr>
          <w:lang w:eastAsia="ja-JP"/>
        </w:rPr>
        <w:t xml:space="preserve">million annually for a new cross-sectoral biosecurity R&amp;I coordination and investment function for the RDCs. Cross-sectoral investments should be in line with the national cross-sectoral priorities developed under </w:t>
      </w:r>
      <w:r w:rsidRPr="009A66F9">
        <w:rPr>
          <w:lang w:eastAsia="ja-JP"/>
        </w:rPr>
        <w:t>Recommendation 1</w:t>
      </w:r>
      <w:r>
        <w:rPr>
          <w:lang w:eastAsia="ja-JP"/>
        </w:rPr>
        <w:t>3</w:t>
      </w:r>
    </w:p>
    <w:p w14:paraId="299693C0" w14:textId="2C531678" w:rsidR="0046407D" w:rsidRDefault="0046407D" w:rsidP="00BC28A1">
      <w:pPr>
        <w:pStyle w:val="ListBullet"/>
        <w:tabs>
          <w:tab w:val="num" w:pos="2444"/>
        </w:tabs>
        <w:ind w:left="2444"/>
      </w:pPr>
      <w:r>
        <w:rPr>
          <w:lang w:eastAsia="ja-JP"/>
        </w:rPr>
        <w:t xml:space="preserve">require </w:t>
      </w:r>
      <w:r w:rsidRPr="003301B7">
        <w:rPr>
          <w:lang w:eastAsia="ja-JP"/>
        </w:rPr>
        <w:t xml:space="preserve">RDCs to invest in and report against the new National Biosecurity R&amp;I Priorities through additional provisions in each RDC statutory funding agreement. Cross-sectoral biosecurity R&amp;I will be coordinated by the </w:t>
      </w:r>
      <w:r w:rsidR="00A81F11">
        <w:rPr>
          <w:lang w:eastAsia="ja-JP"/>
        </w:rPr>
        <w:t>R</w:t>
      </w:r>
      <w:r w:rsidR="000F424C">
        <w:rPr>
          <w:lang w:eastAsia="ja-JP"/>
        </w:rPr>
        <w:t xml:space="preserve">ural Industries </w:t>
      </w:r>
      <w:r w:rsidR="00A81F11">
        <w:rPr>
          <w:lang w:eastAsia="ja-JP"/>
        </w:rPr>
        <w:t>RDC.</w:t>
      </w:r>
    </w:p>
    <w:p w14:paraId="33A53629" w14:textId="3AE9A506" w:rsidR="0046407D" w:rsidRPr="00F12447" w:rsidRDefault="00041132" w:rsidP="00F12447">
      <w:pPr>
        <w:spacing w:before="120" w:after="120"/>
        <w:ind w:left="2126" w:hanging="2126"/>
        <w:rPr>
          <w:bCs/>
        </w:rPr>
      </w:pPr>
      <w:hyperlink w:anchor="Draft_recommendation_40" w:history="1">
        <w:r w:rsidR="0046407D" w:rsidRPr="00F12447">
          <w:rPr>
            <w:bCs/>
          </w:rPr>
          <w:fldChar w:fldCharType="begin"/>
        </w:r>
        <w:r w:rsidR="0046407D" w:rsidRPr="00F12447">
          <w:rPr>
            <w:bCs/>
          </w:rPr>
          <w:instrText xml:space="preserve"> REF _Ref482710422 \h  \* MERGEFORMAT </w:instrText>
        </w:r>
        <w:r w:rsidR="0046407D" w:rsidRPr="00F12447">
          <w:rPr>
            <w:bCs/>
          </w:rPr>
        </w:r>
        <w:r w:rsidR="0046407D" w:rsidRPr="00F12447">
          <w:rPr>
            <w:bCs/>
          </w:rPr>
          <w:fldChar w:fldCharType="separate"/>
        </w:r>
        <w:r w:rsidR="009F6923" w:rsidRPr="009F6923">
          <w:rPr>
            <w:bCs/>
          </w:rPr>
          <w:t>Recommendation 42</w:t>
        </w:r>
        <w:r w:rsidR="0046407D" w:rsidRPr="00F12447">
          <w:rPr>
            <w:bCs/>
          </w:rPr>
          <w:fldChar w:fldCharType="end"/>
        </w:r>
      </w:hyperlink>
      <w:r w:rsidR="0046407D" w:rsidRPr="00F12447">
        <w:rPr>
          <w:bCs/>
        </w:rPr>
        <w:tab/>
        <w:t>Jurisdictions should adopt the proposed new priority reform areas and associated work program for IGAB2 and amend the IGAB i</w:t>
      </w:r>
      <w:r w:rsidR="00A81F11" w:rsidRPr="00F12447">
        <w:rPr>
          <w:bCs/>
        </w:rPr>
        <w:t xml:space="preserve">n line with </w:t>
      </w:r>
      <w:r w:rsidR="006E3973">
        <w:rPr>
          <w:bCs/>
        </w:rPr>
        <w:t xml:space="preserve">the </w:t>
      </w:r>
      <w:r w:rsidR="00A81F11" w:rsidRPr="00F12447">
        <w:rPr>
          <w:bCs/>
        </w:rPr>
        <w:t>proposed revisions.</w:t>
      </w:r>
    </w:p>
    <w:p w14:paraId="14D32BBC" w14:textId="4E5D9C41" w:rsidR="00F52ED1" w:rsidRPr="00F12447" w:rsidRDefault="00041132" w:rsidP="00F12447">
      <w:pPr>
        <w:spacing w:before="120" w:after="120"/>
        <w:ind w:left="2126" w:hanging="2126"/>
        <w:rPr>
          <w:bCs/>
        </w:rPr>
      </w:pPr>
      <w:hyperlink w:anchor="Draft_recommendation_9" w:history="1">
        <w:r w:rsidR="00F52ED1" w:rsidRPr="00F12447">
          <w:rPr>
            <w:bCs/>
          </w:rPr>
          <w:fldChar w:fldCharType="begin"/>
        </w:r>
        <w:r w:rsidR="00F52ED1" w:rsidRPr="00F12447">
          <w:rPr>
            <w:bCs/>
          </w:rPr>
          <w:instrText xml:space="preserve"> REF _Ref482708972 \h </w:instrText>
        </w:r>
        <w:r w:rsidR="00F12447">
          <w:rPr>
            <w:bCs/>
          </w:rPr>
          <w:instrText xml:space="preserve"> \* MERGEFORMAT </w:instrText>
        </w:r>
        <w:r w:rsidR="00F52ED1" w:rsidRPr="00F12447">
          <w:rPr>
            <w:bCs/>
          </w:rPr>
        </w:r>
        <w:r w:rsidR="00F52ED1" w:rsidRPr="00F12447">
          <w:rPr>
            <w:bCs/>
          </w:rPr>
          <w:fldChar w:fldCharType="separate"/>
        </w:r>
        <w:r w:rsidR="009F6923" w:rsidRPr="009F6923">
          <w:rPr>
            <w:bCs/>
          </w:rPr>
          <w:t>Recommendation 8</w:t>
        </w:r>
        <w:r w:rsidR="00F52ED1" w:rsidRPr="00F12447">
          <w:rPr>
            <w:bCs/>
          </w:rPr>
          <w:fldChar w:fldCharType="end"/>
        </w:r>
      </w:hyperlink>
      <w:r w:rsidR="00F52ED1" w:rsidRPr="00F12447">
        <w:rPr>
          <w:bCs/>
        </w:rPr>
        <w:tab/>
        <w:t>Jurisdictions should make clearer commitments to environmental biosecurity within IGAB2, including in relation to:</w:t>
      </w:r>
    </w:p>
    <w:p w14:paraId="04417C01" w14:textId="5CFA3C10" w:rsidR="00F52ED1" w:rsidRDefault="00F52ED1" w:rsidP="00F52ED1">
      <w:pPr>
        <w:pStyle w:val="ListBullet"/>
        <w:tabs>
          <w:tab w:val="num" w:pos="2444"/>
        </w:tabs>
        <w:ind w:left="2444"/>
        <w:rPr>
          <w:lang w:eastAsia="ja-JP"/>
        </w:rPr>
      </w:pPr>
      <w:r>
        <w:rPr>
          <w:lang w:eastAsia="ja-JP"/>
        </w:rPr>
        <w:t xml:space="preserve">a clear definition of environmental biosecurity such as that proposed by this </w:t>
      </w:r>
      <w:r w:rsidR="00AD614E">
        <w:rPr>
          <w:lang w:eastAsia="ja-JP"/>
        </w:rPr>
        <w:t>r</w:t>
      </w:r>
      <w:r>
        <w:rPr>
          <w:lang w:eastAsia="ja-JP"/>
        </w:rPr>
        <w:t>eview</w:t>
      </w:r>
    </w:p>
    <w:p w14:paraId="5F3EE863" w14:textId="77777777" w:rsidR="00F52ED1" w:rsidRDefault="00F52ED1" w:rsidP="00F52ED1">
      <w:pPr>
        <w:pStyle w:val="ListBullet"/>
        <w:tabs>
          <w:tab w:val="num" w:pos="2444"/>
        </w:tabs>
        <w:ind w:left="2444"/>
        <w:rPr>
          <w:lang w:eastAsia="ja-JP"/>
        </w:rPr>
      </w:pPr>
      <w:r>
        <w:rPr>
          <w:lang w:eastAsia="ja-JP"/>
        </w:rPr>
        <w:t>the principle of ecologically sustainable development</w:t>
      </w:r>
    </w:p>
    <w:p w14:paraId="0B65F662" w14:textId="77777777" w:rsidR="00F52ED1" w:rsidRDefault="00F52ED1" w:rsidP="00F52ED1">
      <w:pPr>
        <w:pStyle w:val="ListBullet"/>
        <w:tabs>
          <w:tab w:val="num" w:pos="2444"/>
        </w:tabs>
        <w:ind w:left="2444"/>
        <w:rPr>
          <w:lang w:eastAsia="ja-JP"/>
        </w:rPr>
      </w:pPr>
      <w:r>
        <w:rPr>
          <w:lang w:eastAsia="ja-JP"/>
        </w:rPr>
        <w:t>acknowledgement of Australia’s international responsibilities under the Convention on Biological Diversity</w:t>
      </w:r>
    </w:p>
    <w:p w14:paraId="61A9CDF7" w14:textId="74B88023" w:rsidR="00F52ED1" w:rsidRDefault="00F52ED1" w:rsidP="00F52ED1">
      <w:pPr>
        <w:pStyle w:val="ListBullet"/>
        <w:tabs>
          <w:tab w:val="num" w:pos="2444"/>
        </w:tabs>
        <w:ind w:left="2444"/>
        <w:rPr>
          <w:lang w:eastAsia="ja-JP"/>
        </w:rPr>
      </w:pPr>
      <w:r>
        <w:rPr>
          <w:lang w:eastAsia="ja-JP"/>
        </w:rPr>
        <w:t xml:space="preserve">a program of work to determine, plan and prepare for national priority pests and diseases impacting </w:t>
      </w:r>
      <w:r w:rsidR="009A2EA1">
        <w:rPr>
          <w:lang w:eastAsia="ja-JP"/>
        </w:rPr>
        <w:t xml:space="preserve">on </w:t>
      </w:r>
      <w:r>
        <w:rPr>
          <w:lang w:eastAsia="ja-JP"/>
        </w:rPr>
        <w:t>the community, environment and native species</w:t>
      </w:r>
    </w:p>
    <w:p w14:paraId="4A4F57B1" w14:textId="77777777" w:rsidR="00F52ED1" w:rsidRDefault="00F52ED1" w:rsidP="00F52ED1">
      <w:pPr>
        <w:pStyle w:val="ListBullet"/>
        <w:tabs>
          <w:tab w:val="num" w:pos="2444"/>
        </w:tabs>
        <w:ind w:left="2444"/>
        <w:rPr>
          <w:lang w:eastAsia="ja-JP"/>
        </w:rPr>
      </w:pPr>
      <w:r>
        <w:rPr>
          <w:lang w:eastAsia="ja-JP"/>
        </w:rPr>
        <w:t>a focus on environment and community as well as industry partnerships</w:t>
      </w:r>
    </w:p>
    <w:p w14:paraId="60E40EC5" w14:textId="2F1F5575" w:rsidR="00F52ED1" w:rsidRPr="00832283" w:rsidRDefault="00F52ED1" w:rsidP="00F52ED1">
      <w:pPr>
        <w:pStyle w:val="ListBullet"/>
        <w:tabs>
          <w:tab w:val="num" w:pos="2444"/>
        </w:tabs>
        <w:ind w:left="2444"/>
        <w:rPr>
          <w:lang w:eastAsia="ja-JP"/>
        </w:rPr>
      </w:pPr>
      <w:r>
        <w:rPr>
          <w:lang w:eastAsia="ja-JP"/>
        </w:rPr>
        <w:t xml:space="preserve">diseases </w:t>
      </w:r>
      <w:r w:rsidRPr="00832283">
        <w:rPr>
          <w:lang w:eastAsia="ja-JP"/>
        </w:rPr>
        <w:t>transmitted to humans by invert</w:t>
      </w:r>
      <w:r w:rsidR="00A81F11">
        <w:rPr>
          <w:lang w:eastAsia="ja-JP"/>
        </w:rPr>
        <w:t>ebrates as well as vertebrates.</w:t>
      </w:r>
    </w:p>
    <w:p w14:paraId="7E8961AD" w14:textId="72C9FF5C" w:rsidR="00383152" w:rsidRPr="00F12447" w:rsidRDefault="00041132" w:rsidP="00F12447">
      <w:pPr>
        <w:spacing w:before="120" w:after="120"/>
        <w:ind w:left="2126" w:hanging="2126"/>
        <w:rPr>
          <w:bCs/>
        </w:rPr>
      </w:pPr>
      <w:hyperlink w:anchor="Draft_recommendation_4" w:history="1">
        <w:r w:rsidR="00383152" w:rsidRPr="00F12447">
          <w:rPr>
            <w:bCs/>
          </w:rPr>
          <w:fldChar w:fldCharType="begin"/>
        </w:r>
        <w:r w:rsidR="00383152" w:rsidRPr="00F12447">
          <w:rPr>
            <w:bCs/>
          </w:rPr>
          <w:instrText xml:space="preserve"> REF _Ref482708917 \h </w:instrText>
        </w:r>
        <w:r w:rsidR="00F12447">
          <w:rPr>
            <w:bCs/>
          </w:rPr>
          <w:instrText xml:space="preserve"> \* MERGEFORMAT </w:instrText>
        </w:r>
        <w:r w:rsidR="00383152" w:rsidRPr="00F12447">
          <w:rPr>
            <w:bCs/>
          </w:rPr>
        </w:r>
        <w:r w:rsidR="00383152" w:rsidRPr="00F12447">
          <w:rPr>
            <w:bCs/>
          </w:rPr>
          <w:fldChar w:fldCharType="separate"/>
        </w:r>
        <w:r w:rsidR="009F6923" w:rsidRPr="009F6923">
          <w:rPr>
            <w:bCs/>
          </w:rPr>
          <w:t>Recommendation 5</w:t>
        </w:r>
        <w:r w:rsidR="00383152" w:rsidRPr="00F12447">
          <w:rPr>
            <w:bCs/>
          </w:rPr>
          <w:fldChar w:fldCharType="end"/>
        </w:r>
      </w:hyperlink>
      <w:r w:rsidR="00383152" w:rsidRPr="00F12447">
        <w:rPr>
          <w:bCs/>
        </w:rPr>
        <w:tab/>
        <w:t>IGAB2 should facilitate greater consideration by governments of market access priorities and outcomes within the national biosecurity system:</w:t>
      </w:r>
    </w:p>
    <w:p w14:paraId="7775227B" w14:textId="7E12B2C2" w:rsidR="00383152" w:rsidRDefault="009A2EA1" w:rsidP="00635900">
      <w:pPr>
        <w:pStyle w:val="ListBullet"/>
        <w:tabs>
          <w:tab w:val="num" w:pos="2444"/>
        </w:tabs>
        <w:ind w:left="2444"/>
        <w:rPr>
          <w:lang w:eastAsia="ja-JP"/>
        </w:rPr>
      </w:pPr>
      <w:r>
        <w:rPr>
          <w:lang w:eastAsia="ja-JP"/>
        </w:rPr>
        <w:lastRenderedPageBreak/>
        <w:t>B</w:t>
      </w:r>
      <w:r w:rsidR="00383152">
        <w:rPr>
          <w:lang w:eastAsia="ja-JP"/>
        </w:rPr>
        <w:t>iosecurity surveillance activities should include pests and diseases and common pathways that pose the greatest threat to our export markets and tourism</w:t>
      </w:r>
      <w:r>
        <w:rPr>
          <w:lang w:eastAsia="ja-JP"/>
        </w:rPr>
        <w:t>.</w:t>
      </w:r>
    </w:p>
    <w:p w14:paraId="63B8B39B" w14:textId="77777777" w:rsidR="00383152" w:rsidRDefault="00383152" w:rsidP="00635900">
      <w:pPr>
        <w:pStyle w:val="ListBullet"/>
        <w:tabs>
          <w:tab w:val="num" w:pos="2444"/>
        </w:tabs>
        <w:ind w:left="2444"/>
        <w:rPr>
          <w:lang w:eastAsia="ja-JP"/>
        </w:rPr>
      </w:pPr>
      <w:r w:rsidRPr="009A2EA1">
        <w:rPr>
          <w:lang w:eastAsia="ja-JP"/>
        </w:rPr>
        <w:t>IGAB2 should clarify</w:t>
      </w:r>
      <w:r>
        <w:rPr>
          <w:lang w:eastAsia="ja-JP"/>
        </w:rPr>
        <w:t xml:space="preserve"> the roles and responsibilities of the parties with regard to international and domestic market access, including proof of area freedom.</w:t>
      </w:r>
    </w:p>
    <w:p w14:paraId="75A0ABE3" w14:textId="0A91D349" w:rsidR="00F52ED1" w:rsidRPr="00F12447" w:rsidRDefault="00041132" w:rsidP="00F12447">
      <w:pPr>
        <w:spacing w:before="120" w:after="120"/>
        <w:ind w:left="2126" w:hanging="2126"/>
        <w:rPr>
          <w:bCs/>
        </w:rPr>
      </w:pPr>
      <w:hyperlink w:anchor="Draft_recommendation_40" w:history="1">
        <w:r w:rsidR="00F52ED1" w:rsidRPr="00F12447">
          <w:rPr>
            <w:bCs/>
          </w:rPr>
          <w:fldChar w:fldCharType="begin"/>
        </w:r>
        <w:r w:rsidR="00F52ED1" w:rsidRPr="00F12447">
          <w:rPr>
            <w:bCs/>
          </w:rPr>
          <w:instrText xml:space="preserve"> REF _Ref482710410 \h  \* MERGEFORMAT </w:instrText>
        </w:r>
        <w:r w:rsidR="00F52ED1" w:rsidRPr="00F12447">
          <w:rPr>
            <w:bCs/>
          </w:rPr>
        </w:r>
        <w:r w:rsidR="00F52ED1" w:rsidRPr="00F12447">
          <w:rPr>
            <w:bCs/>
          </w:rPr>
          <w:fldChar w:fldCharType="separate"/>
        </w:r>
        <w:r w:rsidR="009F6923" w:rsidRPr="00FF2CE0">
          <w:rPr>
            <w:bCs/>
          </w:rPr>
          <w:t xml:space="preserve">Recommendation </w:t>
        </w:r>
        <w:r w:rsidR="009F6923">
          <w:rPr>
            <w:bCs/>
          </w:rPr>
          <w:t>41</w:t>
        </w:r>
        <w:r w:rsidR="00F52ED1" w:rsidRPr="00F12447">
          <w:rPr>
            <w:bCs/>
          </w:rPr>
          <w:fldChar w:fldCharType="end"/>
        </w:r>
      </w:hyperlink>
      <w:r w:rsidR="00F52ED1" w:rsidRPr="00F12447">
        <w:rPr>
          <w:bCs/>
        </w:rPr>
        <w:tab/>
        <w:t>The Australian Government should establish, within the agriculture department, a dedicated National Biosecurity Analytics and Intelligence Centre, to centralise, coordinate and provide advice to the NBC, AGSOC and AGMIN on biosecurity intelligence covering emerging risks and pathways and international and domest</w:t>
      </w:r>
      <w:r w:rsidR="00A81F11" w:rsidRPr="00F12447">
        <w:rPr>
          <w:bCs/>
        </w:rPr>
        <w:t>ic pest and disease detections.</w:t>
      </w:r>
    </w:p>
    <w:p w14:paraId="0388D0D6" w14:textId="392B8756" w:rsidR="00F52ED1" w:rsidRPr="00F12447" w:rsidRDefault="00F52ED1" w:rsidP="00F12447">
      <w:pPr>
        <w:spacing w:before="120" w:after="120"/>
        <w:ind w:left="2126" w:hanging="2126"/>
        <w:rPr>
          <w:bCs/>
        </w:rPr>
      </w:pPr>
      <w:r w:rsidRPr="00F12447">
        <w:rPr>
          <w:bCs/>
        </w:rPr>
        <w:fldChar w:fldCharType="begin"/>
      </w:r>
      <w:r w:rsidRPr="00F12447">
        <w:rPr>
          <w:bCs/>
        </w:rPr>
        <w:instrText xml:space="preserve"> REF _Ref482870211 \h  \* MERGEFORMAT </w:instrText>
      </w:r>
      <w:r w:rsidRPr="00F12447">
        <w:rPr>
          <w:bCs/>
        </w:rPr>
      </w:r>
      <w:r w:rsidRPr="00F12447">
        <w:rPr>
          <w:bCs/>
        </w:rPr>
        <w:fldChar w:fldCharType="separate"/>
      </w:r>
      <w:r w:rsidR="009F6923" w:rsidRPr="006B6CB3">
        <w:rPr>
          <w:bCs/>
        </w:rPr>
        <w:t xml:space="preserve">Recommendation </w:t>
      </w:r>
      <w:r w:rsidR="009F6923">
        <w:rPr>
          <w:bCs/>
        </w:rPr>
        <w:t>37</w:t>
      </w:r>
      <w:r w:rsidRPr="00F12447">
        <w:rPr>
          <w:bCs/>
        </w:rPr>
        <w:fldChar w:fldCharType="end"/>
      </w:r>
      <w:r w:rsidRPr="00F12447">
        <w:rPr>
          <w:bCs/>
        </w:rPr>
        <w:tab/>
        <w:t xml:space="preserve">The emergency response deeds for aquatic animals and exotic production weeds should be finalised within </w:t>
      </w:r>
      <w:r w:rsidR="009A2EA1">
        <w:rPr>
          <w:bCs/>
        </w:rPr>
        <w:t>eighteen</w:t>
      </w:r>
      <w:r w:rsidR="00752EEA" w:rsidRPr="00F12447">
        <w:rPr>
          <w:bCs/>
        </w:rPr>
        <w:t> </w:t>
      </w:r>
      <w:r w:rsidRPr="00F12447">
        <w:rPr>
          <w:bCs/>
        </w:rPr>
        <w:t xml:space="preserve">months of the IGAB </w:t>
      </w:r>
      <w:r w:rsidR="009A2EA1">
        <w:rPr>
          <w:bCs/>
        </w:rPr>
        <w:t>r</w:t>
      </w:r>
      <w:r w:rsidRPr="00F12447">
        <w:rPr>
          <w:bCs/>
        </w:rPr>
        <w:t xml:space="preserve">eview </w:t>
      </w:r>
      <w:r w:rsidR="009A2EA1">
        <w:rPr>
          <w:bCs/>
        </w:rPr>
        <w:t>r</w:t>
      </w:r>
      <w:r w:rsidRPr="00F12447">
        <w:rPr>
          <w:bCs/>
        </w:rPr>
        <w:t>eport.</w:t>
      </w:r>
    </w:p>
    <w:p w14:paraId="0B672D75" w14:textId="29990B39" w:rsidR="00383152" w:rsidRPr="00F12447" w:rsidRDefault="00041132" w:rsidP="00F12447">
      <w:pPr>
        <w:spacing w:before="120" w:after="120"/>
        <w:ind w:left="2126" w:hanging="2126"/>
        <w:rPr>
          <w:bCs/>
        </w:rPr>
      </w:pPr>
      <w:hyperlink w:anchor="Draft_recommendation_5" w:history="1">
        <w:r w:rsidR="00383152" w:rsidRPr="00F12447">
          <w:rPr>
            <w:bCs/>
          </w:rPr>
          <w:fldChar w:fldCharType="begin"/>
        </w:r>
        <w:r w:rsidR="00383152" w:rsidRPr="00F12447">
          <w:rPr>
            <w:bCs/>
          </w:rPr>
          <w:instrText xml:space="preserve"> REF _Ref482708905 \h </w:instrText>
        </w:r>
        <w:r w:rsidR="00F12447">
          <w:rPr>
            <w:bCs/>
          </w:rPr>
          <w:instrText xml:space="preserve"> \* MERGEFORMAT </w:instrText>
        </w:r>
        <w:r w:rsidR="00383152" w:rsidRPr="00F12447">
          <w:rPr>
            <w:bCs/>
          </w:rPr>
        </w:r>
        <w:r w:rsidR="00383152" w:rsidRPr="00F12447">
          <w:rPr>
            <w:bCs/>
          </w:rPr>
          <w:fldChar w:fldCharType="separate"/>
        </w:r>
        <w:r w:rsidR="009F6923" w:rsidRPr="009F6923">
          <w:rPr>
            <w:bCs/>
          </w:rPr>
          <w:t>Recommendation 6</w:t>
        </w:r>
        <w:r w:rsidR="00383152" w:rsidRPr="00F12447">
          <w:rPr>
            <w:bCs/>
          </w:rPr>
          <w:fldChar w:fldCharType="end"/>
        </w:r>
      </w:hyperlink>
      <w:r w:rsidR="00383152" w:rsidRPr="00F12447">
        <w:rPr>
          <w:bCs/>
        </w:rPr>
        <w:tab/>
        <w:t xml:space="preserve">Jurisdictions should develop a nationally consistent system for the allocation and use of property identification codes (PICs) across the animal and major plant production </w:t>
      </w:r>
      <w:r w:rsidR="00A81F11" w:rsidRPr="00F12447">
        <w:rPr>
          <w:bCs/>
        </w:rPr>
        <w:t>sectors.</w:t>
      </w:r>
    </w:p>
    <w:p w14:paraId="5472A67A" w14:textId="77777777" w:rsidR="00F52ED1" w:rsidRPr="00B674B9" w:rsidRDefault="00F52ED1" w:rsidP="00F52ED1">
      <w:pPr>
        <w:pStyle w:val="Glossary"/>
        <w:keepNext/>
        <w:rPr>
          <w:rStyle w:val="Strong"/>
        </w:rPr>
      </w:pPr>
      <w:r>
        <w:rPr>
          <w:rStyle w:val="Strong"/>
        </w:rPr>
        <w:t>Engagement and communication with system participants</w:t>
      </w:r>
    </w:p>
    <w:p w14:paraId="4D696D63" w14:textId="59605DB6" w:rsidR="00F52ED1" w:rsidRPr="00AA2D3C" w:rsidRDefault="00041132" w:rsidP="00AA2D3C">
      <w:pPr>
        <w:spacing w:before="120" w:after="120"/>
        <w:ind w:left="2126" w:hanging="2126"/>
        <w:rPr>
          <w:bCs/>
        </w:rPr>
      </w:pPr>
      <w:hyperlink w:anchor="Draft_recommendation_25" w:history="1">
        <w:r w:rsidR="00F52ED1" w:rsidRPr="00AA2D3C">
          <w:rPr>
            <w:bCs/>
          </w:rPr>
          <w:fldChar w:fldCharType="begin"/>
        </w:r>
        <w:r w:rsidR="00F52ED1" w:rsidRPr="00AA2D3C">
          <w:rPr>
            <w:bCs/>
          </w:rPr>
          <w:instrText xml:space="preserve"> REF _Ref482710140 \h  \* MERGEFORMAT </w:instrText>
        </w:r>
        <w:r w:rsidR="00F52ED1" w:rsidRPr="00AA2D3C">
          <w:rPr>
            <w:bCs/>
          </w:rPr>
        </w:r>
        <w:r w:rsidR="00F52ED1" w:rsidRPr="00AA2D3C">
          <w:rPr>
            <w:bCs/>
          </w:rPr>
          <w:fldChar w:fldCharType="separate"/>
        </w:r>
        <w:r w:rsidR="009F6923" w:rsidRPr="009F6923">
          <w:rPr>
            <w:bCs/>
          </w:rPr>
          <w:t>Recommendation 25</w:t>
        </w:r>
        <w:r w:rsidR="00F52ED1" w:rsidRPr="00AA2D3C">
          <w:rPr>
            <w:bCs/>
          </w:rPr>
          <w:fldChar w:fldCharType="end"/>
        </w:r>
      </w:hyperlink>
      <w:r w:rsidR="00F52ED1" w:rsidRPr="00AA2D3C">
        <w:rPr>
          <w:bCs/>
        </w:rPr>
        <w:tab/>
        <w:t xml:space="preserve">AGSOC should establish, as a priority, an Industry and Community Biosecurity Committee as a forum for </w:t>
      </w:r>
      <w:r w:rsidR="00657A18" w:rsidRPr="00AA2D3C">
        <w:rPr>
          <w:bCs/>
        </w:rPr>
        <w:t xml:space="preserve">the </w:t>
      </w:r>
      <w:r w:rsidR="00F52ED1" w:rsidRPr="00AA2D3C">
        <w:rPr>
          <w:bCs/>
        </w:rPr>
        <w:t>NBC to discuss key national biosecurity policies and reforms.</w:t>
      </w:r>
    </w:p>
    <w:p w14:paraId="60964B5A" w14:textId="0261358D" w:rsidR="00F52ED1" w:rsidRPr="00AA2D3C" w:rsidRDefault="00041132" w:rsidP="00AA2D3C">
      <w:pPr>
        <w:spacing w:before="120" w:after="120"/>
        <w:ind w:left="2126" w:hanging="2126"/>
        <w:rPr>
          <w:bCs/>
        </w:rPr>
      </w:pPr>
      <w:hyperlink w:anchor="Draft_recommendation_2" w:history="1">
        <w:r w:rsidR="00F52ED1" w:rsidRPr="00AA2D3C">
          <w:rPr>
            <w:bCs/>
          </w:rPr>
          <w:fldChar w:fldCharType="begin"/>
        </w:r>
        <w:r w:rsidR="00F52ED1" w:rsidRPr="00AA2D3C">
          <w:rPr>
            <w:bCs/>
          </w:rPr>
          <w:instrText xml:space="preserve"> REF _Ref482708799 \h  \* MERGEFORMAT </w:instrText>
        </w:r>
        <w:r w:rsidR="00F52ED1" w:rsidRPr="00AA2D3C">
          <w:rPr>
            <w:bCs/>
          </w:rPr>
        </w:r>
        <w:r w:rsidR="00F52ED1" w:rsidRPr="00AA2D3C">
          <w:rPr>
            <w:bCs/>
          </w:rPr>
          <w:fldChar w:fldCharType="separate"/>
        </w:r>
        <w:r w:rsidR="009F6923" w:rsidRPr="009F6923">
          <w:rPr>
            <w:bCs/>
          </w:rPr>
          <w:t>Recommendation 2</w:t>
        </w:r>
        <w:r w:rsidR="00F52ED1" w:rsidRPr="00AA2D3C">
          <w:rPr>
            <w:bCs/>
          </w:rPr>
          <w:fldChar w:fldCharType="end"/>
        </w:r>
      </w:hyperlink>
      <w:r w:rsidR="00F52ED1" w:rsidRPr="00AA2D3C">
        <w:rPr>
          <w:bCs/>
        </w:rPr>
        <w:tab/>
        <w:t xml:space="preserve">The NBC and the Industry and Community Biosecurity Committee should, through an open, transparent and collaborative process, lead national consultation on a draft National Biosecurity Statement, such as that proposed by this </w:t>
      </w:r>
      <w:r w:rsidR="001F0DDF">
        <w:rPr>
          <w:bCs/>
        </w:rPr>
        <w:t>r</w:t>
      </w:r>
      <w:r w:rsidR="00F52ED1" w:rsidRPr="00AA2D3C">
        <w:rPr>
          <w:bCs/>
        </w:rPr>
        <w:t>eview.</w:t>
      </w:r>
    </w:p>
    <w:p w14:paraId="00D5941D" w14:textId="17635B42" w:rsidR="00F52ED1" w:rsidRPr="00AA2D3C" w:rsidRDefault="00F52ED1" w:rsidP="00AA2D3C">
      <w:pPr>
        <w:spacing w:before="120" w:after="120"/>
        <w:ind w:left="2126"/>
        <w:rPr>
          <w:bCs/>
        </w:rPr>
      </w:pPr>
      <w:r w:rsidRPr="00AA2D3C">
        <w:rPr>
          <w:bCs/>
        </w:rPr>
        <w:t>The consultation process should involve all levels of government (including local government), industry and the community</w:t>
      </w:r>
      <w:r w:rsidR="001F0DDF">
        <w:rPr>
          <w:bCs/>
        </w:rPr>
        <w:t>,</w:t>
      </w:r>
      <w:r w:rsidRPr="00AA2D3C">
        <w:rPr>
          <w:bCs/>
        </w:rPr>
        <w:t xml:space="preserve"> with the </w:t>
      </w:r>
      <w:r w:rsidR="0007608A">
        <w:rPr>
          <w:bCs/>
        </w:rPr>
        <w:t>s</w:t>
      </w:r>
      <w:r w:rsidRPr="00AA2D3C">
        <w:rPr>
          <w:bCs/>
        </w:rPr>
        <w:t xml:space="preserve">tatement finalised and launched within </w:t>
      </w:r>
      <w:r w:rsidR="001F0DDF">
        <w:rPr>
          <w:bCs/>
        </w:rPr>
        <w:t>eighteen</w:t>
      </w:r>
      <w:r w:rsidR="00752EEA" w:rsidRPr="00AA2D3C">
        <w:rPr>
          <w:bCs/>
        </w:rPr>
        <w:t> </w:t>
      </w:r>
      <w:r w:rsidRPr="00AA2D3C">
        <w:rPr>
          <w:bCs/>
        </w:rPr>
        <w:t>mo</w:t>
      </w:r>
      <w:r w:rsidR="00A81F11" w:rsidRPr="00AA2D3C">
        <w:rPr>
          <w:bCs/>
        </w:rPr>
        <w:t xml:space="preserve">nths of the IGAB </w:t>
      </w:r>
      <w:r w:rsidR="001F0DDF">
        <w:rPr>
          <w:bCs/>
        </w:rPr>
        <w:t>r</w:t>
      </w:r>
      <w:r w:rsidR="00A81F11" w:rsidRPr="00AA2D3C">
        <w:rPr>
          <w:bCs/>
        </w:rPr>
        <w:t xml:space="preserve">eview </w:t>
      </w:r>
      <w:r w:rsidR="001F0DDF">
        <w:rPr>
          <w:bCs/>
        </w:rPr>
        <w:t>r</w:t>
      </w:r>
      <w:r w:rsidR="00A81F11" w:rsidRPr="00AA2D3C">
        <w:rPr>
          <w:bCs/>
        </w:rPr>
        <w:t>eport.</w:t>
      </w:r>
    </w:p>
    <w:p w14:paraId="1C9FDCE7" w14:textId="6BE59B3C" w:rsidR="00F52ED1" w:rsidRPr="00AA2D3C" w:rsidRDefault="00F52ED1" w:rsidP="00BE58B3">
      <w:pPr>
        <w:spacing w:before="120" w:after="120"/>
        <w:ind w:left="2126" w:hanging="2126"/>
        <w:rPr>
          <w:bCs/>
        </w:rPr>
      </w:pPr>
      <w:r w:rsidRPr="00BE58B3">
        <w:rPr>
          <w:bCs/>
        </w:rPr>
        <w:t>Recommendation 1</w:t>
      </w:r>
      <w:r w:rsidRPr="00BE58B3">
        <w:rPr>
          <w:bCs/>
        </w:rPr>
        <w:tab/>
      </w:r>
      <w:r w:rsidRPr="00AA2D3C">
        <w:rPr>
          <w:bCs/>
        </w:rPr>
        <w:t>IGAB2 should include a core commitment by jurisdictions to ongoing stakeholder communication and engagement, building on existing partnerships, with activities scrutinised as part of jurisdictional e</w:t>
      </w:r>
      <w:r w:rsidR="006B4FFF">
        <w:rPr>
          <w:bCs/>
        </w:rPr>
        <w:t xml:space="preserve">valuations under Recommendation </w:t>
      </w:r>
      <w:r w:rsidRPr="00AA2D3C">
        <w:rPr>
          <w:bCs/>
        </w:rPr>
        <w:t>2</w:t>
      </w:r>
      <w:r w:rsidR="00DD52F5">
        <w:rPr>
          <w:bCs/>
        </w:rPr>
        <w:t>2</w:t>
      </w:r>
      <w:r w:rsidRPr="00AA2D3C">
        <w:rPr>
          <w:bCs/>
        </w:rPr>
        <w:t>.</w:t>
      </w:r>
    </w:p>
    <w:p w14:paraId="3BEA3E85" w14:textId="784728DE" w:rsidR="00F52ED1" w:rsidRPr="00BE58B3" w:rsidRDefault="00F52ED1" w:rsidP="00BE58B3">
      <w:pPr>
        <w:spacing w:before="120" w:after="120"/>
        <w:ind w:left="2126" w:hanging="2126"/>
        <w:rPr>
          <w:bCs/>
        </w:rPr>
      </w:pPr>
      <w:r w:rsidRPr="00BE58B3">
        <w:rPr>
          <w:bCs/>
        </w:rPr>
        <w:lastRenderedPageBreak/>
        <w:fldChar w:fldCharType="begin"/>
      </w:r>
      <w:r w:rsidRPr="00BE58B3">
        <w:rPr>
          <w:bCs/>
        </w:rPr>
        <w:instrText xml:space="preserve"> REF _Ref482710078 \h  \* MERGEFORMAT </w:instrText>
      </w:r>
      <w:r w:rsidRPr="00BE58B3">
        <w:rPr>
          <w:bCs/>
        </w:rPr>
      </w:r>
      <w:r w:rsidRPr="00BE58B3">
        <w:rPr>
          <w:bCs/>
        </w:rPr>
        <w:fldChar w:fldCharType="separate"/>
      </w:r>
      <w:r w:rsidR="009F6923" w:rsidRPr="009F6923">
        <w:rPr>
          <w:bCs/>
        </w:rPr>
        <w:t>Recommendation 21</w:t>
      </w:r>
      <w:r w:rsidRPr="00BE58B3">
        <w:rPr>
          <w:bCs/>
        </w:rPr>
        <w:fldChar w:fldCharType="end"/>
      </w:r>
      <w:r w:rsidRPr="00BE58B3">
        <w:rPr>
          <w:bCs/>
        </w:rPr>
        <w:tab/>
        <w:t>The NBC should increase its public profile and openness, including</w:t>
      </w:r>
      <w:r w:rsidR="00863EE1">
        <w:rPr>
          <w:bCs/>
        </w:rPr>
        <w:t xml:space="preserve"> by</w:t>
      </w:r>
      <w:r w:rsidRPr="00BE58B3">
        <w:rPr>
          <w:bCs/>
        </w:rPr>
        <w:t xml:space="preserve"> establishing a standalone website, to be maintained by but be separate from the Australian Government agriculture department. The website should centralise all information on the NBC, its committees and their activities. Key policy frameworks, agreements and reports of the NBC should be made public on the site.</w:t>
      </w:r>
    </w:p>
    <w:p w14:paraId="246D46ED" w14:textId="6C6BC540" w:rsidR="00F52ED1" w:rsidRPr="00BE58B3" w:rsidRDefault="00041132" w:rsidP="00BE58B3">
      <w:pPr>
        <w:spacing w:before="120" w:after="120"/>
        <w:ind w:left="2126" w:hanging="2126"/>
        <w:rPr>
          <w:bCs/>
        </w:rPr>
      </w:pPr>
      <w:hyperlink w:anchor="Draft_recommendation_2" w:history="1">
        <w:r w:rsidR="00F52ED1" w:rsidRPr="00BE58B3">
          <w:rPr>
            <w:bCs/>
          </w:rPr>
          <w:fldChar w:fldCharType="begin"/>
        </w:r>
        <w:r w:rsidR="00F52ED1" w:rsidRPr="00BE58B3">
          <w:rPr>
            <w:bCs/>
          </w:rPr>
          <w:instrText xml:space="preserve"> REF _Ref482708812 \h  \* MERGEFORMAT </w:instrText>
        </w:r>
        <w:r w:rsidR="00F52ED1" w:rsidRPr="00BE58B3">
          <w:rPr>
            <w:bCs/>
          </w:rPr>
        </w:r>
        <w:r w:rsidR="00F52ED1" w:rsidRPr="00BE58B3">
          <w:rPr>
            <w:bCs/>
          </w:rPr>
          <w:fldChar w:fldCharType="separate"/>
        </w:r>
        <w:r w:rsidR="009F6923" w:rsidRPr="009F6923">
          <w:rPr>
            <w:bCs/>
          </w:rPr>
          <w:t>Recommendation 3</w:t>
        </w:r>
        <w:r w:rsidR="00F52ED1" w:rsidRPr="00BE58B3">
          <w:rPr>
            <w:bCs/>
          </w:rPr>
          <w:fldChar w:fldCharType="end"/>
        </w:r>
      </w:hyperlink>
      <w:r w:rsidR="00F52ED1" w:rsidRPr="00BE58B3">
        <w:rPr>
          <w:bCs/>
        </w:rPr>
        <w:tab/>
        <w:t>The Primary Industries Technical Market Access and Trade Development Task Group should enhance engagement with industry to ensure that Australia’s market access strategies are aligned appropriately through an agreed priority</w:t>
      </w:r>
      <w:r w:rsidR="00C12BFD">
        <w:rPr>
          <w:bCs/>
        </w:rPr>
        <w:t>-</w:t>
      </w:r>
      <w:r w:rsidR="00F52ED1" w:rsidRPr="00BE58B3">
        <w:rPr>
          <w:bCs/>
        </w:rPr>
        <w:t xml:space="preserve">setting process and that the degree of transparency and communication is carefully weighed against its level of risk to trade </w:t>
      </w:r>
      <w:r w:rsidR="00A81F11" w:rsidRPr="00BE58B3">
        <w:rPr>
          <w:bCs/>
        </w:rPr>
        <w:t>activities.</w:t>
      </w:r>
    </w:p>
    <w:p w14:paraId="0F46C2B9" w14:textId="4524BB34" w:rsidR="00F52ED1" w:rsidRPr="00BE58B3" w:rsidRDefault="00041132" w:rsidP="00BE58B3">
      <w:pPr>
        <w:spacing w:before="120" w:after="120"/>
        <w:ind w:left="2126" w:hanging="2126"/>
        <w:rPr>
          <w:b/>
        </w:rPr>
      </w:pPr>
      <w:hyperlink w:anchor="Draft_recommendation_26" w:history="1">
        <w:r w:rsidR="00F52ED1" w:rsidRPr="00BE58B3">
          <w:rPr>
            <w:bCs/>
          </w:rPr>
          <w:fldChar w:fldCharType="begin"/>
        </w:r>
        <w:r w:rsidR="00F52ED1" w:rsidRPr="00BE58B3">
          <w:rPr>
            <w:bCs/>
          </w:rPr>
          <w:instrText xml:space="preserve"> REF _Ref482710152 \h  \* MERGEFORMAT </w:instrText>
        </w:r>
        <w:r w:rsidR="00F52ED1" w:rsidRPr="00BE58B3">
          <w:rPr>
            <w:bCs/>
          </w:rPr>
        </w:r>
        <w:r w:rsidR="00F52ED1" w:rsidRPr="00BE58B3">
          <w:rPr>
            <w:bCs/>
          </w:rPr>
          <w:fldChar w:fldCharType="separate"/>
        </w:r>
        <w:r w:rsidR="009F6923" w:rsidRPr="009F6923">
          <w:rPr>
            <w:bCs/>
          </w:rPr>
          <w:t>Recommendation 26</w:t>
        </w:r>
        <w:r w:rsidR="00F52ED1" w:rsidRPr="00BE58B3">
          <w:rPr>
            <w:bCs/>
          </w:rPr>
          <w:fldChar w:fldCharType="end"/>
        </w:r>
      </w:hyperlink>
      <w:r w:rsidR="00F52ED1" w:rsidRPr="00BE58B3">
        <w:rPr>
          <w:bCs/>
        </w:rPr>
        <w:tab/>
        <w:t xml:space="preserve">The full membership of </w:t>
      </w:r>
      <w:r w:rsidR="00B70927">
        <w:rPr>
          <w:bCs/>
        </w:rPr>
        <w:t xml:space="preserve">the </w:t>
      </w:r>
      <w:r w:rsidR="00F52ED1" w:rsidRPr="00BE58B3">
        <w:rPr>
          <w:bCs/>
        </w:rPr>
        <w:t>NBC should meet annually with AHA and PHA members to discuss key national bi</w:t>
      </w:r>
      <w:r w:rsidR="00A81F11" w:rsidRPr="00BE58B3">
        <w:rPr>
          <w:bCs/>
        </w:rPr>
        <w:t>osecurity policies and reforms.</w:t>
      </w:r>
    </w:p>
    <w:p w14:paraId="42298713" w14:textId="5FE38E52" w:rsidR="00ED16F9" w:rsidRDefault="00383152" w:rsidP="00A26781">
      <w:pPr>
        <w:pStyle w:val="Glossary"/>
        <w:keepNext/>
        <w:rPr>
          <w:rStyle w:val="Strong"/>
        </w:rPr>
      </w:pPr>
      <w:r>
        <w:rPr>
          <w:rStyle w:val="Strong"/>
        </w:rPr>
        <w:t>Financial sustainability of the system</w:t>
      </w:r>
    </w:p>
    <w:p w14:paraId="43ABBC92" w14:textId="0E11F49A" w:rsidR="00075BE6" w:rsidRPr="00BE58B3" w:rsidRDefault="00041132" w:rsidP="00BE58B3">
      <w:pPr>
        <w:spacing w:before="120" w:after="120"/>
        <w:ind w:left="2126" w:hanging="2126"/>
        <w:rPr>
          <w:bCs/>
        </w:rPr>
      </w:pPr>
      <w:hyperlink w:anchor="Draft_recommendation_32" w:history="1">
        <w:r w:rsidR="00075BE6" w:rsidRPr="00BE58B3">
          <w:rPr>
            <w:bCs/>
          </w:rPr>
          <w:fldChar w:fldCharType="begin"/>
        </w:r>
        <w:r w:rsidR="00075BE6" w:rsidRPr="00BE58B3">
          <w:rPr>
            <w:bCs/>
          </w:rPr>
          <w:instrText xml:space="preserve"> REF _Ref482710326 \h  \* MERGEFORMAT </w:instrText>
        </w:r>
        <w:r w:rsidR="00075BE6" w:rsidRPr="00BE58B3">
          <w:rPr>
            <w:bCs/>
          </w:rPr>
        </w:r>
        <w:r w:rsidR="00075BE6" w:rsidRPr="00BE58B3">
          <w:rPr>
            <w:bCs/>
          </w:rPr>
          <w:fldChar w:fldCharType="separate"/>
        </w:r>
        <w:r w:rsidR="009F6923" w:rsidRPr="009F6923">
          <w:rPr>
            <w:bCs/>
          </w:rPr>
          <w:t>Recommendation 31</w:t>
        </w:r>
        <w:r w:rsidR="00075BE6" w:rsidRPr="00BE58B3">
          <w:rPr>
            <w:bCs/>
          </w:rPr>
          <w:fldChar w:fldCharType="end"/>
        </w:r>
      </w:hyperlink>
      <w:r w:rsidR="00075BE6" w:rsidRPr="00BE58B3">
        <w:rPr>
          <w:bCs/>
        </w:rPr>
        <w:tab/>
        <w:t>To provide greater system stability, Australian governments’ appropriations funding for biosecurity should be maintained at 2016–17 levels (in real terms) or more until after completion of the next review of the IGAB.</w:t>
      </w:r>
    </w:p>
    <w:p w14:paraId="47F889C7" w14:textId="78CE9BAE" w:rsidR="00075BE6" w:rsidRPr="00BE58B3" w:rsidRDefault="00041132" w:rsidP="00BE58B3">
      <w:pPr>
        <w:spacing w:before="120" w:after="120"/>
        <w:ind w:left="2126" w:hanging="2126"/>
        <w:rPr>
          <w:bCs/>
        </w:rPr>
      </w:pPr>
      <w:hyperlink w:anchor="Draft_recommendation_30" w:history="1">
        <w:r w:rsidR="00075BE6" w:rsidRPr="00BE58B3">
          <w:rPr>
            <w:bCs/>
          </w:rPr>
          <w:fldChar w:fldCharType="begin"/>
        </w:r>
        <w:r w:rsidR="00075BE6" w:rsidRPr="00BE58B3">
          <w:rPr>
            <w:bCs/>
          </w:rPr>
          <w:instrText xml:space="preserve"> REF _Ref482710255 \h  \* MERGEFORMAT </w:instrText>
        </w:r>
        <w:r w:rsidR="00075BE6" w:rsidRPr="00BE58B3">
          <w:rPr>
            <w:bCs/>
          </w:rPr>
        </w:r>
        <w:r w:rsidR="00075BE6" w:rsidRPr="00BE58B3">
          <w:rPr>
            <w:bCs/>
          </w:rPr>
          <w:fldChar w:fldCharType="separate"/>
        </w:r>
        <w:r w:rsidR="009F6923" w:rsidRPr="009F6923">
          <w:rPr>
            <w:bCs/>
          </w:rPr>
          <w:t>Recommendation 29</w:t>
        </w:r>
        <w:r w:rsidR="00075BE6" w:rsidRPr="00BE58B3">
          <w:rPr>
            <w:bCs/>
          </w:rPr>
          <w:fldChar w:fldCharType="end"/>
        </w:r>
      </w:hyperlink>
      <w:r w:rsidR="00075BE6" w:rsidRPr="00BE58B3">
        <w:rPr>
          <w:bCs/>
        </w:rPr>
        <w:tab/>
        <w:t>All governments should review their current biosecurity expenditure with a view to redirecting funding to areas that provide the greatest return on investment to producers, industry and the community. This approach will require a planned and coordinated strategy o</w:t>
      </w:r>
      <w:r w:rsidR="00A81F11" w:rsidRPr="00BE58B3">
        <w:rPr>
          <w:bCs/>
        </w:rPr>
        <w:t>f engagement and communication.</w:t>
      </w:r>
    </w:p>
    <w:p w14:paraId="61E16D4B" w14:textId="5A8A66CC" w:rsidR="00075BE6" w:rsidRPr="00BE58B3" w:rsidRDefault="00041132" w:rsidP="00BE58B3">
      <w:pPr>
        <w:spacing w:before="120" w:after="120"/>
        <w:ind w:left="2126" w:hanging="2126"/>
        <w:rPr>
          <w:bCs/>
        </w:rPr>
      </w:pPr>
      <w:hyperlink w:anchor="Draft_recommendation_36" w:history="1">
        <w:r w:rsidR="00075BE6" w:rsidRPr="00BE58B3">
          <w:rPr>
            <w:bCs/>
          </w:rPr>
          <w:fldChar w:fldCharType="begin"/>
        </w:r>
        <w:r w:rsidR="00075BE6" w:rsidRPr="00BE58B3">
          <w:rPr>
            <w:bCs/>
          </w:rPr>
          <w:instrText xml:space="preserve"> REF _Ref482710360 \h  \* MERGEFORMAT </w:instrText>
        </w:r>
        <w:r w:rsidR="00075BE6" w:rsidRPr="00BE58B3">
          <w:rPr>
            <w:bCs/>
          </w:rPr>
        </w:r>
        <w:r w:rsidR="00075BE6" w:rsidRPr="00BE58B3">
          <w:rPr>
            <w:bCs/>
          </w:rPr>
          <w:fldChar w:fldCharType="separate"/>
        </w:r>
        <w:r w:rsidR="009F6923" w:rsidRPr="009F6923">
          <w:rPr>
            <w:bCs/>
          </w:rPr>
          <w:t>Recommendation 35</w:t>
        </w:r>
        <w:r w:rsidR="00075BE6" w:rsidRPr="00BE58B3">
          <w:rPr>
            <w:bCs/>
          </w:rPr>
          <w:fldChar w:fldCharType="end"/>
        </w:r>
      </w:hyperlink>
      <w:r w:rsidR="00075BE6" w:rsidRPr="00BE58B3">
        <w:rPr>
          <w:bCs/>
        </w:rPr>
        <w:tab/>
        <w:t>AHA and PHA should coordinate an industry stocktake of national biosecurity system investments and make the results public.</w:t>
      </w:r>
    </w:p>
    <w:p w14:paraId="4B338F5D" w14:textId="6A19745C" w:rsidR="00075BE6" w:rsidRPr="00BE58B3" w:rsidRDefault="00041132" w:rsidP="00BE58B3">
      <w:pPr>
        <w:spacing w:before="120" w:after="120"/>
        <w:ind w:left="2126" w:hanging="2126"/>
        <w:rPr>
          <w:bCs/>
        </w:rPr>
      </w:pPr>
      <w:hyperlink w:anchor="Draft_recommendation_27" w:history="1">
        <w:r w:rsidR="00075BE6" w:rsidRPr="00BE58B3">
          <w:rPr>
            <w:bCs/>
          </w:rPr>
          <w:fldChar w:fldCharType="begin"/>
        </w:r>
        <w:r w:rsidR="00075BE6" w:rsidRPr="00BE58B3">
          <w:rPr>
            <w:bCs/>
          </w:rPr>
          <w:instrText xml:space="preserve"> REF _Ref482710189 \h  \* MERGEFORMAT </w:instrText>
        </w:r>
        <w:r w:rsidR="00075BE6" w:rsidRPr="00BE58B3">
          <w:rPr>
            <w:bCs/>
          </w:rPr>
        </w:r>
        <w:r w:rsidR="00075BE6" w:rsidRPr="00BE58B3">
          <w:rPr>
            <w:bCs/>
          </w:rPr>
          <w:fldChar w:fldCharType="separate"/>
        </w:r>
        <w:r w:rsidR="009F6923" w:rsidRPr="009F6923">
          <w:rPr>
            <w:bCs/>
          </w:rPr>
          <w:t>Recommendation 27</w:t>
        </w:r>
        <w:r w:rsidR="00075BE6" w:rsidRPr="00BE58B3">
          <w:rPr>
            <w:bCs/>
          </w:rPr>
          <w:fldChar w:fldCharType="end"/>
        </w:r>
      </w:hyperlink>
      <w:r w:rsidR="00075BE6" w:rsidRPr="00BE58B3">
        <w:rPr>
          <w:bCs/>
        </w:rPr>
        <w:tab/>
        <w:t>The NBC and the Industry and Community Biosecurity Committee, in consultation with other key stakeholders, should rev</w:t>
      </w:r>
      <w:r w:rsidR="0080742E">
        <w:rPr>
          <w:bCs/>
        </w:rPr>
        <w:t>iew</w:t>
      </w:r>
      <w:r w:rsidR="00075BE6" w:rsidRPr="00BE58B3">
        <w:rPr>
          <w:bCs/>
        </w:rPr>
        <w:t xml:space="preserve"> the National Framework for Cost Sharing Biosecurity Activities to enable its practical </w:t>
      </w:r>
      <w:r w:rsidR="00A81F11" w:rsidRPr="00BE58B3">
        <w:rPr>
          <w:bCs/>
        </w:rPr>
        <w:t>application and make it public.</w:t>
      </w:r>
    </w:p>
    <w:p w14:paraId="38B04FB9" w14:textId="26E69566" w:rsidR="00075BE6" w:rsidRPr="00BE58B3" w:rsidRDefault="00041132" w:rsidP="00BE58B3">
      <w:pPr>
        <w:spacing w:before="120" w:after="120"/>
        <w:ind w:left="2126" w:hanging="2126"/>
        <w:rPr>
          <w:bCs/>
        </w:rPr>
      </w:pPr>
      <w:hyperlink w:anchor="Draft_recommendation_33" w:history="1">
        <w:r w:rsidR="00075BE6" w:rsidRPr="00BE58B3">
          <w:rPr>
            <w:bCs/>
          </w:rPr>
          <w:fldChar w:fldCharType="begin"/>
        </w:r>
        <w:r w:rsidR="00075BE6" w:rsidRPr="00BE58B3">
          <w:rPr>
            <w:bCs/>
          </w:rPr>
          <w:instrText xml:space="preserve"> REF _Ref482710315 \h  \* MERGEFORMAT </w:instrText>
        </w:r>
        <w:r w:rsidR="00075BE6" w:rsidRPr="00BE58B3">
          <w:rPr>
            <w:bCs/>
          </w:rPr>
        </w:r>
        <w:r w:rsidR="00075BE6" w:rsidRPr="00BE58B3">
          <w:rPr>
            <w:bCs/>
          </w:rPr>
          <w:fldChar w:fldCharType="separate"/>
        </w:r>
        <w:r w:rsidR="009F6923" w:rsidRPr="009F6923">
          <w:rPr>
            <w:bCs/>
          </w:rPr>
          <w:t>Recommendation 32</w:t>
        </w:r>
        <w:r w:rsidR="00075BE6" w:rsidRPr="00BE58B3">
          <w:rPr>
            <w:bCs/>
          </w:rPr>
          <w:fldChar w:fldCharType="end"/>
        </w:r>
      </w:hyperlink>
      <w:r w:rsidR="00075BE6" w:rsidRPr="00BE58B3">
        <w:rPr>
          <w:bCs/>
        </w:rPr>
        <w:tab/>
        <w:t>State and territory governments should agree a common biosecurity</w:t>
      </w:r>
      <w:r w:rsidR="00657A18" w:rsidRPr="00BE58B3">
        <w:rPr>
          <w:bCs/>
        </w:rPr>
        <w:t xml:space="preserve"> cost</w:t>
      </w:r>
      <w:r w:rsidR="00B038C7">
        <w:rPr>
          <w:bCs/>
        </w:rPr>
        <w:t>-</w:t>
      </w:r>
      <w:r w:rsidR="00657A18" w:rsidRPr="00BE58B3">
        <w:rPr>
          <w:bCs/>
        </w:rPr>
        <w:t>recovery framework and revi</w:t>
      </w:r>
      <w:r w:rsidR="00075BE6" w:rsidRPr="00BE58B3">
        <w:rPr>
          <w:bCs/>
        </w:rPr>
        <w:t>ew their biosecurity cost</w:t>
      </w:r>
      <w:r w:rsidR="00B038C7">
        <w:rPr>
          <w:bCs/>
        </w:rPr>
        <w:t>-</w:t>
      </w:r>
      <w:r w:rsidR="00075BE6" w:rsidRPr="00BE58B3">
        <w:rPr>
          <w:bCs/>
        </w:rPr>
        <w:t>recovery arrangements to ensure they are nationally consisten</w:t>
      </w:r>
      <w:r w:rsidR="00A81F11" w:rsidRPr="00BE58B3">
        <w:rPr>
          <w:bCs/>
        </w:rPr>
        <w:t>t, appropriate and transparent.</w:t>
      </w:r>
    </w:p>
    <w:p w14:paraId="19DBC9E2" w14:textId="76FE234C" w:rsidR="00075BE6" w:rsidRPr="00BE58B3" w:rsidRDefault="00041132" w:rsidP="00BE58B3">
      <w:pPr>
        <w:spacing w:before="120" w:after="120"/>
        <w:ind w:left="2126" w:hanging="2126"/>
        <w:rPr>
          <w:bCs/>
        </w:rPr>
      </w:pPr>
      <w:hyperlink w:anchor="Draft_recommendation_34" w:history="1">
        <w:r w:rsidR="00075BE6" w:rsidRPr="00BE58B3">
          <w:rPr>
            <w:bCs/>
          </w:rPr>
          <w:fldChar w:fldCharType="begin"/>
        </w:r>
        <w:r w:rsidR="00075BE6" w:rsidRPr="00BE58B3">
          <w:rPr>
            <w:bCs/>
          </w:rPr>
          <w:instrText xml:space="preserve"> REF _Ref482710338 \h  \* MERGEFORMAT </w:instrText>
        </w:r>
        <w:r w:rsidR="00075BE6" w:rsidRPr="00BE58B3">
          <w:rPr>
            <w:bCs/>
          </w:rPr>
        </w:r>
        <w:r w:rsidR="00075BE6" w:rsidRPr="00BE58B3">
          <w:rPr>
            <w:bCs/>
          </w:rPr>
          <w:fldChar w:fldCharType="separate"/>
        </w:r>
        <w:r w:rsidR="009F6923" w:rsidRPr="009F6923">
          <w:rPr>
            <w:bCs/>
          </w:rPr>
          <w:t>Recommendation 33</w:t>
        </w:r>
        <w:r w:rsidR="00075BE6" w:rsidRPr="00BE58B3">
          <w:rPr>
            <w:bCs/>
          </w:rPr>
          <w:fldChar w:fldCharType="end"/>
        </w:r>
      </w:hyperlink>
      <w:r w:rsidR="00075BE6" w:rsidRPr="00BE58B3">
        <w:rPr>
          <w:bCs/>
        </w:rPr>
        <w:tab/>
        <w:t>All levels of government could help meet their budgetary challenges by reviewing biosecurity levies and rates/charges currently or potentially applying to biosecurity system participants. These should be commens</w:t>
      </w:r>
      <w:r w:rsidR="00B038C7">
        <w:rPr>
          <w:bCs/>
        </w:rPr>
        <w:t>urate with agreed national cost-</w:t>
      </w:r>
      <w:r w:rsidR="00075BE6" w:rsidRPr="00BE58B3">
        <w:rPr>
          <w:bCs/>
        </w:rPr>
        <w:t>sharing principles.</w:t>
      </w:r>
    </w:p>
    <w:p w14:paraId="1FDCA724" w14:textId="77777777" w:rsidR="00075BE6" w:rsidRPr="00BE58B3" w:rsidRDefault="00041132" w:rsidP="00BE58B3">
      <w:pPr>
        <w:spacing w:before="120" w:after="120"/>
        <w:ind w:left="2126" w:hanging="2126"/>
        <w:rPr>
          <w:bCs/>
        </w:rPr>
      </w:pPr>
      <w:hyperlink w:anchor="Draft_recommendation_35" w:history="1">
        <w:r w:rsidR="00075BE6" w:rsidRPr="00BE58B3">
          <w:rPr>
            <w:bCs/>
          </w:rPr>
          <w:fldChar w:fldCharType="begin"/>
        </w:r>
        <w:r w:rsidR="00075BE6" w:rsidRPr="00BE58B3">
          <w:rPr>
            <w:bCs/>
          </w:rPr>
          <w:instrText xml:space="preserve"> REF _Ref482710349 \h  \* MERGEFORMAT </w:instrText>
        </w:r>
        <w:r w:rsidR="00075BE6" w:rsidRPr="00BE58B3">
          <w:rPr>
            <w:bCs/>
          </w:rPr>
        </w:r>
        <w:r w:rsidR="00075BE6" w:rsidRPr="00BE58B3">
          <w:rPr>
            <w:bCs/>
          </w:rPr>
          <w:fldChar w:fldCharType="separate"/>
        </w:r>
        <w:r w:rsidR="009F6923" w:rsidRPr="009F6923">
          <w:rPr>
            <w:bCs/>
          </w:rPr>
          <w:t>Recommendation 34</w:t>
        </w:r>
        <w:r w:rsidR="00075BE6" w:rsidRPr="00BE58B3">
          <w:rPr>
            <w:bCs/>
          </w:rPr>
          <w:fldChar w:fldCharType="end"/>
        </w:r>
      </w:hyperlink>
      <w:r w:rsidR="00075BE6" w:rsidRPr="00BE58B3">
        <w:rPr>
          <w:bCs/>
        </w:rPr>
        <w:tab/>
        <w:t>Funding for the national biosecurity system should be increased by:</w:t>
      </w:r>
    </w:p>
    <w:p w14:paraId="6F04C0DB" w14:textId="0E9D1220" w:rsidR="00075BE6" w:rsidRDefault="00075BE6" w:rsidP="00075BE6">
      <w:pPr>
        <w:pStyle w:val="ListBullet"/>
        <w:tabs>
          <w:tab w:val="num" w:pos="2444"/>
        </w:tabs>
        <w:ind w:left="2444"/>
        <w:rPr>
          <w:lang w:eastAsia="ja-JP"/>
        </w:rPr>
      </w:pPr>
      <w:r w:rsidRPr="00832283">
        <w:rPr>
          <w:lang w:eastAsia="ja-JP"/>
        </w:rPr>
        <w:t>implementing a per-container levy on incoming shipping containers</w:t>
      </w:r>
      <w:r w:rsidRPr="006F22CF">
        <w:rPr>
          <w:lang w:eastAsia="ja-JP"/>
        </w:rPr>
        <w:t xml:space="preserve"> of $10 per </w:t>
      </w:r>
      <w:r w:rsidR="00657A18">
        <w:t>twenty-foot equivalent unit</w:t>
      </w:r>
      <w:r w:rsidRPr="006F22CF">
        <w:rPr>
          <w:lang w:eastAsia="ja-JP"/>
        </w:rPr>
        <w:t xml:space="preserve"> and </w:t>
      </w:r>
      <w:r w:rsidR="00B74623">
        <w:rPr>
          <w:lang w:eastAsia="ja-JP"/>
        </w:rPr>
        <w:t xml:space="preserve">a levy of </w:t>
      </w:r>
      <w:r w:rsidRPr="006F22CF">
        <w:rPr>
          <w:lang w:eastAsia="ja-JP"/>
        </w:rPr>
        <w:t xml:space="preserve">$5 on </w:t>
      </w:r>
      <w:r>
        <w:rPr>
          <w:lang w:eastAsia="ja-JP"/>
        </w:rPr>
        <w:t xml:space="preserve">incoming </w:t>
      </w:r>
      <w:r w:rsidRPr="006F22CF">
        <w:rPr>
          <w:lang w:eastAsia="ja-JP"/>
        </w:rPr>
        <w:t>air containers</w:t>
      </w:r>
      <w:r>
        <w:rPr>
          <w:lang w:eastAsia="ja-JP"/>
        </w:rPr>
        <w:t xml:space="preserve">, </w:t>
      </w:r>
      <w:r w:rsidRPr="00290792">
        <w:rPr>
          <w:lang w:eastAsia="ja-JP"/>
        </w:rPr>
        <w:t>effective from 1</w:t>
      </w:r>
      <w:r>
        <w:rPr>
          <w:lang w:eastAsia="ja-JP"/>
        </w:rPr>
        <w:t> </w:t>
      </w:r>
      <w:r w:rsidRPr="00290792">
        <w:rPr>
          <w:lang w:eastAsia="ja-JP"/>
        </w:rPr>
        <w:t>July</w:t>
      </w:r>
      <w:r>
        <w:rPr>
          <w:lang w:eastAsia="ja-JP"/>
        </w:rPr>
        <w:t> </w:t>
      </w:r>
      <w:r w:rsidRPr="00290792">
        <w:rPr>
          <w:lang w:eastAsia="ja-JP"/>
        </w:rPr>
        <w:t>2019</w:t>
      </w:r>
    </w:p>
    <w:p w14:paraId="246774EA" w14:textId="77777777" w:rsidR="00075BE6" w:rsidRPr="00863540" w:rsidRDefault="00075BE6" w:rsidP="00075BE6">
      <w:pPr>
        <w:pStyle w:val="ListBullet"/>
        <w:tabs>
          <w:tab w:val="num" w:pos="2444"/>
        </w:tabs>
        <w:ind w:left="2444"/>
        <w:rPr>
          <w:lang w:eastAsia="ja-JP"/>
        </w:rPr>
      </w:pPr>
      <w:r w:rsidRPr="00863540">
        <w:rPr>
          <w:lang w:eastAsia="ja-JP"/>
        </w:rPr>
        <w:t>increasing the Passenger Movement Charge by $5, effective from 1</w:t>
      </w:r>
      <w:r>
        <w:rPr>
          <w:lang w:eastAsia="ja-JP"/>
        </w:rPr>
        <w:t> July </w:t>
      </w:r>
      <w:r w:rsidRPr="00863540">
        <w:rPr>
          <w:lang w:eastAsia="ja-JP"/>
        </w:rPr>
        <w:t xml:space="preserve">2022, with the revenue generated hypothecated to the Australian Government agriculture department for use nationally to enhance </w:t>
      </w:r>
      <w:r>
        <w:rPr>
          <w:lang w:eastAsia="ja-JP"/>
        </w:rPr>
        <w:t xml:space="preserve">activities across </w:t>
      </w:r>
      <w:r w:rsidRPr="00863540">
        <w:rPr>
          <w:lang w:eastAsia="ja-JP"/>
        </w:rPr>
        <w:t>Australia’s biosecurity system</w:t>
      </w:r>
    </w:p>
    <w:p w14:paraId="2FFD0974" w14:textId="77777777" w:rsidR="00075BE6" w:rsidRDefault="00075BE6" w:rsidP="00075BE6">
      <w:pPr>
        <w:pStyle w:val="ListBullet"/>
        <w:tabs>
          <w:tab w:val="num" w:pos="2444"/>
        </w:tabs>
        <w:ind w:left="2444"/>
        <w:rPr>
          <w:lang w:eastAsia="ja-JP"/>
        </w:rPr>
      </w:pPr>
      <w:r>
        <w:rPr>
          <w:lang w:eastAsia="ja-JP"/>
        </w:rPr>
        <w:t>more widespread implementation by states and territories of land-based levies, with each jurisdiction to determine the magnitude of a levy based on its circumstances, but to include properties at least two hectares or greater.</w:t>
      </w:r>
    </w:p>
    <w:p w14:paraId="196075D1" w14:textId="7D20C2BB" w:rsidR="00075BE6" w:rsidRPr="00BE58B3" w:rsidRDefault="00075BE6" w:rsidP="00BE58B3">
      <w:pPr>
        <w:spacing w:before="120" w:after="120"/>
        <w:ind w:left="2126" w:hanging="42"/>
        <w:rPr>
          <w:bCs/>
        </w:rPr>
      </w:pPr>
      <w:r w:rsidRPr="00BE58B3">
        <w:rPr>
          <w:bCs/>
        </w:rPr>
        <w:t xml:space="preserve">The revenue raised by these mechanisms should be directed to those areas of the national biosecurity system that are currently most underfunded, with a priority for strengthening environmental biosecurity activities, national monitoring and surveillance activities, R&amp;I and national communications and awareness </w:t>
      </w:r>
      <w:r w:rsidR="00A81F11" w:rsidRPr="00BE58B3">
        <w:rPr>
          <w:bCs/>
        </w:rPr>
        <w:t>activities.</w:t>
      </w:r>
    </w:p>
    <w:p w14:paraId="751C7F3C" w14:textId="5B2DF271" w:rsidR="00075BE6" w:rsidRPr="00BE58B3" w:rsidRDefault="00041132" w:rsidP="00BE58B3">
      <w:pPr>
        <w:spacing w:before="120" w:after="120"/>
        <w:ind w:left="2126" w:hanging="2126"/>
        <w:rPr>
          <w:bCs/>
        </w:rPr>
      </w:pPr>
      <w:hyperlink w:anchor="Draft_recommendation_37" w:history="1">
        <w:r w:rsidR="00075BE6" w:rsidRPr="00BE58B3">
          <w:rPr>
            <w:bCs/>
          </w:rPr>
          <w:fldChar w:fldCharType="begin"/>
        </w:r>
        <w:r w:rsidR="00075BE6" w:rsidRPr="00BE58B3">
          <w:rPr>
            <w:bCs/>
          </w:rPr>
          <w:instrText xml:space="preserve"> REF _Ref482710372 \h  \* MERGEFORMAT </w:instrText>
        </w:r>
        <w:r w:rsidR="00075BE6" w:rsidRPr="00BE58B3">
          <w:rPr>
            <w:bCs/>
          </w:rPr>
        </w:r>
        <w:r w:rsidR="00075BE6" w:rsidRPr="00BE58B3">
          <w:rPr>
            <w:bCs/>
          </w:rPr>
          <w:fldChar w:fldCharType="separate"/>
        </w:r>
        <w:r w:rsidR="009F6923" w:rsidRPr="009F6923">
          <w:rPr>
            <w:bCs/>
          </w:rPr>
          <w:t>Recommendation 36</w:t>
        </w:r>
        <w:r w:rsidR="00075BE6" w:rsidRPr="00BE58B3">
          <w:rPr>
            <w:bCs/>
          </w:rPr>
          <w:fldChar w:fldCharType="end"/>
        </w:r>
      </w:hyperlink>
      <w:r w:rsidR="00075BE6" w:rsidRPr="00BE58B3">
        <w:rPr>
          <w:bCs/>
        </w:rPr>
        <w:tab/>
        <w:t>The Australian Government should enact legislation to put in place a universal emergency response levy, with its activation for any particular industry group to be at the discretion of the Minister for Agriculture. The legislation should provide the Minister with discretion to set a positive levy rate to build an emergency response fund for an industry in advance of an incursion. The legislation should require that</w:t>
      </w:r>
      <w:r w:rsidR="00B74623">
        <w:rPr>
          <w:bCs/>
        </w:rPr>
        <w:t>,</w:t>
      </w:r>
      <w:r w:rsidR="00075BE6" w:rsidRPr="00BE58B3">
        <w:rPr>
          <w:bCs/>
        </w:rPr>
        <w:t xml:space="preserve"> for industries covered by an existing emergency response deed, the Minister is to comply with the requirements of the relevant deed in making any decisions.</w:t>
      </w:r>
    </w:p>
    <w:p w14:paraId="75453EB5" w14:textId="688F35D9" w:rsidR="00075BE6" w:rsidRPr="00927B9C" w:rsidRDefault="00075BE6" w:rsidP="00927B9C">
      <w:pPr>
        <w:spacing w:before="120" w:after="120"/>
        <w:ind w:left="2126" w:hanging="2126"/>
        <w:rPr>
          <w:bCs/>
        </w:rPr>
      </w:pPr>
      <w:r w:rsidRPr="00927B9C">
        <w:rPr>
          <w:bCs/>
        </w:rPr>
        <w:fldChar w:fldCharType="begin"/>
      </w:r>
      <w:r w:rsidRPr="00927B9C">
        <w:rPr>
          <w:bCs/>
        </w:rPr>
        <w:instrText xml:space="preserve"> REF _Ref482710231 \h  \* MERGEFORMAT </w:instrText>
      </w:r>
      <w:r w:rsidRPr="00927B9C">
        <w:rPr>
          <w:bCs/>
        </w:rPr>
      </w:r>
      <w:r w:rsidRPr="00927B9C">
        <w:rPr>
          <w:bCs/>
        </w:rPr>
        <w:fldChar w:fldCharType="separate"/>
      </w:r>
      <w:r w:rsidR="009F6923" w:rsidRPr="009F6923">
        <w:rPr>
          <w:bCs/>
        </w:rPr>
        <w:t>Recommendation 28</w:t>
      </w:r>
      <w:r w:rsidRPr="00927B9C">
        <w:rPr>
          <w:bCs/>
        </w:rPr>
        <w:fldChar w:fldCharType="end"/>
      </w:r>
      <w:r w:rsidRPr="00927B9C">
        <w:rPr>
          <w:bCs/>
        </w:rPr>
        <w:tab/>
        <w:t>The NBC, in collaboration with key industry and non-government partners, should agree uniform and fully inclusive categories of activity, including investment categories, for t</w:t>
      </w:r>
      <w:r w:rsidR="00A81F11" w:rsidRPr="00927B9C">
        <w:rPr>
          <w:bCs/>
        </w:rPr>
        <w:t>he national biosecurity system.</w:t>
      </w:r>
    </w:p>
    <w:p w14:paraId="2A426C3B" w14:textId="6D91E694" w:rsidR="001521E8" w:rsidRPr="00927B9C" w:rsidRDefault="00F26BDB" w:rsidP="00927B9C">
      <w:pPr>
        <w:keepNext/>
        <w:keepLines/>
        <w:spacing w:before="120" w:after="120"/>
        <w:ind w:left="2126" w:hanging="2126"/>
        <w:rPr>
          <w:bCs/>
        </w:rPr>
      </w:pPr>
      <w:r w:rsidRPr="00927B9C">
        <w:rPr>
          <w:bCs/>
        </w:rPr>
        <w:lastRenderedPageBreak/>
        <w:fldChar w:fldCharType="begin"/>
      </w:r>
      <w:r w:rsidRPr="00927B9C">
        <w:rPr>
          <w:bCs/>
        </w:rPr>
        <w:instrText xml:space="preserve"> REF _Ref482708833 \h </w:instrText>
      </w:r>
      <w:r w:rsidR="00927B9C">
        <w:rPr>
          <w:bCs/>
        </w:rPr>
        <w:instrText xml:space="preserve"> \* MERGEFORMAT </w:instrText>
      </w:r>
      <w:r w:rsidRPr="00927B9C">
        <w:rPr>
          <w:bCs/>
        </w:rPr>
      </w:r>
      <w:r w:rsidRPr="00927B9C">
        <w:rPr>
          <w:bCs/>
        </w:rPr>
        <w:fldChar w:fldCharType="separate"/>
      </w:r>
      <w:r w:rsidR="009F6923" w:rsidRPr="009F6923">
        <w:rPr>
          <w:bCs/>
        </w:rPr>
        <w:t>Recommendation 4</w:t>
      </w:r>
      <w:r w:rsidRPr="00927B9C">
        <w:rPr>
          <w:bCs/>
        </w:rPr>
        <w:fldChar w:fldCharType="end"/>
      </w:r>
      <w:r w:rsidR="001521E8" w:rsidRPr="00927B9C">
        <w:rPr>
          <w:bCs/>
        </w:rPr>
        <w:tab/>
        <w:t>AGSOC, in conjunction with the Primary Industries Technical Market Access and Trade Development Task Group, should review the total effort and costs associated with demonstrating area freedom by jurisdictions and the value of that trade. The review should establish whether public investment is aligned with IGAB investment principles and the National Framework for Cost</w:t>
      </w:r>
      <w:r w:rsidR="00CB21E8" w:rsidRPr="00927B9C">
        <w:rPr>
          <w:bCs/>
        </w:rPr>
        <w:t xml:space="preserve"> </w:t>
      </w:r>
      <w:r w:rsidR="001521E8" w:rsidRPr="00927B9C">
        <w:rPr>
          <w:bCs/>
        </w:rPr>
        <w:t>Sharing Biosecurity Activities (Recommendation 2</w:t>
      </w:r>
      <w:r w:rsidR="00BA61DE">
        <w:rPr>
          <w:bCs/>
        </w:rPr>
        <w:t>7</w:t>
      </w:r>
      <w:r w:rsidR="001521E8" w:rsidRPr="00927B9C">
        <w:rPr>
          <w:bCs/>
        </w:rPr>
        <w:t>).</w:t>
      </w:r>
    </w:p>
    <w:p w14:paraId="6889D896" w14:textId="250EB346" w:rsidR="00383152" w:rsidRPr="00927B9C" w:rsidRDefault="00041132" w:rsidP="00927B9C">
      <w:pPr>
        <w:spacing w:before="120" w:after="120"/>
        <w:ind w:left="2126" w:hanging="2126"/>
        <w:rPr>
          <w:bCs/>
        </w:rPr>
      </w:pPr>
      <w:hyperlink w:anchor="Draft_recommendation_31" w:history="1">
        <w:r w:rsidR="00383152" w:rsidRPr="00927B9C">
          <w:rPr>
            <w:bCs/>
          </w:rPr>
          <w:fldChar w:fldCharType="begin"/>
        </w:r>
        <w:r w:rsidR="00383152" w:rsidRPr="00927B9C">
          <w:rPr>
            <w:bCs/>
          </w:rPr>
          <w:instrText xml:space="preserve"> REF _Ref482710293 \h  \* MERGEFORMAT </w:instrText>
        </w:r>
        <w:r w:rsidR="00383152" w:rsidRPr="00927B9C">
          <w:rPr>
            <w:bCs/>
          </w:rPr>
        </w:r>
        <w:r w:rsidR="00383152" w:rsidRPr="00927B9C">
          <w:rPr>
            <w:bCs/>
          </w:rPr>
          <w:fldChar w:fldCharType="separate"/>
        </w:r>
        <w:r w:rsidR="009F6923" w:rsidRPr="009F6923">
          <w:rPr>
            <w:bCs/>
          </w:rPr>
          <w:t>Recommendation 30</w:t>
        </w:r>
        <w:r w:rsidR="00383152" w:rsidRPr="00927B9C">
          <w:rPr>
            <w:bCs/>
          </w:rPr>
          <w:fldChar w:fldCharType="end"/>
        </w:r>
      </w:hyperlink>
      <w:r w:rsidR="00383152" w:rsidRPr="00927B9C">
        <w:rPr>
          <w:bCs/>
        </w:rPr>
        <w:tab/>
        <w:t>The Risk Return Resource Allocation model should be extended to include all jurisdictions and their investments, with the Australian Government providing</w:t>
      </w:r>
      <w:r w:rsidR="00CE3CB8" w:rsidRPr="00927B9C">
        <w:rPr>
          <w:bCs/>
        </w:rPr>
        <w:t xml:space="preserve"> technical </w:t>
      </w:r>
      <w:r w:rsidR="00383152" w:rsidRPr="00927B9C">
        <w:rPr>
          <w:bCs/>
        </w:rPr>
        <w:t>assistance to jurisdictions</w:t>
      </w:r>
      <w:r w:rsidR="00A81F11" w:rsidRPr="00927B9C">
        <w:rPr>
          <w:bCs/>
        </w:rPr>
        <w:t xml:space="preserve"> to build national capacity.</w:t>
      </w:r>
    </w:p>
    <w:p w14:paraId="57608644" w14:textId="6C784F2B" w:rsidR="001F7B93" w:rsidRDefault="001F7B93" w:rsidP="00E85DA4">
      <w:pPr>
        <w:pStyle w:val="Glossary"/>
        <w:keepNext/>
        <w:rPr>
          <w:rStyle w:val="Strong"/>
        </w:rPr>
      </w:pPr>
      <w:r>
        <w:rPr>
          <w:rStyle w:val="Strong"/>
        </w:rPr>
        <w:t>Governance of the system</w:t>
      </w:r>
    </w:p>
    <w:p w14:paraId="51FDDE76" w14:textId="3A476B9E" w:rsidR="005A41F0" w:rsidRPr="00927B9C" w:rsidRDefault="00041132" w:rsidP="00927B9C">
      <w:pPr>
        <w:spacing w:before="120" w:after="120"/>
        <w:ind w:left="2126" w:hanging="2126"/>
        <w:rPr>
          <w:bCs/>
        </w:rPr>
      </w:pPr>
      <w:hyperlink w:anchor="Draft_recommendation_16" w:history="1">
        <w:r w:rsidR="005A41F0" w:rsidRPr="00927B9C">
          <w:rPr>
            <w:bCs/>
          </w:rPr>
          <w:fldChar w:fldCharType="begin"/>
        </w:r>
        <w:r w:rsidR="005A41F0" w:rsidRPr="00927B9C">
          <w:rPr>
            <w:bCs/>
          </w:rPr>
          <w:instrText xml:space="preserve"> REF _Ref482709973 \h  \* MERGEFORMAT </w:instrText>
        </w:r>
        <w:r w:rsidR="005A41F0" w:rsidRPr="00927B9C">
          <w:rPr>
            <w:bCs/>
          </w:rPr>
        </w:r>
        <w:r w:rsidR="005A41F0" w:rsidRPr="00927B9C">
          <w:rPr>
            <w:bCs/>
          </w:rPr>
          <w:fldChar w:fldCharType="separate"/>
        </w:r>
        <w:r w:rsidR="009F6923" w:rsidRPr="009F6923">
          <w:rPr>
            <w:bCs/>
          </w:rPr>
          <w:t>Recommendation 16</w:t>
        </w:r>
        <w:r w:rsidR="005A41F0" w:rsidRPr="00927B9C">
          <w:rPr>
            <w:bCs/>
          </w:rPr>
          <w:fldChar w:fldCharType="end"/>
        </w:r>
      </w:hyperlink>
      <w:r w:rsidR="005A41F0" w:rsidRPr="00927B9C">
        <w:rPr>
          <w:bCs/>
        </w:rPr>
        <w:tab/>
        <w:t>IGAB2 must remain an agreement between the First Ministers of Australian, s</w:t>
      </w:r>
      <w:r w:rsidR="00A81F11" w:rsidRPr="00927B9C">
        <w:rPr>
          <w:bCs/>
        </w:rPr>
        <w:t>tate and territory governments.</w:t>
      </w:r>
    </w:p>
    <w:p w14:paraId="6B4CD712" w14:textId="5C22676A" w:rsidR="005A41F0" w:rsidRPr="00927B9C" w:rsidRDefault="00041132" w:rsidP="00927B9C">
      <w:pPr>
        <w:spacing w:before="120" w:after="120"/>
        <w:ind w:left="2126" w:hanging="2126"/>
        <w:rPr>
          <w:bCs/>
        </w:rPr>
      </w:pPr>
      <w:hyperlink w:anchor="Draft_recommendation_18" w:history="1">
        <w:r w:rsidR="005A41F0" w:rsidRPr="00927B9C">
          <w:rPr>
            <w:bCs/>
          </w:rPr>
          <w:fldChar w:fldCharType="begin"/>
        </w:r>
        <w:r w:rsidR="005A41F0" w:rsidRPr="00927B9C">
          <w:rPr>
            <w:bCs/>
          </w:rPr>
          <w:instrText xml:space="preserve"> REF _Ref482710024 \h  \* MERGEFORMAT </w:instrText>
        </w:r>
        <w:r w:rsidR="005A41F0" w:rsidRPr="00927B9C">
          <w:rPr>
            <w:bCs/>
          </w:rPr>
        </w:r>
        <w:r w:rsidR="005A41F0" w:rsidRPr="00927B9C">
          <w:rPr>
            <w:bCs/>
          </w:rPr>
          <w:fldChar w:fldCharType="separate"/>
        </w:r>
        <w:r w:rsidR="009F6923" w:rsidRPr="009F6923">
          <w:rPr>
            <w:bCs/>
          </w:rPr>
          <w:t>Recommendation 18</w:t>
        </w:r>
        <w:r w:rsidR="005A41F0" w:rsidRPr="00927B9C">
          <w:rPr>
            <w:bCs/>
          </w:rPr>
          <w:fldChar w:fldCharType="end"/>
        </w:r>
      </w:hyperlink>
      <w:r w:rsidR="005A41F0" w:rsidRPr="00927B9C">
        <w:rPr>
          <w:bCs/>
        </w:rPr>
        <w:tab/>
        <w:t>First Ministers should formally authorise the NBC and articulate i</w:t>
      </w:r>
      <w:r w:rsidR="00A81F11" w:rsidRPr="00927B9C">
        <w:rPr>
          <w:bCs/>
        </w:rPr>
        <w:t xml:space="preserve">ts </w:t>
      </w:r>
      <w:r w:rsidR="009D02BB">
        <w:rPr>
          <w:bCs/>
        </w:rPr>
        <w:t>t</w:t>
      </w:r>
      <w:r w:rsidR="00A81F11" w:rsidRPr="00927B9C">
        <w:rPr>
          <w:bCs/>
        </w:rPr>
        <w:t xml:space="preserve">erms of </w:t>
      </w:r>
      <w:r w:rsidR="009D02BB">
        <w:rPr>
          <w:bCs/>
        </w:rPr>
        <w:t>r</w:t>
      </w:r>
      <w:r w:rsidR="00A81F11" w:rsidRPr="00927B9C">
        <w:rPr>
          <w:bCs/>
        </w:rPr>
        <w:t>eference in IGAB2.</w:t>
      </w:r>
    </w:p>
    <w:p w14:paraId="2744A49A" w14:textId="237D20D5" w:rsidR="005A41F0" w:rsidRPr="00927B9C" w:rsidRDefault="00041132" w:rsidP="00927B9C">
      <w:pPr>
        <w:spacing w:before="120" w:after="120"/>
        <w:ind w:left="2126" w:hanging="2126"/>
        <w:rPr>
          <w:bCs/>
        </w:rPr>
      </w:pPr>
      <w:hyperlink w:anchor="Draft_recommendation_17" w:history="1">
        <w:r w:rsidR="005A41F0" w:rsidRPr="00927B9C">
          <w:rPr>
            <w:bCs/>
          </w:rPr>
          <w:fldChar w:fldCharType="begin"/>
        </w:r>
        <w:r w:rsidR="005A41F0" w:rsidRPr="00927B9C">
          <w:rPr>
            <w:bCs/>
          </w:rPr>
          <w:instrText xml:space="preserve"> REF _Ref482709985 \h  \* MERGEFORMAT </w:instrText>
        </w:r>
        <w:r w:rsidR="005A41F0" w:rsidRPr="00927B9C">
          <w:rPr>
            <w:bCs/>
          </w:rPr>
        </w:r>
        <w:r w:rsidR="005A41F0" w:rsidRPr="00927B9C">
          <w:rPr>
            <w:bCs/>
          </w:rPr>
          <w:fldChar w:fldCharType="separate"/>
        </w:r>
        <w:r w:rsidR="009F6923" w:rsidRPr="009F6923">
          <w:rPr>
            <w:bCs/>
          </w:rPr>
          <w:t>Recommendation 17</w:t>
        </w:r>
        <w:r w:rsidR="005A41F0" w:rsidRPr="00927B9C">
          <w:rPr>
            <w:bCs/>
          </w:rPr>
          <w:fldChar w:fldCharType="end"/>
        </w:r>
      </w:hyperlink>
      <w:r w:rsidR="005A41F0" w:rsidRPr="00927B9C">
        <w:rPr>
          <w:bCs/>
        </w:rPr>
        <w:tab/>
        <w:t>First Ministers should, within IGAB2, identify lead ministers and agencies for biosecurity (assumed to be agriculture or primary industries) and require supporting whole-of-government arrangements to be in place, including thro</w:t>
      </w:r>
      <w:r w:rsidR="00A81F11" w:rsidRPr="00927B9C">
        <w:rPr>
          <w:bCs/>
        </w:rPr>
        <w:t>ugh memoranda of understanding.</w:t>
      </w:r>
    </w:p>
    <w:p w14:paraId="167EA625" w14:textId="39E32118" w:rsidR="001F7B93" w:rsidRPr="00927B9C" w:rsidRDefault="001F7B93" w:rsidP="00927B9C">
      <w:pPr>
        <w:spacing w:before="120" w:after="120"/>
        <w:ind w:left="2126" w:hanging="2126"/>
        <w:rPr>
          <w:bCs/>
        </w:rPr>
      </w:pPr>
      <w:r w:rsidRPr="00927B9C">
        <w:rPr>
          <w:bCs/>
        </w:rPr>
        <w:fldChar w:fldCharType="begin"/>
      </w:r>
      <w:r w:rsidRPr="00927B9C">
        <w:rPr>
          <w:bCs/>
        </w:rPr>
        <w:instrText xml:space="preserve"> REF _Ref482708950 \h  \* MERGEFORMAT </w:instrText>
      </w:r>
      <w:r w:rsidRPr="00927B9C">
        <w:rPr>
          <w:bCs/>
        </w:rPr>
      </w:r>
      <w:r w:rsidRPr="00927B9C">
        <w:rPr>
          <w:bCs/>
        </w:rPr>
        <w:fldChar w:fldCharType="separate"/>
      </w:r>
      <w:r w:rsidR="009F6923" w:rsidRPr="009F6923">
        <w:rPr>
          <w:bCs/>
        </w:rPr>
        <w:t>Recommendation 7</w:t>
      </w:r>
      <w:r w:rsidRPr="00927B9C">
        <w:rPr>
          <w:bCs/>
        </w:rPr>
        <w:fldChar w:fldCharType="end"/>
      </w:r>
      <w:r w:rsidRPr="00927B9C">
        <w:rPr>
          <w:bCs/>
        </w:rPr>
        <w:tab/>
        <w:t xml:space="preserve">Jurisdictions should institute formal arrangements between agriculture and environment agencies, including through memoranda of understanding, to define the objectives of cooperation, leading and support roles, information flows, resources and </w:t>
      </w:r>
      <w:r w:rsidR="00A81F11" w:rsidRPr="00927B9C">
        <w:rPr>
          <w:bCs/>
        </w:rPr>
        <w:t>deliverables.</w:t>
      </w:r>
    </w:p>
    <w:p w14:paraId="2D6CBDBB" w14:textId="79D43A28" w:rsidR="001F7B93" w:rsidRPr="00927B9C" w:rsidRDefault="00041132" w:rsidP="00927B9C">
      <w:pPr>
        <w:spacing w:before="120" w:after="120"/>
        <w:ind w:left="2126" w:hanging="2126"/>
        <w:rPr>
          <w:bCs/>
        </w:rPr>
      </w:pPr>
      <w:hyperlink w:anchor="Draft_recommendation_10" w:history="1">
        <w:r w:rsidR="001F7B93" w:rsidRPr="00927B9C">
          <w:rPr>
            <w:bCs/>
          </w:rPr>
          <w:fldChar w:fldCharType="begin"/>
        </w:r>
        <w:r w:rsidR="001F7B93" w:rsidRPr="00927B9C">
          <w:rPr>
            <w:bCs/>
          </w:rPr>
          <w:instrText xml:space="preserve"> REF _Ref482709810 \h  \* MERGEFORMAT </w:instrText>
        </w:r>
        <w:r w:rsidR="001F7B93" w:rsidRPr="00927B9C">
          <w:rPr>
            <w:bCs/>
          </w:rPr>
        </w:r>
        <w:r w:rsidR="001F7B93" w:rsidRPr="00927B9C">
          <w:rPr>
            <w:bCs/>
          </w:rPr>
          <w:fldChar w:fldCharType="separate"/>
        </w:r>
        <w:r w:rsidR="009F6923" w:rsidRPr="00B45227">
          <w:rPr>
            <w:bCs/>
          </w:rPr>
          <w:t xml:space="preserve">Recommendation </w:t>
        </w:r>
        <w:r w:rsidR="009F6923">
          <w:rPr>
            <w:bCs/>
          </w:rPr>
          <w:t>9</w:t>
        </w:r>
        <w:r w:rsidR="001F7B93" w:rsidRPr="00927B9C">
          <w:rPr>
            <w:bCs/>
          </w:rPr>
          <w:fldChar w:fldCharType="end"/>
        </w:r>
      </w:hyperlink>
      <w:r w:rsidR="001F7B93" w:rsidRPr="00927B9C">
        <w:rPr>
          <w:bCs/>
        </w:rPr>
        <w:tab/>
        <w:t>The Australian Government should establish the senior, expert position of Chief Community and Environmental Biosecurity Officer within the environment department. A far less</w:t>
      </w:r>
      <w:r w:rsidR="00362437">
        <w:rPr>
          <w:bCs/>
        </w:rPr>
        <w:t xml:space="preserve"> </w:t>
      </w:r>
      <w:r w:rsidR="001F7B93" w:rsidRPr="00927B9C">
        <w:rPr>
          <w:bCs/>
        </w:rPr>
        <w:t>preferred alternative is to house the position</w:t>
      </w:r>
      <w:r w:rsidR="00A81F11" w:rsidRPr="00927B9C">
        <w:rPr>
          <w:bCs/>
        </w:rPr>
        <w:t xml:space="preserve"> in the agriculture department.</w:t>
      </w:r>
    </w:p>
    <w:p w14:paraId="12DC7233" w14:textId="084091A9" w:rsidR="001F7B93" w:rsidRPr="00927B9C" w:rsidRDefault="00041132" w:rsidP="00927B9C">
      <w:pPr>
        <w:spacing w:before="120" w:after="120"/>
        <w:ind w:left="2126" w:hanging="2126"/>
        <w:rPr>
          <w:bCs/>
        </w:rPr>
      </w:pPr>
      <w:hyperlink w:anchor="Draft_recommendation_11" w:history="1">
        <w:r w:rsidR="001F7B93" w:rsidRPr="00927B9C">
          <w:rPr>
            <w:bCs/>
          </w:rPr>
          <w:fldChar w:fldCharType="begin"/>
        </w:r>
        <w:r w:rsidR="001F7B93" w:rsidRPr="00927B9C">
          <w:rPr>
            <w:bCs/>
          </w:rPr>
          <w:instrText xml:space="preserve"> REF _Ref482709819 \h  \* MERGEFORMAT </w:instrText>
        </w:r>
        <w:r w:rsidR="001F7B93" w:rsidRPr="00927B9C">
          <w:rPr>
            <w:bCs/>
          </w:rPr>
        </w:r>
        <w:r w:rsidR="001F7B93" w:rsidRPr="00927B9C">
          <w:rPr>
            <w:bCs/>
          </w:rPr>
          <w:fldChar w:fldCharType="separate"/>
        </w:r>
        <w:r w:rsidR="009F6923" w:rsidRPr="009F6923">
          <w:rPr>
            <w:bCs/>
          </w:rPr>
          <w:t>Recommendation 10</w:t>
        </w:r>
        <w:r w:rsidR="001F7B93" w:rsidRPr="00927B9C">
          <w:rPr>
            <w:bCs/>
          </w:rPr>
          <w:fldChar w:fldCharType="end"/>
        </w:r>
      </w:hyperlink>
      <w:r w:rsidR="001F7B93" w:rsidRPr="00927B9C">
        <w:rPr>
          <w:bCs/>
        </w:rPr>
        <w:tab/>
        <w:t xml:space="preserve">The NBC should establish a new Community and Environmental Biosecurity Committee (CEBC) to support the role of the Chief Community and Environmental Biosecurity Officer. The CEBC should comprise government and external community and environmental </w:t>
      </w:r>
      <w:r w:rsidR="006B0E0D">
        <w:rPr>
          <w:bCs/>
        </w:rPr>
        <w:t xml:space="preserve">biosecurity </w:t>
      </w:r>
      <w:r w:rsidR="001F7B93" w:rsidRPr="00927B9C">
        <w:rPr>
          <w:bCs/>
        </w:rPr>
        <w:t xml:space="preserve">experts and representatives from both the animal and plant sectoral committees of the NBC. The role of the CEBC should be </w:t>
      </w:r>
      <w:r w:rsidR="001F7B93" w:rsidRPr="00927B9C">
        <w:rPr>
          <w:bCs/>
        </w:rPr>
        <w:lastRenderedPageBreak/>
        <w:t xml:space="preserve">reviewed following its work to prioritise national biosecurity risks impacting </w:t>
      </w:r>
      <w:r w:rsidR="00362437">
        <w:rPr>
          <w:bCs/>
        </w:rPr>
        <w:t xml:space="preserve">on </w:t>
      </w:r>
      <w:r w:rsidR="001F7B93" w:rsidRPr="00927B9C">
        <w:rPr>
          <w:bCs/>
        </w:rPr>
        <w:t>the environment and soc</w:t>
      </w:r>
      <w:r w:rsidR="00A81F11" w:rsidRPr="00927B9C">
        <w:rPr>
          <w:bCs/>
        </w:rPr>
        <w:t>ial amenity (Recommendation</w:t>
      </w:r>
      <w:r w:rsidR="006B0E0D">
        <w:rPr>
          <w:bCs/>
        </w:rPr>
        <w:t xml:space="preserve"> </w:t>
      </w:r>
      <w:r w:rsidR="00A81F11" w:rsidRPr="00927B9C">
        <w:rPr>
          <w:bCs/>
        </w:rPr>
        <w:t>11).</w:t>
      </w:r>
    </w:p>
    <w:p w14:paraId="14F6E412" w14:textId="1B06F291" w:rsidR="001F7B93" w:rsidRPr="00927B9C" w:rsidRDefault="00041132" w:rsidP="00927B9C">
      <w:pPr>
        <w:spacing w:before="120" w:after="120"/>
        <w:ind w:left="2126" w:hanging="2126"/>
        <w:rPr>
          <w:bCs/>
        </w:rPr>
      </w:pPr>
      <w:hyperlink w:anchor="Draft_recommendation_15" w:history="1">
        <w:r w:rsidR="001F7B93" w:rsidRPr="00927B9C">
          <w:rPr>
            <w:bCs/>
          </w:rPr>
          <w:fldChar w:fldCharType="begin"/>
        </w:r>
        <w:r w:rsidR="001F7B93" w:rsidRPr="00927B9C">
          <w:rPr>
            <w:bCs/>
          </w:rPr>
          <w:instrText xml:space="preserve"> REF _Ref482709869 \h </w:instrText>
        </w:r>
        <w:r w:rsidR="00927B9C">
          <w:rPr>
            <w:bCs/>
          </w:rPr>
          <w:instrText xml:space="preserve"> \* MERGEFORMAT </w:instrText>
        </w:r>
        <w:r w:rsidR="001F7B93" w:rsidRPr="00927B9C">
          <w:rPr>
            <w:bCs/>
          </w:rPr>
        </w:r>
        <w:r w:rsidR="001F7B93" w:rsidRPr="00927B9C">
          <w:rPr>
            <w:bCs/>
          </w:rPr>
          <w:fldChar w:fldCharType="separate"/>
        </w:r>
        <w:r w:rsidR="009F6923" w:rsidRPr="009F6923">
          <w:rPr>
            <w:bCs/>
          </w:rPr>
          <w:t>Recommendation 12</w:t>
        </w:r>
        <w:r w:rsidR="001F7B93" w:rsidRPr="00927B9C">
          <w:rPr>
            <w:bCs/>
          </w:rPr>
          <w:fldChar w:fldCharType="end"/>
        </w:r>
      </w:hyperlink>
      <w:r w:rsidR="001F7B93" w:rsidRPr="00927B9C">
        <w:rPr>
          <w:bCs/>
        </w:rPr>
        <w:tab/>
        <w:t>The Australian Government should assign lead responsibility for driving and coordinating implementation of the National Environment and Community Biosecurity RD&amp;E Strategy 2016–19 to the Australian Gov</w:t>
      </w:r>
      <w:r w:rsidR="00A81F11" w:rsidRPr="00927B9C">
        <w:rPr>
          <w:bCs/>
        </w:rPr>
        <w:t>ernment environment department.</w:t>
      </w:r>
    </w:p>
    <w:p w14:paraId="483BB9B1" w14:textId="5DAEDDC5" w:rsidR="001F7B93" w:rsidRPr="00927B9C" w:rsidRDefault="001F7B93" w:rsidP="00927B9C">
      <w:pPr>
        <w:spacing w:before="120" w:after="120"/>
        <w:ind w:left="2126" w:hanging="2126"/>
        <w:rPr>
          <w:bCs/>
        </w:rPr>
      </w:pPr>
      <w:r w:rsidRPr="00927B9C">
        <w:rPr>
          <w:bCs/>
        </w:rPr>
        <w:fldChar w:fldCharType="begin"/>
      </w:r>
      <w:r w:rsidRPr="00927B9C">
        <w:rPr>
          <w:bCs/>
        </w:rPr>
        <w:instrText xml:space="preserve"> REF _Ref482710044 \h </w:instrText>
      </w:r>
      <w:r w:rsidR="00927B9C">
        <w:rPr>
          <w:bCs/>
        </w:rPr>
        <w:instrText xml:space="preserve"> \* MERGEFORMAT </w:instrText>
      </w:r>
      <w:r w:rsidRPr="00927B9C">
        <w:rPr>
          <w:bCs/>
        </w:rPr>
      </w:r>
      <w:r w:rsidRPr="00927B9C">
        <w:rPr>
          <w:bCs/>
        </w:rPr>
        <w:fldChar w:fldCharType="separate"/>
      </w:r>
      <w:r w:rsidR="009F6923" w:rsidRPr="009F6923">
        <w:rPr>
          <w:bCs/>
        </w:rPr>
        <w:t>Recommendation 19</w:t>
      </w:r>
      <w:r w:rsidRPr="00927B9C">
        <w:rPr>
          <w:bCs/>
        </w:rPr>
        <w:fldChar w:fldCharType="end"/>
      </w:r>
      <w:r w:rsidRPr="00927B9C">
        <w:rPr>
          <w:bCs/>
        </w:rPr>
        <w:tab/>
        <w:t>The NBC should include the CEO of the Australian Local Government Association</w:t>
      </w:r>
      <w:r w:rsidR="00A81F11" w:rsidRPr="00927B9C">
        <w:rPr>
          <w:bCs/>
        </w:rPr>
        <w:t>.</w:t>
      </w:r>
    </w:p>
    <w:p w14:paraId="364FA6C0" w14:textId="698F9A5A" w:rsidR="001F7B93" w:rsidRPr="00927B9C" w:rsidRDefault="00041132" w:rsidP="00927B9C">
      <w:pPr>
        <w:keepNext/>
        <w:keepLines/>
        <w:spacing w:before="120" w:after="120"/>
        <w:ind w:left="2126" w:hanging="2126"/>
        <w:rPr>
          <w:bCs/>
        </w:rPr>
      </w:pPr>
      <w:hyperlink w:anchor="Draft_recommendation_20" w:history="1">
        <w:r w:rsidR="001F7B93" w:rsidRPr="00927B9C">
          <w:rPr>
            <w:bCs/>
          </w:rPr>
          <w:fldChar w:fldCharType="begin"/>
        </w:r>
        <w:r w:rsidR="001F7B93" w:rsidRPr="00927B9C">
          <w:rPr>
            <w:bCs/>
          </w:rPr>
          <w:instrText xml:space="preserve"> REF _Ref482710064 \h  \* MERGEFORMAT </w:instrText>
        </w:r>
        <w:r w:rsidR="001F7B93" w:rsidRPr="00927B9C">
          <w:rPr>
            <w:bCs/>
          </w:rPr>
        </w:r>
        <w:r w:rsidR="001F7B93" w:rsidRPr="00927B9C">
          <w:rPr>
            <w:bCs/>
          </w:rPr>
          <w:fldChar w:fldCharType="separate"/>
        </w:r>
        <w:r w:rsidR="009F6923" w:rsidRPr="009F6923">
          <w:rPr>
            <w:bCs/>
          </w:rPr>
          <w:t>Recommendation 20</w:t>
        </w:r>
        <w:r w:rsidR="001F7B93" w:rsidRPr="00927B9C">
          <w:rPr>
            <w:bCs/>
          </w:rPr>
          <w:fldChar w:fldCharType="end"/>
        </w:r>
      </w:hyperlink>
      <w:r w:rsidR="00307000" w:rsidRPr="00927B9C">
        <w:rPr>
          <w:bCs/>
        </w:rPr>
        <w:tab/>
        <w:t>The NBC should adopt a sub</w:t>
      </w:r>
      <w:r w:rsidR="001F7B93" w:rsidRPr="00927B9C">
        <w:rPr>
          <w:bCs/>
        </w:rPr>
        <w:t>committee structure that aligns with the revised national biosecurity system objectives and revised national reform priorities in IGAB2. All NBC sectoral committees should have a clear and transparent division of responsibilities for pest and disease risk. All NBC working groups and expert groups should be task-specific and, w</w:t>
      </w:r>
      <w:r w:rsidR="00A81F11" w:rsidRPr="00927B9C">
        <w:rPr>
          <w:bCs/>
        </w:rPr>
        <w:t>herever possible, time-limited.</w:t>
      </w:r>
    </w:p>
    <w:p w14:paraId="379FBA31" w14:textId="6EB3B6AB" w:rsidR="00B674B9" w:rsidRPr="00B674B9" w:rsidRDefault="001F7B93" w:rsidP="00E85DA4">
      <w:pPr>
        <w:pStyle w:val="Glossary"/>
        <w:keepNext/>
        <w:rPr>
          <w:rStyle w:val="Strong"/>
        </w:rPr>
      </w:pPr>
      <w:r>
        <w:rPr>
          <w:rStyle w:val="Strong"/>
        </w:rPr>
        <w:t>Government performance and accountability</w:t>
      </w:r>
    </w:p>
    <w:p w14:paraId="77E6EC74" w14:textId="0B1122F2" w:rsidR="00393F95" w:rsidRPr="00927B9C" w:rsidRDefault="00041132" w:rsidP="00927B9C">
      <w:pPr>
        <w:keepNext/>
        <w:keepLines/>
        <w:spacing w:before="120" w:after="120"/>
        <w:ind w:left="2126" w:hanging="2126"/>
        <w:rPr>
          <w:bCs/>
        </w:rPr>
      </w:pPr>
      <w:hyperlink w:anchor="Draft_recommendation_22" w:history="1">
        <w:r w:rsidR="00393F95" w:rsidRPr="00927B9C">
          <w:rPr>
            <w:bCs/>
          </w:rPr>
          <w:fldChar w:fldCharType="begin"/>
        </w:r>
        <w:r w:rsidR="00393F95" w:rsidRPr="00927B9C">
          <w:rPr>
            <w:bCs/>
          </w:rPr>
          <w:instrText xml:space="preserve"> REF _Ref482710104 \h  \* MERGEFORMAT </w:instrText>
        </w:r>
        <w:r w:rsidR="00393F95" w:rsidRPr="00927B9C">
          <w:rPr>
            <w:bCs/>
          </w:rPr>
        </w:r>
        <w:r w:rsidR="00393F95" w:rsidRPr="00927B9C">
          <w:rPr>
            <w:bCs/>
          </w:rPr>
          <w:fldChar w:fldCharType="separate"/>
        </w:r>
        <w:r w:rsidR="009F6923" w:rsidRPr="009F6923">
          <w:rPr>
            <w:bCs/>
          </w:rPr>
          <w:t>Recommendation 22</w:t>
        </w:r>
        <w:r w:rsidR="00393F95" w:rsidRPr="00927B9C">
          <w:rPr>
            <w:bCs/>
          </w:rPr>
          <w:fldChar w:fldCharType="end"/>
        </w:r>
      </w:hyperlink>
      <w:r w:rsidR="00393F95" w:rsidRPr="00927B9C">
        <w:rPr>
          <w:bCs/>
        </w:rPr>
        <w:tab/>
        <w:t>AGSOC should establish and oversee an independent IGAB Evaluation Program to assess and report on implementation of each jurisdiction</w:t>
      </w:r>
      <w:r w:rsidR="00841D10">
        <w:rPr>
          <w:bCs/>
        </w:rPr>
        <w:t>’</w:t>
      </w:r>
      <w:r w:rsidR="00393F95" w:rsidRPr="00927B9C">
        <w:rPr>
          <w:bCs/>
        </w:rPr>
        <w:t>s core commitments under IGAB2. Each evaluation, or a comprehensive summary, should be made public follo</w:t>
      </w:r>
      <w:r w:rsidR="00A81F11" w:rsidRPr="00927B9C">
        <w:rPr>
          <w:bCs/>
        </w:rPr>
        <w:t>wing ministerial consideration.</w:t>
      </w:r>
    </w:p>
    <w:p w14:paraId="710A0A2F" w14:textId="389DB9C6" w:rsidR="00393F95" w:rsidRPr="00927B9C" w:rsidRDefault="00041132" w:rsidP="00927B9C">
      <w:pPr>
        <w:keepNext/>
        <w:keepLines/>
        <w:spacing w:before="120" w:after="120"/>
        <w:ind w:left="2126" w:hanging="2126"/>
        <w:rPr>
          <w:bCs/>
        </w:rPr>
      </w:pPr>
      <w:hyperlink w:anchor="Draft_recommendation_23" w:history="1">
        <w:r w:rsidR="00393F95" w:rsidRPr="00927B9C">
          <w:rPr>
            <w:bCs/>
          </w:rPr>
          <w:fldChar w:fldCharType="begin"/>
        </w:r>
        <w:r w:rsidR="00393F95" w:rsidRPr="00927B9C">
          <w:rPr>
            <w:bCs/>
          </w:rPr>
          <w:instrText xml:space="preserve"> REF _Ref482710115 \h  \* MERGEFORMAT </w:instrText>
        </w:r>
        <w:r w:rsidR="00393F95" w:rsidRPr="00927B9C">
          <w:rPr>
            <w:bCs/>
          </w:rPr>
        </w:r>
        <w:r w:rsidR="00393F95" w:rsidRPr="00927B9C">
          <w:rPr>
            <w:bCs/>
          </w:rPr>
          <w:fldChar w:fldCharType="separate"/>
        </w:r>
        <w:r w:rsidR="009F6923" w:rsidRPr="009F6923">
          <w:rPr>
            <w:bCs/>
          </w:rPr>
          <w:t>Recommendation 23</w:t>
        </w:r>
        <w:r w:rsidR="00393F95" w:rsidRPr="00927B9C">
          <w:rPr>
            <w:bCs/>
          </w:rPr>
          <w:fldChar w:fldCharType="end"/>
        </w:r>
      </w:hyperlink>
      <w:r w:rsidR="00393F95" w:rsidRPr="00927B9C">
        <w:rPr>
          <w:bCs/>
        </w:rPr>
        <w:tab/>
        <w:t>The NBC should define the ‘core’ or ‘normal’ commitments of jurisdictions under IGAB2 for use in the indep</w:t>
      </w:r>
      <w:r w:rsidR="00A81F11" w:rsidRPr="00927B9C">
        <w:rPr>
          <w:bCs/>
        </w:rPr>
        <w:t>endent IGAB Evaluation Program.</w:t>
      </w:r>
    </w:p>
    <w:p w14:paraId="0ADDD333" w14:textId="15ECB141" w:rsidR="00393F95" w:rsidRPr="00927B9C" w:rsidRDefault="00041132" w:rsidP="00927B9C">
      <w:pPr>
        <w:keepNext/>
        <w:keepLines/>
        <w:spacing w:before="120" w:after="120"/>
        <w:ind w:left="2126" w:hanging="2126"/>
        <w:rPr>
          <w:bCs/>
        </w:rPr>
      </w:pPr>
      <w:hyperlink w:anchor="Draft_recommendation_38" w:history="1">
        <w:r w:rsidR="00393F95" w:rsidRPr="00927B9C">
          <w:rPr>
            <w:bCs/>
          </w:rPr>
          <w:fldChar w:fldCharType="begin"/>
        </w:r>
        <w:r w:rsidR="00393F95" w:rsidRPr="00927B9C">
          <w:rPr>
            <w:bCs/>
          </w:rPr>
          <w:instrText xml:space="preserve"> REF _Ref482710442 \h  \* MERGEFORMAT </w:instrText>
        </w:r>
        <w:r w:rsidR="00393F95" w:rsidRPr="00927B9C">
          <w:rPr>
            <w:bCs/>
          </w:rPr>
        </w:r>
        <w:r w:rsidR="00393F95" w:rsidRPr="00927B9C">
          <w:rPr>
            <w:bCs/>
          </w:rPr>
          <w:fldChar w:fldCharType="separate"/>
        </w:r>
        <w:r w:rsidR="009F6923" w:rsidRPr="009F6923">
          <w:rPr>
            <w:bCs/>
          </w:rPr>
          <w:t>Recommendation 38</w:t>
        </w:r>
        <w:r w:rsidR="00393F95" w:rsidRPr="00927B9C">
          <w:rPr>
            <w:bCs/>
          </w:rPr>
          <w:fldChar w:fldCharType="end"/>
        </w:r>
      </w:hyperlink>
      <w:r w:rsidR="00393F95" w:rsidRPr="00927B9C">
        <w:rPr>
          <w:bCs/>
        </w:rPr>
        <w:tab/>
        <w:t>The Productivity Commission should, commencing in 2018, undertake a comparative Report of Government Bi</w:t>
      </w:r>
      <w:r w:rsidR="00752EEA" w:rsidRPr="00927B9C">
        <w:rPr>
          <w:bCs/>
        </w:rPr>
        <w:t xml:space="preserve">osecurity Services (ROGBS) on a </w:t>
      </w:r>
      <w:r w:rsidR="00A006BA">
        <w:rPr>
          <w:bCs/>
        </w:rPr>
        <w:t>five</w:t>
      </w:r>
      <w:r w:rsidR="00752EEA" w:rsidRPr="00927B9C">
        <w:rPr>
          <w:bCs/>
        </w:rPr>
        <w:t xml:space="preserve">-yearly </w:t>
      </w:r>
      <w:r w:rsidR="00393F95" w:rsidRPr="00927B9C">
        <w:rPr>
          <w:bCs/>
        </w:rPr>
        <w:t>basis. The report should draw on the existing framework provided by the Report of Government S</w:t>
      </w:r>
      <w:r w:rsidR="00A81F11" w:rsidRPr="00927B9C">
        <w:rPr>
          <w:bCs/>
        </w:rPr>
        <w:t>ervices (Emergency Management).</w:t>
      </w:r>
    </w:p>
    <w:p w14:paraId="30A93894" w14:textId="0C1E32BA" w:rsidR="00393F95" w:rsidRPr="00927B9C" w:rsidRDefault="00041132" w:rsidP="00927B9C">
      <w:pPr>
        <w:keepNext/>
        <w:keepLines/>
        <w:spacing w:before="120" w:after="120"/>
        <w:ind w:left="2126" w:hanging="2126"/>
        <w:rPr>
          <w:bCs/>
        </w:rPr>
      </w:pPr>
      <w:hyperlink w:anchor="Draft_recommendation_24" w:history="1">
        <w:r w:rsidR="00393F95" w:rsidRPr="00927B9C">
          <w:rPr>
            <w:bCs/>
          </w:rPr>
          <w:fldChar w:fldCharType="begin"/>
        </w:r>
        <w:r w:rsidR="00393F95" w:rsidRPr="00927B9C">
          <w:rPr>
            <w:bCs/>
          </w:rPr>
          <w:instrText xml:space="preserve"> REF _Ref482710127 \h  \* MERGEFORMAT </w:instrText>
        </w:r>
        <w:r w:rsidR="00393F95" w:rsidRPr="00927B9C">
          <w:rPr>
            <w:bCs/>
          </w:rPr>
        </w:r>
        <w:r w:rsidR="00393F95" w:rsidRPr="00927B9C">
          <w:rPr>
            <w:bCs/>
          </w:rPr>
          <w:fldChar w:fldCharType="separate"/>
        </w:r>
        <w:r w:rsidR="009F6923" w:rsidRPr="009F6923">
          <w:rPr>
            <w:bCs/>
          </w:rPr>
          <w:t>Recommendation 24</w:t>
        </w:r>
        <w:r w:rsidR="00393F95" w:rsidRPr="00927B9C">
          <w:rPr>
            <w:bCs/>
          </w:rPr>
          <w:fldChar w:fldCharType="end"/>
        </w:r>
      </w:hyperlink>
      <w:r w:rsidR="00393F95" w:rsidRPr="00927B9C">
        <w:rPr>
          <w:bCs/>
        </w:rPr>
        <w:tab/>
        <w:t xml:space="preserve">The NBC should report annually to AGMIN on its progress against priority reform areas outlined in </w:t>
      </w:r>
      <w:hyperlink w:anchor="_A_future_system," w:history="1">
        <w:r w:rsidR="00393F95" w:rsidRPr="00307A29">
          <w:rPr>
            <w:rStyle w:val="Hyperlink"/>
            <w:bCs/>
          </w:rPr>
          <w:t>Chapter 10</w:t>
        </w:r>
      </w:hyperlink>
      <w:r w:rsidR="00393F95" w:rsidRPr="00927B9C">
        <w:rPr>
          <w:bCs/>
        </w:rPr>
        <w:t>. The NBC’s annual report should be made public upon mini</w:t>
      </w:r>
      <w:r w:rsidR="00A81F11" w:rsidRPr="00927B9C">
        <w:rPr>
          <w:bCs/>
        </w:rPr>
        <w:t>sterial consideration.</w:t>
      </w:r>
    </w:p>
    <w:p w14:paraId="507F4B6A" w14:textId="1147B0F5" w:rsidR="00393F95" w:rsidRPr="00927B9C" w:rsidRDefault="00041132" w:rsidP="00927B9C">
      <w:pPr>
        <w:keepNext/>
        <w:keepLines/>
        <w:spacing w:before="120" w:after="120"/>
        <w:ind w:left="2126" w:hanging="2126"/>
        <w:rPr>
          <w:bCs/>
        </w:rPr>
      </w:pPr>
      <w:hyperlink w:anchor="Draft_recommendation_39" w:history="1">
        <w:r w:rsidR="00393F95" w:rsidRPr="00927B9C">
          <w:rPr>
            <w:bCs/>
          </w:rPr>
          <w:fldChar w:fldCharType="begin"/>
        </w:r>
        <w:r w:rsidR="00393F95" w:rsidRPr="00927B9C">
          <w:rPr>
            <w:bCs/>
          </w:rPr>
          <w:instrText xml:space="preserve"> REF _Ref482710388 \h </w:instrText>
        </w:r>
        <w:r w:rsidR="00927B9C">
          <w:rPr>
            <w:bCs/>
          </w:rPr>
          <w:instrText xml:space="preserve"> \* MERGEFORMAT </w:instrText>
        </w:r>
        <w:r w:rsidR="00393F95" w:rsidRPr="00927B9C">
          <w:rPr>
            <w:bCs/>
          </w:rPr>
        </w:r>
        <w:r w:rsidR="00393F95" w:rsidRPr="00927B9C">
          <w:rPr>
            <w:bCs/>
          </w:rPr>
          <w:fldChar w:fldCharType="separate"/>
        </w:r>
        <w:r w:rsidR="009F6923" w:rsidRPr="009F6923">
          <w:rPr>
            <w:bCs/>
          </w:rPr>
          <w:t>Recommendation 39</w:t>
        </w:r>
        <w:r w:rsidR="00393F95" w:rsidRPr="00927B9C">
          <w:rPr>
            <w:bCs/>
          </w:rPr>
          <w:fldChar w:fldCharType="end"/>
        </w:r>
      </w:hyperlink>
      <w:r w:rsidR="00393F95" w:rsidRPr="00927B9C">
        <w:rPr>
          <w:bCs/>
        </w:rPr>
        <w:tab/>
        <w:t xml:space="preserve">Data and knowledge sharing should be a core commitment of jurisdictions under IGAB2. Minimum standards and specifications </w:t>
      </w:r>
      <w:r w:rsidR="00A81F11" w:rsidRPr="00927B9C">
        <w:rPr>
          <w:bCs/>
        </w:rPr>
        <w:t>should be agreed for datasets.</w:t>
      </w:r>
    </w:p>
    <w:p w14:paraId="3E7D0C5B" w14:textId="53E88574" w:rsidR="00393F95" w:rsidRPr="00927B9C" w:rsidRDefault="00041132" w:rsidP="00927B9C">
      <w:pPr>
        <w:keepNext/>
        <w:keepLines/>
        <w:spacing w:before="120" w:after="120"/>
        <w:ind w:left="2126" w:hanging="2126"/>
        <w:rPr>
          <w:bCs/>
        </w:rPr>
      </w:pPr>
      <w:hyperlink w:anchor="Draft_recommendation_39" w:history="1">
        <w:r w:rsidR="00393F95" w:rsidRPr="00927B9C">
          <w:rPr>
            <w:bCs/>
          </w:rPr>
          <w:fldChar w:fldCharType="begin"/>
        </w:r>
        <w:r w:rsidR="00393F95" w:rsidRPr="00927B9C">
          <w:rPr>
            <w:bCs/>
          </w:rPr>
          <w:instrText xml:space="preserve"> REF _Ref482710399 \h  \* MERGEFORMAT </w:instrText>
        </w:r>
        <w:r w:rsidR="00393F95" w:rsidRPr="00927B9C">
          <w:rPr>
            <w:bCs/>
          </w:rPr>
        </w:r>
        <w:r w:rsidR="00393F95" w:rsidRPr="00927B9C">
          <w:rPr>
            <w:bCs/>
          </w:rPr>
          <w:fldChar w:fldCharType="separate"/>
        </w:r>
        <w:r w:rsidR="009F6923" w:rsidRPr="009F6923">
          <w:rPr>
            <w:bCs/>
          </w:rPr>
          <w:t>Recommendation 40</w:t>
        </w:r>
        <w:r w:rsidR="00393F95" w:rsidRPr="00927B9C">
          <w:rPr>
            <w:bCs/>
          </w:rPr>
          <w:fldChar w:fldCharType="end"/>
        </w:r>
      </w:hyperlink>
      <w:r w:rsidR="00393F95" w:rsidRPr="00927B9C">
        <w:rPr>
          <w:bCs/>
        </w:rPr>
        <w:tab/>
        <w:t>Within the period covered by IGAB2, the Australian Government agriculture department should lead the development of a common information architecture for the national bio</w:t>
      </w:r>
      <w:r w:rsidR="005C2D67">
        <w:rPr>
          <w:bCs/>
        </w:rPr>
        <w:t>security system (including data-</w:t>
      </w:r>
      <w:r w:rsidR="00393F95" w:rsidRPr="00927B9C">
        <w:rPr>
          <w:bCs/>
        </w:rPr>
        <w:t>sharing protocols, standards and authority protocols) for all jurisdictions to share and access biosecurity data and inform</w:t>
      </w:r>
      <w:r w:rsidR="00A81F11" w:rsidRPr="00927B9C">
        <w:rPr>
          <w:bCs/>
        </w:rPr>
        <w:t>ation in the national interest.</w:t>
      </w:r>
    </w:p>
    <w:p w14:paraId="51AD3D7F" w14:textId="514717F9" w:rsidR="001F7B93" w:rsidRPr="00927B9C" w:rsidRDefault="001F7B93" w:rsidP="00927B9C">
      <w:pPr>
        <w:keepNext/>
        <w:keepLines/>
        <w:spacing w:before="120" w:after="120"/>
        <w:ind w:left="2126" w:hanging="2126"/>
        <w:rPr>
          <w:bCs/>
        </w:rPr>
      </w:pPr>
      <w:r w:rsidRPr="00927B9C">
        <w:rPr>
          <w:bCs/>
        </w:rPr>
        <w:lastRenderedPageBreak/>
        <w:fldChar w:fldCharType="begin"/>
      </w:r>
      <w:r w:rsidRPr="00927B9C">
        <w:rPr>
          <w:bCs/>
        </w:rPr>
        <w:instrText xml:space="preserve"> REF _Ref482871305 \h  \* MERGEFORMAT </w:instrText>
      </w:r>
      <w:r w:rsidRPr="00927B9C">
        <w:rPr>
          <w:bCs/>
        </w:rPr>
      </w:r>
      <w:r w:rsidRPr="00927B9C">
        <w:rPr>
          <w:bCs/>
        </w:rPr>
        <w:fldChar w:fldCharType="separate"/>
      </w:r>
      <w:r w:rsidR="009F6923" w:rsidRPr="004F4F35">
        <w:rPr>
          <w:bCs/>
        </w:rPr>
        <w:t xml:space="preserve">Recommendation </w:t>
      </w:r>
      <w:r w:rsidR="009F6923">
        <w:rPr>
          <w:bCs/>
        </w:rPr>
        <w:t>15</w:t>
      </w:r>
      <w:r w:rsidRPr="00927B9C">
        <w:rPr>
          <w:bCs/>
        </w:rPr>
        <w:fldChar w:fldCharType="end"/>
      </w:r>
      <w:r w:rsidRPr="00927B9C">
        <w:rPr>
          <w:bCs/>
        </w:rPr>
        <w:tab/>
        <w:t>The Australian Government should require public reporting of all Commonwealth</w:t>
      </w:r>
      <w:r w:rsidR="005C2D67">
        <w:rPr>
          <w:bCs/>
        </w:rPr>
        <w:t>-</w:t>
      </w:r>
      <w:r w:rsidRPr="00927B9C">
        <w:rPr>
          <w:bCs/>
        </w:rPr>
        <w:t xml:space="preserve">funded biosecurity </w:t>
      </w:r>
      <w:r w:rsidR="005C2D67">
        <w:rPr>
          <w:bCs/>
        </w:rPr>
        <w:t xml:space="preserve">R&amp;I </w:t>
      </w:r>
      <w:r w:rsidRPr="00927B9C">
        <w:rPr>
          <w:bCs/>
        </w:rPr>
        <w:t>investments (sect</w:t>
      </w:r>
      <w:r w:rsidR="00EA2934" w:rsidRPr="00927B9C">
        <w:rPr>
          <w:bCs/>
        </w:rPr>
        <w:t>oral, cross-sectoral and system-</w:t>
      </w:r>
      <w:r w:rsidRPr="00927B9C">
        <w:rPr>
          <w:bCs/>
        </w:rPr>
        <w:t>wide) in accordance with agreed categories of funding activity dev</w:t>
      </w:r>
      <w:r w:rsidR="00003DBC" w:rsidRPr="00927B9C">
        <w:rPr>
          <w:bCs/>
        </w:rPr>
        <w:t>eloped under Recommendation 28.</w:t>
      </w:r>
    </w:p>
    <w:p w14:paraId="529EA900" w14:textId="66433716" w:rsidR="00BF7646" w:rsidRDefault="00BF7646" w:rsidP="00D0740F">
      <w:pPr>
        <w:pStyle w:val="Heading2"/>
        <w:numPr>
          <w:ilvl w:val="0"/>
          <w:numId w:val="0"/>
        </w:numPr>
        <w:ind w:left="720" w:hanging="720"/>
      </w:pPr>
      <w:bookmarkStart w:id="8" w:name="_Toc486236022"/>
      <w:r>
        <w:lastRenderedPageBreak/>
        <w:t>Acronyms and abbreviations</w:t>
      </w:r>
      <w:bookmarkEnd w:id="8"/>
    </w:p>
    <w:p w14:paraId="2BC64AAE" w14:textId="1D606EE0" w:rsidR="00A24E32" w:rsidRDefault="00A24E32" w:rsidP="00AD38F7">
      <w:pPr>
        <w:pStyle w:val="Glossary"/>
        <w:tabs>
          <w:tab w:val="left" w:pos="2190"/>
        </w:tabs>
        <w:rPr>
          <w:lang w:eastAsia="ja-JP"/>
        </w:rPr>
      </w:pPr>
      <w:r>
        <w:rPr>
          <w:lang w:eastAsia="ja-JP"/>
        </w:rPr>
        <w:t>ABARES</w:t>
      </w:r>
      <w:r w:rsidR="00AD38F7">
        <w:rPr>
          <w:lang w:eastAsia="ja-JP"/>
        </w:rPr>
        <w:tab/>
        <w:t>Australian Bure</w:t>
      </w:r>
      <w:r w:rsidR="00C12B2F">
        <w:rPr>
          <w:lang w:eastAsia="ja-JP"/>
        </w:rPr>
        <w:t>au of Agricultural and Resource</w:t>
      </w:r>
      <w:r w:rsidR="00AD38F7">
        <w:rPr>
          <w:lang w:eastAsia="ja-JP"/>
        </w:rPr>
        <w:t xml:space="preserve"> Economics and Sciences</w:t>
      </w:r>
    </w:p>
    <w:p w14:paraId="712BBB57" w14:textId="77777777" w:rsidR="005F2E75" w:rsidRDefault="005F2E75" w:rsidP="005F2E75">
      <w:pPr>
        <w:pStyle w:val="Glossary"/>
        <w:rPr>
          <w:lang w:eastAsia="ja-JP"/>
        </w:rPr>
      </w:pPr>
      <w:r>
        <w:rPr>
          <w:lang w:eastAsia="ja-JP"/>
        </w:rPr>
        <w:t>AGMIN</w:t>
      </w:r>
      <w:r>
        <w:rPr>
          <w:lang w:eastAsia="ja-JP"/>
        </w:rPr>
        <w:tab/>
        <w:t>Agriculture Ministers’ Forum</w:t>
      </w:r>
    </w:p>
    <w:p w14:paraId="35BEF968" w14:textId="77777777" w:rsidR="005F2E75" w:rsidRDefault="005F2E75" w:rsidP="005F2E75">
      <w:pPr>
        <w:pStyle w:val="Glossary"/>
        <w:rPr>
          <w:lang w:eastAsia="ja-JP"/>
        </w:rPr>
      </w:pPr>
      <w:r>
        <w:rPr>
          <w:lang w:eastAsia="ja-JP"/>
        </w:rPr>
        <w:t>AGSOC</w:t>
      </w:r>
      <w:r>
        <w:rPr>
          <w:lang w:eastAsia="ja-JP"/>
        </w:rPr>
        <w:tab/>
        <w:t xml:space="preserve">Agriculture Senior </w:t>
      </w:r>
      <w:r w:rsidR="003412A0">
        <w:rPr>
          <w:lang w:eastAsia="ja-JP"/>
        </w:rPr>
        <w:t>O</w:t>
      </w:r>
      <w:r>
        <w:rPr>
          <w:lang w:eastAsia="ja-JP"/>
        </w:rPr>
        <w:t>fficials Committee</w:t>
      </w:r>
    </w:p>
    <w:p w14:paraId="7A72EDE8" w14:textId="77777777" w:rsidR="005F2E75" w:rsidRDefault="005F2E75" w:rsidP="005F2E75">
      <w:pPr>
        <w:pStyle w:val="Glossary"/>
        <w:rPr>
          <w:lang w:eastAsia="ja-JP"/>
        </w:rPr>
      </w:pPr>
      <w:r>
        <w:rPr>
          <w:lang w:eastAsia="ja-JP"/>
        </w:rPr>
        <w:t>AHA</w:t>
      </w:r>
      <w:r>
        <w:rPr>
          <w:lang w:eastAsia="ja-JP"/>
        </w:rPr>
        <w:tab/>
        <w:t>Animal Health Australia</w:t>
      </w:r>
    </w:p>
    <w:p w14:paraId="261DE966" w14:textId="77777777" w:rsidR="005F2E75" w:rsidRDefault="005F2E75" w:rsidP="005F2E75">
      <w:pPr>
        <w:pStyle w:val="Glossary"/>
        <w:rPr>
          <w:lang w:eastAsia="ja-JP"/>
        </w:rPr>
      </w:pPr>
      <w:r>
        <w:rPr>
          <w:lang w:eastAsia="ja-JP"/>
        </w:rPr>
        <w:t>AHC</w:t>
      </w:r>
      <w:r>
        <w:rPr>
          <w:lang w:eastAsia="ja-JP"/>
        </w:rPr>
        <w:tab/>
        <w:t xml:space="preserve">Animal </w:t>
      </w:r>
      <w:r w:rsidR="003412A0">
        <w:rPr>
          <w:lang w:eastAsia="ja-JP"/>
        </w:rPr>
        <w:t>H</w:t>
      </w:r>
      <w:r>
        <w:rPr>
          <w:lang w:eastAsia="ja-JP"/>
        </w:rPr>
        <w:t>ealth Committee</w:t>
      </w:r>
    </w:p>
    <w:p w14:paraId="648FBB4E" w14:textId="77777777" w:rsidR="005F2E75" w:rsidRDefault="005F2E75" w:rsidP="005F2E75">
      <w:pPr>
        <w:pStyle w:val="Glossary"/>
        <w:rPr>
          <w:lang w:eastAsia="ja-JP"/>
        </w:rPr>
      </w:pPr>
      <w:r>
        <w:rPr>
          <w:lang w:eastAsia="ja-JP"/>
        </w:rPr>
        <w:t>ALOP</w:t>
      </w:r>
      <w:r>
        <w:rPr>
          <w:lang w:eastAsia="ja-JP"/>
        </w:rPr>
        <w:tab/>
        <w:t>Appropriate Level of Protection</w:t>
      </w:r>
    </w:p>
    <w:p w14:paraId="79118396" w14:textId="77777777" w:rsidR="005F2E75" w:rsidRDefault="005F2E75" w:rsidP="005F2E75">
      <w:pPr>
        <w:pStyle w:val="Glossary"/>
        <w:rPr>
          <w:lang w:eastAsia="ja-JP"/>
        </w:rPr>
      </w:pPr>
      <w:r>
        <w:rPr>
          <w:lang w:eastAsia="ja-JP"/>
        </w:rPr>
        <w:t>BIRA</w:t>
      </w:r>
      <w:r>
        <w:rPr>
          <w:lang w:eastAsia="ja-JP"/>
        </w:rPr>
        <w:tab/>
        <w:t>Biosecurity Import Risk Analysis</w:t>
      </w:r>
    </w:p>
    <w:p w14:paraId="2F6F9196" w14:textId="540CF13F" w:rsidR="005C2D67" w:rsidRDefault="005C2D67" w:rsidP="005F2E75">
      <w:pPr>
        <w:pStyle w:val="Glossary"/>
        <w:rPr>
          <w:lang w:eastAsia="ja-JP"/>
        </w:rPr>
      </w:pPr>
      <w:r>
        <w:rPr>
          <w:lang w:eastAsia="ja-JP"/>
        </w:rPr>
        <w:t>CCEBO</w:t>
      </w:r>
      <w:r>
        <w:rPr>
          <w:lang w:eastAsia="ja-JP"/>
        </w:rPr>
        <w:tab/>
        <w:t>Chief Community and Environmental Biosecurity Officer</w:t>
      </w:r>
    </w:p>
    <w:p w14:paraId="0F8FDE19" w14:textId="15A4D772" w:rsidR="005C2D67" w:rsidRDefault="005C2D67" w:rsidP="005F2E75">
      <w:pPr>
        <w:pStyle w:val="Glossary"/>
        <w:rPr>
          <w:lang w:eastAsia="ja-JP"/>
        </w:rPr>
      </w:pPr>
      <w:r>
        <w:rPr>
          <w:lang w:eastAsia="ja-JP"/>
        </w:rPr>
        <w:t>CEBC</w:t>
      </w:r>
      <w:r>
        <w:rPr>
          <w:lang w:eastAsia="ja-JP"/>
        </w:rPr>
        <w:tab/>
        <w:t>Community and Environmental Biosecurity Committee</w:t>
      </w:r>
    </w:p>
    <w:p w14:paraId="2015CC61" w14:textId="3BF88566" w:rsidR="00545A83" w:rsidRDefault="00545A83" w:rsidP="00545A83">
      <w:pPr>
        <w:pStyle w:val="Glossary"/>
        <w:tabs>
          <w:tab w:val="left" w:pos="2310"/>
        </w:tabs>
        <w:rPr>
          <w:lang w:eastAsia="ja-JP"/>
        </w:rPr>
      </w:pPr>
      <w:r>
        <w:rPr>
          <w:lang w:eastAsia="ja-JP"/>
        </w:rPr>
        <w:t>CEBRA</w:t>
      </w:r>
      <w:r>
        <w:rPr>
          <w:lang w:eastAsia="ja-JP"/>
        </w:rPr>
        <w:tab/>
        <w:t>Centre of Excellenc</w:t>
      </w:r>
      <w:r w:rsidR="00A26781">
        <w:rPr>
          <w:lang w:eastAsia="ja-JP"/>
        </w:rPr>
        <w:t>e for Biosecurity Risk Analysis</w:t>
      </w:r>
    </w:p>
    <w:p w14:paraId="2FF2130B" w14:textId="6E4BD846" w:rsidR="005F2E75" w:rsidRDefault="005F2E75" w:rsidP="005F2E75">
      <w:pPr>
        <w:pStyle w:val="Glossary"/>
        <w:rPr>
          <w:lang w:eastAsia="ja-JP"/>
        </w:rPr>
      </w:pPr>
      <w:r>
        <w:rPr>
          <w:lang w:eastAsia="ja-JP"/>
        </w:rPr>
        <w:t>COAG</w:t>
      </w:r>
      <w:r>
        <w:rPr>
          <w:lang w:eastAsia="ja-JP"/>
        </w:rPr>
        <w:tab/>
        <w:t>Co</w:t>
      </w:r>
      <w:r w:rsidR="00A26781">
        <w:rPr>
          <w:lang w:eastAsia="ja-JP"/>
        </w:rPr>
        <w:t>uncil of Australian Governments</w:t>
      </w:r>
    </w:p>
    <w:p w14:paraId="74D16914" w14:textId="77777777" w:rsidR="00D32DA0" w:rsidRDefault="00D32DA0" w:rsidP="00D32DA0">
      <w:pPr>
        <w:pStyle w:val="Glossary"/>
        <w:tabs>
          <w:tab w:val="left" w:pos="2250"/>
        </w:tabs>
        <w:rPr>
          <w:lang w:eastAsia="ja-JP"/>
        </w:rPr>
      </w:pPr>
      <w:r>
        <w:rPr>
          <w:lang w:eastAsia="ja-JP"/>
        </w:rPr>
        <w:t>CSIRO</w:t>
      </w:r>
      <w:r>
        <w:rPr>
          <w:lang w:eastAsia="ja-JP"/>
        </w:rPr>
        <w:tab/>
        <w:t>Commonwealth Scientific and Industrial Research Organisation</w:t>
      </w:r>
    </w:p>
    <w:p w14:paraId="20B92D89" w14:textId="77777777" w:rsidR="00D32DA0" w:rsidRDefault="00D32DA0" w:rsidP="00D32DA0">
      <w:pPr>
        <w:pStyle w:val="Glossary"/>
        <w:tabs>
          <w:tab w:val="left" w:pos="2280"/>
        </w:tabs>
        <w:rPr>
          <w:lang w:eastAsia="ja-JP"/>
        </w:rPr>
      </w:pPr>
      <w:r>
        <w:rPr>
          <w:lang w:eastAsia="ja-JP"/>
        </w:rPr>
        <w:t>EADRA</w:t>
      </w:r>
      <w:r>
        <w:rPr>
          <w:lang w:eastAsia="ja-JP"/>
        </w:rPr>
        <w:tab/>
        <w:t>Emergency Animal Disease Response Agreement</w:t>
      </w:r>
    </w:p>
    <w:p w14:paraId="48C6AAE2" w14:textId="3E803F6F" w:rsidR="004554BF" w:rsidRDefault="004554BF" w:rsidP="00D32DA0">
      <w:pPr>
        <w:pStyle w:val="Glossary"/>
        <w:tabs>
          <w:tab w:val="left" w:pos="2280"/>
        </w:tabs>
        <w:rPr>
          <w:lang w:eastAsia="ja-JP"/>
        </w:rPr>
      </w:pPr>
      <w:r>
        <w:rPr>
          <w:lang w:eastAsia="ja-JP"/>
        </w:rPr>
        <w:t>EPBC Act</w:t>
      </w:r>
      <w:r>
        <w:rPr>
          <w:lang w:eastAsia="ja-JP"/>
        </w:rPr>
        <w:tab/>
      </w:r>
      <w:r w:rsidRPr="004554BF">
        <w:rPr>
          <w:i/>
          <w:lang w:eastAsia="ja-JP"/>
        </w:rPr>
        <w:t>Environment Protection and Biodiversity Conservation Act 1999</w:t>
      </w:r>
      <w:r w:rsidRPr="004554BF">
        <w:rPr>
          <w:lang w:eastAsia="ja-JP"/>
        </w:rPr>
        <w:t xml:space="preserve"> (Cwlth)</w:t>
      </w:r>
    </w:p>
    <w:p w14:paraId="7B14B19D" w14:textId="77777777" w:rsidR="00D32DA0" w:rsidRDefault="00D32DA0" w:rsidP="00D32DA0">
      <w:pPr>
        <w:pStyle w:val="Glossary"/>
        <w:tabs>
          <w:tab w:val="left" w:pos="2280"/>
        </w:tabs>
        <w:rPr>
          <w:lang w:eastAsia="ja-JP"/>
        </w:rPr>
      </w:pPr>
      <w:r>
        <w:rPr>
          <w:lang w:eastAsia="ja-JP"/>
        </w:rPr>
        <w:t>EPPRD</w:t>
      </w:r>
      <w:r>
        <w:rPr>
          <w:lang w:eastAsia="ja-JP"/>
        </w:rPr>
        <w:tab/>
        <w:t>Emergency Plant Pest Response Deed</w:t>
      </w:r>
    </w:p>
    <w:p w14:paraId="63EED3DC" w14:textId="77777777" w:rsidR="005F2E75" w:rsidRDefault="005F2E75" w:rsidP="005F2E75">
      <w:pPr>
        <w:pStyle w:val="Glossary"/>
        <w:rPr>
          <w:lang w:eastAsia="ja-JP"/>
        </w:rPr>
      </w:pPr>
      <w:r>
        <w:rPr>
          <w:lang w:eastAsia="ja-JP"/>
        </w:rPr>
        <w:t>IGAB</w:t>
      </w:r>
      <w:r>
        <w:rPr>
          <w:lang w:eastAsia="ja-JP"/>
        </w:rPr>
        <w:tab/>
        <w:t>Intergovernmental Agreement on Biosecurity</w:t>
      </w:r>
    </w:p>
    <w:p w14:paraId="3E2F9EFE" w14:textId="1A72C5A7" w:rsidR="0067776F" w:rsidRDefault="0067776F" w:rsidP="005F2E75">
      <w:pPr>
        <w:pStyle w:val="Glossary"/>
        <w:rPr>
          <w:lang w:eastAsia="ja-JP"/>
        </w:rPr>
      </w:pPr>
      <w:r>
        <w:rPr>
          <w:lang w:eastAsia="ja-JP"/>
        </w:rPr>
        <w:t>IGAE</w:t>
      </w:r>
      <w:r>
        <w:rPr>
          <w:lang w:eastAsia="ja-JP"/>
        </w:rPr>
        <w:tab/>
        <w:t xml:space="preserve">Intergovernmental Agreement on the Environment </w:t>
      </w:r>
    </w:p>
    <w:p w14:paraId="5C429AA1" w14:textId="27B456F8" w:rsidR="003D24CF" w:rsidRDefault="003D24CF" w:rsidP="00F13DE0">
      <w:pPr>
        <w:pStyle w:val="Glossary"/>
        <w:tabs>
          <w:tab w:val="left" w:pos="2400"/>
        </w:tabs>
        <w:rPr>
          <w:lang w:eastAsia="ja-JP"/>
        </w:rPr>
      </w:pPr>
      <w:r>
        <w:rPr>
          <w:lang w:eastAsia="ja-JP"/>
        </w:rPr>
        <w:t>IPAC</w:t>
      </w:r>
      <w:r w:rsidR="00F13DE0">
        <w:rPr>
          <w:lang w:eastAsia="ja-JP"/>
        </w:rPr>
        <w:tab/>
      </w:r>
      <w:r w:rsidR="00D41485">
        <w:rPr>
          <w:lang w:eastAsia="ja-JP"/>
        </w:rPr>
        <w:t xml:space="preserve">Invasive </w:t>
      </w:r>
      <w:r w:rsidR="00E96A9A">
        <w:rPr>
          <w:lang w:eastAsia="ja-JP"/>
        </w:rPr>
        <w:t>Plants and</w:t>
      </w:r>
      <w:r w:rsidR="00D41485">
        <w:rPr>
          <w:lang w:eastAsia="ja-JP"/>
        </w:rPr>
        <w:t xml:space="preserve"> Animal</w:t>
      </w:r>
      <w:r w:rsidR="00E96A9A">
        <w:rPr>
          <w:lang w:eastAsia="ja-JP"/>
        </w:rPr>
        <w:t>s</w:t>
      </w:r>
      <w:r w:rsidR="00D41485">
        <w:rPr>
          <w:lang w:eastAsia="ja-JP"/>
        </w:rPr>
        <w:t xml:space="preserve"> Committee</w:t>
      </w:r>
    </w:p>
    <w:p w14:paraId="5557B40D" w14:textId="20A32BC5" w:rsidR="00390DE7" w:rsidRDefault="00390DE7" w:rsidP="00F13DE0">
      <w:pPr>
        <w:pStyle w:val="Glossary"/>
        <w:tabs>
          <w:tab w:val="left" w:pos="2400"/>
        </w:tabs>
        <w:rPr>
          <w:lang w:eastAsia="ja-JP"/>
        </w:rPr>
      </w:pPr>
      <w:r>
        <w:rPr>
          <w:lang w:eastAsia="ja-JP"/>
        </w:rPr>
        <w:t>MPSC</w:t>
      </w:r>
      <w:r>
        <w:rPr>
          <w:lang w:eastAsia="ja-JP"/>
        </w:rPr>
        <w:tab/>
        <w:t>Marine Pest Sectoral Committee</w:t>
      </w:r>
    </w:p>
    <w:p w14:paraId="0232E80F" w14:textId="77777777" w:rsidR="005F2E75" w:rsidRDefault="005F2E75" w:rsidP="005F2E75">
      <w:pPr>
        <w:pStyle w:val="Glossary"/>
        <w:rPr>
          <w:lang w:eastAsia="ja-JP"/>
        </w:rPr>
      </w:pPr>
      <w:r>
        <w:rPr>
          <w:lang w:eastAsia="ja-JP"/>
        </w:rPr>
        <w:t>NEBRA</w:t>
      </w:r>
      <w:r>
        <w:rPr>
          <w:lang w:eastAsia="ja-JP"/>
        </w:rPr>
        <w:tab/>
        <w:t>National Environmental Biosecurity Response Agreement</w:t>
      </w:r>
    </w:p>
    <w:p w14:paraId="75FD4B8E" w14:textId="77777777" w:rsidR="005F2E75" w:rsidRDefault="005F2E75" w:rsidP="005F2E75">
      <w:pPr>
        <w:pStyle w:val="Glossary"/>
        <w:rPr>
          <w:lang w:eastAsia="ja-JP"/>
        </w:rPr>
      </w:pPr>
      <w:r>
        <w:rPr>
          <w:lang w:eastAsia="ja-JP"/>
        </w:rPr>
        <w:t>NBC</w:t>
      </w:r>
      <w:r>
        <w:rPr>
          <w:lang w:eastAsia="ja-JP"/>
        </w:rPr>
        <w:tab/>
        <w:t>National Biosecurity Committee</w:t>
      </w:r>
    </w:p>
    <w:p w14:paraId="0A390E03" w14:textId="362F175D" w:rsidR="00FE6C78" w:rsidRDefault="00FE6C78" w:rsidP="005F2E75">
      <w:pPr>
        <w:pStyle w:val="Glossary"/>
        <w:rPr>
          <w:lang w:eastAsia="ja-JP"/>
        </w:rPr>
      </w:pPr>
      <w:r>
        <w:rPr>
          <w:lang w:eastAsia="ja-JP"/>
        </w:rPr>
        <w:t>NPIRDEF</w:t>
      </w:r>
      <w:r>
        <w:rPr>
          <w:lang w:eastAsia="ja-JP"/>
        </w:rPr>
        <w:tab/>
        <w:t xml:space="preserve">National </w:t>
      </w:r>
      <w:r w:rsidR="00072C52">
        <w:rPr>
          <w:lang w:eastAsia="ja-JP"/>
        </w:rPr>
        <w:t>P</w:t>
      </w:r>
      <w:r>
        <w:rPr>
          <w:lang w:eastAsia="ja-JP"/>
        </w:rPr>
        <w:t>rimary Industries Research</w:t>
      </w:r>
      <w:r w:rsidR="00D41CF5">
        <w:rPr>
          <w:lang w:eastAsia="ja-JP"/>
        </w:rPr>
        <w:t>,</w:t>
      </w:r>
      <w:r>
        <w:rPr>
          <w:lang w:eastAsia="ja-JP"/>
        </w:rPr>
        <w:t xml:space="preserve"> Development and Extension Framework</w:t>
      </w:r>
    </w:p>
    <w:p w14:paraId="66FAC0AF" w14:textId="65517AA7" w:rsidR="00390DE7" w:rsidRDefault="00390DE7" w:rsidP="00390DE7">
      <w:pPr>
        <w:pStyle w:val="Glossary"/>
        <w:tabs>
          <w:tab w:val="left" w:pos="2370"/>
        </w:tabs>
        <w:rPr>
          <w:lang w:eastAsia="ja-JP"/>
        </w:rPr>
      </w:pPr>
      <w:r>
        <w:rPr>
          <w:lang w:eastAsia="ja-JP"/>
        </w:rPr>
        <w:t>OIE</w:t>
      </w:r>
      <w:r>
        <w:rPr>
          <w:lang w:eastAsia="ja-JP"/>
        </w:rPr>
        <w:tab/>
        <w:t>World Organisation for Animal Health</w:t>
      </w:r>
    </w:p>
    <w:p w14:paraId="270BB4C3" w14:textId="77777777" w:rsidR="005F2E75" w:rsidRDefault="005F2E75" w:rsidP="005F2E75">
      <w:pPr>
        <w:pStyle w:val="Glossary"/>
        <w:rPr>
          <w:lang w:eastAsia="ja-JP"/>
        </w:rPr>
      </w:pPr>
      <w:r>
        <w:rPr>
          <w:lang w:eastAsia="ja-JP"/>
        </w:rPr>
        <w:t>PHA</w:t>
      </w:r>
      <w:r>
        <w:rPr>
          <w:lang w:eastAsia="ja-JP"/>
        </w:rPr>
        <w:tab/>
        <w:t>Plant Health Australia</w:t>
      </w:r>
    </w:p>
    <w:p w14:paraId="07226F6A" w14:textId="77777777" w:rsidR="005F2E75" w:rsidRDefault="005F2E75" w:rsidP="005F2E75">
      <w:pPr>
        <w:pStyle w:val="Glossary"/>
        <w:rPr>
          <w:lang w:eastAsia="ja-JP"/>
        </w:rPr>
      </w:pPr>
      <w:r>
        <w:rPr>
          <w:lang w:eastAsia="ja-JP"/>
        </w:rPr>
        <w:lastRenderedPageBreak/>
        <w:t>PHC</w:t>
      </w:r>
      <w:r>
        <w:rPr>
          <w:lang w:eastAsia="ja-JP"/>
        </w:rPr>
        <w:tab/>
        <w:t xml:space="preserve">Plant </w:t>
      </w:r>
      <w:r w:rsidR="003412A0">
        <w:rPr>
          <w:lang w:eastAsia="ja-JP"/>
        </w:rPr>
        <w:t>H</w:t>
      </w:r>
      <w:r>
        <w:rPr>
          <w:lang w:eastAsia="ja-JP"/>
        </w:rPr>
        <w:t>ealth Committee</w:t>
      </w:r>
    </w:p>
    <w:p w14:paraId="5B2FA2F8" w14:textId="00EDCAAB" w:rsidR="00072C52" w:rsidRPr="005F2E75" w:rsidRDefault="00072C52" w:rsidP="005F2E75">
      <w:pPr>
        <w:pStyle w:val="Glossary"/>
        <w:rPr>
          <w:lang w:eastAsia="ja-JP"/>
        </w:rPr>
      </w:pPr>
      <w:r>
        <w:rPr>
          <w:lang w:eastAsia="ja-JP"/>
        </w:rPr>
        <w:t>PICs</w:t>
      </w:r>
      <w:r>
        <w:rPr>
          <w:lang w:eastAsia="ja-JP"/>
        </w:rPr>
        <w:tab/>
        <w:t>Property identification codes</w:t>
      </w:r>
    </w:p>
    <w:p w14:paraId="4F18EF6D" w14:textId="1CF00AD3" w:rsidR="006854A2" w:rsidRDefault="00786398" w:rsidP="006854A2">
      <w:pPr>
        <w:pStyle w:val="Glossary"/>
        <w:tabs>
          <w:tab w:val="left" w:pos="2265"/>
        </w:tabs>
        <w:rPr>
          <w:lang w:eastAsia="ja-JP"/>
        </w:rPr>
      </w:pPr>
      <w:r>
        <w:rPr>
          <w:lang w:eastAsia="ja-JP"/>
        </w:rPr>
        <w:t>PITMA</w:t>
      </w:r>
      <w:r w:rsidR="006854A2">
        <w:rPr>
          <w:lang w:eastAsia="ja-JP"/>
        </w:rPr>
        <w:t>T</w:t>
      </w:r>
      <w:r>
        <w:rPr>
          <w:lang w:eastAsia="ja-JP"/>
        </w:rPr>
        <w:t>D</w:t>
      </w:r>
      <w:r w:rsidR="006854A2">
        <w:rPr>
          <w:lang w:eastAsia="ja-JP"/>
        </w:rPr>
        <w:tab/>
      </w:r>
      <w:r w:rsidR="006854A2" w:rsidRPr="009F248E">
        <w:rPr>
          <w:lang w:eastAsia="ja-JP"/>
        </w:rPr>
        <w:t>Primary Industries Technical Market Access and Trade Development Task Group</w:t>
      </w:r>
    </w:p>
    <w:p w14:paraId="60F27A06" w14:textId="77777777" w:rsidR="00426B1F" w:rsidRDefault="00426B1F" w:rsidP="00426B1F">
      <w:pPr>
        <w:pStyle w:val="Glossary"/>
        <w:tabs>
          <w:tab w:val="left" w:pos="2220"/>
        </w:tabs>
        <w:rPr>
          <w:lang w:eastAsia="ja-JP"/>
        </w:rPr>
      </w:pPr>
      <w:r>
        <w:t>R&amp;I</w:t>
      </w:r>
      <w:r>
        <w:tab/>
        <w:t>Research and innovation</w:t>
      </w:r>
    </w:p>
    <w:p w14:paraId="0AA6121A" w14:textId="77777777" w:rsidR="00A9051C" w:rsidRDefault="003D24CF" w:rsidP="003D24CF">
      <w:pPr>
        <w:pStyle w:val="Glossary"/>
        <w:tabs>
          <w:tab w:val="left" w:pos="2220"/>
        </w:tabs>
        <w:rPr>
          <w:lang w:eastAsia="ja-JP"/>
        </w:rPr>
      </w:pPr>
      <w:r>
        <w:rPr>
          <w:lang w:eastAsia="ja-JP"/>
        </w:rPr>
        <w:t>RDCs</w:t>
      </w:r>
      <w:r>
        <w:rPr>
          <w:lang w:eastAsia="ja-JP"/>
        </w:rPr>
        <w:tab/>
        <w:t>Research and Development Corporations</w:t>
      </w:r>
    </w:p>
    <w:p w14:paraId="0A61B57E" w14:textId="2ADA3872" w:rsidR="00EF5B30" w:rsidRDefault="00EF5B30" w:rsidP="003D24CF">
      <w:pPr>
        <w:pStyle w:val="Glossary"/>
        <w:tabs>
          <w:tab w:val="left" w:pos="2220"/>
        </w:tabs>
        <w:rPr>
          <w:lang w:eastAsia="ja-JP"/>
        </w:rPr>
      </w:pPr>
      <w:r>
        <w:rPr>
          <w:lang w:eastAsia="ja-JP"/>
        </w:rPr>
        <w:t>RD&amp;E</w:t>
      </w:r>
      <w:r>
        <w:rPr>
          <w:lang w:eastAsia="ja-JP"/>
        </w:rPr>
        <w:tab/>
        <w:t>Research, Development and Extension</w:t>
      </w:r>
    </w:p>
    <w:p w14:paraId="297B3FCC" w14:textId="62F5FCD6" w:rsidR="00897C13" w:rsidRDefault="00897C13" w:rsidP="003D24CF">
      <w:pPr>
        <w:pStyle w:val="Glossary"/>
        <w:tabs>
          <w:tab w:val="left" w:pos="2220"/>
        </w:tabs>
      </w:pPr>
      <w:r>
        <w:rPr>
          <w:lang w:eastAsia="ja-JP"/>
        </w:rPr>
        <w:t>RIFA</w:t>
      </w:r>
      <w:r>
        <w:rPr>
          <w:lang w:eastAsia="ja-JP"/>
        </w:rPr>
        <w:tab/>
        <w:t xml:space="preserve">Red Imported Fire Ant </w:t>
      </w:r>
      <w:r>
        <w:t>(</w:t>
      </w:r>
      <w:r w:rsidRPr="001C205C">
        <w:rPr>
          <w:i/>
        </w:rPr>
        <w:t>Solenopsis invicta</w:t>
      </w:r>
      <w:r>
        <w:rPr>
          <w:i/>
        </w:rPr>
        <w:t xml:space="preserve"> </w:t>
      </w:r>
      <w:r>
        <w:t>Buren)</w:t>
      </w:r>
    </w:p>
    <w:p w14:paraId="68702E0B" w14:textId="2BAE02BA" w:rsidR="00F82D83" w:rsidRDefault="00F82D83" w:rsidP="003D24CF">
      <w:pPr>
        <w:pStyle w:val="Glossary"/>
        <w:tabs>
          <w:tab w:val="left" w:pos="2220"/>
        </w:tabs>
        <w:rPr>
          <w:lang w:eastAsia="ja-JP"/>
        </w:rPr>
      </w:pPr>
      <w:r>
        <w:rPr>
          <w:lang w:eastAsia="ja-JP"/>
        </w:rPr>
        <w:t>RRRA model</w:t>
      </w:r>
      <w:r>
        <w:rPr>
          <w:lang w:eastAsia="ja-JP"/>
        </w:rPr>
        <w:tab/>
        <w:t xml:space="preserve">Risk Return Resource Allocation (RRRA) model, as developed by the Australian Government </w:t>
      </w:r>
      <w:r w:rsidR="00AE757B">
        <w:rPr>
          <w:lang w:eastAsia="ja-JP"/>
        </w:rPr>
        <w:t>agriculture de</w:t>
      </w:r>
      <w:r w:rsidR="00A26781">
        <w:rPr>
          <w:lang w:eastAsia="ja-JP"/>
        </w:rPr>
        <w:t>partment</w:t>
      </w:r>
    </w:p>
    <w:p w14:paraId="70BE6506" w14:textId="3EE09B61" w:rsidR="006D76CD" w:rsidRDefault="006D76CD" w:rsidP="003D24CF">
      <w:pPr>
        <w:pStyle w:val="Glossary"/>
        <w:tabs>
          <w:tab w:val="left" w:pos="2220"/>
        </w:tabs>
        <w:rPr>
          <w:lang w:eastAsia="ja-JP"/>
        </w:rPr>
      </w:pPr>
      <w:r>
        <w:rPr>
          <w:lang w:eastAsia="ja-JP"/>
        </w:rPr>
        <w:t>SPS Agreement</w:t>
      </w:r>
      <w:r>
        <w:rPr>
          <w:lang w:eastAsia="ja-JP"/>
        </w:rPr>
        <w:tab/>
        <w:t>Agreement on the Application of Sanitary and Phytosanitary Measures</w:t>
      </w:r>
    </w:p>
    <w:p w14:paraId="7CDCE821" w14:textId="38F0218E" w:rsidR="006D76CD" w:rsidRDefault="006D76CD" w:rsidP="003D24CF">
      <w:pPr>
        <w:pStyle w:val="Glossary"/>
        <w:tabs>
          <w:tab w:val="left" w:pos="2220"/>
        </w:tabs>
        <w:rPr>
          <w:lang w:eastAsia="ja-JP"/>
        </w:rPr>
        <w:sectPr w:rsidR="006D76CD" w:rsidSect="001D6B85">
          <w:headerReference w:type="default" r:id="rId17"/>
          <w:footerReference w:type="default" r:id="rId18"/>
          <w:headerReference w:type="first" r:id="rId19"/>
          <w:footerReference w:type="first" r:id="rId20"/>
          <w:pgSz w:w="11906" w:h="16838" w:code="9"/>
          <w:pgMar w:top="1418" w:right="1418" w:bottom="1418" w:left="1418" w:header="567" w:footer="284" w:gutter="0"/>
          <w:pgNumType w:fmt="lowerRoman" w:start="1"/>
          <w:cols w:space="708"/>
          <w:titlePg/>
          <w:docGrid w:linePitch="360"/>
        </w:sectPr>
      </w:pPr>
      <w:r>
        <w:rPr>
          <w:lang w:eastAsia="ja-JP"/>
        </w:rPr>
        <w:t>WTO</w:t>
      </w:r>
      <w:r>
        <w:rPr>
          <w:lang w:eastAsia="ja-JP"/>
        </w:rPr>
        <w:tab/>
        <w:t>World Trade Organization</w:t>
      </w:r>
    </w:p>
    <w:p w14:paraId="20111955" w14:textId="6582EF84" w:rsidR="0003507A" w:rsidRDefault="001B2AB1" w:rsidP="00AB06E7">
      <w:pPr>
        <w:pStyle w:val="Heading2"/>
      </w:pPr>
      <w:bookmarkStart w:id="9" w:name="_Australia’s_biosecurity_system"/>
      <w:bookmarkStart w:id="10" w:name="_Toc430782151"/>
      <w:bookmarkStart w:id="11" w:name="_Toc486236023"/>
      <w:bookmarkEnd w:id="7"/>
      <w:bookmarkEnd w:id="9"/>
      <w:r>
        <w:lastRenderedPageBreak/>
        <w:t>Australia’s biosecurity system</w:t>
      </w:r>
      <w:bookmarkEnd w:id="10"/>
      <w:bookmarkEnd w:id="11"/>
    </w:p>
    <w:p w14:paraId="4B0599F6" w14:textId="00DED1DC" w:rsidR="001B2AB1" w:rsidRDefault="001B2AB1" w:rsidP="001B2AB1">
      <w:r>
        <w:t xml:space="preserve">Australia’s biosecurity system plays a critical role in protecting the quality of life of all Australians and our place on the world stage: our </w:t>
      </w:r>
      <w:r w:rsidR="0003694B">
        <w:t>first</w:t>
      </w:r>
      <w:r>
        <w:t>-class produce is safe and available to domestic and international consumers</w:t>
      </w:r>
      <w:r w:rsidR="00A24E32">
        <w:t>;</w:t>
      </w:r>
      <w:r>
        <w:t xml:space="preserve"> we have access to premium agricultural trade markets</w:t>
      </w:r>
      <w:r w:rsidR="00A24E32">
        <w:t>;</w:t>
      </w:r>
      <w:r>
        <w:t xml:space="preserve"> our native fauna and flora (and their diversity) are unique and of immeasurable value</w:t>
      </w:r>
      <w:r w:rsidR="00A24E32">
        <w:t>;</w:t>
      </w:r>
      <w:r>
        <w:t xml:space="preserve"> we are free from many of the major animal, plant and environmental pests and diseases found in other parts of the world; and our natural, social and urban amenities ensure we remain a highly desirable and rewarding destination for tourists and other visitors. These economic, environmental </w:t>
      </w:r>
      <w:r w:rsidR="00CB4F84">
        <w:t xml:space="preserve">and </w:t>
      </w:r>
      <w:r>
        <w:t>social benefits</w:t>
      </w:r>
      <w:r w:rsidR="00CB4F84">
        <w:t>,</w:t>
      </w:r>
      <w:r>
        <w:t xml:space="preserve"> and Australia’s reputational advantages—worth many billions of dollars—rely on a strong and focused national biosecurity system.</w:t>
      </w:r>
    </w:p>
    <w:p w14:paraId="30F0422B" w14:textId="7F259C5E" w:rsidR="001B2AB1" w:rsidRDefault="001B2AB1" w:rsidP="001B2AB1">
      <w:r>
        <w:t>All Australian governments have agreed, consistent with our obligations as a member of the World Trade Organization</w:t>
      </w:r>
      <w:r w:rsidR="006D76CD">
        <w:t xml:space="preserve"> and signatory </w:t>
      </w:r>
      <w:r w:rsidR="006D76CD" w:rsidRPr="006D76CD">
        <w:t>to the Agreement on the Application of Sanitary and Phytosanitary Measures (the SPS Agreement)</w:t>
      </w:r>
      <w:r w:rsidRPr="00933868">
        <w:t>,</w:t>
      </w:r>
      <w:r>
        <w:t xml:space="preserve"> to maintain a level of protection considered appropriate for life or health within our borders—the Appropriate Level of Protection (ALOP). Australia’s ALOP provides for a high-level biosecurity standard aimed at reducing risk to a very low level but not to zero, reflecting community expectations while recognising that zero risk is not feasible. This level applies across the full range of activities that encompass the biosecurity system, where risk-based measures are applied.</w:t>
      </w:r>
    </w:p>
    <w:p w14:paraId="54F037A0" w14:textId="40843652" w:rsidR="00683D8B" w:rsidRDefault="001B2AB1" w:rsidP="00683D8B">
      <w:r w:rsidRPr="00683D8B">
        <w:t>Australia’s biosecurity system is extensive and complex. There are many component parts</w:t>
      </w:r>
      <w:r w:rsidR="0050398D" w:rsidRPr="00683D8B">
        <w:t xml:space="preserve"> </w:t>
      </w:r>
      <w:r w:rsidRPr="00683D8B">
        <w:t>covering the spectrum of pest and disease threats to Australia’s production systems</w:t>
      </w:r>
      <w:r w:rsidR="00A05019" w:rsidRPr="00683D8B">
        <w:t>,</w:t>
      </w:r>
      <w:r w:rsidRPr="00683D8B">
        <w:t xml:space="preserve"> people</w:t>
      </w:r>
      <w:r w:rsidR="0050398D" w:rsidRPr="00683D8B">
        <w:t xml:space="preserve"> and environment</w:t>
      </w:r>
      <w:r w:rsidR="007700A4" w:rsidRPr="00683D8B">
        <w:t xml:space="preserve"> (</w:t>
      </w:r>
      <w:r w:rsidR="00683D8B">
        <w:fldChar w:fldCharType="begin"/>
      </w:r>
      <w:r w:rsidR="00683D8B">
        <w:instrText xml:space="preserve"> REF _Ref482609795 \h </w:instrText>
      </w:r>
      <w:r w:rsidR="00683D8B">
        <w:fldChar w:fldCharType="separate"/>
      </w:r>
      <w:r w:rsidR="009F6923" w:rsidRPr="00621D3E">
        <w:t xml:space="preserve">Figure </w:t>
      </w:r>
      <w:r w:rsidR="009F6923">
        <w:rPr>
          <w:noProof/>
        </w:rPr>
        <w:t>1</w:t>
      </w:r>
      <w:r w:rsidR="00683D8B">
        <w:fldChar w:fldCharType="end"/>
      </w:r>
      <w:r w:rsidR="00683D8B">
        <w:t>).</w:t>
      </w:r>
    </w:p>
    <w:p w14:paraId="0EC87725" w14:textId="3D1C470F" w:rsidR="00AA04AD" w:rsidRPr="00621D3E" w:rsidRDefault="00AA04AD" w:rsidP="00AA04AD">
      <w:pPr>
        <w:pStyle w:val="Caption"/>
        <w:keepNext w:val="0"/>
      </w:pPr>
      <w:bookmarkStart w:id="12" w:name="_Ref467580240"/>
      <w:bookmarkStart w:id="13" w:name="_Ref482609795"/>
      <w:bookmarkStart w:id="14" w:name="_Toc468176736"/>
      <w:r w:rsidRPr="00621D3E">
        <w:t xml:space="preserve">Figure </w:t>
      </w:r>
      <w:fldSimple w:instr=" SEQ Figure \* ARABIC ">
        <w:r w:rsidR="009F6923">
          <w:rPr>
            <w:noProof/>
          </w:rPr>
          <w:t>1</w:t>
        </w:r>
      </w:fldSimple>
      <w:bookmarkEnd w:id="12"/>
      <w:bookmarkEnd w:id="13"/>
      <w:r w:rsidRPr="00621D3E">
        <w:t xml:space="preserve"> Goal and objectives of Australia's biosecurity system</w:t>
      </w:r>
      <w:bookmarkEnd w:id="14"/>
    </w:p>
    <w:p w14:paraId="2B24ABD3" w14:textId="2A8FED65" w:rsidR="002058EA" w:rsidRDefault="002058EA" w:rsidP="002929A7">
      <w:pPr>
        <w:pStyle w:val="Picture"/>
      </w:pPr>
      <w:r>
        <w:lastRenderedPageBreak/>
        <w:drawing>
          <wp:inline distT="0" distB="0" distL="0" distR="0" wp14:anchorId="370959C3" wp14:editId="20F0B102">
            <wp:extent cx="5504518" cy="3637430"/>
            <wp:effectExtent l="0" t="0" r="1270" b="1270"/>
            <wp:docPr id="34" name="Picture 34" descr="Shows the: goal of Australia's biosecurity system, which is to minimise the impact of pests and diseases on Australia’s economy, environment and the community, with resources targeted to manage risk effectively across the continuum (pre-border, at the border and post-border), while facilitating trade and the movement of animals, plants, people, goods, vectors and vessels to, from and within Australia; and, the objectives of the national system, which are to provide arrangements, structures and frameworks that: reduce the likelihood of exotic pests and diseases from entering, becoming established or spreading in Australia (offshore); prepare and respond to incursions (at the border); manage established pests and diseases (onshore); and, strengthen international and domestic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2844" cy="3682581"/>
                    </a:xfrm>
                    <a:prstGeom prst="rect">
                      <a:avLst/>
                    </a:prstGeom>
                    <a:noFill/>
                  </pic:spPr>
                </pic:pic>
              </a:graphicData>
            </a:graphic>
          </wp:inline>
        </w:drawing>
      </w:r>
    </w:p>
    <w:p w14:paraId="7A55190C" w14:textId="4DF72B7B" w:rsidR="00FF5C4F" w:rsidRDefault="00FF5C4F" w:rsidP="00FF5C4F">
      <w:pPr>
        <w:pStyle w:val="FigureTableNoteSource"/>
      </w:pPr>
      <w:r>
        <w:t>Source: 2012 IGAB</w:t>
      </w:r>
      <w:r w:rsidR="007B5D84">
        <w:t>.</w:t>
      </w:r>
    </w:p>
    <w:p w14:paraId="1AF6544A" w14:textId="3E6B12B5" w:rsidR="00EB1C9C" w:rsidRPr="00EB1C9C" w:rsidRDefault="00EB1C9C" w:rsidP="00EB1C9C">
      <w:r>
        <w:t>The system is also multilayered, involving complementary measures applied offshore, at the border and onshore and a broad range of participants, covering all Australian governments (</w:t>
      </w:r>
      <w:r w:rsidRPr="00196EAA">
        <w:t>Australian</w:t>
      </w:r>
      <w:r>
        <w:t xml:space="preserve">, state, territory and local), industry </w:t>
      </w:r>
      <w:r w:rsidR="006E3973">
        <w:t>bodies</w:t>
      </w:r>
      <w:r>
        <w:t xml:space="preserve">, </w:t>
      </w:r>
      <w:r w:rsidR="006E3973" w:rsidRPr="00F1005C">
        <w:rPr>
          <w:rFonts w:eastAsia="Calibri" w:cs="Times New Roman"/>
        </w:rPr>
        <w:t>exporters and importers, farmers, miners, tourists</w:t>
      </w:r>
      <w:r w:rsidR="006E3973">
        <w:rPr>
          <w:rFonts w:eastAsia="Calibri" w:cs="Times New Roman"/>
        </w:rPr>
        <w:t>, researchers</w:t>
      </w:r>
      <w:r w:rsidR="006E3973" w:rsidRPr="00F1005C">
        <w:rPr>
          <w:rFonts w:eastAsia="Calibri" w:cs="Times New Roman"/>
        </w:rPr>
        <w:t xml:space="preserve"> and the broader community</w:t>
      </w:r>
      <w:r>
        <w:t xml:space="preserve">. A strong </w:t>
      </w:r>
      <w:r w:rsidR="000E6DD6">
        <w:t xml:space="preserve">and effective </w:t>
      </w:r>
      <w:r>
        <w:t>system would not be possible without contributions from, and cooperation between, all system participants across the full extent of biosecurity activities.</w:t>
      </w:r>
    </w:p>
    <w:p w14:paraId="08403F29" w14:textId="77777777" w:rsidR="00963034" w:rsidRDefault="00963034" w:rsidP="00963034">
      <w:pPr>
        <w:pStyle w:val="Heading3"/>
        <w:rPr>
          <w:lang w:eastAsia="ja-JP"/>
        </w:rPr>
      </w:pPr>
      <w:bookmarkStart w:id="15" w:name="_Toc486236024"/>
      <w:bookmarkStart w:id="16" w:name="_Toc430782152"/>
      <w:r>
        <w:rPr>
          <w:lang w:eastAsia="ja-JP"/>
        </w:rPr>
        <w:t>Benefits of national biosecurity</w:t>
      </w:r>
      <w:bookmarkEnd w:id="15"/>
    </w:p>
    <w:p w14:paraId="23C3B66D" w14:textId="32C45ED1" w:rsidR="00963034" w:rsidRDefault="00963034" w:rsidP="00963034">
      <w:pPr>
        <w:rPr>
          <w:lang w:eastAsia="ja-JP"/>
        </w:rPr>
      </w:pPr>
      <w:r>
        <w:rPr>
          <w:lang w:eastAsia="ja-JP"/>
        </w:rPr>
        <w:t>Australia’s biosecurity system continues to protect the nation from many exotic pests and diseases. The Australian Government (sub. DP65) highlighted the many benefits of the national system, including:</w:t>
      </w:r>
    </w:p>
    <w:p w14:paraId="263A45B9" w14:textId="77777777" w:rsidR="00963034" w:rsidRDefault="00963034" w:rsidP="00963034">
      <w:pPr>
        <w:pStyle w:val="ListBullet"/>
        <w:rPr>
          <w:lang w:eastAsia="ja-JP"/>
        </w:rPr>
      </w:pPr>
      <w:r>
        <w:rPr>
          <w:lang w:eastAsia="ja-JP"/>
        </w:rPr>
        <w:t>reducing the cost of agricultural production</w:t>
      </w:r>
    </w:p>
    <w:p w14:paraId="249180AF" w14:textId="077EC788" w:rsidR="00963034" w:rsidRDefault="00963034" w:rsidP="00963034">
      <w:pPr>
        <w:pStyle w:val="ListBullet"/>
        <w:rPr>
          <w:lang w:eastAsia="ja-JP"/>
        </w:rPr>
      </w:pPr>
      <w:r>
        <w:rPr>
          <w:lang w:eastAsia="ja-JP"/>
        </w:rPr>
        <w:t>reducing the impact of pests and diseases on our environment (including associated negative impacts on agricultural productivity and amenity)</w:t>
      </w:r>
    </w:p>
    <w:p w14:paraId="7D026F12" w14:textId="474F1E43" w:rsidR="00963034" w:rsidRDefault="00963034" w:rsidP="00963034">
      <w:pPr>
        <w:pStyle w:val="ListBullet"/>
        <w:rPr>
          <w:lang w:eastAsia="ja-JP"/>
        </w:rPr>
      </w:pPr>
      <w:r>
        <w:rPr>
          <w:lang w:eastAsia="ja-JP"/>
        </w:rPr>
        <w:t>safeguarding the health of our community</w:t>
      </w:r>
    </w:p>
    <w:p w14:paraId="616BF9E7" w14:textId="744B8963" w:rsidR="00963034" w:rsidRDefault="00963034" w:rsidP="00963034">
      <w:pPr>
        <w:pStyle w:val="ListBullet"/>
        <w:rPr>
          <w:lang w:eastAsia="ja-JP"/>
        </w:rPr>
      </w:pPr>
      <w:r>
        <w:rPr>
          <w:lang w:eastAsia="ja-JP"/>
        </w:rPr>
        <w:t>supporting animal and plant health</w:t>
      </w:r>
    </w:p>
    <w:p w14:paraId="065EF035" w14:textId="1FA1CAD1" w:rsidR="00963034" w:rsidRDefault="00963034" w:rsidP="00963034">
      <w:pPr>
        <w:pStyle w:val="ListBullet"/>
        <w:rPr>
          <w:lang w:eastAsia="ja-JP"/>
        </w:rPr>
      </w:pPr>
      <w:r>
        <w:rPr>
          <w:lang w:eastAsia="ja-JP"/>
        </w:rPr>
        <w:t>supporting a profitable agricultural industry th</w:t>
      </w:r>
      <w:r w:rsidR="007B32B4">
        <w:rPr>
          <w:lang w:eastAsia="ja-JP"/>
        </w:rPr>
        <w:t>r</w:t>
      </w:r>
      <w:r>
        <w:rPr>
          <w:lang w:eastAsia="ja-JP"/>
        </w:rPr>
        <w:t>ough improving and maintaining market access</w:t>
      </w:r>
    </w:p>
    <w:p w14:paraId="0331DA34" w14:textId="77777777" w:rsidR="00963034" w:rsidRDefault="00963034" w:rsidP="00963034">
      <w:pPr>
        <w:pStyle w:val="ListBullet"/>
        <w:rPr>
          <w:lang w:eastAsia="ja-JP"/>
        </w:rPr>
      </w:pPr>
      <w:r>
        <w:rPr>
          <w:lang w:eastAsia="ja-JP"/>
        </w:rPr>
        <w:lastRenderedPageBreak/>
        <w:t>supporting a healthy and biodiverse environment underlying much of Australia’s tourism.</w:t>
      </w:r>
    </w:p>
    <w:p w14:paraId="641B1D85" w14:textId="77777777" w:rsidR="002D07F5" w:rsidRPr="00AC663D" w:rsidRDefault="001B2AB1" w:rsidP="00AB06E7">
      <w:pPr>
        <w:pStyle w:val="Heading3"/>
      </w:pPr>
      <w:bookmarkStart w:id="17" w:name="_An_evolving_system"/>
      <w:bookmarkStart w:id="18" w:name="_Toc486236025"/>
      <w:bookmarkEnd w:id="17"/>
      <w:r>
        <w:t>An evolving system</w:t>
      </w:r>
      <w:bookmarkEnd w:id="16"/>
      <w:bookmarkEnd w:id="18"/>
    </w:p>
    <w:p w14:paraId="63ADF3DD" w14:textId="60ECABDF" w:rsidR="00DD0665" w:rsidRDefault="001B2AB1" w:rsidP="001B2AB1">
      <w:r>
        <w:t>Australia’s biosecurity system has continuously evolved and adapted to address emerging challenges and opportunities and to reflect changing risks, priorities and circumstances.</w:t>
      </w:r>
      <w:r w:rsidR="00DD0665">
        <w:t xml:space="preserve"> </w:t>
      </w:r>
      <w:r w:rsidRPr="00EC7906">
        <w:t xml:space="preserve">Since 2000, there has been significant activity across the national biosecurity system—particularly in </w:t>
      </w:r>
      <w:r w:rsidR="00DD0665">
        <w:t xml:space="preserve">recent </w:t>
      </w:r>
      <w:r w:rsidRPr="00EC7906">
        <w:t>years (</w:t>
      </w:r>
      <w:r w:rsidR="00DD0665">
        <w:fldChar w:fldCharType="begin"/>
      </w:r>
      <w:r w:rsidR="00DD0665">
        <w:instrText xml:space="preserve"> REF _Ref482621861 \h </w:instrText>
      </w:r>
      <w:r w:rsidR="00DD0665">
        <w:fldChar w:fldCharType="separate"/>
      </w:r>
      <w:r w:rsidR="009F6923" w:rsidRPr="00375F10">
        <w:t xml:space="preserve">Figure </w:t>
      </w:r>
      <w:r w:rsidR="009F6923">
        <w:rPr>
          <w:noProof/>
        </w:rPr>
        <w:t>2</w:t>
      </w:r>
      <w:r w:rsidR="00DD0665">
        <w:fldChar w:fldCharType="end"/>
      </w:r>
      <w:r w:rsidR="002C7872">
        <w:t>)</w:t>
      </w:r>
      <w:r w:rsidR="00E46700">
        <w:t>.</w:t>
      </w:r>
    </w:p>
    <w:p w14:paraId="17E1F4BA" w14:textId="1238BAC1" w:rsidR="001B2AB1" w:rsidRDefault="001B2AB1" w:rsidP="001B2AB1">
      <w:r w:rsidRPr="00EC7906">
        <w:t>All jurisdictions have introduced a range of legislative, governance and system improvements. Industry has</w:t>
      </w:r>
      <w:r>
        <w:t xml:space="preserve"> similarly been active and increasingly engaged. However, Australia continues to experience a notable</w:t>
      </w:r>
      <w:r w:rsidR="00D66D3F">
        <w:t>, and seemingly increasing,</w:t>
      </w:r>
      <w:r>
        <w:t xml:space="preserve"> number of incursions,</w:t>
      </w:r>
      <w:r w:rsidR="00195178">
        <w:t xml:space="preserve"> </w:t>
      </w:r>
      <w:r>
        <w:t>reinforcing the need for constant vigilance and continuous review</w:t>
      </w:r>
      <w:r w:rsidR="002F408F">
        <w:t xml:space="preserve"> and reform</w:t>
      </w:r>
      <w:r w:rsidR="002C7872">
        <w:t xml:space="preserve"> of the</w:t>
      </w:r>
      <w:r w:rsidR="00004371">
        <w:t xml:space="preserve"> national</w:t>
      </w:r>
      <w:r w:rsidR="002C7872">
        <w:t xml:space="preserve"> system</w:t>
      </w:r>
      <w:r w:rsidR="00451AE0" w:rsidRPr="00451AE0">
        <w:t xml:space="preserve"> to avoid, detect and respond to threats</w:t>
      </w:r>
      <w:r w:rsidR="00451AE0">
        <w:t>.</w:t>
      </w:r>
    </w:p>
    <w:p w14:paraId="52764522" w14:textId="3F7B8CC2" w:rsidR="001B2AB1" w:rsidRDefault="001B2AB1" w:rsidP="001B2AB1">
      <w:r>
        <w:t>System-wide reviews have and continue to strengthen the national biosecurity system</w:t>
      </w:r>
      <w:r w:rsidR="00DD068E">
        <w:t>,</w:t>
      </w:r>
      <w:r>
        <w:t xml:space="preserve"> driving structural</w:t>
      </w:r>
      <w:r w:rsidR="00451AE0">
        <w:t xml:space="preserve"> and</w:t>
      </w:r>
      <w:r>
        <w:t xml:space="preserve"> behavioural change and highlighting risks and improvements to be addressed by governments, industry and other system participants.</w:t>
      </w:r>
    </w:p>
    <w:p w14:paraId="1E4700B8" w14:textId="01D3D50F" w:rsidR="001B2AB1" w:rsidRDefault="001B2AB1" w:rsidP="001B2AB1">
      <w:r>
        <w:t>In 1996, Professor Malcolm Nairn AM chaired an independent review of Australia’s then quarantine system (</w:t>
      </w:r>
      <w:hyperlink w:anchor="Nairn_et_al_1996" w:history="1">
        <w:r w:rsidR="00BA3212" w:rsidRPr="00BA3212">
          <w:rPr>
            <w:rStyle w:val="Hyperlink"/>
          </w:rPr>
          <w:t xml:space="preserve">Nairn </w:t>
        </w:r>
        <w:r w:rsidR="005276D7" w:rsidRPr="00BA3212">
          <w:rPr>
            <w:rStyle w:val="Hyperlink"/>
          </w:rPr>
          <w:t>et al.</w:t>
        </w:r>
        <w:r w:rsidRPr="00BA3212">
          <w:rPr>
            <w:rStyle w:val="Hyperlink"/>
          </w:rPr>
          <w:t xml:space="preserve"> </w:t>
        </w:r>
        <w:r w:rsidR="005276D7" w:rsidRPr="00BA3212">
          <w:rPr>
            <w:rStyle w:val="Hyperlink"/>
          </w:rPr>
          <w:t>1996</w:t>
        </w:r>
      </w:hyperlink>
      <w:r>
        <w:t>). A key recommendation was the adoption of the principle of shared responsibility</w:t>
      </w:r>
      <w:r w:rsidR="00402D21">
        <w:t>:</w:t>
      </w:r>
      <w:r>
        <w:t xml:space="preserve"> namely</w:t>
      </w:r>
      <w:r w:rsidR="00402D21">
        <w:t>,</w:t>
      </w:r>
      <w:r>
        <w:t xml:space="preserve"> that a partnership approach be the foundation for the quarantine system, in recognition of the role </w:t>
      </w:r>
      <w:r w:rsidR="00402D21">
        <w:t xml:space="preserve">that </w:t>
      </w:r>
      <w:r>
        <w:t>all stakeholders in the system—governments, industry and the community—have to play. The system of shared responsibility would</w:t>
      </w:r>
      <w:r w:rsidR="00CA30D5">
        <w:t xml:space="preserve"> be</w:t>
      </w:r>
      <w:r>
        <w:t xml:space="preserve"> most effective when stakeholders were aware of each other’s roles and responsibilities and were working collaboratively to</w:t>
      </w:r>
      <w:r w:rsidR="002C7872">
        <w:t>ward achieving agreed outcomes.</w:t>
      </w:r>
    </w:p>
    <w:p w14:paraId="24F364BE" w14:textId="7721BA3A" w:rsidR="001B2AB1" w:rsidRDefault="001B2AB1" w:rsidP="001B2AB1">
      <w:r>
        <w:t xml:space="preserve">Other recommendations focused on environmental considerations in quarantine, increasing the profile of plant quarantine through establishing an ‘Australian Plant Health Council’ and a Chief Plant Protection Officer position, </w:t>
      </w:r>
      <w:r w:rsidR="00834409">
        <w:t xml:space="preserve">carrying out </w:t>
      </w:r>
      <w:r>
        <w:t>risk analyses for imports, and considering the broad range of views from industry and the general public in quarantine matters.</w:t>
      </w:r>
    </w:p>
    <w:p w14:paraId="0D9267BF" w14:textId="4D898F79" w:rsidR="002909C5" w:rsidRDefault="004C313D" w:rsidP="0078480E">
      <w:pPr>
        <w:sectPr w:rsidR="002909C5" w:rsidSect="004A22B3">
          <w:pgSz w:w="11906" w:h="16838" w:code="9"/>
          <w:pgMar w:top="1418" w:right="1418" w:bottom="1418" w:left="1418" w:header="567" w:footer="283" w:gutter="0"/>
          <w:pgNumType w:start="1"/>
          <w:cols w:space="708"/>
          <w:docGrid w:linePitch="360"/>
        </w:sectPr>
      </w:pPr>
      <w:r>
        <w:t>In 2005,</w:t>
      </w:r>
      <w:r w:rsidR="005562D5">
        <w:t xml:space="preserve"> </w:t>
      </w:r>
      <w:r w:rsidR="00156037">
        <w:t xml:space="preserve">Mr </w:t>
      </w:r>
      <w:r w:rsidR="00D36278">
        <w:t>Roger Smith, a former</w:t>
      </w:r>
      <w:r w:rsidR="007174E0">
        <w:t xml:space="preserve"> Director-General of the</w:t>
      </w:r>
      <w:r w:rsidR="00D36278">
        <w:t xml:space="preserve"> Northern Territory </w:t>
      </w:r>
      <w:r w:rsidR="007174E0">
        <w:t>primary industries department</w:t>
      </w:r>
      <w:r w:rsidR="00970E73">
        <w:t xml:space="preserve">, prepared a discussion paper on biosecurity </w:t>
      </w:r>
      <w:r w:rsidR="005B64C9">
        <w:t>in Australia for the</w:t>
      </w:r>
      <w:r w:rsidR="00004371">
        <w:t xml:space="preserve"> former</w:t>
      </w:r>
      <w:r w:rsidR="005B64C9">
        <w:t xml:space="preserve"> Primary Industries Standing Committee</w:t>
      </w:r>
      <w:r w:rsidR="00970E73">
        <w:t xml:space="preserve">, highlighting the </w:t>
      </w:r>
      <w:r w:rsidR="00906C29">
        <w:t xml:space="preserve">value of </w:t>
      </w:r>
      <w:r w:rsidR="00747FFE">
        <w:t xml:space="preserve">a national approach to biosecurity that brought </w:t>
      </w:r>
      <w:r w:rsidR="00970E73">
        <w:t xml:space="preserve">together </w:t>
      </w:r>
      <w:r w:rsidR="003E0117">
        <w:t xml:space="preserve">the </w:t>
      </w:r>
      <w:r w:rsidR="00970E73">
        <w:t xml:space="preserve">various </w:t>
      </w:r>
      <w:r w:rsidR="003E0117">
        <w:t xml:space="preserve">biosecurity </w:t>
      </w:r>
      <w:r w:rsidR="00970E73">
        <w:t xml:space="preserve">components </w:t>
      </w:r>
      <w:r w:rsidR="003E0117">
        <w:t>and functions from across all nine jurisdictions.</w:t>
      </w:r>
    </w:p>
    <w:p w14:paraId="7A54F5D1" w14:textId="18FF64A3" w:rsidR="00597F5D" w:rsidRDefault="00597F5D" w:rsidP="002909C5">
      <w:pPr>
        <w:pStyle w:val="Caption"/>
        <w:rPr>
          <w:szCs w:val="22"/>
        </w:rPr>
      </w:pPr>
      <w:bookmarkStart w:id="19" w:name="_Ref482621861"/>
      <w:bookmarkStart w:id="20" w:name="_Ref467252050"/>
      <w:bookmarkStart w:id="21" w:name="_Toc468176737"/>
      <w:r w:rsidRPr="00375F10">
        <w:rPr>
          <w:szCs w:val="22"/>
        </w:rPr>
        <w:lastRenderedPageBreak/>
        <w:t xml:space="preserve">Figure </w:t>
      </w:r>
      <w:r w:rsidRPr="00375F10">
        <w:rPr>
          <w:szCs w:val="22"/>
        </w:rPr>
        <w:fldChar w:fldCharType="begin"/>
      </w:r>
      <w:r w:rsidRPr="00375F10">
        <w:rPr>
          <w:szCs w:val="22"/>
        </w:rPr>
        <w:instrText xml:space="preserve"> SEQ Figure \* ARABIC </w:instrText>
      </w:r>
      <w:r w:rsidRPr="00375F10">
        <w:rPr>
          <w:szCs w:val="22"/>
        </w:rPr>
        <w:fldChar w:fldCharType="separate"/>
      </w:r>
      <w:r w:rsidR="009F6923">
        <w:rPr>
          <w:noProof/>
          <w:szCs w:val="22"/>
        </w:rPr>
        <w:t>2</w:t>
      </w:r>
      <w:r w:rsidRPr="00375F10">
        <w:rPr>
          <w:noProof/>
          <w:szCs w:val="22"/>
        </w:rPr>
        <w:fldChar w:fldCharType="end"/>
      </w:r>
      <w:bookmarkEnd w:id="19"/>
      <w:r>
        <w:rPr>
          <w:noProof/>
          <w:szCs w:val="22"/>
        </w:rPr>
        <w:t xml:space="preserve"> </w:t>
      </w:r>
      <w:r>
        <w:rPr>
          <w:szCs w:val="22"/>
        </w:rPr>
        <w:t xml:space="preserve">Major pest and disease </w:t>
      </w:r>
      <w:r w:rsidR="00CB00DF">
        <w:rPr>
          <w:szCs w:val="22"/>
        </w:rPr>
        <w:t>activity</w:t>
      </w:r>
      <w:r>
        <w:rPr>
          <w:szCs w:val="22"/>
        </w:rPr>
        <w:t xml:space="preserve"> 2000–2017</w:t>
      </w:r>
    </w:p>
    <w:p w14:paraId="4569B05A" w14:textId="66DB20F9" w:rsidR="002909C5" w:rsidRDefault="00CE0AFF" w:rsidP="00145AC7">
      <w:pPr>
        <w:pStyle w:val="Picture"/>
      </w:pPr>
      <w:r>
        <w:drawing>
          <wp:inline distT="0" distB="0" distL="0" distR="0" wp14:anchorId="2E2BFD10" wp14:editId="06E0C3F1">
            <wp:extent cx="12997870" cy="9082722"/>
            <wp:effectExtent l="0" t="0" r="0" b="4445"/>
            <wp:docPr id="12" name="Picture 12" descr="Shows the major cost-shared pest and disease incursions in Australia's biosecurity system between 2000 and 2017 (not all incursions are shown in the illustration), governance arrangements, and reviews of biosecurity arrangements. During this time there have been: 14 major animal disease incursions in Australia, of which 8 have been eradicated, 1 is under eradication and 5 are being managed by jurisdictions, 3 major international outbreaks are also listed; 27 major plant pest or diseases incursions in Australia, of which 8 have been eradicated, 10 are under eradication, and 9 are being managed by jurisdictions; and, 5 environmental incursions of which 2 have been eradicated and 3 are under eradication. There have also been changes to biosecurity governance arrangements, including for example the established of Plant Health Australia (Animal Health Australia was established in 1996), finalisation of the animal, plant and environmental emergency response deeds, the introduction of singular legislation by some jurisdictions—notably Western Australia, New South Wales and Queensland—and the implementation of new legislation at the Commonwealth level. Major reviews that have occurred over this period include the 2008 Beale review, 2011 Matthews review, 2015 review of marine pest biosecurity, 2016 OIE performance of veterinary services, and this review (the 2017 review of the intergovernmental agreement on bio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2997870" cy="9082722"/>
                    </a:xfrm>
                    <a:prstGeom prst="rect">
                      <a:avLst/>
                    </a:prstGeom>
                    <a:noFill/>
                  </pic:spPr>
                </pic:pic>
              </a:graphicData>
            </a:graphic>
          </wp:inline>
        </w:drawing>
      </w:r>
    </w:p>
    <w:p w14:paraId="326F4EEE" w14:textId="45A7FF7F" w:rsidR="00522EC6" w:rsidRPr="00522EC6" w:rsidRDefault="00522EC6" w:rsidP="00522EC6">
      <w:pPr>
        <w:pStyle w:val="FigureTableNoteSource"/>
      </w:pPr>
      <w:r>
        <w:t>Source: Australian Government Department of Agriculture and Water Resources.</w:t>
      </w:r>
    </w:p>
    <w:bookmarkEnd w:id="20"/>
    <w:bookmarkEnd w:id="21"/>
    <w:p w14:paraId="42E424EF" w14:textId="36C9EF7A" w:rsidR="002909C5" w:rsidRPr="00375F10" w:rsidRDefault="002909C5" w:rsidP="002909C5">
      <w:pPr>
        <w:pStyle w:val="Caption"/>
        <w:rPr>
          <w:szCs w:val="22"/>
        </w:rPr>
        <w:sectPr w:rsidR="002909C5" w:rsidRPr="00375F10" w:rsidSect="001B1B37">
          <w:pgSz w:w="23814" w:h="16839" w:orient="landscape" w:code="8"/>
          <w:pgMar w:top="720" w:right="720" w:bottom="720" w:left="720" w:header="567" w:footer="283" w:gutter="0"/>
          <w:cols w:space="708"/>
          <w:docGrid w:linePitch="360"/>
        </w:sectPr>
      </w:pPr>
    </w:p>
    <w:p w14:paraId="286C94F5" w14:textId="4B368E33" w:rsidR="001B2AB1" w:rsidRDefault="001B2AB1" w:rsidP="001B2AB1">
      <w:r>
        <w:lastRenderedPageBreak/>
        <w:t>In 2008, a</w:t>
      </w:r>
      <w:r w:rsidR="00283F50">
        <w:t xml:space="preserve"> wide</w:t>
      </w:r>
      <w:r w:rsidR="00451AE0">
        <w:t>-ranging</w:t>
      </w:r>
      <w:r w:rsidR="00CA30D5">
        <w:t xml:space="preserve"> independent</w:t>
      </w:r>
      <w:r>
        <w:t xml:space="preserve"> review chaired by Mr Roger Beale AO (</w:t>
      </w:r>
      <w:hyperlink w:anchor="Beale_et_al_2008" w:history="1">
        <w:r w:rsidR="005276D7" w:rsidRPr="00BA3212">
          <w:rPr>
            <w:rStyle w:val="Hyperlink"/>
          </w:rPr>
          <w:t>Beale et al. 2008</w:t>
        </w:r>
      </w:hyperlink>
      <w:r>
        <w:t xml:space="preserve">) </w:t>
      </w:r>
      <w:r w:rsidR="00834409">
        <w:t xml:space="preserve">(the Beale review) </w:t>
      </w:r>
      <w:r>
        <w:t xml:space="preserve">built on the shared responsibility principle, arguing for a seamless system that fully involved all players, and a move from the concept of quarantine to a broader concept of biosecurity which emphasised managed risk, not zero risk. This risk-based approach </w:t>
      </w:r>
      <w:r w:rsidR="00451AE0">
        <w:t xml:space="preserve">highlighted </w:t>
      </w:r>
      <w:r w:rsidR="00834409">
        <w:t xml:space="preserve">that </w:t>
      </w:r>
      <w:r>
        <w:t>the system</w:t>
      </w:r>
      <w:r w:rsidR="00451AE0">
        <w:t xml:space="preserve"> includes a continuum of pre-border, border and post-border</w:t>
      </w:r>
      <w:r w:rsidR="00E77ED8">
        <w:t xml:space="preserve"> activities</w:t>
      </w:r>
      <w:r>
        <w:t xml:space="preserve"> and sought to direct biosecurity controls </w:t>
      </w:r>
      <w:r w:rsidR="00451AE0">
        <w:t>and risk</w:t>
      </w:r>
      <w:r w:rsidR="00834409">
        <w:t xml:space="preserve"> </w:t>
      </w:r>
      <w:r w:rsidR="00451AE0">
        <w:t xml:space="preserve">mitigation measures </w:t>
      </w:r>
      <w:r>
        <w:t>to where they were most effective</w:t>
      </w:r>
      <w:r w:rsidR="00AC6893">
        <w:t>.</w:t>
      </w:r>
    </w:p>
    <w:p w14:paraId="689B3CDD" w14:textId="42485331" w:rsidR="001B2AB1" w:rsidRDefault="001B2AB1" w:rsidP="001B2AB1">
      <w:r>
        <w:t xml:space="preserve">The Beale </w:t>
      </w:r>
      <w:r w:rsidR="00834409">
        <w:t>r</w:t>
      </w:r>
      <w:r>
        <w:t xml:space="preserve">eview also recommended </w:t>
      </w:r>
      <w:r w:rsidR="00451AE0" w:rsidRPr="00451AE0">
        <w:t xml:space="preserve">new institutional and legislative arrangements, funding models and </w:t>
      </w:r>
      <w:r>
        <w:t>the development</w:t>
      </w:r>
      <w:r w:rsidR="00A24E32">
        <w:t xml:space="preserve"> of a</w:t>
      </w:r>
      <w:r>
        <w:t xml:space="preserve"> National Agreement on Biosecurity to underpin a partnership approach between </w:t>
      </w:r>
      <w:r w:rsidRPr="00834409">
        <w:t>the Australian, state</w:t>
      </w:r>
      <w:r>
        <w:t xml:space="preserve"> and territory governments on biosecurity</w:t>
      </w:r>
      <w:r w:rsidR="00FF76DD">
        <w:t>, building on various existing agreements between governments</w:t>
      </w:r>
      <w:r>
        <w:t xml:space="preserve">. Governments’ pursuit of this recommendation has taken the form of the Intergovernmental Agreement on Biosecurity (IGAB), signed in 2012 by </w:t>
      </w:r>
      <w:r w:rsidR="006310D2">
        <w:t>F</w:t>
      </w:r>
      <w:r>
        <w:t xml:space="preserve">irst </w:t>
      </w:r>
      <w:r w:rsidR="006310D2">
        <w:t>M</w:t>
      </w:r>
      <w:r>
        <w:t>inisters from all governments</w:t>
      </w:r>
      <w:r w:rsidRPr="00EC7906">
        <w:t xml:space="preserve"> except Tasmania. </w:t>
      </w:r>
      <w:r>
        <w:t>This agreement has become the principal agreement and collaborative mechanism for governments on biosecurity matters.</w:t>
      </w:r>
    </w:p>
    <w:p w14:paraId="267ADD87" w14:textId="05C8B9E5" w:rsidR="001B2AB1" w:rsidRPr="005762B9" w:rsidRDefault="001B2AB1" w:rsidP="001B2AB1">
      <w:r>
        <w:t xml:space="preserve">In 2011, Mr Ken Matthews AO conducted an independent assessment of Australia’s preparedness for the threat of foot-and-mouth </w:t>
      </w:r>
      <w:r w:rsidRPr="005762B9">
        <w:t>disease</w:t>
      </w:r>
      <w:r w:rsidR="007700A4" w:rsidRPr="005762B9">
        <w:t xml:space="preserve"> (</w:t>
      </w:r>
      <w:hyperlink w:anchor="Mathews_2011" w:history="1">
        <w:r w:rsidR="007700A4" w:rsidRPr="00BA3212">
          <w:rPr>
            <w:rStyle w:val="Hyperlink"/>
          </w:rPr>
          <w:t>Mat</w:t>
        </w:r>
        <w:r w:rsidR="007E4287" w:rsidRPr="00BA3212">
          <w:rPr>
            <w:rStyle w:val="Hyperlink"/>
          </w:rPr>
          <w:t>t</w:t>
        </w:r>
        <w:r w:rsidR="007700A4" w:rsidRPr="00BA3212">
          <w:rPr>
            <w:rStyle w:val="Hyperlink"/>
          </w:rPr>
          <w:t>hews</w:t>
        </w:r>
        <w:r w:rsidR="007E4287" w:rsidRPr="00BA3212">
          <w:rPr>
            <w:rStyle w:val="Hyperlink"/>
          </w:rPr>
          <w:t xml:space="preserve"> 2011</w:t>
        </w:r>
      </w:hyperlink>
      <w:r w:rsidR="007700A4" w:rsidRPr="005762B9">
        <w:t>)</w:t>
      </w:r>
      <w:r w:rsidRPr="005762B9">
        <w:t>, including the capacity to prevent and respond to a</w:t>
      </w:r>
      <w:r w:rsidR="00CB4F84">
        <w:t>n</w:t>
      </w:r>
      <w:r w:rsidRPr="005762B9">
        <w:t xml:space="preserve"> outbreak. Recommendations covered the areas of government leadership, a need for greater focus on prevention and preparedness and clarity on responsibility and accountability for disease planning processes.</w:t>
      </w:r>
    </w:p>
    <w:p w14:paraId="52914574" w14:textId="4E7535E1" w:rsidR="001B2AB1" w:rsidRPr="005762B9" w:rsidRDefault="001B2AB1" w:rsidP="001B2AB1">
      <w:r w:rsidRPr="005762B9">
        <w:t xml:space="preserve">A 2013 report by </w:t>
      </w:r>
      <w:r w:rsidR="00834409">
        <w:t xml:space="preserve">the </w:t>
      </w:r>
      <w:r w:rsidRPr="005762B9">
        <w:t>A</w:t>
      </w:r>
      <w:r w:rsidR="00834409">
        <w:t xml:space="preserve">ustralian </w:t>
      </w:r>
      <w:r w:rsidRPr="005762B9">
        <w:t>B</w:t>
      </w:r>
      <w:r w:rsidR="00834409">
        <w:t xml:space="preserve">ureau of </w:t>
      </w:r>
      <w:r w:rsidRPr="005762B9">
        <w:t>A</w:t>
      </w:r>
      <w:r w:rsidR="00834409">
        <w:t xml:space="preserve">gricultural </w:t>
      </w:r>
      <w:r w:rsidRPr="005762B9">
        <w:t>R</w:t>
      </w:r>
      <w:r w:rsidR="00834409">
        <w:t xml:space="preserve">esource </w:t>
      </w:r>
      <w:r w:rsidRPr="005762B9">
        <w:t>E</w:t>
      </w:r>
      <w:r w:rsidR="00834409">
        <w:t xml:space="preserve">conomics and </w:t>
      </w:r>
      <w:r w:rsidRPr="005762B9">
        <w:t>S</w:t>
      </w:r>
      <w:r w:rsidR="00834409">
        <w:t>ciences (ABARES)</w:t>
      </w:r>
      <w:r w:rsidRPr="005762B9">
        <w:t xml:space="preserve"> put the cost of a large foot-and-mouth disease outbrea</w:t>
      </w:r>
      <w:r w:rsidR="00794A07">
        <w:t>k in Australia at more than $50 </w:t>
      </w:r>
      <w:r w:rsidR="00C8718C">
        <w:t xml:space="preserve">billion over </w:t>
      </w:r>
      <w:r w:rsidR="00834409">
        <w:t>ten</w:t>
      </w:r>
      <w:r w:rsidR="00C8718C">
        <w:t> </w:t>
      </w:r>
      <w:r w:rsidRPr="005762B9">
        <w:t xml:space="preserve">years, </w:t>
      </w:r>
      <w:r w:rsidR="00451AE0">
        <w:t>encompassing</w:t>
      </w:r>
      <w:r w:rsidRPr="005762B9">
        <w:t xml:space="preserve"> very large adverse economic and social impacts and financial losses</w:t>
      </w:r>
      <w:r w:rsidR="007E4287" w:rsidRPr="005762B9">
        <w:t xml:space="preserve"> (</w:t>
      </w:r>
      <w:hyperlink w:anchor="Buete_et_al_2013" w:history="1">
        <w:r w:rsidR="007E4287" w:rsidRPr="00BA3212">
          <w:rPr>
            <w:rStyle w:val="Hyperlink"/>
          </w:rPr>
          <w:t>Buetre et al. 2013</w:t>
        </w:r>
      </w:hyperlink>
      <w:r w:rsidR="007E4287" w:rsidRPr="005762B9">
        <w:t>)</w:t>
      </w:r>
      <w:r w:rsidRPr="005762B9">
        <w:t xml:space="preserve">. The findings highlighted the importance of response preparedness and stakeholder collaboration and the significance of market access </w:t>
      </w:r>
      <w:r w:rsidR="0074148C">
        <w:t>considerations for biosecurity.</w:t>
      </w:r>
    </w:p>
    <w:p w14:paraId="2A2262EF" w14:textId="36A1471D" w:rsidR="001B2AB1" w:rsidRDefault="000D2CDF" w:rsidP="001B2AB1">
      <w:r w:rsidRPr="005762B9">
        <w:t>In 2015</w:t>
      </w:r>
      <w:r w:rsidR="001B2AB1" w:rsidRPr="005762B9">
        <w:t xml:space="preserve">, the Australian Government </w:t>
      </w:r>
      <w:r w:rsidR="006E3973">
        <w:t>conduct</w:t>
      </w:r>
      <w:r w:rsidR="001B2AB1" w:rsidRPr="005762B9">
        <w:t xml:space="preserve">ed a </w:t>
      </w:r>
      <w:r w:rsidR="00A24E32" w:rsidRPr="005762B9">
        <w:t>re</w:t>
      </w:r>
      <w:r w:rsidR="001B2AB1" w:rsidRPr="005762B9">
        <w:t>view of national marine pest biosecurity arrangements</w:t>
      </w:r>
      <w:r w:rsidR="007700A4" w:rsidRPr="005762B9">
        <w:t xml:space="preserve"> (</w:t>
      </w:r>
      <w:hyperlink w:anchor="DAWR_2015" w:history="1">
        <w:r w:rsidR="00592169" w:rsidRPr="00BA3212">
          <w:rPr>
            <w:rStyle w:val="Hyperlink"/>
          </w:rPr>
          <w:t>DAWR 2015</w:t>
        </w:r>
      </w:hyperlink>
      <w:r w:rsidR="007700A4" w:rsidRPr="005762B9">
        <w:t>)</w:t>
      </w:r>
      <w:r w:rsidR="001B2AB1" w:rsidRPr="005762B9">
        <w:t>. The review’s recommendations sought to provide a new prevention focus for mar</w:t>
      </w:r>
      <w:r w:rsidR="00592169" w:rsidRPr="005762B9">
        <w:t>ine pest biosecurity, dev</w:t>
      </w:r>
      <w:r w:rsidR="00592169">
        <w:t>elop</w:t>
      </w:r>
      <w:r w:rsidR="001B2AB1">
        <w:t xml:space="preserve"> stronger response arrangements for dealing with incursions</w:t>
      </w:r>
      <w:r w:rsidR="000679B7">
        <w:t>,</w:t>
      </w:r>
      <w:r w:rsidR="001B2AB1">
        <w:t xml:space="preserve"> </w:t>
      </w:r>
      <w:r w:rsidR="000679B7">
        <w:t>and</w:t>
      </w:r>
      <w:r w:rsidR="001B2AB1">
        <w:t xml:space="preserve"> improv</w:t>
      </w:r>
      <w:r w:rsidR="000679B7">
        <w:t>e</w:t>
      </w:r>
      <w:r w:rsidR="001B2AB1">
        <w:t xml:space="preserve"> relationships and sharing responsibility for marine pest biosecurity between researchers, industries, governments and the community. The review also highlighted the greater cost-effectiveness and efficiency of preventive measures to reduce </w:t>
      </w:r>
      <w:r w:rsidR="00EC0618">
        <w:t xml:space="preserve">the </w:t>
      </w:r>
      <w:r w:rsidR="001B2AB1">
        <w:t>impacts of marine pests.</w:t>
      </w:r>
    </w:p>
    <w:p w14:paraId="043A44F8" w14:textId="6431F2E2" w:rsidR="001B2AB1" w:rsidRDefault="001B2AB1" w:rsidP="001B2AB1">
      <w:r>
        <w:lastRenderedPageBreak/>
        <w:t xml:space="preserve">Other recent reviews </w:t>
      </w:r>
      <w:r w:rsidR="00497846">
        <w:t xml:space="preserve">and inquiries </w:t>
      </w:r>
      <w:r>
        <w:t xml:space="preserve">attest to the increasingly tight fiscal environment for governments, including declines in the resourcing </w:t>
      </w:r>
      <w:r w:rsidR="006E3973">
        <w:t xml:space="preserve">for </w:t>
      </w:r>
      <w:r>
        <w:t xml:space="preserve">and capability of jurisdictional biosecurity systems. Agencies responsible for biosecurity across all governments have identified challenges </w:t>
      </w:r>
      <w:r w:rsidR="00F211D8">
        <w:t>in</w:t>
      </w:r>
      <w:r>
        <w:t xml:space="preserve"> continuing to meet their national biosecurity commitments</w:t>
      </w:r>
      <w:r w:rsidR="00A45F70">
        <w:t>:</w:t>
      </w:r>
    </w:p>
    <w:p w14:paraId="4A747EE9" w14:textId="01A0CD7C" w:rsidR="001B2AB1" w:rsidRDefault="001B2AB1" w:rsidP="00026A1B">
      <w:pPr>
        <w:pStyle w:val="ListBullet"/>
      </w:pPr>
      <w:r>
        <w:t xml:space="preserve">In March 2015, the Queensland Government commissioned an independent </w:t>
      </w:r>
      <w:r w:rsidR="0092125C">
        <w:t>review</w:t>
      </w:r>
      <w:r>
        <w:t xml:space="preserve"> </w:t>
      </w:r>
      <w:r w:rsidR="003971E4">
        <w:t xml:space="preserve">chaired by Ms </w:t>
      </w:r>
      <w:r w:rsidR="003971E4" w:rsidRPr="005762B9">
        <w:t xml:space="preserve">Renata Brooks, </w:t>
      </w:r>
      <w:r w:rsidRPr="005762B9">
        <w:t>on the capability of the Queensland biosecurity system</w:t>
      </w:r>
      <w:r w:rsidR="007700A4" w:rsidRPr="005762B9">
        <w:t xml:space="preserve"> (</w:t>
      </w:r>
      <w:hyperlink w:anchor="Brooks_2015" w:history="1">
        <w:r w:rsidR="007700A4" w:rsidRPr="00BA3212">
          <w:rPr>
            <w:rStyle w:val="Hyperlink"/>
          </w:rPr>
          <w:t>Brooks et al</w:t>
        </w:r>
        <w:r w:rsidR="00592169" w:rsidRPr="00BA3212">
          <w:rPr>
            <w:rStyle w:val="Hyperlink"/>
          </w:rPr>
          <w:t>.</w:t>
        </w:r>
        <w:r w:rsidR="008F0F2B" w:rsidRPr="00BA3212">
          <w:rPr>
            <w:rStyle w:val="Hyperlink"/>
          </w:rPr>
          <w:t xml:space="preserve"> 2015</w:t>
        </w:r>
      </w:hyperlink>
      <w:r w:rsidR="007700A4" w:rsidRPr="005762B9">
        <w:t>)</w:t>
      </w:r>
      <w:r w:rsidRPr="005762B9">
        <w:t xml:space="preserve">. The final report highlighted critical gaps in </w:t>
      </w:r>
      <w:r w:rsidR="005C3620">
        <w:t>the state’s</w:t>
      </w:r>
      <w:r w:rsidRPr="005762B9">
        <w:t xml:space="preserve"> biosecurity system, including a pressing need to build</w:t>
      </w:r>
      <w:r>
        <w:t xml:space="preserve"> capacity to respond to incursi</w:t>
      </w:r>
      <w:r w:rsidR="00A8440A">
        <w:t>ons. The report also noted a 26 </w:t>
      </w:r>
      <w:r>
        <w:t>per</w:t>
      </w:r>
      <w:r w:rsidR="00A8440A">
        <w:t> </w:t>
      </w:r>
      <w:r>
        <w:t>cent reduction in staffing between 2012 and 2015</w:t>
      </w:r>
      <w:r w:rsidR="00A24E32">
        <w:t>.</w:t>
      </w:r>
    </w:p>
    <w:p w14:paraId="72359FE9" w14:textId="68B31E0A" w:rsidR="001B2AB1" w:rsidRDefault="001B2AB1" w:rsidP="00026A1B">
      <w:pPr>
        <w:pStyle w:val="ListBullet"/>
      </w:pPr>
      <w:r>
        <w:t>In May 2015, the Australian Senate Environment and Communication</w:t>
      </w:r>
      <w:r w:rsidR="006E3973">
        <w:t>s</w:t>
      </w:r>
      <w:r>
        <w:t xml:space="preserve"> References Committee released its report </w:t>
      </w:r>
      <w:r w:rsidR="0092125C">
        <w:t>on</w:t>
      </w:r>
      <w:r>
        <w:t xml:space="preserve"> environmental </w:t>
      </w:r>
      <w:r w:rsidRPr="005762B9">
        <w:t>biosecurity</w:t>
      </w:r>
      <w:r w:rsidR="007700A4" w:rsidRPr="005762B9">
        <w:t xml:space="preserve"> (</w:t>
      </w:r>
      <w:hyperlink w:anchor="Commonwealth_of_Australia_2015" w:history="1">
        <w:r w:rsidR="000C4259" w:rsidRPr="00BA3212">
          <w:rPr>
            <w:rStyle w:val="Hyperlink"/>
          </w:rPr>
          <w:t>Commonwealth of Australia 2015</w:t>
        </w:r>
      </w:hyperlink>
      <w:r w:rsidR="007700A4" w:rsidRPr="005762B9">
        <w:t>)</w:t>
      </w:r>
      <w:r w:rsidRPr="005762B9">
        <w:t>, suggesting the effective operation of the national biosecurity system is threatened</w:t>
      </w:r>
      <w:r>
        <w:t xml:space="preserve"> by a lack of resources, including within the Australian Government departments of agriculture and environment and within scientific bodies such as the C</w:t>
      </w:r>
      <w:r w:rsidR="0092125C">
        <w:t xml:space="preserve">ommonwealth </w:t>
      </w:r>
      <w:r>
        <w:t>S</w:t>
      </w:r>
      <w:r w:rsidR="0092125C">
        <w:t xml:space="preserve">cientific and </w:t>
      </w:r>
      <w:r>
        <w:t>I</w:t>
      </w:r>
      <w:r w:rsidR="0092125C">
        <w:t xml:space="preserve">ndustrial </w:t>
      </w:r>
      <w:r>
        <w:t>R</w:t>
      </w:r>
      <w:r w:rsidR="0092125C">
        <w:t xml:space="preserve">esearch </w:t>
      </w:r>
      <w:r>
        <w:t>O</w:t>
      </w:r>
      <w:r w:rsidR="0092125C">
        <w:t>rganisation (CSIRO)</w:t>
      </w:r>
      <w:r>
        <w:t>.</w:t>
      </w:r>
    </w:p>
    <w:p w14:paraId="0E44A3BC" w14:textId="1F63F927" w:rsidR="001B2AB1" w:rsidRDefault="001B2AB1" w:rsidP="00026A1B">
      <w:pPr>
        <w:pStyle w:val="ListBullet"/>
      </w:pPr>
      <w:r>
        <w:t xml:space="preserve">In August 2015, the Victorian Auditor-General reported a reduction in the Victorian Government’s ability to detect, respond </w:t>
      </w:r>
      <w:r w:rsidR="0092125C">
        <w:t xml:space="preserve">to </w:t>
      </w:r>
      <w:r>
        <w:t xml:space="preserve">and prepare for an emergency </w:t>
      </w:r>
      <w:r w:rsidR="00B446E7">
        <w:t>livestock disease</w:t>
      </w:r>
      <w:r>
        <w:t xml:space="preserve"> outbreak</w:t>
      </w:r>
      <w:r w:rsidR="007700A4">
        <w:t xml:space="preserve"> </w:t>
      </w:r>
      <w:r w:rsidR="007700A4" w:rsidRPr="005762B9">
        <w:t>(</w:t>
      </w:r>
      <w:hyperlink w:anchor="VAGO_2015" w:history="1">
        <w:r w:rsidR="007700A4" w:rsidRPr="00DE6C31">
          <w:rPr>
            <w:rStyle w:val="Hyperlink"/>
          </w:rPr>
          <w:t>VAGO 2015</w:t>
        </w:r>
      </w:hyperlink>
      <w:r w:rsidR="007700A4" w:rsidRPr="005762B9">
        <w:t>)</w:t>
      </w:r>
      <w:r w:rsidRPr="005762B9">
        <w:t>. The report</w:t>
      </w:r>
      <w:r w:rsidR="00A8440A">
        <w:t xml:space="preserve"> highlighted a 49 </w:t>
      </w:r>
      <w:r>
        <w:t>per</w:t>
      </w:r>
      <w:r w:rsidR="00A8440A">
        <w:t> </w:t>
      </w:r>
      <w:r>
        <w:t>cent reduction in state recurrent funding for core livestock biosecurity activities between</w:t>
      </w:r>
      <w:r w:rsidR="0014029A">
        <w:t xml:space="preserve"> </w:t>
      </w:r>
      <w:r>
        <w:t>2009–10 and 2014</w:t>
      </w:r>
      <w:r w:rsidR="00296368">
        <w:t>–</w:t>
      </w:r>
      <w:r>
        <w:t>15; staffing reductions, including specialist positions, were also highlighted.</w:t>
      </w:r>
    </w:p>
    <w:p w14:paraId="2CAB3C43" w14:textId="6B3FC6A7" w:rsidR="007E7F36" w:rsidRPr="002530F0" w:rsidRDefault="007E7F36" w:rsidP="007E7F36">
      <w:pPr>
        <w:pStyle w:val="ListBullet"/>
      </w:pPr>
      <w:r w:rsidRPr="002530F0">
        <w:t xml:space="preserve">In May 2016, the </w:t>
      </w:r>
      <w:r w:rsidR="0092125C">
        <w:t>World Organi</w:t>
      </w:r>
      <w:r w:rsidR="00065BED">
        <w:t>s</w:t>
      </w:r>
      <w:r w:rsidR="0092125C">
        <w:t>ation for Animal Health (</w:t>
      </w:r>
      <w:r w:rsidRPr="00547BB4">
        <w:t>OIE</w:t>
      </w:r>
      <w:r w:rsidR="0092125C">
        <w:t>)</w:t>
      </w:r>
      <w:r w:rsidRPr="002530F0">
        <w:t xml:space="preserve"> released its assessment of Australia’s veterinary services, measured against 47 criteria, with 38 given the highest competency level </w:t>
      </w:r>
      <w:hyperlink w:anchor="Schneider_et_al_2015" w:history="1">
        <w:r w:rsidRPr="002530F0">
          <w:rPr>
            <w:rStyle w:val="Hyperlink"/>
          </w:rPr>
          <w:t>(Schneider et al. 2015</w:t>
        </w:r>
      </w:hyperlink>
      <w:r w:rsidRPr="002530F0">
        <w:t>). The report noted the high level of biosecurity in Australia but identified inadequate staffing levels as a key issue for jurisdictions to consider.</w:t>
      </w:r>
    </w:p>
    <w:p w14:paraId="7B117C70" w14:textId="7C184C2E" w:rsidR="00887E92" w:rsidRPr="00887E92" w:rsidRDefault="00887E92" w:rsidP="0096695A">
      <w:r w:rsidRPr="00887E92">
        <w:t xml:space="preserve">In addition, </w:t>
      </w:r>
      <w:r>
        <w:t xml:space="preserve">in </w:t>
      </w:r>
      <w:r w:rsidRPr="00887E92">
        <w:t xml:space="preserve">June 2016 the Australian Government established the statutory position of the Inspector-General of Biosecurity (IGB) under the </w:t>
      </w:r>
      <w:r w:rsidRPr="00887E92">
        <w:rPr>
          <w:i/>
        </w:rPr>
        <w:t>Biosecurity Act 2015</w:t>
      </w:r>
      <w:r>
        <w:t xml:space="preserve"> (Cwlth); an </w:t>
      </w:r>
      <w:r w:rsidR="0092125C">
        <w:t>i</w:t>
      </w:r>
      <w:r w:rsidRPr="00887E92">
        <w:t xml:space="preserve">nterim </w:t>
      </w:r>
      <w:r w:rsidR="00EC0618">
        <w:t>IGB</w:t>
      </w:r>
      <w:r w:rsidRPr="00887E92">
        <w:t xml:space="preserve"> had been in place since July 2009. The position provides assurance over Australia’s biosecurity risk management systems through independent evaluation and verification, reviewing the performance of functions and exercise of powers by the Director of Biosecurity, and makes recommendations for overall system improvements. </w:t>
      </w:r>
      <w:r w:rsidR="007B32B4">
        <w:t xml:space="preserve">The IGB is currently </w:t>
      </w:r>
      <w:r w:rsidR="007174E0">
        <w:t>reviewing the Australian Government</w:t>
      </w:r>
      <w:r w:rsidR="007B32B4">
        <w:t xml:space="preserve"> </w:t>
      </w:r>
      <w:r w:rsidRPr="00887E92">
        <w:t xml:space="preserve">agriculture department’s management of circumstances leading up to the 2017 suspension of uncooked prawns </w:t>
      </w:r>
      <w:r w:rsidRPr="00887E92">
        <w:lastRenderedPageBreak/>
        <w:t>into Australia</w:t>
      </w:r>
      <w:r w:rsidR="0092125C">
        <w:t xml:space="preserve"> and</w:t>
      </w:r>
      <w:r w:rsidRPr="00887E92">
        <w:t xml:space="preserve"> the department’s management of risks posed by </w:t>
      </w:r>
      <w:r w:rsidR="00451AE0">
        <w:t>so-called ‘</w:t>
      </w:r>
      <w:r w:rsidRPr="00887E92">
        <w:t>hitchhikers</w:t>
      </w:r>
      <w:r w:rsidR="00451AE0">
        <w:t>’</w:t>
      </w:r>
      <w:r w:rsidRPr="00887E92">
        <w:t xml:space="preserve"> and contaminants associated with cargo containers, transport methods and conveyances</w:t>
      </w:r>
      <w:r w:rsidR="0092125C">
        <w:t>. It is also</w:t>
      </w:r>
      <w:r w:rsidRPr="00887E92">
        <w:t xml:space="preserve"> examining what lessons can be learned from analysis of recent terrestrial pest and disease incursions, border breaches and high-risk interce</w:t>
      </w:r>
      <w:r w:rsidR="00FF5DBA">
        <w:t>ptions.</w:t>
      </w:r>
    </w:p>
    <w:p w14:paraId="564C8518" w14:textId="128A509A" w:rsidR="00777D74" w:rsidRDefault="00777D74" w:rsidP="00004371">
      <w:r>
        <w:t xml:space="preserve">This </w:t>
      </w:r>
      <w:r w:rsidR="0092125C">
        <w:t>r</w:t>
      </w:r>
      <w:r>
        <w:t>eview of Australia’s biosecurity system and the underpinning 2012 IGAB is another step in the continuous improvement process, essential for maintaining the strength of the national system, its focus on priorities and ability to address areas of emerging need and concern.</w:t>
      </w:r>
    </w:p>
    <w:p w14:paraId="3A325DBC" w14:textId="60313B50" w:rsidR="002D07F5" w:rsidRPr="00AC663D" w:rsidRDefault="001B2AB1" w:rsidP="002909C5">
      <w:pPr>
        <w:pStyle w:val="Heading3"/>
      </w:pPr>
      <w:bookmarkStart w:id="22" w:name="_Toc430782153"/>
      <w:bookmarkStart w:id="23" w:name="_Toc486236026"/>
      <w:r>
        <w:t>Future risks and pathways</w:t>
      </w:r>
      <w:bookmarkEnd w:id="22"/>
      <w:bookmarkEnd w:id="23"/>
    </w:p>
    <w:p w14:paraId="69AA03A8" w14:textId="42BA9C7C" w:rsidR="005B64C9" w:rsidRDefault="005B64C9" w:rsidP="005B64C9">
      <w:pPr>
        <w:rPr>
          <w:rFonts w:cs="Times New Roman"/>
        </w:rPr>
      </w:pPr>
      <w:r>
        <w:t xml:space="preserve">Managing biosecurity risk has become more challenging due to increasing risks, the changing nature of risks, and increases in associated management costs. Factors such as globalisation, international and interstate migration, climate change, tourism, and the increasing movement of goods are all contributing to </w:t>
      </w:r>
      <w:r w:rsidR="00D66D3F">
        <w:t xml:space="preserve">increases </w:t>
      </w:r>
      <w:r>
        <w:t>in biosecurity risks (</w:t>
      </w:r>
      <w:hyperlink w:anchor="CSIRO_2014" w:history="1">
        <w:r w:rsidRPr="00BA3212">
          <w:rPr>
            <w:rStyle w:val="Hyperlink"/>
          </w:rPr>
          <w:t>CSIRO 2014</w:t>
        </w:r>
      </w:hyperlink>
      <w:r>
        <w:t>;</w:t>
      </w:r>
      <w:r w:rsidR="003A174A">
        <w:t xml:space="preserve"> </w:t>
      </w:r>
      <w:hyperlink w:anchor="Grafton_2015" w:history="1">
        <w:r w:rsidRPr="00BA3212">
          <w:rPr>
            <w:rStyle w:val="Hyperlink"/>
          </w:rPr>
          <w:t>Grafton et al. 2015</w:t>
        </w:r>
      </w:hyperlink>
      <w:r>
        <w:t xml:space="preserve">; </w:t>
      </w:r>
      <w:hyperlink w:anchor="Haikowicz_Eady_2015" w:history="1">
        <w:r w:rsidRPr="00BA3212">
          <w:rPr>
            <w:rStyle w:val="Hyperlink"/>
          </w:rPr>
          <w:t>Hajkowicz and Eady 2015</w:t>
        </w:r>
      </w:hyperlink>
      <w:r w:rsidR="003A174A">
        <w:rPr>
          <w:rStyle w:val="Hyperlink"/>
        </w:rPr>
        <w:t xml:space="preserve">; </w:t>
      </w:r>
      <w:hyperlink w:anchor="Cope_et_al_2016" w:history="1">
        <w:r w:rsidR="003A174A" w:rsidRPr="003E3023">
          <w:rPr>
            <w:rStyle w:val="Hyperlink"/>
          </w:rPr>
          <w:t>Cope et al. 2016</w:t>
        </w:r>
      </w:hyperlink>
      <w:r>
        <w:t>).</w:t>
      </w:r>
    </w:p>
    <w:p w14:paraId="7C16AA32" w14:textId="694FC538" w:rsidR="00791EC4" w:rsidRDefault="005B64C9" w:rsidP="005B64C9">
      <w:r>
        <w:t>Current</w:t>
      </w:r>
      <w:r w:rsidR="00451AE0">
        <w:t xml:space="preserve"> transport</w:t>
      </w:r>
      <w:r>
        <w:t xml:space="preserve"> volumes already present challenges requiring, in 2015–16, the border assessment, screening, inspection or clearance of</w:t>
      </w:r>
      <w:r w:rsidR="00791EC4">
        <w:t>:</w:t>
      </w:r>
    </w:p>
    <w:p w14:paraId="630C2BC1" w14:textId="1F6D8EF9" w:rsidR="00791EC4" w:rsidRDefault="005B64C9" w:rsidP="00791EC4">
      <w:pPr>
        <w:pStyle w:val="ListBullet"/>
      </w:pPr>
      <w:r>
        <w:t>46</w:t>
      </w:r>
      <w:r w:rsidR="00BF7B68">
        <w:t>,</w:t>
      </w:r>
      <w:r>
        <w:t>000 sea contai</w:t>
      </w:r>
      <w:r w:rsidR="00FF5DBA">
        <w:t>ners on the Country Action List</w:t>
      </w:r>
      <w:r w:rsidR="00721E8C">
        <w:t xml:space="preserve"> (containers on high-risk sea cargo pathways)</w:t>
      </w:r>
    </w:p>
    <w:p w14:paraId="047818D5" w14:textId="2CB7121C" w:rsidR="00791EC4" w:rsidRDefault="005B64C9" w:rsidP="00791EC4">
      <w:pPr>
        <w:pStyle w:val="ListBullet"/>
      </w:pPr>
      <w:r>
        <w:t>640</w:t>
      </w:r>
      <w:r w:rsidR="007C2F14">
        <w:t>,</w:t>
      </w:r>
      <w:r>
        <w:t>000 air freight consignments (under $1</w:t>
      </w:r>
      <w:r w:rsidR="00BF7B68">
        <w:t>,</w:t>
      </w:r>
      <w:r w:rsidR="00FF5DBA">
        <w:t>000 in value)</w:t>
      </w:r>
    </w:p>
    <w:p w14:paraId="2AF44299" w14:textId="750A7BE6" w:rsidR="00791EC4" w:rsidRDefault="00794A07" w:rsidP="00791EC4">
      <w:pPr>
        <w:pStyle w:val="ListBullet"/>
      </w:pPr>
      <w:r>
        <w:t>138 </w:t>
      </w:r>
      <w:r w:rsidR="005B64C9">
        <w:t>mill</w:t>
      </w:r>
      <w:r w:rsidR="00FF5DBA">
        <w:t>ion international mail articles</w:t>
      </w:r>
    </w:p>
    <w:p w14:paraId="11733191" w14:textId="4B2F803D" w:rsidR="00791EC4" w:rsidRDefault="005B64C9" w:rsidP="00791EC4">
      <w:pPr>
        <w:pStyle w:val="ListBullet"/>
      </w:pPr>
      <w:r>
        <w:t>19</w:t>
      </w:r>
      <w:r w:rsidR="007C2F14">
        <w:t> </w:t>
      </w:r>
      <w:r>
        <w:t>million arrivin</w:t>
      </w:r>
      <w:r w:rsidR="00FF5DBA">
        <w:t>g international passengers</w:t>
      </w:r>
    </w:p>
    <w:p w14:paraId="3A5B3553" w14:textId="1AC7AD90" w:rsidR="005B64C9" w:rsidRDefault="005B64C9" w:rsidP="00791EC4">
      <w:pPr>
        <w:pStyle w:val="ListBullet"/>
      </w:pPr>
      <w:r>
        <w:t>800</w:t>
      </w:r>
      <w:r w:rsidR="00FF2F5E">
        <w:t>,</w:t>
      </w:r>
      <w:r>
        <w:t>000 sea p</w:t>
      </w:r>
      <w:r w:rsidR="00873A70">
        <w:t>assengers and crew (</w:t>
      </w:r>
      <w:hyperlink w:anchor="DAWR_2016" w:history="1">
        <w:r w:rsidR="00873A70" w:rsidRPr="00372466">
          <w:rPr>
            <w:rStyle w:val="Hyperlink"/>
          </w:rPr>
          <w:t>DAWR 2016</w:t>
        </w:r>
      </w:hyperlink>
      <w:r w:rsidR="00873A70">
        <w:t>).</w:t>
      </w:r>
    </w:p>
    <w:p w14:paraId="0FB0E54D" w14:textId="628D9246" w:rsidR="00651265" w:rsidRDefault="00651265" w:rsidP="00651265">
      <w:r>
        <w:t xml:space="preserve">Future global growth will lead to increased trade and passenger volumes across Australia, along with change in origin of trade and passengers—with more coming from what are </w:t>
      </w:r>
      <w:r w:rsidR="00D75CD1">
        <w:t>considered higher</w:t>
      </w:r>
      <w:r w:rsidR="001D29B6">
        <w:t>-</w:t>
      </w:r>
      <w:r w:rsidR="00D75CD1">
        <w:t>risk origins.</w:t>
      </w:r>
    </w:p>
    <w:p w14:paraId="10596516" w14:textId="6C31818F" w:rsidR="00651265" w:rsidRPr="009D67B5" w:rsidRDefault="00651265" w:rsidP="00651265">
      <w:r w:rsidRPr="009D67B5">
        <w:t xml:space="preserve">Some of the more </w:t>
      </w:r>
      <w:r>
        <w:t>compelling</w:t>
      </w:r>
      <w:r w:rsidRPr="009D67B5">
        <w:t xml:space="preserve"> forecasts </w:t>
      </w:r>
      <w:r>
        <w:t>illustrating</w:t>
      </w:r>
      <w:r w:rsidRPr="009D67B5">
        <w:t xml:space="preserve"> the ongoing challenges facing the national biosecurity system include</w:t>
      </w:r>
      <w:r w:rsidR="00B91540">
        <w:t xml:space="preserve"> the following</w:t>
      </w:r>
      <w:r w:rsidRPr="009D67B5">
        <w:t>:</w:t>
      </w:r>
    </w:p>
    <w:p w14:paraId="5087B39D" w14:textId="2462E3FC" w:rsidR="00651265" w:rsidRPr="00657A18" w:rsidRDefault="00B91540" w:rsidP="00657A18">
      <w:pPr>
        <w:pStyle w:val="ListBullet"/>
      </w:pPr>
      <w:r>
        <w:t>T</w:t>
      </w:r>
      <w:r w:rsidR="00651265" w:rsidRPr="00657A18">
        <w:t>otal containerised trade</w:t>
      </w:r>
      <w:r w:rsidR="00451AE0" w:rsidRPr="00657A18">
        <w:t xml:space="preserve"> (both imports and exports)</w:t>
      </w:r>
      <w:r w:rsidR="00651265" w:rsidRPr="00657A18">
        <w:t xml:space="preserve"> is forecast to rise from 7.2 million twenty-foot equivalent </w:t>
      </w:r>
      <w:r w:rsidR="00B05828">
        <w:t>units (TEUs) in 2012–13 to 19.4 </w:t>
      </w:r>
      <w:r w:rsidR="00651265" w:rsidRPr="00657A18">
        <w:t>million TEUs in 2032–33</w:t>
      </w:r>
      <w:r>
        <w:t>—</w:t>
      </w:r>
      <w:r w:rsidR="00651265" w:rsidRPr="00657A18">
        <w:t>a rise of 169 per</w:t>
      </w:r>
      <w:r w:rsidR="00A8440A">
        <w:t> </w:t>
      </w:r>
      <w:r w:rsidR="00651265" w:rsidRPr="00657A18">
        <w:t>cent (</w:t>
      </w:r>
      <w:hyperlink w:anchor="BITRE_2014" w:history="1">
        <w:r w:rsidR="00651265" w:rsidRPr="00657A18">
          <w:rPr>
            <w:rStyle w:val="Hyperlink"/>
            <w:color w:val="auto"/>
            <w:u w:val="none"/>
          </w:rPr>
          <w:t>BITRE 2014</w:t>
        </w:r>
      </w:hyperlink>
      <w:r w:rsidR="00651265" w:rsidRPr="00657A18">
        <w:t>)</w:t>
      </w:r>
      <w:r>
        <w:t>.</w:t>
      </w:r>
    </w:p>
    <w:p w14:paraId="010277D7" w14:textId="00D0F273" w:rsidR="00651265" w:rsidRPr="00657A18" w:rsidRDefault="00B91540" w:rsidP="00657A18">
      <w:pPr>
        <w:pStyle w:val="ListBullet"/>
      </w:pPr>
      <w:r>
        <w:lastRenderedPageBreak/>
        <w:t>T</w:t>
      </w:r>
      <w:r w:rsidR="00651265" w:rsidRPr="00657A18">
        <w:t>otal non-containerised trade is forecast to more than double from 20</w:t>
      </w:r>
      <w:r w:rsidR="00B05828">
        <w:t>12–13 to 2032–33, from around 1 billion tonnes to over 2.2 </w:t>
      </w:r>
      <w:r w:rsidR="00651265" w:rsidRPr="00657A18">
        <w:t>billion tonnes (</w:t>
      </w:r>
      <w:hyperlink w:anchor="BITRE_2014" w:history="1">
        <w:r w:rsidR="00651265" w:rsidRPr="00657A18">
          <w:rPr>
            <w:rStyle w:val="Hyperlink"/>
            <w:color w:val="auto"/>
            <w:u w:val="none"/>
          </w:rPr>
          <w:t>BITRE 2014</w:t>
        </w:r>
      </w:hyperlink>
      <w:r w:rsidR="00651265" w:rsidRPr="00657A18">
        <w:t>)</w:t>
      </w:r>
      <w:r>
        <w:t>.</w:t>
      </w:r>
    </w:p>
    <w:p w14:paraId="56BC1280" w14:textId="584E4522" w:rsidR="00651265" w:rsidRPr="00657A18" w:rsidRDefault="00B91540" w:rsidP="00657A18">
      <w:pPr>
        <w:pStyle w:val="ListBullet"/>
      </w:pPr>
      <w:r>
        <w:t>A</w:t>
      </w:r>
      <w:r w:rsidR="00651265" w:rsidRPr="00657A18">
        <w:t>ir freight is expected to continue to grow as demand for just-in-time delivery increases for items such as high</w:t>
      </w:r>
      <w:r>
        <w:t>-</w:t>
      </w:r>
      <w:r w:rsidR="00651265" w:rsidRPr="00657A18">
        <w:t>value manufacturing and mining products, perishables such as food, time urgent medical products and market flowers (</w:t>
      </w:r>
      <w:hyperlink w:anchor="DIRD_2016" w:history="1">
        <w:r w:rsidR="00651265" w:rsidRPr="00657A18">
          <w:rPr>
            <w:rStyle w:val="Hyperlink"/>
            <w:color w:val="auto"/>
            <w:u w:val="none"/>
          </w:rPr>
          <w:t>DIRD 2016</w:t>
        </w:r>
      </w:hyperlink>
      <w:r w:rsidR="00657A18">
        <w:t>)</w:t>
      </w:r>
      <w:r>
        <w:t>.</w:t>
      </w:r>
    </w:p>
    <w:p w14:paraId="081E9677" w14:textId="4DBF1938" w:rsidR="00651265" w:rsidRPr="00657A18" w:rsidRDefault="00B91540" w:rsidP="00657A18">
      <w:pPr>
        <w:pStyle w:val="ListBullet"/>
      </w:pPr>
      <w:r>
        <w:t>T</w:t>
      </w:r>
      <w:r w:rsidR="00651265" w:rsidRPr="00657A18">
        <w:t>he average annual growth rate for international ai</w:t>
      </w:r>
      <w:r w:rsidR="00A8440A">
        <w:t>r passengers is forecast at 4.9 </w:t>
      </w:r>
      <w:r w:rsidR="00651265" w:rsidRPr="00657A18">
        <w:t>per</w:t>
      </w:r>
      <w:r w:rsidR="00A8440A">
        <w:t> </w:t>
      </w:r>
      <w:r w:rsidR="00651265" w:rsidRPr="00657A18">
        <w:t>cent between 2015 and 2034, with domestic and international passenger movements through capital cities expected to almost double by 2030 (</w:t>
      </w:r>
      <w:hyperlink w:anchor="DIRD_2016" w:history="1">
        <w:r w:rsidR="00651265" w:rsidRPr="00657A18">
          <w:rPr>
            <w:rStyle w:val="Hyperlink"/>
            <w:color w:val="auto"/>
            <w:u w:val="none"/>
          </w:rPr>
          <w:t>DIRD 2016</w:t>
        </w:r>
      </w:hyperlink>
      <w:r w:rsidR="00657A18">
        <w:t>)</w:t>
      </w:r>
      <w:r>
        <w:t>.</w:t>
      </w:r>
    </w:p>
    <w:p w14:paraId="187F09A2" w14:textId="6195D733" w:rsidR="00651265" w:rsidRPr="00657A18" w:rsidRDefault="00B91540" w:rsidP="00657A18">
      <w:pPr>
        <w:pStyle w:val="ListBullet"/>
      </w:pPr>
      <w:r>
        <w:t>T</w:t>
      </w:r>
      <w:r w:rsidR="00651265" w:rsidRPr="00657A18">
        <w:t>he market share of passengers arriving from Ch</w:t>
      </w:r>
      <w:r w:rsidR="00A8440A">
        <w:t>ina is expected to rise to 25.7 </w:t>
      </w:r>
      <w:r w:rsidR="00651265" w:rsidRPr="00657A18">
        <w:t>per</w:t>
      </w:r>
      <w:r w:rsidR="00A8440A">
        <w:t> cent in 2024–25, up from 16.4 </w:t>
      </w:r>
      <w:r w:rsidR="00651265" w:rsidRPr="00657A18">
        <w:t>per</w:t>
      </w:r>
      <w:r w:rsidR="00A8440A">
        <w:t> </w:t>
      </w:r>
      <w:r w:rsidR="00651265" w:rsidRPr="00657A18">
        <w:t xml:space="preserve">cent in </w:t>
      </w:r>
      <w:r w:rsidR="00A8440A">
        <w:t>2016–17</w:t>
      </w:r>
      <w:r>
        <w:t>,</w:t>
      </w:r>
      <w:r w:rsidR="00A8440A">
        <w:t xml:space="preserve"> contributing around 43 </w:t>
      </w:r>
      <w:r w:rsidR="00651265" w:rsidRPr="00657A18">
        <w:t>per</w:t>
      </w:r>
      <w:r w:rsidR="00A8440A">
        <w:t> </w:t>
      </w:r>
      <w:r w:rsidR="00651265" w:rsidRPr="00657A18">
        <w:t>cent of total growth in visitor numbers between 2014–15 and 2024–25 (</w:t>
      </w:r>
      <w:hyperlink w:anchor="TRA_2016" w:history="1">
        <w:r w:rsidR="00651265" w:rsidRPr="00657A18">
          <w:rPr>
            <w:rStyle w:val="Hyperlink"/>
            <w:color w:val="auto"/>
            <w:u w:val="none"/>
          </w:rPr>
          <w:t>TRA 2016</w:t>
        </w:r>
      </w:hyperlink>
      <w:r w:rsidR="00651265" w:rsidRPr="00657A18">
        <w:t>)</w:t>
      </w:r>
      <w:r>
        <w:t>.</w:t>
      </w:r>
    </w:p>
    <w:p w14:paraId="5CA13A61" w14:textId="42444E00" w:rsidR="00651265" w:rsidRPr="00657A18" w:rsidRDefault="00B91540" w:rsidP="00657A18">
      <w:pPr>
        <w:pStyle w:val="ListBullet"/>
      </w:pPr>
      <w:r>
        <w:t>T</w:t>
      </w:r>
      <w:r w:rsidR="00651265" w:rsidRPr="00657A18">
        <w:t>he number of</w:t>
      </w:r>
      <w:r w:rsidR="007B32B4" w:rsidRPr="00657A18">
        <w:t xml:space="preserve"> cruise ship</w:t>
      </w:r>
      <w:r w:rsidR="00651265" w:rsidRPr="00657A18">
        <w:t xml:space="preserve"> passengers </w:t>
      </w:r>
      <w:r>
        <w:t xml:space="preserve">has </w:t>
      </w:r>
      <w:r w:rsidR="00651265" w:rsidRPr="00657A18">
        <w:t>increas</w:t>
      </w:r>
      <w:r w:rsidR="007B32B4" w:rsidRPr="00657A18">
        <w:t>ed</w:t>
      </w:r>
      <w:r w:rsidR="00651265" w:rsidRPr="00657A18">
        <w:t xml:space="preserve"> annually on average </w:t>
      </w:r>
      <w:r>
        <w:t xml:space="preserve">by </w:t>
      </w:r>
      <w:r w:rsidR="00651265" w:rsidRPr="00657A18">
        <w:t>19.</w:t>
      </w:r>
      <w:r w:rsidR="00E129C5" w:rsidRPr="00657A18">
        <w:t>4</w:t>
      </w:r>
      <w:r w:rsidR="00657A18">
        <w:t> per </w:t>
      </w:r>
      <w:r w:rsidR="00651265" w:rsidRPr="00657A18">
        <w:t>cent since 200</w:t>
      </w:r>
      <w:r w:rsidR="00E129C5" w:rsidRPr="00657A18">
        <w:t>7</w:t>
      </w:r>
      <w:r>
        <w:t>,</w:t>
      </w:r>
      <w:r w:rsidR="00651265" w:rsidRPr="00657A18">
        <w:t xml:space="preserve"> reaching a record of over 1</w:t>
      </w:r>
      <w:r w:rsidR="00E129C5" w:rsidRPr="00657A18">
        <w:t>.2</w:t>
      </w:r>
      <w:r w:rsidR="00657A18">
        <w:t> </w:t>
      </w:r>
      <w:r w:rsidR="00651265" w:rsidRPr="00657A18">
        <w:t>million passengers in 201</w:t>
      </w:r>
      <w:r w:rsidR="00E129C5" w:rsidRPr="00657A18">
        <w:t>6</w:t>
      </w:r>
      <w:r w:rsidR="00651265" w:rsidRPr="00657A18">
        <w:t>.</w:t>
      </w:r>
      <w:r w:rsidR="00657A18">
        <w:t xml:space="preserve"> The industry’s target is for 2 </w:t>
      </w:r>
      <w:r w:rsidR="00651265" w:rsidRPr="00657A18">
        <w:t>million passengers by 2020 (</w:t>
      </w:r>
      <w:hyperlink w:anchor="CLIA_2017" w:history="1">
        <w:r w:rsidR="00651265" w:rsidRPr="00657A18">
          <w:rPr>
            <w:rStyle w:val="Hyperlink"/>
            <w:color w:val="auto"/>
            <w:u w:val="none"/>
          </w:rPr>
          <w:t>CLIA 201</w:t>
        </w:r>
        <w:r w:rsidR="00E129C5" w:rsidRPr="00657A18">
          <w:rPr>
            <w:rStyle w:val="Hyperlink"/>
            <w:color w:val="auto"/>
            <w:u w:val="none"/>
          </w:rPr>
          <w:t>7</w:t>
        </w:r>
      </w:hyperlink>
      <w:r w:rsidR="00651265" w:rsidRPr="00657A18">
        <w:t>). Cruise ships are increasingly visiting low-volume regulated ports in New South Wales and Western Australia</w:t>
      </w:r>
      <w:r w:rsidR="004D3617" w:rsidRPr="00657A18">
        <w:t xml:space="preserve"> and are also </w:t>
      </w:r>
      <w:r w:rsidR="00651265" w:rsidRPr="00657A18">
        <w:t>anchoring offshore and transporting passengers to destinations in far north Queensland and north Western Australia (</w:t>
      </w:r>
      <w:hyperlink w:anchor="DIRD_2014" w:history="1">
        <w:r w:rsidR="00651265" w:rsidRPr="00657A18">
          <w:rPr>
            <w:rStyle w:val="Hyperlink"/>
            <w:color w:val="auto"/>
            <w:u w:val="none"/>
          </w:rPr>
          <w:t>DIRD 2014</w:t>
        </w:r>
      </w:hyperlink>
      <w:r w:rsidR="00651265" w:rsidRPr="00657A18">
        <w:t>).</w:t>
      </w:r>
    </w:p>
    <w:p w14:paraId="3DA7E2EA" w14:textId="08B4ECDB" w:rsidR="00267602" w:rsidRPr="00267602" w:rsidRDefault="00267602" w:rsidP="00267602">
      <w:r w:rsidRPr="00267602">
        <w:t>In a constantly changing biosecurity environment, Australia’s biosecurity syst</w:t>
      </w:r>
      <w:r w:rsidR="008869A4">
        <w:t>em must remain strong and focus</w:t>
      </w:r>
      <w:r w:rsidRPr="00267602">
        <w:t xml:space="preserve">ed and build </w:t>
      </w:r>
      <w:r w:rsidR="006E3973">
        <w:t xml:space="preserve">national </w:t>
      </w:r>
      <w:r w:rsidRPr="00267602">
        <w:t xml:space="preserve">capacity </w:t>
      </w:r>
      <w:r w:rsidR="006E3973">
        <w:t xml:space="preserve">and </w:t>
      </w:r>
      <w:r w:rsidR="006E3973" w:rsidRPr="00267602">
        <w:t xml:space="preserve">capability </w:t>
      </w:r>
      <w:r w:rsidRPr="00267602">
        <w:t xml:space="preserve">to address future challenges. Future and emerging global trends will significantly change and increase the magnitude and complexity of </w:t>
      </w:r>
      <w:r w:rsidR="00D25765">
        <w:t>the biosecurity risks we face—</w:t>
      </w:r>
      <w:r w:rsidRPr="00267602">
        <w:t>Australia cannot rely on previous success or our geo</w:t>
      </w:r>
      <w:r w:rsidR="004D7358">
        <w:t xml:space="preserve">graphic isolation. </w:t>
      </w:r>
      <w:r w:rsidR="00CB4F84">
        <w:t>T</w:t>
      </w:r>
      <w:r w:rsidR="004D7358">
        <w:t>he C</w:t>
      </w:r>
      <w:r w:rsidR="00713EF5">
        <w:t xml:space="preserve">ommonwealth </w:t>
      </w:r>
      <w:r w:rsidR="004D7358">
        <w:t>S</w:t>
      </w:r>
      <w:r w:rsidR="00713EF5">
        <w:t xml:space="preserve">cientific and </w:t>
      </w:r>
      <w:r w:rsidR="004D7358">
        <w:t>I</w:t>
      </w:r>
      <w:r w:rsidR="00713EF5">
        <w:t xml:space="preserve">ndustrial </w:t>
      </w:r>
      <w:r w:rsidR="004D7358">
        <w:t>R</w:t>
      </w:r>
      <w:r w:rsidR="00713EF5">
        <w:t xml:space="preserve">esearch </w:t>
      </w:r>
      <w:r w:rsidR="004D7358">
        <w:t>O</w:t>
      </w:r>
      <w:r w:rsidR="00713EF5">
        <w:t>rganisation (CSIRO)</w:t>
      </w:r>
      <w:r w:rsidRPr="00267602">
        <w:t xml:space="preserve"> </w:t>
      </w:r>
      <w:r w:rsidR="00CB4F84">
        <w:t xml:space="preserve">has </w:t>
      </w:r>
      <w:r w:rsidRPr="00267602">
        <w:t xml:space="preserve">identified a number of intersecting global megatrends </w:t>
      </w:r>
      <w:r w:rsidR="00CB4F84">
        <w:t xml:space="preserve">that </w:t>
      </w:r>
      <w:r w:rsidRPr="00267602">
        <w:t>point to a future where existing biosecurity processes and p</w:t>
      </w:r>
      <w:r>
        <w:t>ractices may not be sufficient</w:t>
      </w:r>
      <w:r w:rsidR="00CB4F84">
        <w:t xml:space="preserve"> </w:t>
      </w:r>
      <w:r w:rsidR="00CB4F84" w:rsidRPr="00267602">
        <w:t>(</w:t>
      </w:r>
      <w:hyperlink w:anchor="CSIRO_2014" w:history="1">
        <w:r w:rsidR="00CB4F84" w:rsidRPr="00372466">
          <w:rPr>
            <w:rStyle w:val="Hyperlink"/>
          </w:rPr>
          <w:t>CSIRO 2014</w:t>
        </w:r>
      </w:hyperlink>
      <w:r w:rsidR="00CB4F84" w:rsidRPr="00267602">
        <w:t>)</w:t>
      </w:r>
      <w:r>
        <w:t>.</w:t>
      </w:r>
    </w:p>
    <w:p w14:paraId="10023E49" w14:textId="039606CE" w:rsidR="001B2AB1" w:rsidRPr="00267602" w:rsidRDefault="00267602" w:rsidP="00267602">
      <w:r w:rsidRPr="00267602">
        <w:t>Based upon feedback and information provided as part of th</w:t>
      </w:r>
      <w:r w:rsidR="0056569E">
        <w:t>is</w:t>
      </w:r>
      <w:r w:rsidRPr="00267602">
        <w:t xml:space="preserve"> </w:t>
      </w:r>
      <w:r w:rsidR="00713EF5">
        <w:t>r</w:t>
      </w:r>
      <w:r w:rsidRPr="00267602">
        <w:t xml:space="preserve">eview, the </w:t>
      </w:r>
      <w:r w:rsidR="00713EF5">
        <w:t>p</w:t>
      </w:r>
      <w:r w:rsidRPr="00267602">
        <w:t>anel considers current and likely future risks to include:</w:t>
      </w:r>
    </w:p>
    <w:p w14:paraId="411C2414" w14:textId="2D8FCF60" w:rsidR="001B2AB1" w:rsidRPr="001B2AB1" w:rsidRDefault="006357CE" w:rsidP="001B2AB1">
      <w:pPr>
        <w:pStyle w:val="ListBullet"/>
      </w:pPr>
      <w:r>
        <w:t>t</w:t>
      </w:r>
      <w:r w:rsidR="001B2AB1" w:rsidRPr="001B2AB1">
        <w:t>ourism, trade and market access</w:t>
      </w:r>
    </w:p>
    <w:p w14:paraId="6FA0D786" w14:textId="60EC7505" w:rsidR="001B2AB1" w:rsidRDefault="006357CE" w:rsidP="001B2AB1">
      <w:pPr>
        <w:pStyle w:val="ListBullet2"/>
      </w:pPr>
      <w:r>
        <w:t>i</w:t>
      </w:r>
      <w:r w:rsidR="001B2AB1">
        <w:t>ncreased global trade volumes (including the grow</w:t>
      </w:r>
      <w:r w:rsidR="00885561">
        <w:t>th</w:t>
      </w:r>
      <w:r w:rsidR="001B2AB1">
        <w:t xml:space="preserve"> i</w:t>
      </w:r>
      <w:r w:rsidR="00885561">
        <w:t>n</w:t>
      </w:r>
      <w:r w:rsidR="001B2AB1">
        <w:t xml:space="preserve"> online shopping), where increased</w:t>
      </w:r>
      <w:r w:rsidR="00451AE0">
        <w:t xml:space="preserve"> transport and</w:t>
      </w:r>
      <w:r w:rsidR="001B2AB1">
        <w:t xml:space="preserve"> shipping will mean new pathways for new aquatic and other pests and diseases</w:t>
      </w:r>
    </w:p>
    <w:p w14:paraId="08791BBB" w14:textId="011354BE" w:rsidR="001B2AB1" w:rsidRDefault="006357CE" w:rsidP="001B2AB1">
      <w:pPr>
        <w:pStyle w:val="ListBullet2"/>
      </w:pPr>
      <w:r>
        <w:t>i</w:t>
      </w:r>
      <w:r w:rsidR="001B2AB1">
        <w:t>ncreased imports of processed food as processors continue to shift operation</w:t>
      </w:r>
      <w:r>
        <w:t>s to their lowest-cost location</w:t>
      </w:r>
    </w:p>
    <w:p w14:paraId="292985B7" w14:textId="611575EB" w:rsidR="001B2AB1" w:rsidRDefault="006357CE" w:rsidP="001B2AB1">
      <w:pPr>
        <w:pStyle w:val="ListBullet2"/>
      </w:pPr>
      <w:r>
        <w:lastRenderedPageBreak/>
        <w:t>i</w:t>
      </w:r>
      <w:r w:rsidR="001B2AB1">
        <w:t>ncreased international scrutiny. As trading partners strengthen their own biosecurity systems and requirements, Australia’s market access negotiations will be harder</w:t>
      </w:r>
      <w:r w:rsidR="00FE7CFB">
        <w:t xml:space="preserve"> and there will be</w:t>
      </w:r>
      <w:r w:rsidR="001B2AB1">
        <w:t xml:space="preserve"> a growing need to demonstrate our pest and disease freedom</w:t>
      </w:r>
    </w:p>
    <w:p w14:paraId="38FB7A79" w14:textId="3CA3B5BA" w:rsidR="001B2AB1" w:rsidRDefault="006357CE" w:rsidP="001B2AB1">
      <w:pPr>
        <w:pStyle w:val="ListBullet2"/>
      </w:pPr>
      <w:r>
        <w:t>i</w:t>
      </w:r>
      <w:r w:rsidR="001B2AB1">
        <w:t>ncreased passenger air and sea travel, bringing increased international tourist entry and activity, including to more remote parts of Australia</w:t>
      </w:r>
      <w:r>
        <w:t xml:space="preserve">, and increasingly from </w:t>
      </w:r>
      <w:r w:rsidR="007A1EB7">
        <w:t xml:space="preserve">countries </w:t>
      </w:r>
      <w:r w:rsidR="009D67B5">
        <w:t xml:space="preserve">(and regions within these countries) </w:t>
      </w:r>
      <w:r w:rsidR="007A1EB7">
        <w:t>which have not been historically represented</w:t>
      </w:r>
    </w:p>
    <w:p w14:paraId="22964841" w14:textId="0F59A4A5" w:rsidR="001B2AB1" w:rsidRDefault="006357CE" w:rsidP="001B2AB1">
      <w:pPr>
        <w:pStyle w:val="ListBullet"/>
      </w:pPr>
      <w:r>
        <w:t>o</w:t>
      </w:r>
      <w:r w:rsidR="001B2AB1">
        <w:t>ther global trends</w:t>
      </w:r>
    </w:p>
    <w:p w14:paraId="7A5EA659" w14:textId="2EB3FA59" w:rsidR="001B2AB1" w:rsidRDefault="006357CE" w:rsidP="001B2AB1">
      <w:pPr>
        <w:pStyle w:val="ListBullet2"/>
      </w:pPr>
      <w:r>
        <w:t>i</w:t>
      </w:r>
      <w:r w:rsidR="001B2AB1">
        <w:t xml:space="preserve">ncreased agricultural expansion and intensification. The trend towards fewer, larger </w:t>
      </w:r>
      <w:r w:rsidR="00D66D3F">
        <w:t xml:space="preserve">and often more concentrated </w:t>
      </w:r>
      <w:r w:rsidR="001B2AB1">
        <w:t>farms may mean that outbreaks will have greater consequences for the owner of the farm and the markets supplied by the farm. Increased agricultural expansion will also have particular relevance to northern Australia</w:t>
      </w:r>
      <w:r w:rsidR="00FE7CFB">
        <w:t>,</w:t>
      </w:r>
      <w:r w:rsidR="001B2AB1">
        <w:t xml:space="preserve"> where increased agricultural production may create a</w:t>
      </w:r>
      <w:r w:rsidR="00A24E32">
        <w:t>n</w:t>
      </w:r>
      <w:r w:rsidR="001B2AB1">
        <w:t xml:space="preserve"> environment for new </w:t>
      </w:r>
      <w:r w:rsidR="0027412D">
        <w:t>pests and diseases to establish</w:t>
      </w:r>
      <w:r w:rsidR="00451AE0">
        <w:t xml:space="preserve"> or spread</w:t>
      </w:r>
    </w:p>
    <w:p w14:paraId="1C20A224" w14:textId="008C233D" w:rsidR="001B2AB1" w:rsidRDefault="006357CE" w:rsidP="001B2AB1">
      <w:pPr>
        <w:pStyle w:val="ListBullet2"/>
      </w:pPr>
      <w:r>
        <w:t>i</w:t>
      </w:r>
      <w:r w:rsidR="001B2AB1">
        <w:t>ncreased urbanisation, bringing biosecurity risks closer to agriculturally and environme</w:t>
      </w:r>
      <w:r w:rsidR="0027412D">
        <w:t>ntally sensitive areas</w:t>
      </w:r>
    </w:p>
    <w:p w14:paraId="2AF8F1A8" w14:textId="219C13C6" w:rsidR="001B2AB1" w:rsidRDefault="006357CE" w:rsidP="001B2AB1">
      <w:pPr>
        <w:pStyle w:val="ListBullet2"/>
      </w:pPr>
      <w:r>
        <w:t>c</w:t>
      </w:r>
      <w:r w:rsidR="001B2AB1">
        <w:t>limate change, bringing biodiversity pressures and altering the geographical distribution of pests and diseases globally, including within a</w:t>
      </w:r>
      <w:r>
        <w:t>nd in the vicinity of Australia</w:t>
      </w:r>
    </w:p>
    <w:p w14:paraId="2B5B84D0" w14:textId="7D0E1379" w:rsidR="001B2AB1" w:rsidRDefault="006357CE" w:rsidP="001B2AB1">
      <w:pPr>
        <w:pStyle w:val="ListBullet2"/>
      </w:pPr>
      <w:r>
        <w:t>c</w:t>
      </w:r>
      <w:r w:rsidR="001B2AB1">
        <w:t>hanging consumer expectations, covering the significant growth in products such as free-range meat and eggs</w:t>
      </w:r>
      <w:r w:rsidR="00451AE0">
        <w:t xml:space="preserve"> and</w:t>
      </w:r>
      <w:r w:rsidR="001B2AB1">
        <w:t xml:space="preserve"> a</w:t>
      </w:r>
      <w:r w:rsidR="009D67B5">
        <w:t>n</w:t>
      </w:r>
      <w:r w:rsidR="001B2AB1">
        <w:t xml:space="preserve"> </w:t>
      </w:r>
      <w:r w:rsidR="009D67B5">
        <w:t>increase</w:t>
      </w:r>
      <w:r w:rsidR="001B2AB1">
        <w:t xml:space="preserve"> in organic farming</w:t>
      </w:r>
    </w:p>
    <w:p w14:paraId="5AE6ED86" w14:textId="200DF861" w:rsidR="009D67B5" w:rsidRPr="009D67B5" w:rsidRDefault="009D67B5" w:rsidP="009D67B5">
      <w:pPr>
        <w:pStyle w:val="ListBullet2"/>
      </w:pPr>
      <w:r w:rsidRPr="009D67B5">
        <w:t xml:space="preserve">the rise of online retailers (noting their ability to provide, and rapidly deliver, an extensive range of goods, including produce) and the </w:t>
      </w:r>
      <w:r w:rsidR="00B755D1">
        <w:t>corresponding rapid</w:t>
      </w:r>
      <w:r w:rsidRPr="009D67B5">
        <w:t xml:space="preserve"> increase in small parcel movements</w:t>
      </w:r>
    </w:p>
    <w:p w14:paraId="7102DDAD" w14:textId="52FE589C" w:rsidR="001B2AB1" w:rsidRDefault="006357CE" w:rsidP="001B2AB1">
      <w:pPr>
        <w:pStyle w:val="ListBullet"/>
      </w:pPr>
      <w:r>
        <w:t>f</w:t>
      </w:r>
      <w:r w:rsidR="001B2AB1">
        <w:t>inancial risks</w:t>
      </w:r>
    </w:p>
    <w:p w14:paraId="15FF25F1" w14:textId="31CE8577" w:rsidR="001B2AB1" w:rsidRDefault="00EE5D01" w:rsidP="001B2AB1">
      <w:pPr>
        <w:pStyle w:val="ListBullet2"/>
      </w:pPr>
      <w:r>
        <w:t xml:space="preserve">pressure on </w:t>
      </w:r>
      <w:r w:rsidR="001B2AB1">
        <w:t>funding allocation, driving greater focus on innovation and cost-saving technologies, as well as greater efficiencies in and effectiveness of the methods u</w:t>
      </w:r>
      <w:r w:rsidR="006357CE">
        <w:t>sed to manage biosecurity risks</w:t>
      </w:r>
    </w:p>
    <w:p w14:paraId="785F5E32" w14:textId="2918EF5E" w:rsidR="001B2AB1" w:rsidRPr="00F83D57" w:rsidRDefault="006357CE" w:rsidP="000A1812">
      <w:pPr>
        <w:pStyle w:val="ListBullet2"/>
      </w:pPr>
      <w:r w:rsidRPr="009E2FE7">
        <w:t>d</w:t>
      </w:r>
      <w:r w:rsidR="001B2AB1" w:rsidRPr="009E2FE7">
        <w:t xml:space="preserve">eclining government resources, forcing greater government attention to areas of </w:t>
      </w:r>
      <w:r w:rsidR="00EE5D01">
        <w:t>higher</w:t>
      </w:r>
      <w:r w:rsidR="00EE5D01" w:rsidRPr="009E2FE7">
        <w:t xml:space="preserve"> </w:t>
      </w:r>
      <w:r w:rsidR="001B2AB1" w:rsidRPr="009E2FE7">
        <w:t>risk (and return on investment) and affecting access to qualified and experienced specialists (for example, veterinarians and plant pathologists).</w:t>
      </w:r>
      <w:r w:rsidR="0027412D" w:rsidRPr="009E2FE7">
        <w:t xml:space="preserve"> </w:t>
      </w:r>
      <w:r w:rsidR="007A1EB7" w:rsidRPr="00F13E8C">
        <w:t>While this approach is logical under conditions of constrained resources</w:t>
      </w:r>
      <w:r w:rsidR="0027412D" w:rsidRPr="00F13E8C">
        <w:t xml:space="preserve">, </w:t>
      </w:r>
      <w:r w:rsidR="000A1812" w:rsidRPr="00F13E8C">
        <w:t>it</w:t>
      </w:r>
      <w:r w:rsidR="0027412D" w:rsidRPr="00F13E8C">
        <w:t xml:space="preserve"> will impact </w:t>
      </w:r>
      <w:r w:rsidR="00FE7CFB">
        <w:t xml:space="preserve">on </w:t>
      </w:r>
      <w:r w:rsidR="0027412D" w:rsidRPr="00F13E8C">
        <w:t>the overall level of risk</w:t>
      </w:r>
      <w:r w:rsidR="00FE7CFB">
        <w:t>—</w:t>
      </w:r>
      <w:r w:rsidR="0027412D" w:rsidRPr="00F13E8C">
        <w:t>that is, it is not a risk-free decision.</w:t>
      </w:r>
      <w:r w:rsidR="004D3617" w:rsidRPr="00F13E8C">
        <w:t xml:space="preserve"> </w:t>
      </w:r>
      <w:r w:rsidR="00885561" w:rsidRPr="00F13E8C">
        <w:t xml:space="preserve">For example, the </w:t>
      </w:r>
      <w:r w:rsidR="00FE7CFB">
        <w:t>r</w:t>
      </w:r>
      <w:r w:rsidR="00885561" w:rsidRPr="00F13E8C">
        <w:t>eview utilised t</w:t>
      </w:r>
      <w:r w:rsidR="004D3617" w:rsidRPr="00F13E8C">
        <w:t>he Australian Government agriculture department’s R</w:t>
      </w:r>
      <w:r w:rsidR="00FE7CFB">
        <w:t xml:space="preserve">isk </w:t>
      </w:r>
      <w:r w:rsidR="004D3617" w:rsidRPr="00F13E8C">
        <w:t>R</w:t>
      </w:r>
      <w:r w:rsidR="00FE7CFB">
        <w:t xml:space="preserve">eturn </w:t>
      </w:r>
      <w:r w:rsidR="004D3617" w:rsidRPr="00F13E8C">
        <w:t>R</w:t>
      </w:r>
      <w:r w:rsidR="00FE7CFB">
        <w:t>e</w:t>
      </w:r>
      <w:r w:rsidR="00FE7CFB">
        <w:lastRenderedPageBreak/>
        <w:t xml:space="preserve">source </w:t>
      </w:r>
      <w:r w:rsidR="004D3617" w:rsidRPr="00F13E8C">
        <w:t>A</w:t>
      </w:r>
      <w:r w:rsidR="00FE7CFB">
        <w:t>llocation</w:t>
      </w:r>
      <w:r w:rsidR="004D3617" w:rsidRPr="00F13E8C">
        <w:t xml:space="preserve"> </w:t>
      </w:r>
      <w:r w:rsidR="00C4590D">
        <w:t xml:space="preserve">(RRRA) </w:t>
      </w:r>
      <w:r w:rsidR="00FE7CFB">
        <w:t>m</w:t>
      </w:r>
      <w:r w:rsidR="004D3617" w:rsidRPr="00F13E8C">
        <w:t>odel (</w:t>
      </w:r>
      <w:hyperlink w:anchor="_Appendix_E:_Risk" w:history="1">
        <w:r w:rsidR="004D3617" w:rsidRPr="00F83D57">
          <w:rPr>
            <w:rStyle w:val="Hyperlink"/>
          </w:rPr>
          <w:t>Appendix D</w:t>
        </w:r>
      </w:hyperlink>
      <w:r w:rsidR="004D3617" w:rsidRPr="00F13E8C">
        <w:t xml:space="preserve">) </w:t>
      </w:r>
      <w:r w:rsidR="00F13E8C" w:rsidRPr="00F13E8C">
        <w:t xml:space="preserve">to </w:t>
      </w:r>
      <w:r w:rsidR="00885561" w:rsidRPr="00F13E8C">
        <w:t xml:space="preserve">illustrate the exposure to biosecurity risk arising from specific investment decisions at the Australian </w:t>
      </w:r>
      <w:r w:rsidR="00885561" w:rsidRPr="00F83D57">
        <w:t xml:space="preserve">border </w:t>
      </w:r>
      <w:r w:rsidR="004D3617" w:rsidRPr="00F83D57">
        <w:t>(</w:t>
      </w:r>
      <w:r w:rsidR="00F83D57" w:rsidRPr="00F83D57">
        <w:fldChar w:fldCharType="begin"/>
      </w:r>
      <w:r w:rsidR="00F83D57" w:rsidRPr="00F83D57">
        <w:instrText xml:space="preserve"> REF _Ref467233446 \h  \* MERGEFORMAT </w:instrText>
      </w:r>
      <w:r w:rsidR="00F83D57" w:rsidRPr="00F83D57">
        <w:fldChar w:fldCharType="separate"/>
      </w:r>
      <w:r w:rsidR="009F6923" w:rsidRPr="004D3617">
        <w:t xml:space="preserve">Box </w:t>
      </w:r>
      <w:r w:rsidR="009F6923">
        <w:rPr>
          <w:noProof/>
        </w:rPr>
        <w:t>1</w:t>
      </w:r>
      <w:r w:rsidR="00F83D57" w:rsidRPr="00F83D57">
        <w:fldChar w:fldCharType="end"/>
      </w:r>
      <w:r w:rsidR="004D3617" w:rsidRPr="00F83D57">
        <w:t>).</w:t>
      </w:r>
    </w:p>
    <w:p w14:paraId="7DADA796" w14:textId="1EC70E7E" w:rsidR="001B2AB1" w:rsidRDefault="00B224C9" w:rsidP="001B2AB1">
      <w:r>
        <w:t xml:space="preserve">A strong national biosecurity system will require a sustained focus on all </w:t>
      </w:r>
      <w:r w:rsidR="00C4590D">
        <w:t xml:space="preserve">of </w:t>
      </w:r>
      <w:r>
        <w:t xml:space="preserve">these risk areas. </w:t>
      </w:r>
      <w:r w:rsidR="001B2AB1">
        <w:t xml:space="preserve">The </w:t>
      </w:r>
      <w:r w:rsidR="00C4590D">
        <w:t>p</w:t>
      </w:r>
      <w:r w:rsidR="001B2AB1">
        <w:t>anel has sought to assist key decision makers</w:t>
      </w:r>
      <w:r w:rsidR="00C4590D">
        <w:t xml:space="preserve"> to</w:t>
      </w:r>
      <w:r w:rsidR="001B2AB1">
        <w:t xml:space="preserve"> prepare for some of these risks </w:t>
      </w:r>
      <w:r>
        <w:t xml:space="preserve">by proposing a number of </w:t>
      </w:r>
      <w:r w:rsidR="001B2AB1">
        <w:t>structu</w:t>
      </w:r>
      <w:r>
        <w:t xml:space="preserve">ral and systematic improvements, as outlined in this </w:t>
      </w:r>
      <w:r w:rsidR="00C4590D">
        <w:t>r</w:t>
      </w:r>
      <w:r>
        <w:t>eport.</w:t>
      </w:r>
    </w:p>
    <w:p w14:paraId="78716EBE" w14:textId="5CACDA2F" w:rsidR="004D3617" w:rsidRPr="004D3617" w:rsidRDefault="004D3617" w:rsidP="00C253F5">
      <w:pPr>
        <w:pStyle w:val="BoxHeading"/>
        <w:keepNext/>
        <w:keepLines/>
        <w:rPr>
          <w:lang w:eastAsia="ja-JP"/>
        </w:rPr>
      </w:pPr>
      <w:bookmarkStart w:id="24" w:name="_Ref467233446"/>
      <w:bookmarkStart w:id="25" w:name="_Toc468176754"/>
      <w:bookmarkStart w:id="26" w:name="_Toc468444404"/>
      <w:r w:rsidRPr="004D3617">
        <w:t xml:space="preserve">Box </w:t>
      </w:r>
      <w:fldSimple w:instr=" SEQ Box \* ARABIC ">
        <w:r w:rsidR="009F6923">
          <w:rPr>
            <w:noProof/>
          </w:rPr>
          <w:t>1</w:t>
        </w:r>
      </w:fldSimple>
      <w:bookmarkEnd w:id="24"/>
      <w:r w:rsidRPr="004D3617">
        <w:t xml:space="preserve"> Change in trade and patterns and exposure to biosecurity risk</w:t>
      </w:r>
      <w:bookmarkEnd w:id="25"/>
      <w:bookmarkEnd w:id="26"/>
    </w:p>
    <w:p w14:paraId="32B275E6" w14:textId="4F1DF4EB" w:rsidR="004D3617" w:rsidRPr="00C253F5" w:rsidRDefault="004D3617" w:rsidP="00C253F5">
      <w:pPr>
        <w:pStyle w:val="BoxText"/>
        <w:keepNext/>
        <w:keepLines/>
      </w:pPr>
      <w:r w:rsidRPr="004D3617">
        <w:rPr>
          <w:lang w:eastAsia="ja-JP"/>
        </w:rPr>
        <w:t xml:space="preserve">The number of passengers, shipping and containerised cargo arrivals </w:t>
      </w:r>
      <w:r w:rsidR="00867425">
        <w:rPr>
          <w:lang w:eastAsia="ja-JP"/>
        </w:rPr>
        <w:t>in</w:t>
      </w:r>
      <w:r w:rsidRPr="004D3617">
        <w:rPr>
          <w:lang w:eastAsia="ja-JP"/>
        </w:rPr>
        <w:t xml:space="preserve"> Australia </w:t>
      </w:r>
      <w:r w:rsidR="00867425">
        <w:rPr>
          <w:lang w:eastAsia="ja-JP"/>
        </w:rPr>
        <w:t>is</w:t>
      </w:r>
      <w:r w:rsidRPr="004D3617">
        <w:rPr>
          <w:lang w:eastAsia="ja-JP"/>
        </w:rPr>
        <w:t xml:space="preserve"> forec</w:t>
      </w:r>
      <w:r w:rsidR="00A8440A">
        <w:rPr>
          <w:lang w:eastAsia="ja-JP"/>
        </w:rPr>
        <w:t>ast to increase by more than 70 </w:t>
      </w:r>
      <w:r w:rsidRPr="004D3617">
        <w:rPr>
          <w:lang w:eastAsia="ja-JP"/>
        </w:rPr>
        <w:t>per</w:t>
      </w:r>
      <w:r w:rsidR="00A8440A">
        <w:rPr>
          <w:lang w:eastAsia="ja-JP"/>
        </w:rPr>
        <w:t> </w:t>
      </w:r>
      <w:r w:rsidRPr="004D3617">
        <w:rPr>
          <w:lang w:eastAsia="ja-JP"/>
        </w:rPr>
        <w:t>cent by 2025 (</w:t>
      </w:r>
      <w:hyperlink w:anchor="DIRD_2014" w:history="1">
        <w:r w:rsidRPr="004D3617">
          <w:rPr>
            <w:color w:val="165788"/>
            <w:u w:val="single"/>
            <w:lang w:eastAsia="ja-JP"/>
          </w:rPr>
          <w:t>DIRD 2014</w:t>
        </w:r>
      </w:hyperlink>
      <w:r w:rsidRPr="004D3617">
        <w:rPr>
          <w:lang w:eastAsia="ja-JP"/>
        </w:rPr>
        <w:t xml:space="preserve">). The possible effect of this increase on biosecurity risk to Australia, and its management by the Australian Government agriculture department, was explored using </w:t>
      </w:r>
      <w:r w:rsidRPr="00C253F5">
        <w:t>the</w:t>
      </w:r>
      <w:r w:rsidR="00CF14C4" w:rsidRPr="00C253F5">
        <w:t xml:space="preserve"> department’s</w:t>
      </w:r>
      <w:r w:rsidR="006E5043">
        <w:t xml:space="preserve"> Risk </w:t>
      </w:r>
      <w:r w:rsidRPr="00C253F5">
        <w:t>R</w:t>
      </w:r>
      <w:r w:rsidR="006E5043">
        <w:t xml:space="preserve">eturn </w:t>
      </w:r>
      <w:r w:rsidRPr="00C253F5">
        <w:t>R</w:t>
      </w:r>
      <w:r w:rsidR="006E5043">
        <w:t xml:space="preserve">esource </w:t>
      </w:r>
      <w:r w:rsidR="006E5043" w:rsidRPr="00C253F5">
        <w:t>A</w:t>
      </w:r>
      <w:r w:rsidR="006E5043">
        <w:t>llocation (RRRA)</w:t>
      </w:r>
      <w:r w:rsidRPr="00C253F5">
        <w:t xml:space="preserve"> model.</w:t>
      </w:r>
    </w:p>
    <w:p w14:paraId="0361B89F" w14:textId="7656C79C" w:rsidR="004D3617" w:rsidRPr="006A3E7C" w:rsidRDefault="00CF14C4" w:rsidP="000640C2">
      <w:pPr>
        <w:pStyle w:val="BoxText"/>
      </w:pPr>
      <w:r w:rsidRPr="00C253F5">
        <w:t>Using the RRRA model, projected volume increases to 2025 for four entry pathways (responsible for around half of the residual biosecurity risk to Australia) were examined: air and sea passengers; commercial vessels</w:t>
      </w:r>
      <w:r w:rsidRPr="006A3E7C">
        <w:t xml:space="preserve">; sea containers (external surfaces only); and timber (bulk timber and wooden manufactured articles). Trade data and costs (Australian Government only) for 2014–15 were used as a baseline for three possible </w:t>
      </w:r>
      <w:r w:rsidRPr="000640C2">
        <w:t>2025</w:t>
      </w:r>
      <w:r w:rsidRPr="006A3E7C">
        <w:t xml:space="preserve"> scenarios to manage biosecurity risks associated with the projected volume increases at the border (the analysis ass</w:t>
      </w:r>
      <w:r w:rsidR="009F7382" w:rsidRPr="006A3E7C">
        <w:t>umed no other adjustments, pre-</w:t>
      </w:r>
      <w:r w:rsidR="00867425">
        <w:t xml:space="preserve"> </w:t>
      </w:r>
      <w:r w:rsidRPr="006A3E7C">
        <w:t>or post-border, are made to manage risk):</w:t>
      </w:r>
    </w:p>
    <w:p w14:paraId="56F46ADA" w14:textId="77777777" w:rsidR="004D3617" w:rsidRPr="006A3E7C" w:rsidRDefault="004D3617" w:rsidP="000640C2">
      <w:pPr>
        <w:pStyle w:val="BoxTextBullet"/>
      </w:pPr>
      <w:r w:rsidRPr="006A3E7C">
        <w:rPr>
          <w:rStyle w:val="Strong"/>
        </w:rPr>
        <w:t>Scenario 1 (Fixed investment)</w:t>
      </w:r>
      <w:r w:rsidRPr="006A3E7C">
        <w:t xml:space="preserve">: Border </w:t>
      </w:r>
      <w:r w:rsidRPr="000640C2">
        <w:t>clearance</w:t>
      </w:r>
      <w:r w:rsidRPr="006A3E7C">
        <w:t xml:space="preserve"> costs are maintained at 2014–15 levels.</w:t>
      </w:r>
    </w:p>
    <w:p w14:paraId="79B404C9" w14:textId="77777777" w:rsidR="004D3617" w:rsidRPr="006A3E7C" w:rsidRDefault="004D3617" w:rsidP="006A3E7C">
      <w:pPr>
        <w:pStyle w:val="BoxTextBullet"/>
      </w:pPr>
      <w:r w:rsidRPr="006A3E7C">
        <w:rPr>
          <w:rStyle w:val="Strong"/>
        </w:rPr>
        <w:t>Scenario 2 (Fixed intervention rate)</w:t>
      </w:r>
      <w:r w:rsidRPr="006A3E7C">
        <w:t>: Border clearance processes adjust to changing volume (document processing and intervention rates).</w:t>
      </w:r>
    </w:p>
    <w:p w14:paraId="0A2879D3" w14:textId="77777777" w:rsidR="004D3617" w:rsidRPr="006A3E7C" w:rsidRDefault="004D3617" w:rsidP="006A3E7C">
      <w:pPr>
        <w:pStyle w:val="BoxTextBullet"/>
      </w:pPr>
      <w:r w:rsidRPr="006A3E7C">
        <w:rPr>
          <w:rStyle w:val="Strong"/>
        </w:rPr>
        <w:t>Scenario 3 (Fixed residual risk)</w:t>
      </w:r>
      <w:r w:rsidRPr="006A3E7C">
        <w:t>: Border clearance processes (intervention rates and effort) are increased in an attempt to maintain residual risk at the 2014–15 levels.</w:t>
      </w:r>
    </w:p>
    <w:p w14:paraId="1734D235" w14:textId="6AF806F9" w:rsidR="00CF14C4" w:rsidRPr="006A3E7C" w:rsidRDefault="00CF14C4" w:rsidP="006A3E7C">
      <w:pPr>
        <w:pStyle w:val="BoxText"/>
      </w:pPr>
      <w:r w:rsidRPr="006A3E7C">
        <w:t>In 2014–15, around $90 million was spent managing biosecurity risk for the four pathways. The RRRA model calculated this investme</w:t>
      </w:r>
      <w:r w:rsidR="0070361F">
        <w:t>nt to benefit Australia by $2.4 </w:t>
      </w:r>
      <w:r w:rsidRPr="006A3E7C">
        <w:t>billion in avoided long-term losses</w:t>
      </w:r>
      <w:r w:rsidRPr="00867425">
        <w:rPr>
          <w:vertAlign w:val="superscript"/>
        </w:rPr>
        <w:t>1</w:t>
      </w:r>
      <w:r w:rsidRPr="006A3E7C">
        <w:t xml:space="preserve"> to agr</w:t>
      </w:r>
      <w:r w:rsidR="0070361F">
        <w:t>icultural industries, with $1.7 </w:t>
      </w:r>
      <w:r w:rsidRPr="006A3E7C">
        <w:t>billion in residual biosecurity risk</w:t>
      </w:r>
      <w:r w:rsidRPr="00867425">
        <w:rPr>
          <w:vertAlign w:val="superscript"/>
        </w:rPr>
        <w:t>2</w:t>
      </w:r>
      <w:r w:rsidRPr="006A3E7C">
        <w:t>.</w:t>
      </w:r>
    </w:p>
    <w:p w14:paraId="4A1344F5" w14:textId="7200E05A" w:rsidR="00CF14C4" w:rsidRPr="006A3E7C" w:rsidRDefault="00CF14C4" w:rsidP="006A3E7C">
      <w:pPr>
        <w:pStyle w:val="BoxText"/>
      </w:pPr>
      <w:r w:rsidRPr="006A3E7C">
        <w:t>The analysis showed that</w:t>
      </w:r>
      <w:r w:rsidR="001F3618">
        <w:t>,</w:t>
      </w:r>
      <w:r w:rsidRPr="006A3E7C">
        <w:t xml:space="preserve"> while increasing the investment in biosecurity interventions at the border does provide a benefit, it would not be sufficient to keep residual biosecurity risk at the 2014–15 level of $1.7</w:t>
      </w:r>
      <w:r w:rsidR="0070361F">
        <w:t> </w:t>
      </w:r>
      <w:r w:rsidRPr="006A3E7C">
        <w:t>billion. Even almost tripling investment in interventions to $250 million (scenario 3), while providing an estimated benefit of $4.7 billion, only manages to reduce the residual biosecurity risk to $2.1 billion. The residual risk under scenario 2 was higher at $2.9 billion, with a lower estimated benefit of $3.8 billion. This highlights the importance of seeking innovative approaches, pre-border and post-border as well as at the border, to biosecurity risk management; simply increasing funding is not a ‘silver bullet’.</w:t>
      </w:r>
    </w:p>
    <w:p w14:paraId="6049430B" w14:textId="7A34AFC4" w:rsidR="00CF14C4" w:rsidRPr="006A3E7C" w:rsidRDefault="00CF14C4" w:rsidP="006A3E7C">
      <w:pPr>
        <w:pStyle w:val="BoxText"/>
      </w:pPr>
      <w:r w:rsidRPr="006A3E7C">
        <w:lastRenderedPageBreak/>
        <w:t>This finding is reinforced by the diminishing return on investment (ROI) for the four pathways in scenarios 2 and 3. In comparison to the current (2014–15) ROI (27:1), the marginal ROI</w:t>
      </w:r>
      <w:r w:rsidRPr="001F3618">
        <w:rPr>
          <w:vertAlign w:val="superscript"/>
        </w:rPr>
        <w:t>3</w:t>
      </w:r>
      <w:r w:rsidRPr="006A3E7C">
        <w:t xml:space="preserve"> on the additional investment is less than half under scenario 2 (12:1), and about </w:t>
      </w:r>
      <w:r w:rsidR="001F3618">
        <w:t>one-</w:t>
      </w:r>
      <w:r w:rsidRPr="006A3E7C">
        <w:t>quarter under scenario 3 (7:1). The overall ROI is also substantially reduced under scenario 3, dropping from 27:1 to 19:1.</w:t>
      </w:r>
    </w:p>
    <w:p w14:paraId="0BDC2EF7" w14:textId="2E844203" w:rsidR="00CF14C4" w:rsidRDefault="00CF14C4" w:rsidP="00CF14C4">
      <w:pPr>
        <w:pBdr>
          <w:top w:val="single" w:sz="4" w:space="10" w:color="auto"/>
          <w:left w:val="single" w:sz="4" w:space="10" w:color="auto"/>
          <w:bottom w:val="single" w:sz="4" w:space="10" w:color="auto"/>
          <w:right w:val="single" w:sz="4" w:space="10" w:color="auto"/>
        </w:pBdr>
        <w:spacing w:after="0" w:line="264" w:lineRule="auto"/>
        <w:contextualSpacing/>
        <w:rPr>
          <w:rFonts w:ascii="Calibri" w:eastAsia="Calibri" w:hAnsi="Calibri" w:cs="Times New Roman"/>
          <w:sz w:val="18"/>
        </w:rPr>
      </w:pPr>
      <w:r w:rsidRPr="00CF14C4">
        <w:rPr>
          <w:rFonts w:ascii="Calibri" w:eastAsia="Calibri" w:hAnsi="Calibri" w:cs="Times New Roman"/>
          <w:sz w:val="18"/>
        </w:rPr>
        <w:t>Notes: 1. Avoided long</w:t>
      </w:r>
      <w:r w:rsidR="001F3618">
        <w:rPr>
          <w:rFonts w:ascii="Calibri" w:eastAsia="Calibri" w:hAnsi="Calibri" w:cs="Times New Roman"/>
          <w:sz w:val="18"/>
        </w:rPr>
        <w:t>-</w:t>
      </w:r>
      <w:r w:rsidRPr="00CF14C4">
        <w:rPr>
          <w:rFonts w:ascii="Calibri" w:eastAsia="Calibri" w:hAnsi="Calibri" w:cs="Times New Roman"/>
          <w:sz w:val="18"/>
        </w:rPr>
        <w:t>term loss is the estimated reduction in exposure to biosecurity risk as a result of having biosecurity controls in place; 2. Residual biosecurity risk is what remains with biosecurity controls</w:t>
      </w:r>
      <w:r w:rsidR="00657A18">
        <w:rPr>
          <w:rFonts w:ascii="Calibri" w:eastAsia="Calibri" w:hAnsi="Calibri" w:cs="Times New Roman"/>
          <w:sz w:val="18"/>
        </w:rPr>
        <w:t xml:space="preserve"> in place. [The sum of 1. &amp; 2. i</w:t>
      </w:r>
      <w:r w:rsidRPr="00CF14C4">
        <w:rPr>
          <w:rFonts w:ascii="Calibri" w:eastAsia="Calibri" w:hAnsi="Calibri" w:cs="Times New Roman"/>
          <w:sz w:val="18"/>
        </w:rPr>
        <w:t>s the biosecurity risk if no controls were in place]; and 3. Marginal ROI is the return on the additional investment needed to maintain current policy settings for border interventions (scenario 2) or to attempt to maintain residual risk at current levels (scenario 3).</w:t>
      </w:r>
    </w:p>
    <w:p w14:paraId="3B5D837E" w14:textId="1902759A" w:rsidR="004D3617" w:rsidRPr="00C2000C" w:rsidRDefault="004D3617" w:rsidP="00CF14C4">
      <w:pPr>
        <w:pStyle w:val="BoxSource"/>
      </w:pPr>
      <w:r w:rsidRPr="00C2000C">
        <w:t>Source: Australian Government Department of Agriculture and Water Resources.</w:t>
      </w:r>
    </w:p>
    <w:p w14:paraId="0A03166A" w14:textId="77777777" w:rsidR="008F63D3" w:rsidRDefault="00F21A25" w:rsidP="00E132D7">
      <w:pPr>
        <w:pStyle w:val="Heading3"/>
      </w:pPr>
      <w:bookmarkStart w:id="27" w:name="_Toc486236027"/>
      <w:r>
        <w:t>The 2012 IGAB</w:t>
      </w:r>
      <w:bookmarkEnd w:id="27"/>
    </w:p>
    <w:p w14:paraId="337F89CB" w14:textId="67AC62D8" w:rsidR="00F21A25" w:rsidRDefault="00F21A25" w:rsidP="00E132D7">
      <w:pPr>
        <w:keepNext/>
        <w:keepLines/>
      </w:pPr>
      <w:r>
        <w:t>The 2012 IGAB creat</w:t>
      </w:r>
      <w:r w:rsidR="00657291">
        <w:t>ed</w:t>
      </w:r>
      <w:r>
        <w:t xml:space="preserve"> a framework </w:t>
      </w:r>
      <w:r w:rsidR="00657291">
        <w:t xml:space="preserve">for </w:t>
      </w:r>
      <w:r>
        <w:t xml:space="preserve">governments to coordinate and identify priority areas of </w:t>
      </w:r>
      <w:r w:rsidR="00657291">
        <w:t xml:space="preserve">reform and action to build a stronger and more effective national biosecurity system. </w:t>
      </w:r>
      <w:r>
        <w:t xml:space="preserve">The agreement comprised two parts: the first part established </w:t>
      </w:r>
      <w:r w:rsidR="00470B36">
        <w:t xml:space="preserve">the goal, </w:t>
      </w:r>
      <w:r>
        <w:t>objectives and principles of the system, as well as the purpose and scope of the agreement; the second part, the schedules, outlined the priority work areas for governments and their key decision-making committee, the NBC.</w:t>
      </w:r>
    </w:p>
    <w:p w14:paraId="3ED60DCF" w14:textId="771BBEED" w:rsidR="00F21A25" w:rsidRDefault="00F21A25" w:rsidP="00F21A25">
      <w:r>
        <w:t xml:space="preserve">The 2012 IGAB was an important step for governments, recognising the value of further strengthening and institutionalising intergovernmental relationships—a sign of growing maturity in the national biosecurity system. The agreement has undoubtedly contributed to a stronger working partnership between all governments. </w:t>
      </w:r>
      <w:r w:rsidR="008F0F2B">
        <w:t xml:space="preserve">While not a signatory, Tasmania has fully </w:t>
      </w:r>
      <w:r w:rsidR="00470B36">
        <w:t xml:space="preserve">engaged and </w:t>
      </w:r>
      <w:r w:rsidR="00704893">
        <w:t>c</w:t>
      </w:r>
      <w:r w:rsidR="008F0F2B">
        <w:t>ooperated in the spirit of the agreement.</w:t>
      </w:r>
    </w:p>
    <w:p w14:paraId="34DC889B" w14:textId="22E52B48" w:rsidR="00F21A25" w:rsidRDefault="00F21A25" w:rsidP="00F21A25">
      <w:r>
        <w:t xml:space="preserve">The achievements of the IGAB, while not necessarily well or publicly documented, are many and cover a broad range of activities across the system, including the development of significant and sound national policy principles and frameworks. Many of these achievements </w:t>
      </w:r>
      <w:r w:rsidR="00704893">
        <w:t xml:space="preserve">have been drawn upon </w:t>
      </w:r>
      <w:r>
        <w:t>throughout this</w:t>
      </w:r>
      <w:r w:rsidR="00704893">
        <w:t xml:space="preserve"> </w:t>
      </w:r>
      <w:r w:rsidR="004C72DB">
        <w:t>r</w:t>
      </w:r>
      <w:r>
        <w:t xml:space="preserve">eport </w:t>
      </w:r>
      <w:r w:rsidR="00704893">
        <w:t>and include the development of:</w:t>
      </w:r>
    </w:p>
    <w:p w14:paraId="0B7163F3" w14:textId="68CC79F9" w:rsidR="00F21A25" w:rsidRDefault="0027412D" w:rsidP="00F21A25">
      <w:pPr>
        <w:pStyle w:val="ListBullet"/>
      </w:pPr>
      <w:r>
        <w:t xml:space="preserve">the </w:t>
      </w:r>
      <w:r w:rsidR="00F21A25">
        <w:t>National Environmental Biosecurity Response Agreement (NEBRA)</w:t>
      </w:r>
    </w:p>
    <w:p w14:paraId="18141940" w14:textId="59763451" w:rsidR="00F21A25" w:rsidRDefault="0027412D" w:rsidP="00F21A25">
      <w:pPr>
        <w:pStyle w:val="ListBullet"/>
      </w:pPr>
      <w:r>
        <w:t xml:space="preserve">the </w:t>
      </w:r>
      <w:r w:rsidR="00F21A25">
        <w:t>National Transition Program Policy Framework</w:t>
      </w:r>
    </w:p>
    <w:p w14:paraId="56197A06" w14:textId="60F6971C" w:rsidR="00F21A25" w:rsidRDefault="0027412D" w:rsidP="00F21A25">
      <w:pPr>
        <w:pStyle w:val="ListBullet"/>
      </w:pPr>
      <w:r>
        <w:t xml:space="preserve">the </w:t>
      </w:r>
      <w:r w:rsidR="00F21A25">
        <w:t>National Framework for Benefit Cost Analysis</w:t>
      </w:r>
    </w:p>
    <w:p w14:paraId="2A6B26DA" w14:textId="6DF9A137" w:rsidR="00F21A25" w:rsidRDefault="0027412D" w:rsidP="00F21A25">
      <w:pPr>
        <w:pStyle w:val="ListBullet"/>
      </w:pPr>
      <w:r>
        <w:t xml:space="preserve">the </w:t>
      </w:r>
      <w:r w:rsidR="00F21A25">
        <w:t>National Framework for Cost</w:t>
      </w:r>
      <w:r w:rsidR="00CB21E8">
        <w:t xml:space="preserve"> </w:t>
      </w:r>
      <w:r w:rsidR="00F21A25">
        <w:t>Sharing Biosecurity Activities</w:t>
      </w:r>
    </w:p>
    <w:p w14:paraId="6BBE3789" w14:textId="5F51F863" w:rsidR="00F21A25" w:rsidRDefault="0027412D" w:rsidP="00F21A25">
      <w:pPr>
        <w:pStyle w:val="ListBullet"/>
      </w:pPr>
      <w:r>
        <w:t>the n</w:t>
      </w:r>
      <w:r w:rsidR="00F21A25">
        <w:t>ational portfolio investment optimisation model</w:t>
      </w:r>
    </w:p>
    <w:p w14:paraId="7B656167" w14:textId="66B2CA33" w:rsidR="00F21A25" w:rsidRDefault="0027412D" w:rsidP="00F21A25">
      <w:pPr>
        <w:pStyle w:val="ListBullet"/>
      </w:pPr>
      <w:r>
        <w:lastRenderedPageBreak/>
        <w:t>the n</w:t>
      </w:r>
      <w:r w:rsidR="00F21A25">
        <w:t>ational stocktake of biosecurity investment</w:t>
      </w:r>
    </w:p>
    <w:p w14:paraId="7B569623" w14:textId="19A6CD79" w:rsidR="00F21A25" w:rsidRDefault="0027412D" w:rsidP="00F21A25">
      <w:pPr>
        <w:pStyle w:val="ListBullet"/>
      </w:pPr>
      <w:r>
        <w:t>a</w:t>
      </w:r>
      <w:r w:rsidR="00A24E32">
        <w:t xml:space="preserve"> </w:t>
      </w:r>
      <w:r w:rsidR="00F21A25">
        <w:t>framework for the management of the national surveillance and diagnostic capability</w:t>
      </w:r>
    </w:p>
    <w:p w14:paraId="43CAC84E" w14:textId="0209F199" w:rsidR="00F21A25" w:rsidRDefault="0027412D" w:rsidP="00F21A25">
      <w:pPr>
        <w:pStyle w:val="ListBullet"/>
      </w:pPr>
      <w:r>
        <w:t xml:space="preserve">the </w:t>
      </w:r>
      <w:r w:rsidR="00A24E32">
        <w:t>P</w:t>
      </w:r>
      <w:r w:rsidR="00F21A25">
        <w:t>lant</w:t>
      </w:r>
      <w:r w:rsidR="00723713">
        <w:t xml:space="preserve">, </w:t>
      </w:r>
      <w:r w:rsidR="00F21A25">
        <w:t>Animal</w:t>
      </w:r>
      <w:r w:rsidR="00723713">
        <w:t>, and Environment and Community</w:t>
      </w:r>
      <w:r w:rsidR="00F21A25">
        <w:t xml:space="preserve"> </w:t>
      </w:r>
      <w:r w:rsidR="00056053">
        <w:t>b</w:t>
      </w:r>
      <w:r w:rsidR="00F21A25">
        <w:t xml:space="preserve">iosecurity </w:t>
      </w:r>
      <w:r w:rsidR="004C72DB">
        <w:t>research, development and extension (</w:t>
      </w:r>
      <w:r w:rsidR="00F21A25">
        <w:t>RD&amp;E</w:t>
      </w:r>
      <w:r w:rsidR="004C72DB">
        <w:t>)</w:t>
      </w:r>
      <w:r w:rsidR="00F21A25">
        <w:t xml:space="preserve"> strategies</w:t>
      </w:r>
    </w:p>
    <w:p w14:paraId="55734176" w14:textId="2F25534E" w:rsidR="00F21A25" w:rsidRDefault="0027412D" w:rsidP="00F21A25">
      <w:pPr>
        <w:pStyle w:val="ListBullet"/>
      </w:pPr>
      <w:r>
        <w:t>a</w:t>
      </w:r>
      <w:r w:rsidR="00F21A25">
        <w:t xml:space="preserve"> national policy framework for the management of Established Pests and Diseases of National Significance that provides a lead role for industry and community</w:t>
      </w:r>
    </w:p>
    <w:p w14:paraId="41A31FA3" w14:textId="5735C01E" w:rsidR="00F21A25" w:rsidRDefault="0027412D" w:rsidP="00F21A25">
      <w:pPr>
        <w:pStyle w:val="ListBullet"/>
      </w:pPr>
      <w:r>
        <w:t xml:space="preserve">the </w:t>
      </w:r>
      <w:r w:rsidR="00F21A25">
        <w:t>National Biosecurity Engagement and Communications Framework and the revitalisation of the Biosecurity Incident National Communications Network</w:t>
      </w:r>
    </w:p>
    <w:p w14:paraId="2A018CE7" w14:textId="1FEF4E86" w:rsidR="00F21A25" w:rsidRDefault="0027412D" w:rsidP="00F21A25">
      <w:pPr>
        <w:pStyle w:val="ListBullet"/>
      </w:pPr>
      <w:r>
        <w:t>s</w:t>
      </w:r>
      <w:r w:rsidR="00F21A25">
        <w:t>elf-assessment methods that assist jurisdictions to assess and improve their emergency prepar</w:t>
      </w:r>
      <w:r w:rsidR="00CA5BE3">
        <w:t xml:space="preserve">edness </w:t>
      </w:r>
      <w:r w:rsidR="008B529F">
        <w:t xml:space="preserve">capacity and </w:t>
      </w:r>
      <w:r w:rsidR="00CA5BE3">
        <w:t>capability.</w:t>
      </w:r>
    </w:p>
    <w:p w14:paraId="18DBFFB7" w14:textId="4CBA39DB" w:rsidR="008F63D3" w:rsidRDefault="00F21A25" w:rsidP="00F21A25">
      <w:r>
        <w:t xml:space="preserve">The 2012 IGAB was ambitious, detailing </w:t>
      </w:r>
      <w:r w:rsidR="00AD5BA2">
        <w:t xml:space="preserve">more than </w:t>
      </w:r>
      <w:r w:rsidR="00F97E8D">
        <w:t>forty</w:t>
      </w:r>
      <w:r>
        <w:t xml:space="preserve"> priority areas for reform by governments</w:t>
      </w:r>
      <w:r w:rsidR="00CF7516">
        <w:t xml:space="preserve">. </w:t>
      </w:r>
      <w:r w:rsidR="00EE5D01">
        <w:t>N</w:t>
      </w:r>
      <w:r w:rsidR="00CF7516">
        <w:t xml:space="preserve">ot surprisingly, </w:t>
      </w:r>
      <w:r w:rsidR="00F211D8">
        <w:t xml:space="preserve">there </w:t>
      </w:r>
      <w:r>
        <w:t xml:space="preserve">remains work to complete. </w:t>
      </w:r>
      <w:r w:rsidR="00CF7516">
        <w:t>In 2015, t</w:t>
      </w:r>
      <w:r>
        <w:t xml:space="preserve">he NBC </w:t>
      </w:r>
      <w:r w:rsidR="00CF7516">
        <w:t>conducted</w:t>
      </w:r>
      <w:r>
        <w:t xml:space="preserve"> an internal assessment to identify the outstanding priority reform areas and determine how best to progress implementation. </w:t>
      </w:r>
      <w:r w:rsidR="00CF7516">
        <w:t xml:space="preserve">As a consequence, reform areas were further prioritised and streamlined. </w:t>
      </w:r>
      <w:r>
        <w:t xml:space="preserve">Governments have also recognised the </w:t>
      </w:r>
      <w:r w:rsidR="00EE5D01">
        <w:t xml:space="preserve">value </w:t>
      </w:r>
      <w:r>
        <w:t>of regular ongoing review, stipulating a minimum review of the agreement every five years.</w:t>
      </w:r>
    </w:p>
    <w:p w14:paraId="4AEDC594" w14:textId="2261CFA4" w:rsidR="0003507A" w:rsidRDefault="00561771" w:rsidP="00210276">
      <w:pPr>
        <w:pStyle w:val="Heading2"/>
      </w:pPr>
      <w:bookmarkStart w:id="28" w:name="_Knowing_and_owning"/>
      <w:bookmarkStart w:id="29" w:name="_Toc486236028"/>
      <w:bookmarkEnd w:id="28"/>
      <w:r>
        <w:lastRenderedPageBreak/>
        <w:t>Knowing and owning our roles and responsibilities</w:t>
      </w:r>
      <w:bookmarkEnd w:id="29"/>
    </w:p>
    <w:p w14:paraId="1EC19E27" w14:textId="77777777" w:rsidR="00FE2212" w:rsidRPr="003A13A0" w:rsidRDefault="00FE2212" w:rsidP="00FE2212">
      <w:pPr>
        <w:pStyle w:val="BoxHeading"/>
        <w:rPr>
          <w:sz w:val="22"/>
        </w:rPr>
      </w:pPr>
      <w:r w:rsidRPr="003A13A0">
        <w:rPr>
          <w:sz w:val="22"/>
        </w:rPr>
        <w:t>Key points</w:t>
      </w:r>
    </w:p>
    <w:p w14:paraId="563E40DC" w14:textId="2A96FA56" w:rsidR="00CA4AD6" w:rsidRPr="00CA4AD6" w:rsidRDefault="00F97E8D" w:rsidP="00CA4AD6">
      <w:pPr>
        <w:pStyle w:val="BoxTextBullet"/>
        <w:rPr>
          <w:sz w:val="22"/>
        </w:rPr>
      </w:pPr>
      <w:r>
        <w:rPr>
          <w:sz w:val="22"/>
        </w:rPr>
        <w:t>‘</w:t>
      </w:r>
      <w:r w:rsidR="00CA4AD6" w:rsidRPr="00CA4AD6">
        <w:rPr>
          <w:sz w:val="22"/>
        </w:rPr>
        <w:t>Shared responsibility</w:t>
      </w:r>
      <w:r>
        <w:rPr>
          <w:sz w:val="22"/>
        </w:rPr>
        <w:t>’</w:t>
      </w:r>
      <w:r w:rsidR="00CA4AD6" w:rsidRPr="00CA4AD6">
        <w:rPr>
          <w:sz w:val="22"/>
        </w:rPr>
        <w:t xml:space="preserve"> is not clearly defined and hence poorly understood. A common understanding is yet to be realised.</w:t>
      </w:r>
    </w:p>
    <w:p w14:paraId="2D4B1882" w14:textId="31622B9B" w:rsidR="00CA4AD6" w:rsidRPr="00CA4AD6" w:rsidRDefault="00CA4AD6" w:rsidP="00CA4AD6">
      <w:pPr>
        <w:pStyle w:val="BoxTextBullet"/>
        <w:rPr>
          <w:sz w:val="22"/>
        </w:rPr>
      </w:pPr>
      <w:r w:rsidRPr="00CA4AD6">
        <w:rPr>
          <w:sz w:val="22"/>
        </w:rPr>
        <w:t xml:space="preserve">The roles and responsibilities of participants in the national biosecurity system are not </w:t>
      </w:r>
      <w:r w:rsidR="00EE5D01">
        <w:rPr>
          <w:sz w:val="22"/>
        </w:rPr>
        <w:t>comprehensively</w:t>
      </w:r>
      <w:r w:rsidR="00EE5D01" w:rsidRPr="00CA4AD6">
        <w:rPr>
          <w:sz w:val="22"/>
        </w:rPr>
        <w:t xml:space="preserve"> </w:t>
      </w:r>
      <w:r w:rsidRPr="00CA4AD6">
        <w:rPr>
          <w:sz w:val="22"/>
        </w:rPr>
        <w:t>articulated and have not been agreed. Agreeing roles and responsibilities will be an important first step in realising shared responsibility.</w:t>
      </w:r>
    </w:p>
    <w:p w14:paraId="2486390A" w14:textId="7D0E6D6F" w:rsidR="009D67B5" w:rsidRPr="009D67B5" w:rsidRDefault="009D67B5" w:rsidP="009D67B5">
      <w:pPr>
        <w:pStyle w:val="BoxTextBullet"/>
        <w:rPr>
          <w:sz w:val="22"/>
        </w:rPr>
      </w:pPr>
      <w:r w:rsidRPr="009D67B5">
        <w:rPr>
          <w:sz w:val="22"/>
        </w:rPr>
        <w:t>Acceptance of responsibility will be challenging without some conferred rights/benefits; and</w:t>
      </w:r>
      <w:r w:rsidR="00F97E8D">
        <w:rPr>
          <w:sz w:val="22"/>
        </w:rPr>
        <w:t>,</w:t>
      </w:r>
      <w:r w:rsidRPr="009D67B5">
        <w:rPr>
          <w:sz w:val="22"/>
        </w:rPr>
        <w:t xml:space="preserve"> while this may be easier to articulate for industry,</w:t>
      </w:r>
      <w:r w:rsidR="00B755D1">
        <w:rPr>
          <w:sz w:val="22"/>
        </w:rPr>
        <w:t xml:space="preserve"> </w:t>
      </w:r>
      <w:r w:rsidRPr="009D67B5">
        <w:rPr>
          <w:sz w:val="22"/>
        </w:rPr>
        <w:t>community rights/benefits also need to be considered in exchange for accepting responsibility.</w:t>
      </w:r>
    </w:p>
    <w:p w14:paraId="34F7EBE0" w14:textId="7220CEA7" w:rsidR="00CA4AD6" w:rsidRPr="00CA4AD6" w:rsidRDefault="00CA4AD6" w:rsidP="00CA4AD6">
      <w:pPr>
        <w:pStyle w:val="BoxTextBullet"/>
        <w:rPr>
          <w:sz w:val="22"/>
        </w:rPr>
      </w:pPr>
      <w:r w:rsidRPr="00CA4AD6">
        <w:rPr>
          <w:sz w:val="22"/>
        </w:rPr>
        <w:t>To date</w:t>
      </w:r>
      <w:r w:rsidR="00F97E8D">
        <w:rPr>
          <w:sz w:val="22"/>
        </w:rPr>
        <w:t>,</w:t>
      </w:r>
      <w:r w:rsidRPr="00CA4AD6">
        <w:rPr>
          <w:sz w:val="22"/>
        </w:rPr>
        <w:t xml:space="preserve"> governments have been reluctant to provide other system participants</w:t>
      </w:r>
      <w:r w:rsidR="00F97E8D">
        <w:rPr>
          <w:sz w:val="22"/>
        </w:rPr>
        <w:t xml:space="preserve"> with</w:t>
      </w:r>
      <w:r w:rsidRPr="00CA4AD6">
        <w:rPr>
          <w:sz w:val="22"/>
        </w:rPr>
        <w:t xml:space="preserve"> opportunities to take greater ownership of, and responsibility for, activities in the national system.</w:t>
      </w:r>
    </w:p>
    <w:p w14:paraId="2620B024" w14:textId="77777777" w:rsidR="00CA4AD6" w:rsidRPr="00CA4AD6" w:rsidRDefault="00CA4AD6" w:rsidP="00CA4AD6">
      <w:pPr>
        <w:pStyle w:val="BoxTextBullet"/>
        <w:rPr>
          <w:sz w:val="22"/>
        </w:rPr>
      </w:pPr>
      <w:r w:rsidRPr="00CA4AD6">
        <w:rPr>
          <w:sz w:val="22"/>
        </w:rPr>
        <w:t>A National Biosecurity Statement would outline a common and unifying approach to biosecurity for all system participants.</w:t>
      </w:r>
    </w:p>
    <w:p w14:paraId="4F121EA8" w14:textId="77777777" w:rsidR="00CA4AD6" w:rsidRPr="00CA4AD6" w:rsidRDefault="00CA4AD6" w:rsidP="00CA4AD6">
      <w:pPr>
        <w:pStyle w:val="BoxTextBullet"/>
        <w:rPr>
          <w:sz w:val="22"/>
        </w:rPr>
      </w:pPr>
      <w:r w:rsidRPr="00CA4AD6">
        <w:rPr>
          <w:sz w:val="22"/>
        </w:rPr>
        <w:t>Engagement and communication across the system is mixed; a change in culture is needed.</w:t>
      </w:r>
    </w:p>
    <w:p w14:paraId="593F6AD0" w14:textId="3CA00D98" w:rsidR="002D07F5" w:rsidRPr="00AC663D" w:rsidRDefault="00CA4AD6" w:rsidP="00AC663D">
      <w:pPr>
        <w:pStyle w:val="Heading3"/>
      </w:pPr>
      <w:bookmarkStart w:id="30" w:name="_Toc430782158"/>
      <w:bookmarkStart w:id="31" w:name="_Toc486236029"/>
      <w:r>
        <w:t>S</w:t>
      </w:r>
      <w:r w:rsidR="00FE2212">
        <w:t>hared responsibility</w:t>
      </w:r>
      <w:bookmarkEnd w:id="30"/>
      <w:r w:rsidR="00933868">
        <w:t>?</w:t>
      </w:r>
      <w:bookmarkEnd w:id="31"/>
    </w:p>
    <w:p w14:paraId="70F1836D" w14:textId="73F689D7" w:rsidR="00827497" w:rsidRDefault="00827497" w:rsidP="00827497">
      <w:r>
        <w:t>Shared responsibility has been seen as the mainstay of the national biosecurity system for some time. It has been a feature of many reviews (</w:t>
      </w:r>
      <w:hyperlink w:anchor="Nairn_et_al_1996" w:history="1">
        <w:r w:rsidRPr="00372466">
          <w:rPr>
            <w:rStyle w:val="Hyperlink"/>
          </w:rPr>
          <w:t>Nairn et al. 1996</w:t>
        </w:r>
      </w:hyperlink>
      <w:r w:rsidRPr="00F51796">
        <w:t xml:space="preserve">; </w:t>
      </w:r>
      <w:hyperlink w:anchor="Beale_et_al_2008" w:history="1">
        <w:r w:rsidRPr="00372466">
          <w:rPr>
            <w:rStyle w:val="Hyperlink"/>
          </w:rPr>
          <w:t>Beale et al. 2008</w:t>
        </w:r>
      </w:hyperlink>
      <w:r w:rsidRPr="00F51796">
        <w:t xml:space="preserve">; </w:t>
      </w:r>
      <w:hyperlink w:anchor="Mathews_2011" w:history="1">
        <w:r w:rsidRPr="00372466">
          <w:rPr>
            <w:rStyle w:val="Hyperlink"/>
          </w:rPr>
          <w:t>Matthews 2011</w:t>
        </w:r>
      </w:hyperlink>
      <w:r w:rsidRPr="00F51796">
        <w:t xml:space="preserve">; </w:t>
      </w:r>
      <w:hyperlink w:anchor="DAWR_2015" w:history="1">
        <w:r w:rsidR="006D448B" w:rsidRPr="00372466">
          <w:rPr>
            <w:rStyle w:val="Hyperlink"/>
          </w:rPr>
          <w:t>DAWR</w:t>
        </w:r>
        <w:r w:rsidRPr="00372466">
          <w:rPr>
            <w:rStyle w:val="Hyperlink"/>
          </w:rPr>
          <w:t xml:space="preserve"> 2015</w:t>
        </w:r>
      </w:hyperlink>
      <w:r w:rsidRPr="00F51796">
        <w:t>)</w:t>
      </w:r>
      <w:r>
        <w:t xml:space="preserve"> and is one of the IGAB’s core principles</w:t>
      </w:r>
      <w:r w:rsidR="00CA4AD6">
        <w:t>.</w:t>
      </w:r>
      <w:r w:rsidR="00CA4AD6" w:rsidRPr="00CA4AD6">
        <w:t xml:space="preserve"> However, there is widespread confusion and a lack of clarity about what it means, made more difficult by unclear roles and responsibilities for system participants.</w:t>
      </w:r>
    </w:p>
    <w:p w14:paraId="5B9A27AD" w14:textId="0DE882A5" w:rsidR="00CA4AD6" w:rsidRDefault="00CA4AD6" w:rsidP="00CA4AD6">
      <w:pPr>
        <w:pStyle w:val="Heading4"/>
      </w:pPr>
      <w:r>
        <w:t>What does it mean?</w:t>
      </w:r>
    </w:p>
    <w:p w14:paraId="7C4BF2F1" w14:textId="49B73F8E" w:rsidR="00827497" w:rsidRDefault="00827497" w:rsidP="00827497">
      <w:r>
        <w:t xml:space="preserve">Throughout this </w:t>
      </w:r>
      <w:r w:rsidR="00615AAC">
        <w:t>r</w:t>
      </w:r>
      <w:r>
        <w:t xml:space="preserve">eview, governments, industry and community members have drawn the </w:t>
      </w:r>
      <w:r w:rsidR="00615AAC">
        <w:t>p</w:t>
      </w:r>
      <w:r>
        <w:t xml:space="preserve">anel’s attention to the concept. Feedback received clearly indicates that </w:t>
      </w:r>
      <w:r w:rsidR="00056053">
        <w:t xml:space="preserve">the </w:t>
      </w:r>
      <w:r>
        <w:t xml:space="preserve">application of shared responsibility has not been clearly understood or broadly accepted by participants across the national biosecurity system. This has led to misconceptions </w:t>
      </w:r>
      <w:r>
        <w:lastRenderedPageBreak/>
        <w:t>around the concept (seen by some only as a</w:t>
      </w:r>
      <w:r w:rsidR="002C41C4">
        <w:t xml:space="preserve"> euphemism for</w:t>
      </w:r>
      <w:r>
        <w:t xml:space="preserve"> cost-shifting) and has caused difficulties in its application:</w:t>
      </w:r>
    </w:p>
    <w:p w14:paraId="7BC89DCF" w14:textId="43D4DFB4" w:rsidR="00827497" w:rsidRDefault="00827497" w:rsidP="00827497">
      <w:pPr>
        <w:pStyle w:val="Quote"/>
      </w:pPr>
      <w:r>
        <w:t xml:space="preserve">This term [shared responsibility] whilst used extensively has never been properly articulated or achieved a common meaning amongst members of the biosecurity community. As a consequence, it means many things to many people and no-one has responsibility (Voice of Horticulture </w:t>
      </w:r>
      <w:r w:rsidRPr="001710D3">
        <w:t>sub</w:t>
      </w:r>
      <w:r w:rsidR="001539FF" w:rsidRPr="001710D3">
        <w:t>. DP11</w:t>
      </w:r>
      <w:r>
        <w:t>)</w:t>
      </w:r>
    </w:p>
    <w:p w14:paraId="5A5AFDFE" w14:textId="4FDAD92B" w:rsidR="00827497" w:rsidRDefault="00827497" w:rsidP="00827497">
      <w:pPr>
        <w:pStyle w:val="Quote"/>
      </w:pPr>
      <w:r>
        <w:t>There remains a considerable lack of clarity about what shared responsibility means in practice</w:t>
      </w:r>
      <w:r w:rsidR="00615AAC">
        <w:t xml:space="preserve"> </w:t>
      </w:r>
      <w:r>
        <w:t>… it is evident that a common position on what the concept does and should mean has yet to be achieved</w:t>
      </w:r>
      <w:r w:rsidR="00FD0AA5">
        <w:t xml:space="preserve"> </w:t>
      </w:r>
      <w:r>
        <w:t xml:space="preserve">… A misunderstood rationale for why shared responsibility is necessary and a lack of clarity about the expected behavioural change is the key barrier to its use as a policy principle (Queensland Government Department of Agriculture and Fisheries </w:t>
      </w:r>
      <w:r w:rsidRPr="001710D3">
        <w:t>sub</w:t>
      </w:r>
      <w:r w:rsidR="001539FF" w:rsidRPr="001710D3">
        <w:t>. DP48</w:t>
      </w:r>
      <w:r>
        <w:t>)</w:t>
      </w:r>
    </w:p>
    <w:p w14:paraId="3D7F836E" w14:textId="758E11E8" w:rsidR="005A5FB2" w:rsidRDefault="005A5FB2" w:rsidP="009D67B5">
      <w:r w:rsidRPr="00CA4AD6">
        <w:t xml:space="preserve">The </w:t>
      </w:r>
      <w:r w:rsidR="00615AAC">
        <w:t>p</w:t>
      </w:r>
      <w:r w:rsidRPr="00CA4AD6">
        <w:t xml:space="preserve">anel agrees with the assessment, </w:t>
      </w:r>
      <w:r w:rsidR="00615AAC">
        <w:t>al</w:t>
      </w:r>
      <w:r w:rsidRPr="00CA4AD6">
        <w:t>though</w:t>
      </w:r>
      <w:r w:rsidR="00EE5D01">
        <w:t xml:space="preserve"> </w:t>
      </w:r>
      <w:r w:rsidR="00615AAC">
        <w:t xml:space="preserve">it </w:t>
      </w:r>
      <w:r w:rsidR="00EE5D01" w:rsidRPr="00EE5D01">
        <w:t>notes parts of the system where the principle has been adopted and used effectively</w:t>
      </w:r>
      <w:r w:rsidRPr="00CA4AD6">
        <w:t xml:space="preserve">. The animal and plant emergency response deeds are founded on shared responsibility and provide strong evidence of the benefits that come from a partnership approach. Other examples include </w:t>
      </w:r>
      <w:r w:rsidR="00EE5D01" w:rsidRPr="00EE5D01">
        <w:t>the establishment and regulatory underpinning of</w:t>
      </w:r>
      <w:r w:rsidR="00EE5D01">
        <w:t xml:space="preserve"> </w:t>
      </w:r>
      <w:r w:rsidR="003C2E47">
        <w:t>Animal Health Australia (</w:t>
      </w:r>
      <w:r w:rsidRPr="00CA4AD6">
        <w:t>AHA</w:t>
      </w:r>
      <w:r w:rsidR="003C2E47">
        <w:t>)</w:t>
      </w:r>
      <w:r w:rsidRPr="00CA4AD6">
        <w:t xml:space="preserve"> and </w:t>
      </w:r>
      <w:r w:rsidR="003C2E47">
        <w:t>Plant Health Australia (</w:t>
      </w:r>
      <w:r w:rsidRPr="00CA4AD6">
        <w:t>PHA</w:t>
      </w:r>
      <w:r w:rsidR="003C2E47">
        <w:t>)</w:t>
      </w:r>
      <w:r w:rsidRPr="00CA4AD6">
        <w:t>, and the General Biosecurity Duty</w:t>
      </w:r>
      <w:r w:rsidR="00615AAC">
        <w:t>,</w:t>
      </w:r>
      <w:r w:rsidRPr="00CA4AD6">
        <w:t xml:space="preserve"> or General Biosecurity Obligation—a regulatory articulation of shared responsibility featured in biosecurity legislation in New South Wales and Queensland. Similarly, the </w:t>
      </w:r>
      <w:r w:rsidR="00615AAC">
        <w:t>p</w:t>
      </w:r>
      <w:r w:rsidRPr="00CA4AD6">
        <w:t>anel notes the Tasmanian Government has</w:t>
      </w:r>
      <w:r w:rsidR="00C90A19">
        <w:t>,</w:t>
      </w:r>
      <w:r w:rsidR="00C90A19" w:rsidRPr="00C90A19">
        <w:t xml:space="preserve"> </w:t>
      </w:r>
      <w:r w:rsidR="00C90A19" w:rsidRPr="00CA4AD6">
        <w:t>as part of legislative reforms underway</w:t>
      </w:r>
      <w:r w:rsidR="00C90A19">
        <w:t>,</w:t>
      </w:r>
      <w:r w:rsidRPr="00CA4AD6">
        <w:t xml:space="preserve"> recently sought feedback on </w:t>
      </w:r>
      <w:r w:rsidR="00C90A19">
        <w:t xml:space="preserve">draft legislation, which includes </w:t>
      </w:r>
      <w:r w:rsidRPr="00CA4AD6">
        <w:t>a general biosecurity obligation.</w:t>
      </w:r>
    </w:p>
    <w:p w14:paraId="7C378159" w14:textId="6651DAA1" w:rsidR="009D67B5" w:rsidRDefault="009D67B5" w:rsidP="009D67B5">
      <w:r w:rsidRPr="00EE69EE">
        <w:t xml:space="preserve">The </w:t>
      </w:r>
      <w:r w:rsidR="00615AAC">
        <w:t>p</w:t>
      </w:r>
      <w:r w:rsidRPr="00EE69EE">
        <w:t>anel considers opportunities exist to learn from the work on natural disasters, and these should be explored by all Australian governments.</w:t>
      </w:r>
      <w:r>
        <w:t xml:space="preserve"> Shared responsibility in disaster management has been described below:</w:t>
      </w:r>
    </w:p>
    <w:p w14:paraId="69F9588E" w14:textId="7023DFFA" w:rsidR="006441B8" w:rsidRDefault="006441B8" w:rsidP="006441B8">
      <w:pPr>
        <w:pStyle w:val="Quote"/>
      </w:pPr>
      <w:r w:rsidRPr="006441B8">
        <w:t>The vision of Shared Responsibility in Australian disaster management is therefore ultimately a vision for how collective action to manage disaster risk should take place</w:t>
      </w:r>
      <w:r w:rsidR="00C90A19">
        <w:t>—</w:t>
      </w:r>
      <w:r w:rsidRPr="006441B8">
        <w:t>particularly collective action involving government and non-government actors. Similarly, changing the way responsibility is shared to achieve this vision is a process of changing the institutions</w:t>
      </w:r>
      <w:r w:rsidR="00C90A19">
        <w:t>—</w:t>
      </w:r>
      <w:r w:rsidR="00AA193A">
        <w:t>‘</w:t>
      </w:r>
      <w:r w:rsidRPr="006441B8">
        <w:t>rules of the game</w:t>
      </w:r>
      <w:r w:rsidR="00AA193A">
        <w:t>’</w:t>
      </w:r>
      <w:r w:rsidR="00C90A19">
        <w:t>—</w:t>
      </w:r>
      <w:r w:rsidRPr="006441B8">
        <w:t>that guide collective action in disaster management. While formal, written institutions such as laws, regulations and codes are important for structuring collective action and attributing responsibility in dis</w:t>
      </w:r>
      <w:r w:rsidRPr="006441B8">
        <w:lastRenderedPageBreak/>
        <w:t>aster management, it is important to recognise that so too are informal, unwritten institutions such as workplace cultures and social norms. Collective action institutions, the interactions between them and the way stakeholders seek to shape them, are therefore central to the way responsibility for disaster management is shared</w:t>
      </w:r>
      <w:r w:rsidR="00615AAC">
        <w:t xml:space="preserve"> … (</w:t>
      </w:r>
      <w:hyperlink w:anchor="McLennan_2014" w:history="1">
        <w:r w:rsidR="000F00C4" w:rsidRPr="00CA4AD6">
          <w:rPr>
            <w:rStyle w:val="Hyperlink"/>
          </w:rPr>
          <w:t>McLennan and Handmer 2014</w:t>
        </w:r>
      </w:hyperlink>
      <w:r w:rsidR="00615AAC">
        <w:rPr>
          <w:rStyle w:val="Hyperlink"/>
        </w:rPr>
        <w:t>)</w:t>
      </w:r>
    </w:p>
    <w:p w14:paraId="6675CEE2" w14:textId="1DC7311B" w:rsidR="00CA4AD6" w:rsidRPr="00CA4AD6" w:rsidRDefault="00CA4AD6" w:rsidP="00CA4AD6">
      <w:r w:rsidRPr="00CA4AD6">
        <w:t xml:space="preserve">In relation to shared responsibility and planning ahead, </w:t>
      </w:r>
      <w:hyperlink w:anchor="Handmer_ONeill_2016" w:history="1">
        <w:r w:rsidRPr="00CA4AD6">
          <w:rPr>
            <w:rStyle w:val="Hyperlink"/>
          </w:rPr>
          <w:t>Handmer and O’Neill (2016)</w:t>
        </w:r>
      </w:hyperlink>
      <w:r w:rsidRPr="00CA4AD6">
        <w:t xml:space="preserve"> evaluated some of the sparse empirical evidence about the link between preparedness and actual behaviour in the face of a major disaster—the 2009 Victorian Black Saturday bushfires. Among other things, they found that being well prepared to leave is the safest option, but householders can find it very difficult to assess all the relevant factors. Since those bushfires, significant effort has been put towards wider acceptance and effective adoption of shared responsibility in natural disaster management throughout Australia, particularly bushfires (</w:t>
      </w:r>
      <w:hyperlink w:anchor="McLennan_2014" w:history="1">
        <w:r w:rsidRPr="00CA4AD6">
          <w:rPr>
            <w:rStyle w:val="Hyperlink"/>
          </w:rPr>
          <w:t>McLennan and Handmer 2014</w:t>
        </w:r>
      </w:hyperlink>
      <w:r w:rsidRPr="00CA4AD6">
        <w:t>) and cyclone preparedness.</w:t>
      </w:r>
    </w:p>
    <w:p w14:paraId="508E9E46" w14:textId="6440A317" w:rsidR="00CA4AD6" w:rsidRPr="00CA4AD6" w:rsidRDefault="00CA4AD6" w:rsidP="00CA4AD6">
      <w:r w:rsidRPr="00CA4AD6">
        <w:t>The Bushfire Cooperative Research Centre has undertaken significant work on shared responsibility, given a sharpened focus by the 2009 Victorian bushfires and the related 2010 Royal Commission (</w:t>
      </w:r>
      <w:hyperlink w:anchor="Teague_et_al_2010" w:history="1">
        <w:r w:rsidRPr="00CA4AD6">
          <w:rPr>
            <w:rStyle w:val="Hyperlink"/>
          </w:rPr>
          <w:t>Teague et al. 2010</w:t>
        </w:r>
      </w:hyperlink>
      <w:r w:rsidRPr="00CA4AD6">
        <w:t xml:space="preserve">). Reform has been pursued </w:t>
      </w:r>
      <w:r w:rsidR="00EE5D01">
        <w:t>to</w:t>
      </w:r>
      <w:r w:rsidRPr="00CA4AD6">
        <w:t xml:space="preserve"> change perspectives, behaviour and actions to be taken by individuals in disaster management (for example, in areas such as bushfire preparedness and response). Importantly, these changes had strong policy support through the COAG National Strategy for Disaster Resilience</w:t>
      </w:r>
      <w:r w:rsidR="00AC45B5">
        <w:t xml:space="preserve"> (</w:t>
      </w:r>
      <w:hyperlink w:anchor="COAG_2011" w:history="1">
        <w:r w:rsidR="00AC45B5" w:rsidRPr="00AC45B5">
          <w:rPr>
            <w:rStyle w:val="Hyperlink"/>
          </w:rPr>
          <w:t>COAG 2011</w:t>
        </w:r>
      </w:hyperlink>
      <w:r w:rsidR="00AC45B5">
        <w:t>)</w:t>
      </w:r>
      <w:r w:rsidRPr="00CA4AD6">
        <w:t xml:space="preserve">, positioning shared responsibility as a key component of a national approach to disaster management. </w:t>
      </w:r>
      <w:r w:rsidRPr="00051EDB">
        <w:t xml:space="preserve">Despite the compelling logic, the </w:t>
      </w:r>
      <w:r w:rsidR="00181997">
        <w:t>p</w:t>
      </w:r>
      <w:r w:rsidRPr="00051EDB">
        <w:t>anel is unaware of any analysis of their effectiveness</w:t>
      </w:r>
      <w:r w:rsidR="00EE5D01">
        <w:t xml:space="preserve"> to date.</w:t>
      </w:r>
    </w:p>
    <w:p w14:paraId="679F6F07" w14:textId="26E569FB" w:rsidR="00CA4AD6" w:rsidRPr="00CA4AD6" w:rsidRDefault="00CA4AD6" w:rsidP="00CA4AD6">
      <w:r w:rsidRPr="00CA4AD6">
        <w:t xml:space="preserve">The </w:t>
      </w:r>
      <w:r w:rsidR="00181997">
        <w:t>p</w:t>
      </w:r>
      <w:r w:rsidRPr="00CA4AD6">
        <w:t xml:space="preserve">anel has sought to give further clarity to the </w:t>
      </w:r>
      <w:r w:rsidR="008E4928">
        <w:t xml:space="preserve">shared responsibility </w:t>
      </w:r>
      <w:r w:rsidRPr="00CA4AD6">
        <w:t xml:space="preserve">concept by proposing a simple definition for inclusion in the IGAB and other key national biosecurity system policies. The </w:t>
      </w:r>
      <w:r w:rsidR="00181997">
        <w:t>p</w:t>
      </w:r>
      <w:r w:rsidRPr="00CA4AD6">
        <w:t>anel acknowledges that all parties will have some, but not an equal, level of responsibility:</w:t>
      </w:r>
    </w:p>
    <w:p w14:paraId="6A734020" w14:textId="2245191D" w:rsidR="00CA4AD6" w:rsidRPr="00CA4AD6" w:rsidRDefault="00CA4AD6" w:rsidP="00181997">
      <w:pPr>
        <w:pStyle w:val="Quote"/>
      </w:pPr>
      <w:r w:rsidRPr="00CA4AD6">
        <w:t xml:space="preserve">Shared </w:t>
      </w:r>
      <w:r w:rsidRPr="00181997">
        <w:t>responsibility</w:t>
      </w:r>
      <w:r w:rsidRPr="00CA4AD6">
        <w:t xml:space="preserve"> means everyone takes responsibility for biosecurity matters under their control. Everyone has an obligation to take action to protect Australia from pests and diseases (IGAB </w:t>
      </w:r>
      <w:r w:rsidR="00181997">
        <w:t>r</w:t>
      </w:r>
      <w:r w:rsidRPr="00CA4AD6">
        <w:t>eview 2017)</w:t>
      </w:r>
    </w:p>
    <w:p w14:paraId="11593ECB" w14:textId="77777777" w:rsidR="00EE5D01" w:rsidRDefault="00EE5D01" w:rsidP="00EE5D01">
      <w:pPr>
        <w:pStyle w:val="Heading4"/>
      </w:pPr>
      <w:r>
        <w:t>Application of shared responsibility to biosecurity</w:t>
      </w:r>
    </w:p>
    <w:p w14:paraId="626FEAA2" w14:textId="77777777" w:rsidR="00CA4AD6" w:rsidRPr="00CA4AD6" w:rsidRDefault="00CA4AD6" w:rsidP="00CA4AD6">
      <w:r w:rsidRPr="00CA4AD6">
        <w:t>The application of shared responsibility for biosecurity is difficult and challenging (</w:t>
      </w:r>
      <w:hyperlink w:anchor="Higgins_et_al_2016" w:history="1">
        <w:r w:rsidRPr="00CA4AD6">
          <w:rPr>
            <w:color w:val="165788"/>
            <w:u w:val="single"/>
          </w:rPr>
          <w:t>Higgins et al. 2016</w:t>
        </w:r>
      </w:hyperlink>
      <w:r w:rsidRPr="00CA4AD6">
        <w:t>), primarily because the roles and responsibilities of participants across the national biosecurity system are not clearly understood, accepted, or consistently recognised across the system by all involved:</w:t>
      </w:r>
    </w:p>
    <w:p w14:paraId="7A892EFA" w14:textId="3123DF30" w:rsidR="00CA4AD6" w:rsidRPr="00CA4AD6" w:rsidRDefault="00CA4AD6" w:rsidP="00B264FF">
      <w:pPr>
        <w:pStyle w:val="Quote"/>
      </w:pPr>
      <w:r w:rsidRPr="00CA4AD6">
        <w:lastRenderedPageBreak/>
        <w:t>Governments, and industry to some degree, have failed to raise the overall general awareness of the importance of the national biosecurity system and the roles stakeholders have particularly the general community … Government agencies generally have a very good understanding of the role[s] and responsibilities of each other however there is not the same amount of understanding around industry’s role by both parties</w:t>
      </w:r>
      <w:r w:rsidR="00FB709E">
        <w:t xml:space="preserve"> …</w:t>
      </w:r>
      <w:r w:rsidRPr="00CA4AD6">
        <w:t xml:space="preserve"> (Nursery and Garden Industry Australia sub. DP23)</w:t>
      </w:r>
    </w:p>
    <w:p w14:paraId="7BDC1CC3" w14:textId="31047F7E" w:rsidR="00CA4AD6" w:rsidRPr="00CA4AD6" w:rsidRDefault="00CA4AD6" w:rsidP="00B264FF">
      <w:pPr>
        <w:pStyle w:val="Quote"/>
      </w:pPr>
      <w:r w:rsidRPr="00CA4AD6">
        <w:t>Work done by [the Biosecurity Council of Western Australia] identified that stakeholders had relatively consistent perceptions about the broad roles and responsibilities of industry, government and communities—but were less sure of the more specific roles/responsibilities</w:t>
      </w:r>
      <w:r w:rsidR="00FB709E">
        <w:t xml:space="preserve"> …</w:t>
      </w:r>
      <w:r w:rsidRPr="00CA4AD6">
        <w:t xml:space="preserve"> (Biosecurity Council of Western Australia sub. DP52)</w:t>
      </w:r>
    </w:p>
    <w:p w14:paraId="46484D11" w14:textId="53868C21" w:rsidR="00CA4AD6" w:rsidRPr="00CA4AD6" w:rsidRDefault="00CA4AD6" w:rsidP="00CA4AD6">
      <w:r w:rsidRPr="00CA4AD6">
        <w:t>Also, the language used to identify stakeholders within the national biosecurity system—such as risk creators and risk beneficiaries—can be divisive. Biosecurity must be acknowledged as everyone’s responsibility</w:t>
      </w:r>
      <w:r w:rsidR="00FB709E">
        <w:t>,</w:t>
      </w:r>
      <w:r w:rsidRPr="00CA4AD6">
        <w:t xml:space="preserve"> and </w:t>
      </w:r>
      <w:r w:rsidR="00FB709E">
        <w:t xml:space="preserve">it must be acknowledged </w:t>
      </w:r>
      <w:r w:rsidRPr="00CA4AD6">
        <w:t xml:space="preserve">that it is in everyone’s interest to be involved, as in the case of the ‘general biosecurity obligation’ under the </w:t>
      </w:r>
      <w:r w:rsidRPr="00CA4AD6">
        <w:rPr>
          <w:i/>
        </w:rPr>
        <w:t>Biosecurity Act 2014</w:t>
      </w:r>
      <w:r w:rsidRPr="00CA4AD6">
        <w:t xml:space="preserve"> (Qld). Designating someone as a risk creator seems unlikely to engender a positive reaction. It may be more appropriate to recognise all stakeholders that interact with the national system as ‘participants’—as is the case for New Zealand’s biosecurity system.</w:t>
      </w:r>
    </w:p>
    <w:p w14:paraId="3978845F" w14:textId="47EBB642" w:rsidR="00CA4AD6" w:rsidRPr="00CA4AD6" w:rsidRDefault="00CA4AD6" w:rsidP="00CA4AD6">
      <w:r w:rsidRPr="00CA4AD6">
        <w:t xml:space="preserve">For the national biosecurity system to be effective, everyone must be aware of and acknowledge their roles and responsibilities and those of other system participants. The </w:t>
      </w:r>
      <w:r w:rsidR="00FB709E">
        <w:t>p</w:t>
      </w:r>
      <w:r w:rsidRPr="00CA4AD6">
        <w:t xml:space="preserve">anel considers defining the roles and responsibilities of </w:t>
      </w:r>
      <w:r w:rsidR="00D02ED5" w:rsidRPr="00D02ED5">
        <w:t>key</w:t>
      </w:r>
      <w:r w:rsidR="00D02ED5" w:rsidRPr="00CA4AD6">
        <w:t xml:space="preserve"> </w:t>
      </w:r>
      <w:r w:rsidRPr="00CA4AD6">
        <w:t>participants an important first step in helping to realise shared responsibility.</w:t>
      </w:r>
    </w:p>
    <w:p w14:paraId="5F7AF5D2" w14:textId="711AF8EF" w:rsidR="00CA4AD6" w:rsidRPr="00CA4AD6" w:rsidRDefault="00CA4AD6" w:rsidP="00CA4AD6">
      <w:r w:rsidRPr="00CA4AD6">
        <w:t xml:space="preserve">The IGAB </w:t>
      </w:r>
      <w:r w:rsidR="00FB709E">
        <w:t>r</w:t>
      </w:r>
      <w:r w:rsidRPr="00CA4AD6">
        <w:t xml:space="preserve">eview </w:t>
      </w:r>
      <w:r w:rsidR="00FB709E">
        <w:t>d</w:t>
      </w:r>
      <w:r w:rsidRPr="00CA4AD6">
        <w:t xml:space="preserve">raft </w:t>
      </w:r>
      <w:r w:rsidR="00FB709E">
        <w:t>r</w:t>
      </w:r>
      <w:r w:rsidRPr="00CA4AD6">
        <w:t>eport proposed a set of draft roles and responsibilities for the major participant categories</w:t>
      </w:r>
      <w:r w:rsidR="00903FA8">
        <w:t>—</w:t>
      </w:r>
      <w:r w:rsidRPr="00CA4AD6">
        <w:t xml:space="preserve">these being </w:t>
      </w:r>
      <w:r w:rsidRPr="00FB709E">
        <w:t>the Australian Government, state</w:t>
      </w:r>
      <w:r w:rsidRPr="00CA4AD6">
        <w:t xml:space="preserve"> and territory governments, local government, industry, community and non-government organisations. The majority of feedback received was positive, with most stakeholders acknowledging the considerable benefits </w:t>
      </w:r>
      <w:r w:rsidR="00FB709E">
        <w:t>of</w:t>
      </w:r>
      <w:r w:rsidR="00FB709E" w:rsidRPr="00CA4AD6">
        <w:t xml:space="preserve"> </w:t>
      </w:r>
      <w:r w:rsidRPr="00CA4AD6">
        <w:t xml:space="preserve">having an agreed set of roles and responsibilities for the national biosecurity system. A revised set of draft roles and responsibilities is included in the draft National Biosecurity Statement developed by this </w:t>
      </w:r>
      <w:r w:rsidR="00FB709E">
        <w:t>r</w:t>
      </w:r>
      <w:r w:rsidRPr="00CA4AD6">
        <w:t xml:space="preserve">eview (section </w:t>
      </w:r>
      <w:r w:rsidRPr="00CA4AD6">
        <w:fldChar w:fldCharType="begin"/>
      </w:r>
      <w:r w:rsidRPr="00CA4AD6">
        <w:instrText xml:space="preserve"> REF _Ref481747716 \n \h </w:instrText>
      </w:r>
      <w:r w:rsidRPr="00CA4AD6">
        <w:fldChar w:fldCharType="separate"/>
      </w:r>
      <w:r w:rsidR="009F6923">
        <w:t>2.4</w:t>
      </w:r>
      <w:r w:rsidRPr="00CA4AD6">
        <w:fldChar w:fldCharType="end"/>
      </w:r>
      <w:r w:rsidRPr="00CA4AD6">
        <w:t xml:space="preserve">). It is intended that these be further refined as part of the consultation process to </w:t>
      </w:r>
      <w:r w:rsidR="008E4928">
        <w:t xml:space="preserve">further </w:t>
      </w:r>
      <w:r w:rsidRPr="00CA4AD6">
        <w:t>develop the national statement. Following agreement on the roles and responsibilities of the major participant categories, subsequent steps could capture</w:t>
      </w:r>
      <w:r w:rsidR="00E74357">
        <w:t>, con</w:t>
      </w:r>
      <w:r w:rsidR="00E74357">
        <w:lastRenderedPageBreak/>
        <w:t>firm or revise</w:t>
      </w:r>
      <w:r w:rsidRPr="00CA4AD6">
        <w:t xml:space="preserve"> the roles and responsibilities of the major institutions in the system (including </w:t>
      </w:r>
      <w:r w:rsidR="00056053">
        <w:t xml:space="preserve">the </w:t>
      </w:r>
      <w:r w:rsidRPr="00CA4AD6">
        <w:t>N</w:t>
      </w:r>
      <w:r w:rsidR="00FB709E">
        <w:t>ational Biosecurity Committee (N</w:t>
      </w:r>
      <w:r w:rsidRPr="00CA4AD6">
        <w:t>BC</w:t>
      </w:r>
      <w:r w:rsidR="00FB709E">
        <w:t>)</w:t>
      </w:r>
      <w:r w:rsidRPr="00CA4AD6">
        <w:t>, AHA, PHA and research agencies) as some stakeholders have suggested.</w:t>
      </w:r>
    </w:p>
    <w:p w14:paraId="0B3553CE" w14:textId="53DEA2D6" w:rsidR="00CA4AD6" w:rsidRPr="00CA4AD6" w:rsidRDefault="00C90A19" w:rsidP="00CA4AD6">
      <w:pPr>
        <w:rPr>
          <w:szCs w:val="18"/>
        </w:rPr>
      </w:pPr>
      <w:r>
        <w:t>Separately, s</w:t>
      </w:r>
      <w:r w:rsidR="00CA4AD6" w:rsidRPr="00CA4AD6">
        <w:t>hared responsibility has been criticised by some industry stakeholder</w:t>
      </w:r>
      <w:r>
        <w:t>s</w:t>
      </w:r>
      <w:r w:rsidR="00CA4AD6" w:rsidRPr="00CA4AD6">
        <w:t xml:space="preserve"> as </w:t>
      </w:r>
      <w:r w:rsidR="00427D3E">
        <w:t xml:space="preserve">a euphemism </w:t>
      </w:r>
      <w:r w:rsidR="004B362E">
        <w:t xml:space="preserve">for </w:t>
      </w:r>
      <w:r w:rsidR="00CA4AD6" w:rsidRPr="00CA4AD6">
        <w:t>cost</w:t>
      </w:r>
      <w:r w:rsidR="00310832">
        <w:t>-</w:t>
      </w:r>
      <w:r w:rsidR="00CA4AD6" w:rsidRPr="00CA4AD6">
        <w:t xml:space="preserve">shifting. </w:t>
      </w:r>
      <w:r w:rsidR="00E74357" w:rsidRPr="00E74357">
        <w:t xml:space="preserve">The </w:t>
      </w:r>
      <w:r w:rsidR="00310832">
        <w:t>p</w:t>
      </w:r>
      <w:r w:rsidR="00E74357" w:rsidRPr="00E74357">
        <w:t>anel’s proposed definition of shared responsibility emphasises the taking of action by participants in the system for matters under their control.</w:t>
      </w:r>
      <w:r w:rsidR="00CA4AD6" w:rsidRPr="00CA4AD6">
        <w:t xml:space="preserve"> </w:t>
      </w:r>
      <w:r w:rsidR="00E74357">
        <w:t>C</w:t>
      </w:r>
      <w:r w:rsidR="00CA4AD6" w:rsidRPr="00CA4AD6">
        <w:t>onsideration of public and private benefits</w:t>
      </w:r>
      <w:r w:rsidR="00E74357" w:rsidRPr="00E74357">
        <w:t xml:space="preserve"> and appropriate cost</w:t>
      </w:r>
      <w:r w:rsidR="00310832">
        <w:t xml:space="preserve"> </w:t>
      </w:r>
      <w:r w:rsidR="00E74357" w:rsidRPr="00E74357">
        <w:t>attribution</w:t>
      </w:r>
      <w:r w:rsidR="00CA4AD6" w:rsidRPr="00CA4AD6">
        <w:t xml:space="preserve"> will need to be made where funding is an issue. A separate second step would involve developing a means to measure how effectively system participants are meeting their defined roles and responsibilities.</w:t>
      </w:r>
    </w:p>
    <w:p w14:paraId="2DFAE32A" w14:textId="38F19188" w:rsidR="00CA4AD6" w:rsidRDefault="00CA4AD6" w:rsidP="00CA4AD6">
      <w:pPr>
        <w:pStyle w:val="Heading3"/>
      </w:pPr>
      <w:bookmarkStart w:id="32" w:name="_Toc486236030"/>
      <w:r>
        <w:t>Greater ownership and participation</w:t>
      </w:r>
      <w:bookmarkEnd w:id="32"/>
    </w:p>
    <w:p w14:paraId="7667D079" w14:textId="1F19D1CC" w:rsidR="00C90A19" w:rsidRDefault="00CA4AD6" w:rsidP="00CA4AD6">
      <w:pPr>
        <w:keepNext/>
        <w:keepLines/>
      </w:pPr>
      <w:r w:rsidRPr="00CA4AD6">
        <w:t xml:space="preserve">At present, the national biosecurity system is heavily reliant on Australian and state and territory governments to ensure its ongoing effectiveness. During this </w:t>
      </w:r>
      <w:r w:rsidR="00310832">
        <w:t>r</w:t>
      </w:r>
      <w:r w:rsidRPr="00CA4AD6">
        <w:t>eview, stakeholders noted a reluctance by governments to provide other participants with opportunities to take greater ownership of and responsibility for act</w:t>
      </w:r>
      <w:r w:rsidR="00B2636F">
        <w:t>ivities in the national system.</w:t>
      </w:r>
    </w:p>
    <w:p w14:paraId="4FCFA346" w14:textId="3C9241B9" w:rsidR="00C90A19" w:rsidRDefault="00C90A19" w:rsidP="00CA4AD6">
      <w:pPr>
        <w:keepNext/>
        <w:keepLines/>
      </w:pPr>
      <w:r w:rsidRPr="00CA4AD6">
        <w:t xml:space="preserve">Governments face a dilemma: </w:t>
      </w:r>
      <w:r w:rsidR="00310832">
        <w:t xml:space="preserve">whether </w:t>
      </w:r>
      <w:r w:rsidRPr="00CA4AD6">
        <w:t>to provide greater responsibility to participants to encourage behavioural change, or, to delay providing responsibility until behavioural change has been demonstrated. The existence of successful industry participation programs both outside</w:t>
      </w:r>
      <w:r w:rsidR="00310832">
        <w:t xml:space="preserve"> biosecurity</w:t>
      </w:r>
      <w:r w:rsidRPr="00CA4AD6">
        <w:t xml:space="preserve"> (for example, Landcare) and inside biosecurity (for example, </w:t>
      </w:r>
      <w:r w:rsidR="00E74357" w:rsidRPr="00E74357">
        <w:t>grains programs discussed below</w:t>
      </w:r>
      <w:r w:rsidRPr="00CA4AD6">
        <w:t xml:space="preserve">) suggests that careful allocation of roles and responsibilities followed by evaluation, can be very successful. </w:t>
      </w:r>
      <w:r w:rsidR="00310832">
        <w:t>Also</w:t>
      </w:r>
      <w:r w:rsidRPr="00CA4AD6">
        <w:t>, there is no possibility that governments can undertake the biosecurity task alone</w:t>
      </w:r>
      <w:r>
        <w:t>.</w:t>
      </w:r>
    </w:p>
    <w:p w14:paraId="5B18B27F" w14:textId="6DD1DA50" w:rsidR="00CA4AD6" w:rsidRPr="00CA4AD6" w:rsidRDefault="00CA4AD6" w:rsidP="00CA4AD6">
      <w:pPr>
        <w:keepNext/>
        <w:keepLines/>
      </w:pPr>
      <w:r w:rsidRPr="00CA4AD6">
        <w:t xml:space="preserve">While governments have clear responsibilities for some activities (for example, regulatory and international responsibilities), the </w:t>
      </w:r>
      <w:r w:rsidR="00310832">
        <w:t>p</w:t>
      </w:r>
      <w:r w:rsidRPr="00CA4AD6">
        <w:t>anel considers opportunities exist for industry, local government and community members to play a greater role than they have in the p</w:t>
      </w:r>
      <w:r w:rsidR="00507010">
        <w:t>ast.</w:t>
      </w:r>
    </w:p>
    <w:p w14:paraId="5D84A66D" w14:textId="0A27E04E" w:rsidR="00CA4AD6" w:rsidRPr="00CA4AD6" w:rsidRDefault="00CA4AD6" w:rsidP="00CA4AD6">
      <w:r w:rsidRPr="00CA4AD6">
        <w:t xml:space="preserve">The willingness and ability of additional participants to take on greater roles must be recognised and acted on. At present, the full </w:t>
      </w:r>
      <w:r w:rsidR="008E4928" w:rsidRPr="00CA4AD6">
        <w:t xml:space="preserve">capacity and </w:t>
      </w:r>
      <w:r w:rsidRPr="00CA4AD6">
        <w:t>capability of all system participants is not appropriately recognised or utilised. In addition, some industry and community members do not fully understand how and when they can, or should, be involved in biosecurity activities</w:t>
      </w:r>
      <w:r w:rsidR="00310832">
        <w:t>—</w:t>
      </w:r>
      <w:r w:rsidRPr="00CA4AD6">
        <w:t>perhaps due to poorly understood roles and responsibilities.</w:t>
      </w:r>
    </w:p>
    <w:p w14:paraId="44F179D7" w14:textId="77777777" w:rsidR="00CA4AD6" w:rsidRPr="00CA4AD6" w:rsidRDefault="00CA4AD6" w:rsidP="008B4496">
      <w:pPr>
        <w:numPr>
          <w:ilvl w:val="2"/>
          <w:numId w:val="8"/>
        </w:numPr>
        <w:spacing w:after="0" w:line="240" w:lineRule="auto"/>
        <w:outlineLvl w:val="3"/>
        <w:rPr>
          <w:rFonts w:ascii="Calibri" w:eastAsia="Times New Roman" w:hAnsi="Calibri" w:cs="Times New Roman"/>
          <w:b/>
          <w:bCs/>
          <w:sz w:val="28"/>
          <w:szCs w:val="24"/>
        </w:rPr>
      </w:pPr>
      <w:r w:rsidRPr="00CA4AD6">
        <w:rPr>
          <w:rFonts w:ascii="Calibri" w:eastAsia="Times New Roman" w:hAnsi="Calibri" w:cs="Times New Roman"/>
          <w:b/>
          <w:bCs/>
          <w:sz w:val="28"/>
          <w:szCs w:val="24"/>
        </w:rPr>
        <w:t>Greater industry ownership</w:t>
      </w:r>
    </w:p>
    <w:p w14:paraId="7EDC0990" w14:textId="02376B06" w:rsidR="00CA4AD6" w:rsidRPr="00CA4AD6" w:rsidRDefault="00CA4AD6" w:rsidP="00CA4AD6">
      <w:pPr>
        <w:keepNext/>
        <w:keepLines/>
      </w:pPr>
      <w:r w:rsidRPr="00CA4AD6">
        <w:lastRenderedPageBreak/>
        <w:t>The Australian</w:t>
      </w:r>
      <w:r w:rsidR="006E5043">
        <w:t xml:space="preserve">, </w:t>
      </w:r>
      <w:r w:rsidRPr="00CA4AD6">
        <w:t>state and territory governments should provide greater opportunities for industry to be involved in what have traditionally been their areas of discrete responsibility; involvement has been more, though not exclusively, focused in the area of emergency response but particular opportunities lie in the areas of priority setting, decision making and funding, and on-ground activities such as surveillance, monitoring and reporting.</w:t>
      </w:r>
    </w:p>
    <w:p w14:paraId="5A67DF0F" w14:textId="65F801B3" w:rsidR="00CA4AD6" w:rsidRPr="00CA4AD6" w:rsidRDefault="00E74357" w:rsidP="00CA4AD6">
      <w:r w:rsidRPr="00E74357">
        <w:t>For example, a number of initiatives have been developed and implemented by industries, some of which are managed and reported through the PHA and AHA mechanisms.</w:t>
      </w:r>
      <w:r>
        <w:t xml:space="preserve"> </w:t>
      </w:r>
      <w:r w:rsidR="00C90A19">
        <w:t>The g</w:t>
      </w:r>
      <w:r w:rsidR="00CA4AD6" w:rsidRPr="00CA4AD6">
        <w:t>rain</w:t>
      </w:r>
      <w:r w:rsidR="00C90A19">
        <w:t>s</w:t>
      </w:r>
      <w:r w:rsidR="00CA4AD6" w:rsidRPr="00CA4AD6">
        <w:t xml:space="preserve"> and horticulture industries, for instance, have 136 industry surveillance programs in place. Most of these programs are run by industry groups</w:t>
      </w:r>
      <w:r w:rsidR="00601C3E">
        <w:t>,</w:t>
      </w:r>
      <w:r w:rsidR="00CA4AD6" w:rsidRPr="00CA4AD6">
        <w:t xml:space="preserve"> but some also invest with their state government in delivering the program (</w:t>
      </w:r>
      <w:hyperlink w:anchor="RSC_2015" w:history="1">
        <w:r w:rsidR="00CA4AD6" w:rsidRPr="00CA4AD6">
          <w:rPr>
            <w:color w:val="165788"/>
            <w:u w:val="single"/>
          </w:rPr>
          <w:t>RSC 2015</w:t>
        </w:r>
      </w:hyperlink>
      <w:r w:rsidR="00CA4AD6" w:rsidRPr="00CA4AD6">
        <w:t xml:space="preserve">). For industry to realise a greater role across the national biosecurity system, it must be prepared for the additional commitments and accountability that will stem from this, including taking ownership of issues and working in a coordinated fashion for the national interest. In particular, industry should take greater ownership for biosecurity issues which it can drive with limited, or no, government involvement. The Livestock Biosecurity Network </w:t>
      </w:r>
      <w:r w:rsidR="00601C3E">
        <w:t xml:space="preserve">(LBN) </w:t>
      </w:r>
      <w:r w:rsidR="00CA4AD6" w:rsidRPr="00CA4AD6">
        <w:t xml:space="preserve">and Grains Farm Biosecurity Program </w:t>
      </w:r>
      <w:r w:rsidR="00601C3E">
        <w:t xml:space="preserve">(GFBP) </w:t>
      </w:r>
      <w:r w:rsidR="00CA4AD6" w:rsidRPr="00CA4AD6">
        <w:t xml:space="preserve">are examples of </w:t>
      </w:r>
      <w:r w:rsidRPr="00E74357">
        <w:t>strong industry-led</w:t>
      </w:r>
      <w:r w:rsidR="00CA4AD6" w:rsidRPr="00CA4AD6">
        <w:t xml:space="preserve"> initiatives (</w:t>
      </w:r>
      <w:r w:rsidR="00051EDB" w:rsidRPr="00051EDB">
        <w:fldChar w:fldCharType="begin"/>
      </w:r>
      <w:r w:rsidR="00051EDB" w:rsidRPr="00051EDB">
        <w:instrText xml:space="preserve"> REF _Ref482612488 \h </w:instrText>
      </w:r>
      <w:r w:rsidR="00051EDB">
        <w:instrText xml:space="preserve"> \* MERGEFORMAT </w:instrText>
      </w:r>
      <w:r w:rsidR="00051EDB" w:rsidRPr="00051EDB">
        <w:fldChar w:fldCharType="separate"/>
      </w:r>
      <w:r w:rsidR="009F6923" w:rsidRPr="00CA4AD6">
        <w:t xml:space="preserve">Box </w:t>
      </w:r>
      <w:r w:rsidR="009F6923">
        <w:t>2</w:t>
      </w:r>
      <w:r w:rsidR="00051EDB" w:rsidRPr="00051EDB">
        <w:fldChar w:fldCharType="end"/>
      </w:r>
      <w:r w:rsidR="00CA4AD6" w:rsidRPr="00CA4AD6">
        <w:t>).</w:t>
      </w:r>
    </w:p>
    <w:p w14:paraId="5DE52521" w14:textId="29DD7958" w:rsidR="00CA4AD6" w:rsidRPr="00CA4AD6" w:rsidRDefault="00CA4AD6" w:rsidP="00B264FF">
      <w:pPr>
        <w:pStyle w:val="BoxHeading"/>
      </w:pPr>
      <w:bookmarkStart w:id="33" w:name="_Ref482612488"/>
      <w:r w:rsidRPr="00CA4AD6">
        <w:t xml:space="preserve">Box </w:t>
      </w:r>
      <w:fldSimple w:instr=" SEQ Box \* ARABIC ">
        <w:r w:rsidR="009F6923">
          <w:rPr>
            <w:noProof/>
          </w:rPr>
          <w:t>2</w:t>
        </w:r>
      </w:fldSimple>
      <w:bookmarkEnd w:id="33"/>
      <w:r w:rsidR="008E1BB3">
        <w:t xml:space="preserve"> </w:t>
      </w:r>
      <w:r w:rsidRPr="00CA4AD6">
        <w:t>Industry-led biosecurity initiatives</w:t>
      </w:r>
    </w:p>
    <w:p w14:paraId="3ACE454B" w14:textId="77777777" w:rsidR="00CA4AD6" w:rsidRPr="00CA4AD6" w:rsidRDefault="00CA4AD6" w:rsidP="00223E7E">
      <w:pPr>
        <w:pStyle w:val="BoxHeading"/>
      </w:pPr>
      <w:r w:rsidRPr="00CA4AD6">
        <w:t>The Livestock Biosecurity Network (LBN)</w:t>
      </w:r>
    </w:p>
    <w:p w14:paraId="16453414" w14:textId="766F1572" w:rsidR="00CA4AD6" w:rsidRPr="00CA4AD6" w:rsidRDefault="00CA4AD6" w:rsidP="00223E7E">
      <w:pPr>
        <w:pStyle w:val="BoxText"/>
      </w:pPr>
      <w:r w:rsidRPr="00CA4AD6">
        <w:t>The LBN is an industry-led initiative founded in 2013 by the peak industry councils for cattle, sheep and wool and is supported through ongoing contributions from the Cattle Council of Australia. The LBN plays a key role in managing on-farm biosecurity by working with producers and industry members to provide tools and information to minimise the risks to the health, productivity and market access of livestock.</w:t>
      </w:r>
    </w:p>
    <w:p w14:paraId="77EB90F8" w14:textId="17E2B1F9" w:rsidR="00CA4AD6" w:rsidRPr="00CA4AD6" w:rsidRDefault="00CA4AD6" w:rsidP="00223E7E">
      <w:pPr>
        <w:pStyle w:val="BoxText"/>
      </w:pPr>
      <w:r w:rsidRPr="00CA4AD6">
        <w:t xml:space="preserve">One example of the LBN’s on-ground work includes farm biosecurity plans. The LBN has worked extensively with state farming organisations, animal health authorities and producers to develop and deliver tools and training to assist producers in developing biosecurity management plans for their businesses. For example, trigger factors in Queensland, such as </w:t>
      </w:r>
      <w:r w:rsidR="00601C3E">
        <w:t>b</w:t>
      </w:r>
      <w:r w:rsidRPr="00CA4AD6">
        <w:t xml:space="preserve">ovine Johne’s </w:t>
      </w:r>
      <w:r w:rsidR="00601C3E">
        <w:t>d</w:t>
      </w:r>
      <w:r w:rsidRPr="00CA4AD6">
        <w:t>isease management and increased activity related to gas and mineral exploration and extraction, have reinforced the need for better on-farm biosecurity management.</w:t>
      </w:r>
    </w:p>
    <w:p w14:paraId="232572A8" w14:textId="1E310152" w:rsidR="00CA4AD6" w:rsidRPr="00CA4AD6" w:rsidRDefault="00CA4AD6" w:rsidP="00223E7E">
      <w:pPr>
        <w:pStyle w:val="BoxSource"/>
      </w:pPr>
      <w:r w:rsidRPr="00CA4AD6">
        <w:t xml:space="preserve">Source: </w:t>
      </w:r>
      <w:r w:rsidR="00EA3723">
        <w:t>T</w:t>
      </w:r>
      <w:r w:rsidRPr="00CA4AD6">
        <w:t xml:space="preserve">he </w:t>
      </w:r>
      <w:hyperlink r:id="rId23" w:history="1">
        <w:r w:rsidRPr="00CA4AD6">
          <w:rPr>
            <w:color w:val="165788"/>
            <w:u w:val="single"/>
          </w:rPr>
          <w:t>Livestock Biosecurity Network</w:t>
        </w:r>
      </w:hyperlink>
      <w:r w:rsidRPr="00CA4AD6">
        <w:t xml:space="preserve"> website.</w:t>
      </w:r>
    </w:p>
    <w:p w14:paraId="6EAC548B" w14:textId="77777777" w:rsidR="00CA4AD6" w:rsidRPr="00CA4AD6" w:rsidRDefault="00CA4AD6" w:rsidP="00223E7E">
      <w:pPr>
        <w:pStyle w:val="BoxHeading"/>
      </w:pPr>
      <w:r w:rsidRPr="00CA4AD6">
        <w:t>The Grains Farm Biosecurity Program (GFBP)</w:t>
      </w:r>
    </w:p>
    <w:p w14:paraId="64345D91" w14:textId="77777777" w:rsidR="00CA4AD6" w:rsidRPr="00CA4AD6" w:rsidRDefault="00CA4AD6" w:rsidP="00223E7E">
      <w:pPr>
        <w:pStyle w:val="BoxText"/>
      </w:pPr>
      <w:r w:rsidRPr="00CA4AD6">
        <w:t xml:space="preserve">The GFBP is an initiative to improve the management of, and preparedness for, biosecurity risks in the Australian grains industry at the farm and industry levels. The program, launched in 2007, is managed by Plant Health Australia and is funded by growers through Grain Producers Australia </w:t>
      </w:r>
      <w:r w:rsidRPr="00CA4AD6">
        <w:lastRenderedPageBreak/>
        <w:t>together with the New South Wales, Queensland, South Australian, Victorian and Western Australian governments.</w:t>
      </w:r>
    </w:p>
    <w:p w14:paraId="47F6744B" w14:textId="1ADB50BD" w:rsidR="00CA4AD6" w:rsidRPr="00CA4AD6" w:rsidRDefault="00CA4AD6" w:rsidP="00223E7E">
      <w:pPr>
        <w:pStyle w:val="BoxText"/>
      </w:pPr>
      <w:r w:rsidRPr="00CA4AD6">
        <w:t xml:space="preserve">Under the program, Grains Biosecurity Officers are employed in these states to develop and deliver materials to raise awareness of the importance of biosecurity and provide training to growers, consultants and other industry stakeholders. </w:t>
      </w:r>
      <w:r w:rsidR="00EA3723">
        <w:t>They</w:t>
      </w:r>
      <w:r w:rsidRPr="00CA4AD6">
        <w:t xml:space="preserve"> work closely with growers and consultants to promote biosecurity awareness and facilitate efforts to protect crops from exotic pest and disease threats at the farm level.</w:t>
      </w:r>
    </w:p>
    <w:p w14:paraId="54D83B4F" w14:textId="20944709" w:rsidR="00CA4AD6" w:rsidRPr="00CA4AD6" w:rsidRDefault="00CA4AD6" w:rsidP="00223E7E">
      <w:pPr>
        <w:pStyle w:val="BoxSource"/>
      </w:pPr>
      <w:r w:rsidRPr="00CA4AD6">
        <w:t xml:space="preserve">Source: The </w:t>
      </w:r>
      <w:hyperlink r:id="rId24" w:history="1">
        <w:r w:rsidRPr="00CA4AD6">
          <w:rPr>
            <w:color w:val="165788"/>
            <w:u w:val="single"/>
          </w:rPr>
          <w:t>Grains Farm Biosecurity Program</w:t>
        </w:r>
      </w:hyperlink>
      <w:r w:rsidR="00507010">
        <w:t xml:space="preserve"> website.</w:t>
      </w:r>
    </w:p>
    <w:p w14:paraId="06682C48" w14:textId="76DAC945" w:rsidR="00CA4AD6" w:rsidRPr="00CA4AD6" w:rsidDel="00D375CC" w:rsidRDefault="00CA4AD6" w:rsidP="00CA4AD6">
      <w:r w:rsidRPr="00CA4AD6" w:rsidDel="00D375CC">
        <w:t xml:space="preserve">The </w:t>
      </w:r>
      <w:r w:rsidR="00601C3E">
        <w:t>p</w:t>
      </w:r>
      <w:r w:rsidRPr="00CA4AD6" w:rsidDel="00D375CC">
        <w:t>anel is aware that major food retailers have</w:t>
      </w:r>
      <w:r w:rsidR="00C90A19">
        <w:t xml:space="preserve"> their own</w:t>
      </w:r>
      <w:r w:rsidRPr="00CA4AD6" w:rsidDel="00D375CC">
        <w:t xml:space="preserve"> sophisticated quality assurance programs in place to manage food quality and traceability. While biosecurity has not been the main focus to date, it is increasingly on the ‘risk radar’ for their supply chains. Fresh fruit product withdrawals due to fruit fly infestations and the 2015 outbreak of Panama disease tropical race 4 in Queensland bananas were considered</w:t>
      </w:r>
      <w:r w:rsidR="00717E1E">
        <w:t xml:space="preserve"> </w:t>
      </w:r>
      <w:r w:rsidRPr="00CA4AD6" w:rsidDel="00D375CC">
        <w:t>prime example</w:t>
      </w:r>
      <w:r w:rsidR="00601C3E">
        <w:t>s</w:t>
      </w:r>
      <w:r w:rsidRPr="00CA4AD6" w:rsidDel="00D375CC">
        <w:t xml:space="preserve"> of how biosecurity incidents can disrupt food supply. Food retailers move a significant amount of product to a large number of locations, including internationally, to maintain quality and supply</w:t>
      </w:r>
      <w:r w:rsidR="00601C3E">
        <w:t>,</w:t>
      </w:r>
      <w:r w:rsidRPr="00CA4AD6" w:rsidDel="00D375CC">
        <w:t xml:space="preserve"> and there is significant potential for retailers to integrate biosecurity considerations into their existing assurance and traceability programs.</w:t>
      </w:r>
    </w:p>
    <w:p w14:paraId="65776CD1" w14:textId="6AB51B4E" w:rsidR="00CA4AD6" w:rsidRPr="00CA4AD6" w:rsidRDefault="00CA4AD6" w:rsidP="00CA4AD6">
      <w:r w:rsidRPr="00CA4AD6">
        <w:t>Industry assurance schemes (or third-party programs), developed and agreed in partnership with governments, are other examples of how greater ownership for biosecurity activities can be realised (</w:t>
      </w:r>
      <w:r w:rsidR="00051EDB" w:rsidRPr="00051EDB">
        <w:fldChar w:fldCharType="begin"/>
      </w:r>
      <w:r w:rsidR="00051EDB" w:rsidRPr="00051EDB">
        <w:instrText xml:space="preserve"> REF _Ref482612563 \h </w:instrText>
      </w:r>
      <w:r w:rsidR="00051EDB">
        <w:instrText xml:space="preserve"> \* MERGEFORMAT </w:instrText>
      </w:r>
      <w:r w:rsidR="00051EDB" w:rsidRPr="00051EDB">
        <w:fldChar w:fldCharType="separate"/>
      </w:r>
      <w:r w:rsidR="009F6923" w:rsidRPr="00CA4AD6">
        <w:t xml:space="preserve">Box </w:t>
      </w:r>
      <w:r w:rsidR="009F6923">
        <w:t>3</w:t>
      </w:r>
      <w:r w:rsidR="00051EDB" w:rsidRPr="00051EDB">
        <w:fldChar w:fldCharType="end"/>
      </w:r>
      <w:r w:rsidRPr="00CA4AD6">
        <w:t>). Stakeholders noted these benefits:</w:t>
      </w:r>
    </w:p>
    <w:p w14:paraId="319683A4" w14:textId="77777777" w:rsidR="00CA4AD6" w:rsidRPr="00CA4AD6" w:rsidRDefault="00CA4AD6" w:rsidP="00AF6A2C">
      <w:pPr>
        <w:pStyle w:val="Quote"/>
      </w:pPr>
      <w:r w:rsidRPr="00CA4AD6">
        <w:t>There are significant advantages to be gained through government/industry partnerships around third party programs including demonstrating the shared responsibility mantra, improving overall biosecurity at farm level and reducing business cost. Third party programs have the potential to be market drivers for change at the farm level and will improve grower’s adoption of shared responsibility (Nursery and Garden Industry Australia sub. DP23)</w:t>
      </w:r>
    </w:p>
    <w:p w14:paraId="7644EBC3" w14:textId="3084F1B2" w:rsidR="00CA4AD6" w:rsidRPr="00CA4AD6" w:rsidRDefault="00CA4AD6" w:rsidP="00223E7E">
      <w:pPr>
        <w:pStyle w:val="BoxHeading"/>
      </w:pPr>
      <w:bookmarkStart w:id="34" w:name="_Ref482612563"/>
      <w:r w:rsidRPr="00CA4AD6">
        <w:t xml:space="preserve">Box </w:t>
      </w:r>
      <w:fldSimple w:instr=" SEQ Box \* ARABIC ">
        <w:r w:rsidR="009F6923">
          <w:rPr>
            <w:noProof/>
          </w:rPr>
          <w:t>3</w:t>
        </w:r>
      </w:fldSimple>
      <w:bookmarkEnd w:id="34"/>
      <w:r w:rsidRPr="00CA4AD6">
        <w:t xml:space="preserve"> Australian production nurseries certification program—BioSecure HACCP</w:t>
      </w:r>
    </w:p>
    <w:p w14:paraId="4D159917" w14:textId="426858BF" w:rsidR="00CA4AD6" w:rsidRPr="00CA4AD6" w:rsidRDefault="00CA4AD6" w:rsidP="00223E7E">
      <w:pPr>
        <w:pStyle w:val="BoxText"/>
      </w:pPr>
      <w:r w:rsidRPr="00CA4AD6">
        <w:t>BioSecure HACCP comprises a set of protocols and procedures that enable businesses to manage biosecurity risks by establishing effective internal quarantine processes for both imported and exported plant material</w:t>
      </w:r>
      <w:r w:rsidR="00601C3E">
        <w:t>. It</w:t>
      </w:r>
      <w:r w:rsidRPr="00CA4AD6">
        <w:t xml:space="preserve"> validates many of the best management practice strategies under the Nursey Industry Accreditation Scheme Australia (NIASA).</w:t>
      </w:r>
    </w:p>
    <w:p w14:paraId="509EEDEE" w14:textId="38217AD1" w:rsidR="00CA4AD6" w:rsidRPr="00CA4AD6" w:rsidRDefault="00CA4AD6" w:rsidP="00223E7E">
      <w:pPr>
        <w:pStyle w:val="BoxText"/>
      </w:pPr>
      <w:r w:rsidRPr="00CA4AD6">
        <w:lastRenderedPageBreak/>
        <w:t>The program is designed to assist growers in assessing their current and future pest, disease and weed risks and guide businesses in the implementation of management strategies at critical control points. It seeks to identify internal and external (endemic and exotic) threats to the integrity of a business’s biosecurity processes and preparedness. Its risk management system encourages businesses to maintain strict internal quarantine procedures and to record actions taken at critical control points.</w:t>
      </w:r>
    </w:p>
    <w:p w14:paraId="7C1AB6D9" w14:textId="77777777" w:rsidR="00CA4AD6" w:rsidRPr="00CA4AD6" w:rsidRDefault="00CA4AD6" w:rsidP="006A3E7C">
      <w:pPr>
        <w:pStyle w:val="BoxSource"/>
      </w:pPr>
      <w:r w:rsidRPr="00CA4AD6">
        <w:t xml:space="preserve">Source: Nursery and Garden Industry Australia’s </w:t>
      </w:r>
      <w:hyperlink r:id="rId25" w:history="1">
        <w:r w:rsidRPr="00CA4AD6">
          <w:rPr>
            <w:color w:val="165788"/>
            <w:u w:val="single"/>
          </w:rPr>
          <w:t>BioSecure HACCP</w:t>
        </w:r>
      </w:hyperlink>
      <w:r w:rsidRPr="00CA4AD6">
        <w:t xml:space="preserve"> website.</w:t>
      </w:r>
    </w:p>
    <w:p w14:paraId="27E5988C" w14:textId="77717F2F" w:rsidR="00CA4AD6" w:rsidRPr="00CA4AD6" w:rsidRDefault="00CA4AD6" w:rsidP="00CA4AD6">
      <w:r w:rsidRPr="00CA4AD6">
        <w:t xml:space="preserve">However, Australia’s trading partners want government certification, and the Australian Government needs to have sufficient confidence in industry programs to be able to defend them </w:t>
      </w:r>
      <w:r w:rsidR="00E74357" w:rsidRPr="00E74357">
        <w:t xml:space="preserve">and demonstrate to other countries that audit and assurance systems are in place, such as </w:t>
      </w:r>
      <w:r w:rsidRPr="00CA4AD6">
        <w:t xml:space="preserve">for meat export </w:t>
      </w:r>
      <w:r w:rsidR="0008473C">
        <w:t>arrangements</w:t>
      </w:r>
      <w:r w:rsidRPr="00CA4AD6">
        <w:t>. The proactive support and involvement of governments is essential for the long-term success and overall effectiveness of such arrangements, including by addressing any impediments to their implementation.</w:t>
      </w:r>
    </w:p>
    <w:p w14:paraId="2E19F420" w14:textId="77777777" w:rsidR="00CA4AD6" w:rsidRPr="00CA4AD6" w:rsidRDefault="00CA4AD6" w:rsidP="008B4496">
      <w:pPr>
        <w:numPr>
          <w:ilvl w:val="2"/>
          <w:numId w:val="8"/>
        </w:numPr>
        <w:spacing w:after="0" w:line="240" w:lineRule="auto"/>
        <w:outlineLvl w:val="3"/>
        <w:rPr>
          <w:rFonts w:ascii="Calibri" w:eastAsia="Times New Roman" w:hAnsi="Calibri" w:cs="Times New Roman"/>
          <w:b/>
          <w:bCs/>
          <w:sz w:val="28"/>
          <w:szCs w:val="24"/>
        </w:rPr>
      </w:pPr>
      <w:r w:rsidRPr="00CA4AD6">
        <w:rPr>
          <w:rFonts w:ascii="Calibri" w:eastAsia="Times New Roman" w:hAnsi="Calibri" w:cs="Times New Roman"/>
          <w:b/>
          <w:bCs/>
          <w:sz w:val="28"/>
          <w:szCs w:val="24"/>
        </w:rPr>
        <w:t>Greater local participation</w:t>
      </w:r>
    </w:p>
    <w:p w14:paraId="34B72B1E" w14:textId="1E3D33A6" w:rsidR="00CA4AD6" w:rsidRPr="00CA4AD6" w:rsidRDefault="00CA4AD6" w:rsidP="00CA4AD6">
      <w:r w:rsidRPr="00CA4AD6">
        <w:t xml:space="preserve">Local government, with its close connections to local, regional and rural Australia, has much to offer the national biosecurity system. The </w:t>
      </w:r>
      <w:r w:rsidR="00601C3E">
        <w:t>p</w:t>
      </w:r>
      <w:r w:rsidRPr="00CA4AD6">
        <w:t>anel was reminded on numerous occasions of the positive contribution that local government could play in biosecurity. In the Northern Territory, industry and government stakeholders recognised the contribution and expertise that could be provided by local government in emergency responses</w:t>
      </w:r>
      <w:r w:rsidR="00601C3E">
        <w:t>—</w:t>
      </w:r>
      <w:r w:rsidRPr="00CA4AD6">
        <w:t xml:space="preserve">for example, </w:t>
      </w:r>
      <w:r w:rsidR="00601C3E">
        <w:t xml:space="preserve">to </w:t>
      </w:r>
      <w:r w:rsidRPr="00CA4AD6">
        <w:t xml:space="preserve">banana freckle. It was noted that local government could draw on its disaster management skills, and successfully apply these to biosecurity emergency response management. The </w:t>
      </w:r>
      <w:r w:rsidR="00601C3E">
        <w:t>p</w:t>
      </w:r>
      <w:r w:rsidRPr="00CA4AD6">
        <w:t>anel notes there are different models in place across the jurisdictions. For example, in South Australia</w:t>
      </w:r>
      <w:r w:rsidR="00EC0618">
        <w:t>,</w:t>
      </w:r>
      <w:r w:rsidRPr="00CA4AD6">
        <w:t xml:space="preserve"> N</w:t>
      </w:r>
      <w:r w:rsidR="00601C3E">
        <w:t xml:space="preserve">atural </w:t>
      </w:r>
      <w:r w:rsidRPr="00CA4AD6">
        <w:t>R</w:t>
      </w:r>
      <w:r w:rsidR="00601C3E">
        <w:t xml:space="preserve">esources </w:t>
      </w:r>
      <w:r w:rsidRPr="00CA4AD6">
        <w:t>M</w:t>
      </w:r>
      <w:r w:rsidR="00601C3E">
        <w:t>anagement</w:t>
      </w:r>
      <w:r w:rsidRPr="00CA4AD6">
        <w:t xml:space="preserve"> </w:t>
      </w:r>
      <w:r w:rsidR="00601C3E">
        <w:t xml:space="preserve">(NRM) </w:t>
      </w:r>
      <w:r w:rsidRPr="00CA4AD6">
        <w:t>Boards play a leadership and facilitation role in invasive species management</w:t>
      </w:r>
      <w:r w:rsidR="00C11C4B">
        <w:t>.</w:t>
      </w:r>
      <w:r w:rsidRPr="00CA4AD6">
        <w:t xml:space="preserve"> In N</w:t>
      </w:r>
      <w:r w:rsidR="00FD0AA5">
        <w:t xml:space="preserve">ew </w:t>
      </w:r>
      <w:r w:rsidRPr="00CA4AD6">
        <w:t>S</w:t>
      </w:r>
      <w:r w:rsidR="00FD0AA5">
        <w:t xml:space="preserve">outh </w:t>
      </w:r>
      <w:r w:rsidRPr="00CA4AD6">
        <w:t>W</w:t>
      </w:r>
      <w:r w:rsidR="00FD0AA5">
        <w:t>ales</w:t>
      </w:r>
      <w:r w:rsidRPr="00CA4AD6">
        <w:t>, Local Land Services has the greater role in managing local and regional incursion response programs.</w:t>
      </w:r>
    </w:p>
    <w:p w14:paraId="71FE0047" w14:textId="344C3D9E" w:rsidR="00CA4AD6" w:rsidRPr="00CA4AD6" w:rsidRDefault="00CA4AD6" w:rsidP="00CA4AD6">
      <w:r w:rsidRPr="00CA4AD6">
        <w:t>Australian governments are also increasingly recognising the benefits of community participation in biosecurity, especially where citizen science and citizen awareness initiatives can improve surveillance. Opportunities for strengthening participation could be encouraged through already established networks such as the regional NRM organi</w:t>
      </w:r>
      <w:r w:rsidR="00507010">
        <w:t>sations and local governments.</w:t>
      </w:r>
    </w:p>
    <w:p w14:paraId="385D9097" w14:textId="6BE49AF5" w:rsidR="00CA4AD6" w:rsidRPr="00CA4AD6" w:rsidRDefault="00CA4AD6" w:rsidP="00CA4AD6">
      <w:r w:rsidRPr="00CA4AD6">
        <w:t>While acknowledging the variable roles of local government and NRM bodies across jurisdictions</w:t>
      </w:r>
      <w:r w:rsidR="0008473C" w:rsidRPr="0008473C">
        <w:t xml:space="preserve"> and funding models for their activities</w:t>
      </w:r>
      <w:r w:rsidRPr="00CA4AD6">
        <w:t xml:space="preserve">, the </w:t>
      </w:r>
      <w:r w:rsidR="00EE6155">
        <w:t>p</w:t>
      </w:r>
      <w:r w:rsidRPr="00CA4AD6">
        <w:t>anel believes these opportunities warrant greater consideration by Australian governments.</w:t>
      </w:r>
    </w:p>
    <w:p w14:paraId="7880C0CD" w14:textId="059079B8" w:rsidR="00CA4AD6" w:rsidRPr="00CA4AD6" w:rsidRDefault="00CA4AD6" w:rsidP="00BF2F61">
      <w:pPr>
        <w:pStyle w:val="Heading3"/>
      </w:pPr>
      <w:bookmarkStart w:id="35" w:name="_Toc486236031"/>
      <w:r w:rsidRPr="00CA4AD6">
        <w:lastRenderedPageBreak/>
        <w:t>Improving communication and engagement</w:t>
      </w:r>
      <w:bookmarkEnd w:id="35"/>
    </w:p>
    <w:p w14:paraId="7E717167" w14:textId="3C198A90" w:rsidR="00CA4AD6" w:rsidRPr="00CA4AD6" w:rsidRDefault="00CA4AD6" w:rsidP="00CA4AD6">
      <w:r w:rsidRPr="00CA4AD6">
        <w:t xml:space="preserve">During this </w:t>
      </w:r>
      <w:r w:rsidR="00EE6155">
        <w:t>r</w:t>
      </w:r>
      <w:r w:rsidRPr="00CA4AD6">
        <w:t>eview, industry stakeholders relayed variable experiences related to government communication and engagement on biosecurity issues. Some stakeholders characterised these activities as a one-way flow of information and lacking genuineness:</w:t>
      </w:r>
    </w:p>
    <w:p w14:paraId="61188336" w14:textId="77777777" w:rsidR="00CA4AD6" w:rsidRPr="00CA4AD6" w:rsidRDefault="00CA4AD6" w:rsidP="00AF6A2C">
      <w:pPr>
        <w:pStyle w:val="Quote"/>
      </w:pPr>
      <w:r w:rsidRPr="00CA4AD6">
        <w:t>Industry is only engaged in an advisory fashion. There needs to be a national ‘true partnership’ forum between industry and government on the biosecurity system, providing industry with the opportunity to assist in shaping and designing biosecurity measures (National Farmers’ Federation sub. DP16)</w:t>
      </w:r>
    </w:p>
    <w:p w14:paraId="046EA622" w14:textId="77777777" w:rsidR="00CA4AD6" w:rsidRPr="00CA4AD6" w:rsidRDefault="00CA4AD6" w:rsidP="00AF6A2C">
      <w:pPr>
        <w:pStyle w:val="Quote"/>
      </w:pPr>
      <w:r w:rsidRPr="00CA4AD6">
        <w:t>… the operating model [for communications and engagement] is still very much working on the traditional paradigm of government making policy decisions and then providing information to industry in the guise of consultation. It is Voice of Horticulture’s view that this is notification. Even when funding is on the table the Commonwealth has proved extremely reluctant and reticent to engage in serious discussion, let alone share responsibility for its management (Voice of Horticulture sub. DP11)</w:t>
      </w:r>
    </w:p>
    <w:p w14:paraId="5A2F276A" w14:textId="192EA27D" w:rsidR="00126981" w:rsidRDefault="00CA4AD6" w:rsidP="00CA4AD6">
      <w:r w:rsidRPr="00CA4AD6">
        <w:t>On the other hand, positive comments were made about communication with government during an emergency response and in managing established pests and diseases. Recent changes to national biosecurit</w:t>
      </w:r>
      <w:r w:rsidR="00EE6155">
        <w:t>y roundtables (joint government</w:t>
      </w:r>
      <w:r w:rsidR="00EE6155">
        <w:softHyphen/>
      </w:r>
      <w:r w:rsidR="00EE6155">
        <w:softHyphen/>
        <w:t>–</w:t>
      </w:r>
      <w:r w:rsidRPr="00CA4AD6">
        <w:t>industry fora)—from</w:t>
      </w:r>
      <w:r w:rsidR="00EA3723">
        <w:t xml:space="preserve"> </w:t>
      </w:r>
      <w:r w:rsidRPr="00CA4AD6">
        <w:t>information provision to genuine discussion with tangible outcomes—w</w:t>
      </w:r>
      <w:r w:rsidR="00EE6155">
        <w:t>ere</w:t>
      </w:r>
      <w:r w:rsidRPr="00CA4AD6">
        <w:t xml:space="preserve"> also seen as a step in the right direction. The </w:t>
      </w:r>
      <w:r w:rsidR="00EE6155">
        <w:t>p</w:t>
      </w:r>
      <w:r w:rsidRPr="00CA4AD6">
        <w:t xml:space="preserve">anel acknowledges progress in these areas but considers </w:t>
      </w:r>
      <w:r w:rsidR="00EE6155">
        <w:t xml:space="preserve">that </w:t>
      </w:r>
      <w:r w:rsidR="0008473C">
        <w:t>greater</w:t>
      </w:r>
      <w:r w:rsidR="00EE6155">
        <w:t xml:space="preserve"> </w:t>
      </w:r>
      <w:r w:rsidR="0008473C">
        <w:t xml:space="preserve"> opportunities exist</w:t>
      </w:r>
      <w:r w:rsidRPr="00CA4AD6">
        <w:t xml:space="preserve">. Several of the recommendations of this </w:t>
      </w:r>
      <w:r w:rsidR="00EE6155">
        <w:t>r</w:t>
      </w:r>
      <w:r w:rsidRPr="00CA4AD6">
        <w:t>eview have been framed with the aim of providing a ‘</w:t>
      </w:r>
      <w:r w:rsidRPr="00126981">
        <w:t>greater say’ for industry and other stakeholders in biosecurity policies and processes (Recommendations</w:t>
      </w:r>
      <w:r w:rsidR="006441B8" w:rsidRPr="00126981">
        <w:t xml:space="preserve"> 2, </w:t>
      </w:r>
      <w:r w:rsidR="007D0A38" w:rsidRPr="00126981">
        <w:t>10</w:t>
      </w:r>
      <w:r w:rsidRPr="00126981">
        <w:t xml:space="preserve">, </w:t>
      </w:r>
      <w:r w:rsidR="00126981" w:rsidRPr="00126981">
        <w:t>13, 19</w:t>
      </w:r>
      <w:r w:rsidR="006441B8" w:rsidRPr="00126981">
        <w:t>, 2</w:t>
      </w:r>
      <w:r w:rsidR="00126981" w:rsidRPr="00126981">
        <w:t>5</w:t>
      </w:r>
      <w:r w:rsidR="006441B8" w:rsidRPr="00126981">
        <w:t>, 2</w:t>
      </w:r>
      <w:r w:rsidR="00126981" w:rsidRPr="00126981">
        <w:t>6</w:t>
      </w:r>
      <w:r w:rsidR="006441B8" w:rsidRPr="00126981">
        <w:t>, 2</w:t>
      </w:r>
      <w:r w:rsidR="00126981" w:rsidRPr="00126981">
        <w:t>7</w:t>
      </w:r>
      <w:r w:rsidR="00D9566A">
        <w:t xml:space="preserve"> and 28</w:t>
      </w:r>
      <w:r w:rsidR="006441B8" w:rsidRPr="00126981">
        <w:t>).</w:t>
      </w:r>
    </w:p>
    <w:p w14:paraId="1892DE71" w14:textId="43EE5B15" w:rsidR="00CA4AD6" w:rsidRPr="00CA4AD6" w:rsidRDefault="00CA4AD6" w:rsidP="00CA4AD6">
      <w:r w:rsidRPr="00CA4AD6">
        <w:t>While industry is rightly seeking greater communication and engagement from governments across Australia, there is also an expectation from governments and other system participants that industry will further commit to help</w:t>
      </w:r>
      <w:r w:rsidR="00EE6155">
        <w:t>ing to</w:t>
      </w:r>
      <w:r w:rsidRPr="00CA4AD6">
        <w:t xml:space="preserve"> address short-comings of the national biosecurity system. This maturing of the relationship between industry and governments will result in a far superior national system. However, it requires a cultural change which would see governments committing to better and more open communication and engagement, acknowledging that some issues must be handled sensitively. It would also mean bringing industry and community participants into decision-making processes, noting that a ‘seat at the table’ brings responsibilities and obligations for non-government participants</w:t>
      </w:r>
      <w:r w:rsidR="00C11C4B">
        <w:t>—</w:t>
      </w:r>
      <w:r w:rsidRPr="00CA4AD6">
        <w:t xml:space="preserve">particularly in the case of a co-design model </w:t>
      </w:r>
      <w:r w:rsidRPr="00CA4AD6">
        <w:lastRenderedPageBreak/>
        <w:t>as the Queensland Government has suggested (</w:t>
      </w:r>
      <w:r w:rsidR="0097023D">
        <w:t>sub. DP48</w:t>
      </w:r>
      <w:r w:rsidRPr="00CA4AD6">
        <w:t>). Where decisions are for governments only, this will mean timely and transparent communication with others.</w:t>
      </w:r>
    </w:p>
    <w:p w14:paraId="556C5E2E" w14:textId="32475113" w:rsidR="00CA4AD6" w:rsidRPr="00CA4AD6" w:rsidRDefault="00CA4AD6" w:rsidP="00CA4AD6">
      <w:r w:rsidRPr="00CA4AD6">
        <w:t xml:space="preserve">The </w:t>
      </w:r>
      <w:r w:rsidR="00EE6155">
        <w:t>p</w:t>
      </w:r>
      <w:r w:rsidRPr="00CA4AD6">
        <w:t xml:space="preserve">anel is particularly concerned that general community awareness, understanding of, and participation in, biosecurity is generally considered to be low. In the </w:t>
      </w:r>
      <w:r w:rsidR="00EE6155">
        <w:t>p</w:t>
      </w:r>
      <w:r w:rsidRPr="00CA4AD6">
        <w:t>anel’s view, participation is hindered by the dominant agricultural focus of biosecurity and a limited knowledge of community-level biosecurity risks, with the exception of international and domestic travellers (who still relate to ‘quarantine’ rather than biosecurity) and those respo</w:t>
      </w:r>
      <w:r w:rsidR="00507010">
        <w:t>nsible for on-farm biosecurity.</w:t>
      </w:r>
    </w:p>
    <w:p w14:paraId="57F92765" w14:textId="5E83F8F6" w:rsidR="00944054" w:rsidRPr="00944054" w:rsidRDefault="00CA4AD6" w:rsidP="00CA4AD6">
      <w:r w:rsidRPr="00CA4AD6">
        <w:t>In a positive move, the Australian</w:t>
      </w:r>
      <w:r w:rsidR="003503EE">
        <w:t xml:space="preserve"> (</w:t>
      </w:r>
      <w:hyperlink w:anchor="Mercer_et_al_2016" w:history="1">
        <w:r w:rsidR="003503EE" w:rsidRPr="00EB44A7">
          <w:rPr>
            <w:rStyle w:val="Hyperlink"/>
          </w:rPr>
          <w:t>Mercer et al. 2016</w:t>
        </w:r>
      </w:hyperlink>
      <w:r w:rsidR="003503EE">
        <w:rPr>
          <w:rStyle w:val="Hyperlink"/>
        </w:rPr>
        <w:t>)</w:t>
      </w:r>
      <w:r w:rsidR="003503EE">
        <w:t xml:space="preserve"> </w:t>
      </w:r>
      <w:r w:rsidRPr="00CA4AD6">
        <w:t>and N</w:t>
      </w:r>
      <w:r w:rsidR="00EE6155">
        <w:t xml:space="preserve">ew </w:t>
      </w:r>
      <w:r w:rsidRPr="00CA4AD6">
        <w:t>S</w:t>
      </w:r>
      <w:r w:rsidR="00EE6155">
        <w:t xml:space="preserve">outh </w:t>
      </w:r>
      <w:r w:rsidRPr="00CA4AD6">
        <w:t>W</w:t>
      </w:r>
      <w:r w:rsidR="00EE6155">
        <w:t>ales</w:t>
      </w:r>
      <w:r w:rsidRPr="00CA4AD6">
        <w:t xml:space="preserve"> </w:t>
      </w:r>
      <w:r w:rsidR="00C90A19">
        <w:t>g</w:t>
      </w:r>
      <w:r w:rsidRPr="00CA4AD6">
        <w:t>overnments</w:t>
      </w:r>
      <w:r w:rsidR="00F64E93">
        <w:t xml:space="preserve"> (</w:t>
      </w:r>
      <w:bookmarkStart w:id="36" w:name="Colmar_Brunton_2017"/>
      <w:r w:rsidR="00F64E93">
        <w:fldChar w:fldCharType="begin"/>
      </w:r>
      <w:r w:rsidR="00F64E93">
        <w:instrText xml:space="preserve"> HYPERLINK  \l "Colmar_Brunton_2017" </w:instrText>
      </w:r>
      <w:r w:rsidR="00F64E93">
        <w:fldChar w:fldCharType="separate"/>
      </w:r>
      <w:r w:rsidR="00F64E93" w:rsidRPr="00F64E93">
        <w:rPr>
          <w:rStyle w:val="Hyperlink"/>
        </w:rPr>
        <w:t>Colmar Brunton 2017</w:t>
      </w:r>
      <w:bookmarkEnd w:id="36"/>
      <w:r w:rsidR="00F64E93">
        <w:fldChar w:fldCharType="end"/>
      </w:r>
      <w:r w:rsidR="00F64E93">
        <w:t xml:space="preserve">) </w:t>
      </w:r>
      <w:r w:rsidRPr="00CA4AD6">
        <w:t>have recently but separately commissioned research to provide insights into</w:t>
      </w:r>
      <w:r w:rsidR="00741B65">
        <w:t xml:space="preserve"> </w:t>
      </w:r>
      <w:r w:rsidRPr="00CA4AD6">
        <w:t>social attitudes towards biosecurity to help develop new policies and communication projects. A key finding from the national research was</w:t>
      </w:r>
      <w:r w:rsidR="00944054">
        <w:t xml:space="preserve"> </w:t>
      </w:r>
      <w:r w:rsidR="00944054" w:rsidRPr="00944054">
        <w:t xml:space="preserve">that </w:t>
      </w:r>
      <w:r w:rsidR="00944054" w:rsidRPr="00944054">
        <w:rPr>
          <w:bCs/>
          <w:i/>
          <w:iCs/>
        </w:rPr>
        <w:t>‘</w:t>
      </w:r>
      <w:r w:rsidR="00944054" w:rsidRPr="00944054">
        <w:rPr>
          <w:bCs/>
          <w:iCs/>
        </w:rPr>
        <w:t xml:space="preserve">Biosecurity </w:t>
      </w:r>
      <w:r w:rsidR="00944054" w:rsidRPr="00944054">
        <w:rPr>
          <w:bCs/>
        </w:rPr>
        <w:t>is a word without a narrative’:</w:t>
      </w:r>
    </w:p>
    <w:p w14:paraId="169BB446" w14:textId="52853119" w:rsidR="00CA4AD6" w:rsidRPr="00317894" w:rsidRDefault="00CA4AD6" w:rsidP="00AF6A2C">
      <w:pPr>
        <w:pStyle w:val="Quote"/>
        <w:rPr>
          <w:rStyle w:val="Hyperlink"/>
          <w:color w:val="auto"/>
        </w:rPr>
      </w:pPr>
      <w:r w:rsidRPr="00CA4AD6">
        <w:t>Biosecurity needs to have a story behind it that is evoked by the use of the word. This requires the concept to be strategically positioned as part of everyone’s lives in a tangible way. The story should include pre-border, border and post-border and have touchpoints of relevance to different stakeholder groups (what does it mean for me?)</w:t>
      </w:r>
      <w:r w:rsidR="00AE3246">
        <w:t xml:space="preserve"> </w:t>
      </w:r>
      <w:r w:rsidR="00EA3723">
        <w:t>(</w:t>
      </w:r>
      <w:hyperlink w:anchor="Mercer_et_al_2016" w:history="1">
        <w:r w:rsidR="00EA3723" w:rsidRPr="00EA3723">
          <w:rPr>
            <w:rStyle w:val="Hyperlink"/>
          </w:rPr>
          <w:t>Mercer_et_al</w:t>
        </w:r>
        <w:r w:rsidR="00DA1F72">
          <w:rPr>
            <w:rStyle w:val="Hyperlink"/>
          </w:rPr>
          <w:t>.</w:t>
        </w:r>
        <w:r w:rsidR="00EA3723" w:rsidRPr="00EA3723">
          <w:rPr>
            <w:rStyle w:val="Hyperlink"/>
          </w:rPr>
          <w:t>_2016</w:t>
        </w:r>
      </w:hyperlink>
      <w:r w:rsidR="00EA3723" w:rsidRPr="00317894">
        <w:rPr>
          <w:rStyle w:val="Hyperlink"/>
          <w:color w:val="auto"/>
        </w:rPr>
        <w:t>)</w:t>
      </w:r>
    </w:p>
    <w:p w14:paraId="6E5FA8D5" w14:textId="54E0A483" w:rsidR="00CA4AD6" w:rsidRPr="00CA4AD6" w:rsidRDefault="00CA4AD6" w:rsidP="00CA4AD6">
      <w:r w:rsidRPr="00CA4AD6">
        <w:t xml:space="preserve">Some stakeholders have suggested </w:t>
      </w:r>
      <w:r w:rsidR="00EE6155">
        <w:t xml:space="preserve">that </w:t>
      </w:r>
      <w:r w:rsidRPr="00CA4AD6">
        <w:t xml:space="preserve">a national communication framework, strategy or plan could be the solution to lifting biosecurity awareness and encouraging behavioural change. The </w:t>
      </w:r>
      <w:r w:rsidR="00EE6155">
        <w:t>p</w:t>
      </w:r>
      <w:r w:rsidRPr="00CA4AD6">
        <w:t>anel notes the NBC endorsed a National Biosecurity Engagement and Communications Framework in 2013 which aimed to support and enhance government communications with a range of stakeholders</w:t>
      </w:r>
      <w:r w:rsidR="00EE6155">
        <w:t>,</w:t>
      </w:r>
      <w:r w:rsidRPr="00CA4AD6">
        <w:t xml:space="preserve"> but</w:t>
      </w:r>
      <w:r w:rsidR="00EE6155">
        <w:t xml:space="preserve"> it</w:t>
      </w:r>
      <w:r w:rsidRPr="00CA4AD6">
        <w:t xml:space="preserve"> has not delivered the required change. This is not a fault of the framework itself, which articulates sound policy directions and priority reforms, but an issue of government leadership, priorities and resourcing for biosecurity in al</w:t>
      </w:r>
      <w:r w:rsidR="00507010">
        <w:t>l jurisdictions.</w:t>
      </w:r>
    </w:p>
    <w:p w14:paraId="4E0960F0" w14:textId="0F889DAE" w:rsidR="00F64E93" w:rsidRDefault="00CA4AD6" w:rsidP="00B47ADE">
      <w:r w:rsidRPr="00CA4AD6">
        <w:t xml:space="preserve">The </w:t>
      </w:r>
      <w:r w:rsidR="00EE6155">
        <w:t>p</w:t>
      </w:r>
      <w:r w:rsidRPr="00CA4AD6">
        <w:t xml:space="preserve">anel considers additional funding is needed to significantly improve awareness and understanding of biosecurity, shared responsibility, the national system, and the respective roles and responsibilities of participants in the system. The </w:t>
      </w:r>
      <w:r w:rsidR="00EE6155">
        <w:t>p</w:t>
      </w:r>
      <w:r w:rsidRPr="00CA4AD6">
        <w:t xml:space="preserve">anel has recommended additional funding measures for this </w:t>
      </w:r>
      <w:r w:rsidRPr="00317894">
        <w:t>purpose</w:t>
      </w:r>
      <w:r w:rsidR="0075308F" w:rsidRPr="00317894">
        <w:t xml:space="preserve"> (</w:t>
      </w:r>
      <w:hyperlink w:anchor="_A_future_system," w:history="1">
        <w:r w:rsidR="0075308F" w:rsidRPr="00317894">
          <w:rPr>
            <w:rStyle w:val="Hyperlink"/>
          </w:rPr>
          <w:t>Chapter 8</w:t>
        </w:r>
      </w:hyperlink>
      <w:r w:rsidR="0075308F" w:rsidRPr="00317894">
        <w:rPr>
          <w:rStyle w:val="Hyperlink"/>
          <w:color w:val="auto"/>
        </w:rPr>
        <w:t>)</w:t>
      </w:r>
      <w:r w:rsidRPr="00317894">
        <w:t>. A</w:t>
      </w:r>
      <w:r w:rsidRPr="00CA4AD6">
        <w:t xml:space="preserve"> recommitment by all jurisdictions to genuine and sustained stakeholder communication and engagement, for which they will be accountable under IGAB2, is well timed given that most jurisdictions have recently refresh</w:t>
      </w:r>
      <w:r w:rsidR="00C90A19">
        <w:t>ed their biosecurity strategies, with some having</w:t>
      </w:r>
      <w:r w:rsidRPr="00CA4AD6">
        <w:t xml:space="preserve"> legislated ‘biosecurity ob</w:t>
      </w:r>
      <w:r w:rsidR="00C90A19">
        <w:t>ligations’</w:t>
      </w:r>
      <w:r w:rsidR="004A0955">
        <w:t>.</w:t>
      </w:r>
      <w:r w:rsidR="00C90A19">
        <w:t xml:space="preserve"> </w:t>
      </w:r>
      <w:r w:rsidR="004A0955">
        <w:t>This</w:t>
      </w:r>
      <w:r w:rsidRPr="00CA4AD6">
        <w:t xml:space="preserve"> </w:t>
      </w:r>
      <w:r w:rsidR="00C90A19">
        <w:t>should</w:t>
      </w:r>
      <w:r w:rsidRPr="00CA4AD6">
        <w:t xml:space="preserve"> support broad debate on a National Biosecurity Statement (</w:t>
      </w:r>
      <w:hyperlink w:anchor="_A_National_Biosecurity" w:history="1">
        <w:r w:rsidR="00EE6155">
          <w:rPr>
            <w:rStyle w:val="Hyperlink"/>
          </w:rPr>
          <w:t>s</w:t>
        </w:r>
        <w:r w:rsidR="00EA3723" w:rsidRPr="00635900">
          <w:rPr>
            <w:rStyle w:val="Hyperlink"/>
          </w:rPr>
          <w:t>ection 2.4</w:t>
        </w:r>
      </w:hyperlink>
      <w:r w:rsidR="00507010">
        <w:t>).</w:t>
      </w:r>
    </w:p>
    <w:p w14:paraId="2EC9E039" w14:textId="4E33CFE7" w:rsidR="00B47ADE" w:rsidRDefault="00CA4AD6" w:rsidP="00B47ADE">
      <w:r w:rsidRPr="00CA4AD6">
        <w:lastRenderedPageBreak/>
        <w:t xml:space="preserve">The </w:t>
      </w:r>
      <w:r w:rsidR="006303D0">
        <w:t>p</w:t>
      </w:r>
      <w:r w:rsidRPr="00CA4AD6">
        <w:t xml:space="preserve">anel also believes that state and territory governments could build on their existing partnerships with local and regional organisations, such as NRM bodies, catchment management authorities and local governments (where appropriate), to build an informed and proactive biosecurity community in their jurisdictions. </w:t>
      </w:r>
      <w:r w:rsidR="00B47ADE">
        <w:t>Finally, biosecurity communications and engagement could benefit significantly from understanding, adapting and building on the extensive work done in disaster resilience communications and engagement and</w:t>
      </w:r>
      <w:r w:rsidR="006303D0">
        <w:t>,</w:t>
      </w:r>
      <w:r w:rsidR="00B47ADE">
        <w:t xml:space="preserve"> in particular, promoting shared responsibility.</w:t>
      </w:r>
    </w:p>
    <w:p w14:paraId="40718FD0" w14:textId="77777777" w:rsidR="0097023D" w:rsidRPr="00AF6A2C" w:rsidRDefault="0097023D" w:rsidP="00AF6A2C">
      <w:pPr>
        <w:pStyle w:val="BoxHeading"/>
        <w:shd w:val="clear" w:color="auto" w:fill="D9D9D9" w:themeFill="background1" w:themeFillShade="D9"/>
        <w:rPr>
          <w:sz w:val="22"/>
        </w:rPr>
      </w:pPr>
      <w:bookmarkStart w:id="37" w:name="_Ref482698717"/>
      <w:r w:rsidRPr="00AF6A2C">
        <w:rPr>
          <w:sz w:val="22"/>
        </w:rPr>
        <w:t xml:space="preserve">Recommendation </w:t>
      </w:r>
      <w:r w:rsidRPr="00AF6A2C">
        <w:rPr>
          <w:sz w:val="22"/>
        </w:rPr>
        <w:fldChar w:fldCharType="begin"/>
      </w:r>
      <w:r w:rsidRPr="00AF6A2C">
        <w:rPr>
          <w:sz w:val="22"/>
        </w:rPr>
        <w:instrText xml:space="preserve"> SEQ Recommendation \* ARABIC </w:instrText>
      </w:r>
      <w:r w:rsidRPr="00AF6A2C">
        <w:rPr>
          <w:sz w:val="22"/>
        </w:rPr>
        <w:fldChar w:fldCharType="separate"/>
      </w:r>
      <w:r w:rsidR="009F6923">
        <w:rPr>
          <w:noProof/>
          <w:sz w:val="22"/>
        </w:rPr>
        <w:t>1</w:t>
      </w:r>
      <w:r w:rsidRPr="00AF6A2C">
        <w:rPr>
          <w:sz w:val="22"/>
        </w:rPr>
        <w:fldChar w:fldCharType="end"/>
      </w:r>
      <w:bookmarkEnd w:id="37"/>
    </w:p>
    <w:p w14:paraId="32E3BA12" w14:textId="2CF317A3" w:rsidR="00CA4AD6" w:rsidRPr="002C0479" w:rsidRDefault="00CA4AD6" w:rsidP="0097023D">
      <w:pPr>
        <w:pStyle w:val="BoxText"/>
        <w:shd w:val="clear" w:color="auto" w:fill="D9D9D9" w:themeFill="background1" w:themeFillShade="D9"/>
        <w:rPr>
          <w:sz w:val="22"/>
        </w:rPr>
      </w:pPr>
      <w:r w:rsidRPr="002C0479">
        <w:rPr>
          <w:sz w:val="22"/>
        </w:rPr>
        <w:t xml:space="preserve">IGAB2 should include a core commitment by jurisdictions to ongoing stakeholder communication and engagement, </w:t>
      </w:r>
      <w:r w:rsidR="002C41C4">
        <w:rPr>
          <w:sz w:val="22"/>
        </w:rPr>
        <w:t xml:space="preserve">building on existing partnerships, </w:t>
      </w:r>
      <w:r w:rsidRPr="002C0479">
        <w:rPr>
          <w:sz w:val="22"/>
        </w:rPr>
        <w:t xml:space="preserve">with activities scrutinised as part of jurisdictional evaluations under Recommendation </w:t>
      </w:r>
      <w:r w:rsidR="00C40594" w:rsidRPr="002C0479">
        <w:rPr>
          <w:sz w:val="22"/>
        </w:rPr>
        <w:t>2</w:t>
      </w:r>
      <w:r w:rsidR="00DD52F5">
        <w:rPr>
          <w:sz w:val="22"/>
        </w:rPr>
        <w:t>2</w:t>
      </w:r>
      <w:r w:rsidR="00C40594" w:rsidRPr="002C0479">
        <w:rPr>
          <w:sz w:val="22"/>
        </w:rPr>
        <w:t>.</w:t>
      </w:r>
    </w:p>
    <w:p w14:paraId="65660041" w14:textId="77777777" w:rsidR="00CA4AD6" w:rsidRPr="00CA4AD6" w:rsidRDefault="00CA4AD6" w:rsidP="003B127E">
      <w:pPr>
        <w:pStyle w:val="Heading3"/>
      </w:pPr>
      <w:bookmarkStart w:id="38" w:name="_A_National_Biosecurity"/>
      <w:bookmarkStart w:id="39" w:name="_Toc474498380"/>
      <w:bookmarkStart w:id="40" w:name="_Ref481747716"/>
      <w:bookmarkStart w:id="41" w:name="_Toc486236032"/>
      <w:bookmarkEnd w:id="38"/>
      <w:r w:rsidRPr="00CA4AD6">
        <w:t>A National Biosecurity Statement</w:t>
      </w:r>
      <w:bookmarkEnd w:id="39"/>
      <w:bookmarkEnd w:id="40"/>
      <w:bookmarkEnd w:id="41"/>
    </w:p>
    <w:p w14:paraId="1524B4E7" w14:textId="6724DC7F" w:rsidR="00CA4AD6" w:rsidRPr="00CA4AD6" w:rsidRDefault="00CA4AD6" w:rsidP="003B127E">
      <w:pPr>
        <w:keepNext/>
        <w:keepLines/>
      </w:pPr>
      <w:r w:rsidRPr="00CA4AD6">
        <w:t xml:space="preserve">There is no single, overarching national policy statement or strategy shared by all system participants. At present, the </w:t>
      </w:r>
      <w:r w:rsidR="0008473C">
        <w:t xml:space="preserve">articulation of the </w:t>
      </w:r>
      <w:r w:rsidRPr="00CA4AD6">
        <w:t>national biosecurity system is made up of objectives, principles and policies embedded in various jurisdictional and industry policy documents, sectoral strategies and emergency response deeds, which have for the most part been developed in parallel but not always in conjunction with each other.</w:t>
      </w:r>
    </w:p>
    <w:p w14:paraId="3C3CBBFD" w14:textId="336A3F00" w:rsidR="00CA4AD6" w:rsidRPr="00CA4AD6" w:rsidRDefault="00CA4AD6" w:rsidP="00CA4AD6">
      <w:r w:rsidRPr="00CA4AD6">
        <w:t>Stakeholders hold a range of views on the merits of an overarching national statement or strategy: some consider the lack of a strategy a major gap in the strategic biosecurity landscape; some consider that</w:t>
      </w:r>
      <w:r w:rsidR="006303D0">
        <w:t>,</w:t>
      </w:r>
      <w:r w:rsidRPr="00CA4AD6">
        <w:t xml:space="preserve"> while current arrangements are adequate, they would benefit from improved coordination; and others highlighted the need for a national policy document but recommended priority be given to more significant reforms (for example, strengthening environmental biosecurity). Nonetheless, the majority of stakeholders consulted as part of this </w:t>
      </w:r>
      <w:r w:rsidR="006303D0">
        <w:t>r</w:t>
      </w:r>
      <w:r w:rsidRPr="00CA4AD6">
        <w:t>eview were generally supportive of a jointly</w:t>
      </w:r>
      <w:r w:rsidR="006303D0">
        <w:t xml:space="preserve"> </w:t>
      </w:r>
      <w:r w:rsidRPr="00CA4AD6">
        <w:t>developed overarching national policy document:</w:t>
      </w:r>
    </w:p>
    <w:p w14:paraId="0104A9FD" w14:textId="77777777" w:rsidR="00CA4AD6" w:rsidRPr="00CA4AD6" w:rsidRDefault="00CA4AD6" w:rsidP="008F351A">
      <w:pPr>
        <w:pStyle w:val="Quote"/>
      </w:pPr>
      <w:r w:rsidRPr="00CA4AD6">
        <w:t>The development of a national strategy, for example, would also provide opportunities for all stakeholders to improve their awareness of what key partners in Australia’s national biosecurity systems are already doing to address biosecurity within their sectors (Australian Lot Feeders’ Association sub. DP38)</w:t>
      </w:r>
    </w:p>
    <w:p w14:paraId="2AF9F08E" w14:textId="77777777" w:rsidR="00CA4AD6" w:rsidRPr="00CA4AD6" w:rsidRDefault="00CA4AD6" w:rsidP="008F351A">
      <w:pPr>
        <w:pStyle w:val="Quote"/>
      </w:pPr>
      <w:r w:rsidRPr="00CA4AD6">
        <w:t xml:space="preserve">A national biosecurity statement of intent may provide a platform to establish a common understanding of the national biosecurity system among </w:t>
      </w:r>
      <w:r w:rsidRPr="00CA4AD6">
        <w:lastRenderedPageBreak/>
        <w:t>stakeholders and the broader community. It offers an opportunity to realise a shared vision of the challenges facing the system, including funding and capability (Queensland Government Department of Agriculture and Fisheries sub. DP48)</w:t>
      </w:r>
    </w:p>
    <w:p w14:paraId="518E406B" w14:textId="02D990E3" w:rsidR="00CA4AD6" w:rsidRPr="00CA4AD6" w:rsidRDefault="00CA4AD6" w:rsidP="008F351A">
      <w:pPr>
        <w:pStyle w:val="Quote"/>
      </w:pPr>
      <w:r w:rsidRPr="00CA4AD6">
        <w:t>AHA sees the collective development of a National Statement of Intent as an important stepping stone to the eventual development of a national strategy, which would improve coordination, collaboration and biosecurity investment by setting the national strategic directions for all stakeholders over the long term and binding all to the expected outcomes through a genuine and transparent shared responsibility approach (A</w:t>
      </w:r>
      <w:r w:rsidR="00A550EC">
        <w:t xml:space="preserve">nimal </w:t>
      </w:r>
      <w:r w:rsidRPr="00CA4AD6">
        <w:t>H</w:t>
      </w:r>
      <w:r w:rsidR="00A550EC">
        <w:t xml:space="preserve">ealth </w:t>
      </w:r>
      <w:r w:rsidRPr="00CA4AD6">
        <w:t>A</w:t>
      </w:r>
      <w:r w:rsidR="00A550EC">
        <w:t>ustralia</w:t>
      </w:r>
      <w:r w:rsidRPr="00CA4AD6">
        <w:t xml:space="preserve"> sub. DR107).</w:t>
      </w:r>
    </w:p>
    <w:p w14:paraId="594A1D20" w14:textId="77777777" w:rsidR="00CA4AD6" w:rsidRPr="00CA4AD6" w:rsidRDefault="00CA4AD6" w:rsidP="008F351A">
      <w:pPr>
        <w:pStyle w:val="Quote"/>
      </w:pPr>
      <w:r w:rsidRPr="00CA4AD6">
        <w:t>A national statement of intent, and explanation of the role that different industry sectors can play in the national biosecurity [system], could support a joint commitment and cooperation with industry. This would also provide a policy platform whereby stakeholders have an expressed shared commitment to issues concerning the environment, regional economies and security (Queensland Tourism Industry Council sub. DP57)</w:t>
      </w:r>
    </w:p>
    <w:p w14:paraId="1E9C7E6A" w14:textId="401F11D5" w:rsidR="00B47ADE" w:rsidRPr="00EE69EE" w:rsidRDefault="00CA4AD6" w:rsidP="00B47ADE">
      <w:r w:rsidRPr="00CA4AD6">
        <w:t xml:space="preserve">The </w:t>
      </w:r>
      <w:r w:rsidR="006303D0">
        <w:t>p</w:t>
      </w:r>
      <w:r w:rsidRPr="00CA4AD6">
        <w:t xml:space="preserve">anel believes </w:t>
      </w:r>
      <w:r w:rsidR="006303D0">
        <w:t xml:space="preserve">that </w:t>
      </w:r>
      <w:r w:rsidRPr="00CA4AD6">
        <w:t xml:space="preserve">system participants would benefit greatly from a unifying national biosecurity statement which recognises a common understanding of biosecurity, shared responsibility and Australia’s risk-based approach. </w:t>
      </w:r>
      <w:r w:rsidR="00FD0AA5">
        <w:t>The</w:t>
      </w:r>
      <w:r w:rsidRPr="00CA4AD6">
        <w:t xml:space="preserve"> statement should articulate a national vision and goals for biosecurity</w:t>
      </w:r>
      <w:r w:rsidR="006303D0">
        <w:t xml:space="preserve"> and</w:t>
      </w:r>
      <w:r w:rsidRPr="00CA4AD6">
        <w:t xml:space="preserve"> </w:t>
      </w:r>
      <w:r w:rsidR="0008473C" w:rsidRPr="0008473C">
        <w:t>key biosecurity principles</w:t>
      </w:r>
      <w:r w:rsidR="006303D0">
        <w:t>;</w:t>
      </w:r>
      <w:r w:rsidR="0008473C">
        <w:t xml:space="preserve"> </w:t>
      </w:r>
      <w:r w:rsidRPr="00CA4AD6">
        <w:t>provide clarity on roles, responsibilities and accountabilities of participants</w:t>
      </w:r>
      <w:r w:rsidR="006303D0">
        <w:t>;</w:t>
      </w:r>
      <w:r w:rsidRPr="00CA4AD6">
        <w:t xml:space="preserve"> and outline national priorities and principles for managing biosecurity. </w:t>
      </w:r>
      <w:r w:rsidR="00635757">
        <w:t>The</w:t>
      </w:r>
      <w:r w:rsidR="00B47ADE">
        <w:t xml:space="preserve"> statement will need to be periodically redrafted, both to keep it contemporary and to engage new participants.</w:t>
      </w:r>
    </w:p>
    <w:p w14:paraId="08F7CADB" w14:textId="157FABEB" w:rsidR="00CA4AD6" w:rsidRPr="00CA4AD6" w:rsidRDefault="00CA4AD6" w:rsidP="00CA4AD6">
      <w:r w:rsidRPr="00CA4AD6">
        <w:t xml:space="preserve">The </w:t>
      </w:r>
      <w:r w:rsidR="006303D0">
        <w:t>p</w:t>
      </w:r>
      <w:r w:rsidRPr="00CA4AD6">
        <w:t>anel has developed a draft National Biosecurity Statement (included in full at the end of this chapter) which can be used as the basis for broad consultation and debate by system participants. As the inaugural document, the draft statement is pitched at a fairly high level and provides the capacity for o</w:t>
      </w:r>
      <w:r w:rsidR="006303D0">
        <w:t xml:space="preserve">rganisations/individuals to opt </w:t>
      </w:r>
      <w:r w:rsidRPr="00CA4AD6">
        <w:t>in as sponsoring parties at any time. However, in doing so, all sponsoring parties would need to acknowledge they are accountable for delivering on their commitments. Australian governments will also need to be mindful of the variable capacity of others involved in biosecurity and be supportive of developing this capacity in others. In addition, the national statement should, over time, help individual governments</w:t>
      </w:r>
      <w:r w:rsidR="006303D0">
        <w:t xml:space="preserve"> to</w:t>
      </w:r>
      <w:r w:rsidRPr="00CA4AD6">
        <w:t xml:space="preserve"> better align their activities and jurisdictional strategies to the priorities of the national biosecurity system as part of their broader jurisdictional responsibilities.</w:t>
      </w:r>
    </w:p>
    <w:p w14:paraId="252DF6FF" w14:textId="7AE9102D" w:rsidR="00CA4AD6" w:rsidRPr="00CA4AD6" w:rsidRDefault="00CA4AD6" w:rsidP="00CA4AD6">
      <w:r w:rsidRPr="00CA4AD6">
        <w:lastRenderedPageBreak/>
        <w:t xml:space="preserve">The </w:t>
      </w:r>
      <w:r w:rsidR="006303D0">
        <w:t>p</w:t>
      </w:r>
      <w:r w:rsidRPr="00CA4AD6">
        <w:t>anel sees the National Biosecurity Statement as pivotal in providing a solid foundation for an evolving government</w:t>
      </w:r>
      <w:r w:rsidR="00DA7429">
        <w:t>–</w:t>
      </w:r>
      <w:r w:rsidRPr="00CA4AD6">
        <w:t>industry</w:t>
      </w:r>
      <w:r w:rsidR="00DA7429">
        <w:t>–</w:t>
      </w:r>
      <w:r w:rsidRPr="00CA4AD6">
        <w:t xml:space="preserve">community partnership into the future. The parties involved in its further development should seek to finalise the statement within </w:t>
      </w:r>
      <w:r w:rsidR="00DA7429">
        <w:t>eighteen</w:t>
      </w:r>
      <w:r w:rsidR="00752EEA">
        <w:t> </w:t>
      </w:r>
      <w:r w:rsidRPr="00CA4AD6">
        <w:t xml:space="preserve">months of </w:t>
      </w:r>
      <w:r w:rsidR="00741B65">
        <w:t xml:space="preserve">the </w:t>
      </w:r>
      <w:r w:rsidRPr="00CA4AD6">
        <w:t xml:space="preserve">IGAB </w:t>
      </w:r>
      <w:r w:rsidR="00DA7429">
        <w:t>r</w:t>
      </w:r>
      <w:r w:rsidRPr="00CA4AD6">
        <w:t xml:space="preserve">eview </w:t>
      </w:r>
      <w:r w:rsidR="00DA7429">
        <w:t>r</w:t>
      </w:r>
      <w:r w:rsidRPr="00CA4AD6">
        <w:t>eport.</w:t>
      </w:r>
    </w:p>
    <w:p w14:paraId="6F695A64" w14:textId="77777777" w:rsidR="00CA4AD6" w:rsidRPr="008F351A" w:rsidRDefault="00CA4AD6" w:rsidP="008F351A">
      <w:pPr>
        <w:pStyle w:val="BoxHeading"/>
        <w:shd w:val="clear" w:color="auto" w:fill="D9D9D9" w:themeFill="background1" w:themeFillShade="D9"/>
        <w:rPr>
          <w:sz w:val="22"/>
        </w:rPr>
      </w:pPr>
      <w:bookmarkStart w:id="42" w:name="_Ref482708799"/>
      <w:r w:rsidRPr="008F351A">
        <w:rPr>
          <w:sz w:val="22"/>
        </w:rPr>
        <w:t xml:space="preserve">Recommendation </w:t>
      </w:r>
      <w:r w:rsidRPr="008F351A">
        <w:rPr>
          <w:sz w:val="22"/>
        </w:rPr>
        <w:fldChar w:fldCharType="begin"/>
      </w:r>
      <w:r w:rsidRPr="008F351A">
        <w:rPr>
          <w:sz w:val="22"/>
        </w:rPr>
        <w:instrText xml:space="preserve"> SEQ Recommendation \* ARABIC </w:instrText>
      </w:r>
      <w:r w:rsidRPr="008F351A">
        <w:rPr>
          <w:sz w:val="22"/>
        </w:rPr>
        <w:fldChar w:fldCharType="separate"/>
      </w:r>
      <w:r w:rsidR="009F6923">
        <w:rPr>
          <w:noProof/>
          <w:sz w:val="22"/>
        </w:rPr>
        <w:t>2</w:t>
      </w:r>
      <w:r w:rsidRPr="008F351A">
        <w:rPr>
          <w:sz w:val="22"/>
        </w:rPr>
        <w:fldChar w:fldCharType="end"/>
      </w:r>
      <w:bookmarkEnd w:id="42"/>
    </w:p>
    <w:p w14:paraId="37BDB2A7" w14:textId="7FBC71FA" w:rsidR="00CA4AD6" w:rsidRPr="008F351A" w:rsidRDefault="00CA4AD6" w:rsidP="008F351A">
      <w:pPr>
        <w:pStyle w:val="BoxText"/>
        <w:shd w:val="clear" w:color="auto" w:fill="D9D9D9" w:themeFill="background1" w:themeFillShade="D9"/>
        <w:rPr>
          <w:sz w:val="22"/>
        </w:rPr>
      </w:pPr>
      <w:r w:rsidRPr="008F351A">
        <w:rPr>
          <w:sz w:val="22"/>
        </w:rPr>
        <w:t>The NBC and the Industry and Community</w:t>
      </w:r>
      <w:r w:rsidR="00E21B4F" w:rsidRPr="008F351A">
        <w:rPr>
          <w:sz w:val="22"/>
        </w:rPr>
        <w:t xml:space="preserve"> Biosecurity</w:t>
      </w:r>
      <w:r w:rsidRPr="008F351A">
        <w:rPr>
          <w:sz w:val="22"/>
        </w:rPr>
        <w:t xml:space="preserve"> Committee should, through an open, transparent and collaborative process, lead national consultation on a draft National Biosecurity </w:t>
      </w:r>
      <w:r w:rsidR="00A92CFF">
        <w:rPr>
          <w:sz w:val="22"/>
        </w:rPr>
        <w:t>s</w:t>
      </w:r>
      <w:r w:rsidRPr="008F351A">
        <w:rPr>
          <w:sz w:val="22"/>
        </w:rPr>
        <w:t xml:space="preserve">tatement, such as that proposed by this </w:t>
      </w:r>
      <w:r w:rsidR="000E47B0">
        <w:rPr>
          <w:sz w:val="22"/>
        </w:rPr>
        <w:t>r</w:t>
      </w:r>
      <w:r w:rsidRPr="008F351A">
        <w:rPr>
          <w:sz w:val="22"/>
        </w:rPr>
        <w:t>eview.</w:t>
      </w:r>
    </w:p>
    <w:p w14:paraId="037B821E" w14:textId="0C2BD8FE" w:rsidR="00CA4AD6" w:rsidRPr="008F351A" w:rsidRDefault="00CA4AD6" w:rsidP="008F351A">
      <w:pPr>
        <w:pStyle w:val="BoxText"/>
        <w:shd w:val="clear" w:color="auto" w:fill="D9D9D9" w:themeFill="background1" w:themeFillShade="D9"/>
        <w:rPr>
          <w:sz w:val="22"/>
        </w:rPr>
      </w:pPr>
      <w:r w:rsidRPr="008F351A">
        <w:rPr>
          <w:sz w:val="22"/>
        </w:rPr>
        <w:t>The consultation process should involve all levels of government (including local government), industry and the community</w:t>
      </w:r>
      <w:r w:rsidR="000E47B0">
        <w:rPr>
          <w:sz w:val="22"/>
        </w:rPr>
        <w:t>,</w:t>
      </w:r>
      <w:r w:rsidRPr="008F351A">
        <w:rPr>
          <w:sz w:val="22"/>
        </w:rPr>
        <w:t xml:space="preserve"> with the </w:t>
      </w:r>
      <w:r w:rsidR="0007608A">
        <w:rPr>
          <w:sz w:val="22"/>
        </w:rPr>
        <w:t>s</w:t>
      </w:r>
      <w:r w:rsidRPr="008F351A">
        <w:rPr>
          <w:sz w:val="22"/>
        </w:rPr>
        <w:t xml:space="preserve">tatement finalised and </w:t>
      </w:r>
      <w:r w:rsidR="00B47ADE" w:rsidRPr="008F351A">
        <w:rPr>
          <w:sz w:val="22"/>
        </w:rPr>
        <w:t>launched</w:t>
      </w:r>
      <w:r w:rsidRPr="008F351A">
        <w:rPr>
          <w:sz w:val="22"/>
        </w:rPr>
        <w:t xml:space="preserve"> within </w:t>
      </w:r>
      <w:r w:rsidR="000E47B0">
        <w:rPr>
          <w:sz w:val="22"/>
        </w:rPr>
        <w:t>eighteen</w:t>
      </w:r>
      <w:r w:rsidR="000E47B0" w:rsidRPr="008F351A">
        <w:rPr>
          <w:sz w:val="22"/>
        </w:rPr>
        <w:t> </w:t>
      </w:r>
      <w:r w:rsidRPr="008F351A">
        <w:rPr>
          <w:sz w:val="22"/>
        </w:rPr>
        <w:t xml:space="preserve">months of the IGAB </w:t>
      </w:r>
      <w:r w:rsidR="000E47B0">
        <w:rPr>
          <w:sz w:val="22"/>
        </w:rPr>
        <w:t>r</w:t>
      </w:r>
      <w:r w:rsidRPr="008F351A">
        <w:rPr>
          <w:sz w:val="22"/>
        </w:rPr>
        <w:t xml:space="preserve">eview </w:t>
      </w:r>
      <w:r w:rsidR="000E47B0">
        <w:rPr>
          <w:sz w:val="22"/>
        </w:rPr>
        <w:t>r</w:t>
      </w:r>
      <w:r w:rsidRPr="008F351A">
        <w:rPr>
          <w:sz w:val="22"/>
        </w:rPr>
        <w:t>eport</w:t>
      </w:r>
      <w:r w:rsidR="00543E17" w:rsidRPr="008F351A">
        <w:rPr>
          <w:sz w:val="22"/>
        </w:rPr>
        <w:t>.</w:t>
      </w:r>
    </w:p>
    <w:p w14:paraId="2BD45B19" w14:textId="2500AEC3" w:rsidR="003B14DC" w:rsidRDefault="00CA4565" w:rsidP="00CA4AD6">
      <w:pPr>
        <w:rPr>
          <w:sz w:val="32"/>
          <w:szCs w:val="32"/>
        </w:rPr>
        <w:sectPr w:rsidR="003B14DC" w:rsidSect="00AF2185">
          <w:pgSz w:w="11906" w:h="16838"/>
          <w:pgMar w:top="1418" w:right="1418" w:bottom="1418" w:left="1418" w:header="567" w:footer="283" w:gutter="0"/>
          <w:cols w:space="708"/>
          <w:docGrid w:linePitch="360"/>
        </w:sectPr>
      </w:pPr>
      <w:r>
        <w:rPr>
          <w:noProof/>
          <w:lang w:eastAsia="en-AU"/>
        </w:rPr>
        <w:lastRenderedPageBreak/>
        <w:drawing>
          <wp:inline distT="0" distB="0" distL="0" distR="0" wp14:anchorId="2C8E5E90" wp14:editId="30F4F33E">
            <wp:extent cx="5759450" cy="8098790"/>
            <wp:effectExtent l="38100" t="38100" r="88900" b="92710"/>
            <wp:docPr id="4" name="Picture 4" descr="A draft National Biosecur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8098790"/>
                    </a:xfrm>
                    <a:prstGeom prst="rect">
                      <a:avLst/>
                    </a:prstGeom>
                    <a:effectLst>
                      <a:outerShdw blurRad="50800" dist="38100" dir="2700000" algn="tl" rotWithShape="0">
                        <a:prstClr val="black">
                          <a:alpha val="40000"/>
                        </a:prstClr>
                      </a:outerShdw>
                    </a:effectLst>
                  </pic:spPr>
                </pic:pic>
              </a:graphicData>
            </a:graphic>
          </wp:inline>
        </w:drawing>
      </w:r>
      <w:r w:rsidR="00383251">
        <w:rPr>
          <w:noProof/>
          <w:lang w:eastAsia="en-AU"/>
        </w:rPr>
        <w:lastRenderedPageBreak/>
        <w:drawing>
          <wp:inline distT="0" distB="0" distL="0" distR="0" wp14:anchorId="7FCED741" wp14:editId="03683BD4">
            <wp:extent cx="5759450" cy="8136890"/>
            <wp:effectExtent l="38100" t="38100" r="88900" b="92710"/>
            <wp:docPr id="9" name="Picture 9" descr="A draft National Biosecur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59450" cy="8136890"/>
                    </a:xfrm>
                    <a:prstGeom prst="rect">
                      <a:avLst/>
                    </a:prstGeom>
                    <a:effectLst>
                      <a:outerShdw blurRad="50800" dist="38100" dir="2700000" algn="tl" rotWithShape="0">
                        <a:prstClr val="black">
                          <a:alpha val="40000"/>
                        </a:prstClr>
                      </a:outerShdw>
                    </a:effectLst>
                  </pic:spPr>
                </pic:pic>
              </a:graphicData>
            </a:graphic>
          </wp:inline>
        </w:drawing>
      </w:r>
      <w:r w:rsidR="003B14DC">
        <w:rPr>
          <w:noProof/>
          <w:lang w:eastAsia="en-AU"/>
        </w:rPr>
        <w:lastRenderedPageBreak/>
        <w:drawing>
          <wp:inline distT="0" distB="0" distL="0" distR="0" wp14:anchorId="2BB7845F" wp14:editId="4B6D037E">
            <wp:extent cx="5759450" cy="8124190"/>
            <wp:effectExtent l="38100" t="38100" r="88900" b="86360"/>
            <wp:docPr id="10" name="Picture 10" descr="A draft National Biosecur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9450" cy="8124190"/>
                    </a:xfrm>
                    <a:prstGeom prst="rect">
                      <a:avLst/>
                    </a:prstGeom>
                    <a:effectLst>
                      <a:outerShdw blurRad="50800" dist="38100" dir="2700000" algn="tl" rotWithShape="0">
                        <a:prstClr val="black">
                          <a:alpha val="40000"/>
                        </a:prstClr>
                      </a:outerShdw>
                    </a:effectLst>
                  </pic:spPr>
                </pic:pic>
              </a:graphicData>
            </a:graphic>
          </wp:inline>
        </w:drawing>
      </w:r>
    </w:p>
    <w:p w14:paraId="2A24BC0E" w14:textId="5A8AC380" w:rsidR="00A6375D" w:rsidRDefault="003B14DC" w:rsidP="00CA4AD6">
      <w:pPr>
        <w:sectPr w:rsidR="00A6375D" w:rsidSect="00A6375D">
          <w:pgSz w:w="16838" w:h="11906" w:orient="landscape"/>
          <w:pgMar w:top="1418" w:right="1418" w:bottom="1418" w:left="1418" w:header="567" w:footer="283" w:gutter="0"/>
          <w:cols w:space="708"/>
          <w:docGrid w:linePitch="360"/>
        </w:sectPr>
      </w:pPr>
      <w:r>
        <w:rPr>
          <w:noProof/>
          <w:lang w:eastAsia="en-AU"/>
        </w:rPr>
        <w:lastRenderedPageBreak/>
        <w:drawing>
          <wp:inline distT="0" distB="0" distL="0" distR="0" wp14:anchorId="187AEF4D" wp14:editId="19C8CEB5">
            <wp:extent cx="8621486" cy="6108177"/>
            <wp:effectExtent l="38100" t="38100" r="103505" b="102235"/>
            <wp:docPr id="16" name="Picture 16" descr="A draft National Biosecurity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26244" cy="6111548"/>
                    </a:xfrm>
                    <a:prstGeom prst="rect">
                      <a:avLst/>
                    </a:prstGeom>
                    <a:effectLst>
                      <a:outerShdw blurRad="50800" dist="38100" dir="2700000" algn="tl" rotWithShape="0">
                        <a:prstClr val="black">
                          <a:alpha val="40000"/>
                        </a:prstClr>
                      </a:outerShdw>
                    </a:effectLst>
                  </pic:spPr>
                </pic:pic>
              </a:graphicData>
            </a:graphic>
          </wp:inline>
        </w:drawing>
      </w:r>
    </w:p>
    <w:p w14:paraId="75259EB8" w14:textId="77777777" w:rsidR="00561771" w:rsidRDefault="00561771" w:rsidP="00561771">
      <w:pPr>
        <w:pStyle w:val="Heading2"/>
      </w:pPr>
      <w:bookmarkStart w:id="43" w:name="_Toc486236033"/>
      <w:bookmarkStart w:id="44" w:name="_Toc430782160"/>
      <w:r>
        <w:lastRenderedPageBreak/>
        <w:t>Market access is key</w:t>
      </w:r>
      <w:bookmarkEnd w:id="43"/>
    </w:p>
    <w:p w14:paraId="3F46FFDD" w14:textId="77777777" w:rsidR="00A1206C" w:rsidRPr="00735AEF" w:rsidRDefault="00A1206C" w:rsidP="00A1206C">
      <w:pPr>
        <w:pStyle w:val="BoxHeading"/>
        <w:rPr>
          <w:sz w:val="22"/>
          <w:lang w:eastAsia="ja-JP"/>
        </w:rPr>
      </w:pPr>
      <w:r w:rsidRPr="00735AEF">
        <w:rPr>
          <w:sz w:val="22"/>
          <w:lang w:eastAsia="ja-JP"/>
        </w:rPr>
        <w:t>Key points</w:t>
      </w:r>
    </w:p>
    <w:p w14:paraId="49E2C3D2" w14:textId="77777777" w:rsidR="00F81631" w:rsidRPr="00F81631" w:rsidRDefault="00F81631" w:rsidP="00F81631">
      <w:pPr>
        <w:pStyle w:val="BoxTextBullet"/>
        <w:rPr>
          <w:sz w:val="22"/>
          <w:lang w:eastAsia="ja-JP"/>
        </w:rPr>
      </w:pPr>
      <w:r w:rsidRPr="00F81631">
        <w:rPr>
          <w:sz w:val="22"/>
          <w:lang w:eastAsia="ja-JP"/>
        </w:rPr>
        <w:t>Australia’s world class biosecurity system is a trade and economic asset.</w:t>
      </w:r>
    </w:p>
    <w:p w14:paraId="1B7F2768" w14:textId="056A0B78" w:rsidR="00F81631" w:rsidRPr="00F81631" w:rsidRDefault="00F81631" w:rsidP="00F81631">
      <w:pPr>
        <w:pStyle w:val="BoxTextBullet"/>
        <w:rPr>
          <w:sz w:val="22"/>
          <w:lang w:eastAsia="ja-JP"/>
        </w:rPr>
      </w:pPr>
      <w:r w:rsidRPr="00F81631">
        <w:rPr>
          <w:sz w:val="22"/>
          <w:lang w:eastAsia="ja-JP"/>
        </w:rPr>
        <w:t>There is scope to sharpen the focus on international market access within t</w:t>
      </w:r>
      <w:r w:rsidR="00D53BE6">
        <w:rPr>
          <w:sz w:val="22"/>
          <w:lang w:eastAsia="ja-JP"/>
        </w:rPr>
        <w:t>he national biosecurity system.</w:t>
      </w:r>
    </w:p>
    <w:p w14:paraId="78178BA2" w14:textId="328E3908" w:rsidR="00F81631" w:rsidRPr="00F81631" w:rsidRDefault="00F81631" w:rsidP="00F81631">
      <w:pPr>
        <w:pStyle w:val="BoxTextBullet"/>
        <w:rPr>
          <w:sz w:val="22"/>
          <w:lang w:eastAsia="ja-JP"/>
        </w:rPr>
      </w:pPr>
      <w:r w:rsidRPr="00F81631">
        <w:rPr>
          <w:sz w:val="22"/>
          <w:lang w:eastAsia="ja-JP"/>
        </w:rPr>
        <w:t>Negotiating access to new markets will be harder in the future as trading partners strengthen their own biosecurity systems and requirements. Pest and disease freedom needs to be demonstrated.</w:t>
      </w:r>
    </w:p>
    <w:p w14:paraId="3A54B14D" w14:textId="13AF9273" w:rsidR="00F81631" w:rsidRPr="00F81631" w:rsidRDefault="00F81631" w:rsidP="00F81631">
      <w:pPr>
        <w:pStyle w:val="BoxTextBullet"/>
        <w:rPr>
          <w:sz w:val="22"/>
          <w:lang w:eastAsia="ja-JP"/>
        </w:rPr>
      </w:pPr>
      <w:r w:rsidRPr="00F81631">
        <w:rPr>
          <w:sz w:val="22"/>
          <w:lang w:eastAsia="ja-JP"/>
        </w:rPr>
        <w:t xml:space="preserve">The effort and resources required to </w:t>
      </w:r>
      <w:r w:rsidR="00454A04">
        <w:rPr>
          <w:sz w:val="22"/>
          <w:lang w:eastAsia="ja-JP"/>
        </w:rPr>
        <w:t xml:space="preserve">achieve, </w:t>
      </w:r>
      <w:r w:rsidRPr="00F81631">
        <w:rPr>
          <w:sz w:val="22"/>
          <w:lang w:eastAsia="ja-JP"/>
        </w:rPr>
        <w:t>maintain and improve access to existing markets is significant and should not be underestimated.</w:t>
      </w:r>
    </w:p>
    <w:p w14:paraId="5E229CBB" w14:textId="05121300" w:rsidR="00F81631" w:rsidRPr="00F81631" w:rsidRDefault="00F81631" w:rsidP="00F81631">
      <w:pPr>
        <w:pStyle w:val="BoxTextBullet"/>
        <w:rPr>
          <w:sz w:val="22"/>
          <w:lang w:eastAsia="ja-JP"/>
        </w:rPr>
      </w:pPr>
      <w:r w:rsidRPr="00F81631">
        <w:rPr>
          <w:sz w:val="22"/>
          <w:lang w:eastAsia="ja-JP"/>
        </w:rPr>
        <w:t>Jurisdictions</w:t>
      </w:r>
      <w:r w:rsidR="00FD0AA5">
        <w:rPr>
          <w:sz w:val="22"/>
          <w:lang w:eastAsia="ja-JP"/>
        </w:rPr>
        <w:t>,</w:t>
      </w:r>
      <w:r w:rsidRPr="00F81631">
        <w:rPr>
          <w:sz w:val="22"/>
          <w:lang w:eastAsia="ja-JP"/>
        </w:rPr>
        <w:t xml:space="preserve"> </w:t>
      </w:r>
      <w:r w:rsidR="006E342D" w:rsidRPr="00735AEF">
        <w:rPr>
          <w:sz w:val="22"/>
          <w:lang w:eastAsia="ja-JP"/>
        </w:rPr>
        <w:t>agricultural</w:t>
      </w:r>
      <w:r w:rsidR="006E342D">
        <w:rPr>
          <w:sz w:val="22"/>
          <w:lang w:eastAsia="ja-JP"/>
        </w:rPr>
        <w:t xml:space="preserve"> and other</w:t>
      </w:r>
      <w:r w:rsidRPr="00F81631">
        <w:rPr>
          <w:sz w:val="22"/>
          <w:lang w:eastAsia="ja-JP"/>
        </w:rPr>
        <w:t xml:space="preserve"> industries need to be proactive and work cooperatively to ensure Australia continues to remain competitive in international markets.</w:t>
      </w:r>
    </w:p>
    <w:p w14:paraId="70E38FE4" w14:textId="77777777" w:rsidR="00F81631" w:rsidRPr="00F81631" w:rsidRDefault="00F81631" w:rsidP="00F81631">
      <w:pPr>
        <w:pStyle w:val="BoxTextBullet"/>
        <w:rPr>
          <w:sz w:val="22"/>
          <w:lang w:eastAsia="ja-JP"/>
        </w:rPr>
      </w:pPr>
      <w:r w:rsidRPr="00F81631">
        <w:rPr>
          <w:sz w:val="22"/>
          <w:lang w:eastAsia="ja-JP"/>
        </w:rPr>
        <w:t>Jurisdictions already have the mechanisms in place to streamline domestic market access requirements and resolve domestic trade disputes.</w:t>
      </w:r>
    </w:p>
    <w:p w14:paraId="08595335" w14:textId="503C7E92" w:rsidR="00A1206C" w:rsidRDefault="00A1206C" w:rsidP="00A1206C">
      <w:pPr>
        <w:pStyle w:val="Heading3"/>
        <w:rPr>
          <w:lang w:eastAsia="ja-JP"/>
        </w:rPr>
      </w:pPr>
      <w:bookmarkStart w:id="45" w:name="_Toc486236034"/>
      <w:r>
        <w:rPr>
          <w:lang w:eastAsia="ja-JP"/>
        </w:rPr>
        <w:t xml:space="preserve">Biosecurity </w:t>
      </w:r>
      <w:r w:rsidR="007C3BC7">
        <w:rPr>
          <w:lang w:eastAsia="ja-JP"/>
        </w:rPr>
        <w:t>and t</w:t>
      </w:r>
      <w:r>
        <w:rPr>
          <w:lang w:eastAsia="ja-JP"/>
        </w:rPr>
        <w:t>rade</w:t>
      </w:r>
      <w:bookmarkEnd w:id="45"/>
    </w:p>
    <w:p w14:paraId="15B1A446" w14:textId="659A755B" w:rsidR="000A2F44" w:rsidRDefault="008823D1" w:rsidP="008823D1">
      <w:pPr>
        <w:rPr>
          <w:lang w:eastAsia="ja-JP"/>
        </w:rPr>
      </w:pPr>
      <w:r>
        <w:rPr>
          <w:lang w:eastAsia="ja-JP"/>
        </w:rPr>
        <w:t>Access to a broad range of international markets under least</w:t>
      </w:r>
      <w:r w:rsidR="00F83D57">
        <w:rPr>
          <w:lang w:eastAsia="ja-JP"/>
        </w:rPr>
        <w:t>-</w:t>
      </w:r>
      <w:r>
        <w:rPr>
          <w:lang w:eastAsia="ja-JP"/>
        </w:rPr>
        <w:t>cost import</w:t>
      </w:r>
      <w:r w:rsidR="00454A04">
        <w:rPr>
          <w:lang w:eastAsia="ja-JP"/>
        </w:rPr>
        <w:t>ing</w:t>
      </w:r>
      <w:r>
        <w:rPr>
          <w:lang w:eastAsia="ja-JP"/>
        </w:rPr>
        <w:t xml:space="preserve"> </w:t>
      </w:r>
      <w:r w:rsidR="00454A04">
        <w:rPr>
          <w:lang w:eastAsia="ja-JP"/>
        </w:rPr>
        <w:t xml:space="preserve">country </w:t>
      </w:r>
      <w:r>
        <w:rPr>
          <w:lang w:eastAsia="ja-JP"/>
        </w:rPr>
        <w:t>conditions is critical to the competitiveness of Australian agriculture. Australia’s clean, green image, a robust regulatory framework and favourable animal and plant health status give our industries and primary producers a competitive advantage in relat</w:t>
      </w:r>
      <w:r w:rsidR="00731E88">
        <w:rPr>
          <w:lang w:eastAsia="ja-JP"/>
        </w:rPr>
        <w:t>ion to other exporting nations.</w:t>
      </w:r>
    </w:p>
    <w:p w14:paraId="65D9CA9B" w14:textId="6046DC6D" w:rsidR="008823D1" w:rsidRDefault="000A2F44" w:rsidP="008823D1">
      <w:pPr>
        <w:rPr>
          <w:lang w:eastAsia="ja-JP"/>
        </w:rPr>
      </w:pPr>
      <w:r w:rsidRPr="000A2F44">
        <w:rPr>
          <w:lang w:eastAsia="ja-JP"/>
        </w:rPr>
        <w:t xml:space="preserve">Around two-thirds of Australia’s agricultural products are exported, </w:t>
      </w:r>
      <w:r w:rsidR="00E46700" w:rsidRPr="00E46700">
        <w:rPr>
          <w:lang w:eastAsia="ja-JP"/>
        </w:rPr>
        <w:t>with agricultural exp</w:t>
      </w:r>
      <w:r w:rsidR="0038573E">
        <w:rPr>
          <w:lang w:eastAsia="ja-JP"/>
        </w:rPr>
        <w:t>ort earnings worth around $44.7 </w:t>
      </w:r>
      <w:r w:rsidR="00E46700" w:rsidRPr="00E46700">
        <w:rPr>
          <w:lang w:eastAsia="ja-JP"/>
        </w:rPr>
        <w:t>billion in 2015–16, forec</w:t>
      </w:r>
      <w:r w:rsidR="0038573E">
        <w:rPr>
          <w:lang w:eastAsia="ja-JP"/>
        </w:rPr>
        <w:t>ast to increase to around $48.7 </w:t>
      </w:r>
      <w:r w:rsidR="00E46700" w:rsidRPr="00E46700">
        <w:rPr>
          <w:lang w:eastAsia="ja-JP"/>
        </w:rPr>
        <w:t xml:space="preserve">billion in 2017–18 </w:t>
      </w:r>
      <w:r w:rsidRPr="0097023D">
        <w:rPr>
          <w:lang w:eastAsia="ja-JP"/>
        </w:rPr>
        <w:t>(</w:t>
      </w:r>
      <w:hyperlink w:anchor="ABARES_2017" w:history="1">
        <w:r w:rsidRPr="0097023D">
          <w:rPr>
            <w:rStyle w:val="Hyperlink"/>
            <w:lang w:eastAsia="ja-JP"/>
          </w:rPr>
          <w:t>ABARES 2017</w:t>
        </w:r>
      </w:hyperlink>
      <w:r w:rsidRPr="0097023D">
        <w:rPr>
          <w:lang w:eastAsia="ja-JP"/>
        </w:rPr>
        <w:t>). Australian producers are heavily reliant on exports to underpin their livelihood</w:t>
      </w:r>
      <w:bookmarkStart w:id="46" w:name="ABARES_2017"/>
      <w:bookmarkEnd w:id="46"/>
      <w:r w:rsidRPr="0097023D">
        <w:rPr>
          <w:lang w:eastAsia="ja-JP"/>
        </w:rPr>
        <w:t>s, largely because</w:t>
      </w:r>
      <w:r w:rsidRPr="000A2F44">
        <w:rPr>
          <w:lang w:eastAsia="ja-JP"/>
        </w:rPr>
        <w:t xml:space="preserve"> the domestic market is small. Australian</w:t>
      </w:r>
      <w:r w:rsidR="00454A04">
        <w:rPr>
          <w:lang w:eastAsia="ja-JP"/>
        </w:rPr>
        <w:t xml:space="preserve"> food</w:t>
      </w:r>
      <w:r w:rsidRPr="000A2F44">
        <w:rPr>
          <w:lang w:eastAsia="ja-JP"/>
        </w:rPr>
        <w:t xml:space="preserve"> exports are estimated to feed </w:t>
      </w:r>
      <w:r w:rsidR="002C41C4">
        <w:rPr>
          <w:lang w:eastAsia="ja-JP"/>
        </w:rPr>
        <w:t xml:space="preserve">a population </w:t>
      </w:r>
      <w:r w:rsidRPr="000A2F44">
        <w:rPr>
          <w:lang w:eastAsia="ja-JP"/>
        </w:rPr>
        <w:t>approximately three times</w:t>
      </w:r>
      <w:r w:rsidR="002C41C4">
        <w:rPr>
          <w:lang w:eastAsia="ja-JP"/>
        </w:rPr>
        <w:t xml:space="preserve"> the size</w:t>
      </w:r>
      <w:r w:rsidR="006E342D">
        <w:rPr>
          <w:lang w:eastAsia="ja-JP"/>
        </w:rPr>
        <w:t xml:space="preserve"> </w:t>
      </w:r>
      <w:r w:rsidR="004A0955">
        <w:rPr>
          <w:lang w:eastAsia="ja-JP"/>
        </w:rPr>
        <w:t xml:space="preserve">of the </w:t>
      </w:r>
      <w:r w:rsidRPr="000A2F44">
        <w:rPr>
          <w:lang w:eastAsia="ja-JP"/>
        </w:rPr>
        <w:t>Australian population.</w:t>
      </w:r>
    </w:p>
    <w:p w14:paraId="6F3E788B" w14:textId="1489C167" w:rsidR="008823D1" w:rsidRDefault="008823D1" w:rsidP="008823D1">
      <w:pPr>
        <w:rPr>
          <w:lang w:eastAsia="ja-JP"/>
        </w:rPr>
      </w:pPr>
      <w:r>
        <w:rPr>
          <w:lang w:eastAsia="ja-JP"/>
        </w:rPr>
        <w:t xml:space="preserve">Trade in agricultural commodities depends on the existence of agreements between importing and exporting countries on technical market access conditions which relate to biosecurity and food safety. Keeping technical market access and negotiating new or </w:t>
      </w:r>
      <w:r>
        <w:rPr>
          <w:lang w:eastAsia="ja-JP"/>
        </w:rPr>
        <w:lastRenderedPageBreak/>
        <w:t>improved access conditions is increasingly complex and challenging. Other exporting countries are becoming more competitive in some key markets</w:t>
      </w:r>
      <w:r w:rsidR="006E342D">
        <w:rPr>
          <w:lang w:eastAsia="ja-JP"/>
        </w:rPr>
        <w:t>,</w:t>
      </w:r>
      <w:r>
        <w:rPr>
          <w:lang w:eastAsia="ja-JP"/>
        </w:rPr>
        <w:t xml:space="preserve"> and many importing countries are developing more sophisticated requirements to be met by exporters and certified by the Australian Government. </w:t>
      </w:r>
      <w:r w:rsidR="00BF5E36">
        <w:rPr>
          <w:lang w:eastAsia="ja-JP"/>
        </w:rPr>
        <w:t xml:space="preserve">Some markets will request </w:t>
      </w:r>
      <w:r w:rsidR="00DF06E8">
        <w:rPr>
          <w:lang w:eastAsia="ja-JP"/>
        </w:rPr>
        <w:t xml:space="preserve">that </w:t>
      </w:r>
      <w:r>
        <w:rPr>
          <w:lang w:eastAsia="ja-JP"/>
        </w:rPr>
        <w:t>Australia provide scientific evidence of pest freedom, as we do of them.</w:t>
      </w:r>
    </w:p>
    <w:p w14:paraId="4AA35D56" w14:textId="78087E3C" w:rsidR="008823D1" w:rsidRDefault="00A7121B" w:rsidP="008823D1">
      <w:pPr>
        <w:rPr>
          <w:lang w:eastAsia="ja-JP"/>
        </w:rPr>
      </w:pPr>
      <w:r w:rsidRPr="00920E20">
        <w:rPr>
          <w:lang w:eastAsia="ja-JP"/>
        </w:rPr>
        <w:t xml:space="preserve">Some trading partners have sought access to our market for certain commodities in return for access to their market—reciprocity. </w:t>
      </w:r>
      <w:r w:rsidR="00657434" w:rsidRPr="00920E20">
        <w:rPr>
          <w:lang w:eastAsia="ja-JP"/>
        </w:rPr>
        <w:t>Australia conducts agricultural commodity import assessments in accordance with our international obligatio</w:t>
      </w:r>
      <w:r w:rsidR="00B5082B" w:rsidRPr="00920E20">
        <w:rPr>
          <w:lang w:eastAsia="ja-JP"/>
        </w:rPr>
        <w:t xml:space="preserve">ns, primarily the </w:t>
      </w:r>
      <w:r w:rsidR="00DF06E8">
        <w:rPr>
          <w:lang w:eastAsia="ja-JP"/>
        </w:rPr>
        <w:t>Agreement on the Application of Sanitary and Phytosanitary Measures (</w:t>
      </w:r>
      <w:r w:rsidR="00B5082B" w:rsidRPr="00920E20">
        <w:rPr>
          <w:lang w:eastAsia="ja-JP"/>
        </w:rPr>
        <w:t>SPS Agreement</w:t>
      </w:r>
      <w:r w:rsidR="00DF06E8">
        <w:rPr>
          <w:lang w:eastAsia="ja-JP"/>
        </w:rPr>
        <w:t>)</w:t>
      </w:r>
      <w:r w:rsidR="00657434" w:rsidRPr="00920E20">
        <w:rPr>
          <w:lang w:eastAsia="ja-JP"/>
        </w:rPr>
        <w:t xml:space="preserve">. </w:t>
      </w:r>
      <w:r w:rsidR="00454A04" w:rsidRPr="00920E20">
        <w:rPr>
          <w:lang w:eastAsia="ja-JP"/>
        </w:rPr>
        <w:t>While discussion may occur on the level of resourcing and priority that can be applied to assessing other countries’ requests for market access, d</w:t>
      </w:r>
      <w:r w:rsidR="008823D1" w:rsidRPr="00920E20">
        <w:rPr>
          <w:lang w:eastAsia="ja-JP"/>
        </w:rPr>
        <w:t xml:space="preserve">ecisions around access to the Australian market </w:t>
      </w:r>
      <w:r w:rsidR="00454A04" w:rsidRPr="00920E20">
        <w:rPr>
          <w:lang w:eastAsia="ja-JP"/>
        </w:rPr>
        <w:t xml:space="preserve">and </w:t>
      </w:r>
      <w:r w:rsidR="00B5082B" w:rsidRPr="00920E20">
        <w:rPr>
          <w:lang w:eastAsia="ja-JP"/>
        </w:rPr>
        <w:t xml:space="preserve">our </w:t>
      </w:r>
      <w:r w:rsidR="00454A04" w:rsidRPr="00920E20">
        <w:rPr>
          <w:lang w:eastAsia="ja-JP"/>
        </w:rPr>
        <w:t xml:space="preserve">biosecurity measures are based solely on </w:t>
      </w:r>
      <w:r w:rsidR="00B5082B" w:rsidRPr="00920E20">
        <w:rPr>
          <w:lang w:eastAsia="ja-JP"/>
        </w:rPr>
        <w:t>achieving</w:t>
      </w:r>
      <w:r w:rsidR="00454A04" w:rsidRPr="00920E20">
        <w:rPr>
          <w:lang w:eastAsia="ja-JP"/>
        </w:rPr>
        <w:t xml:space="preserve"> </w:t>
      </w:r>
      <w:r w:rsidR="008823D1" w:rsidRPr="00920E20">
        <w:rPr>
          <w:lang w:eastAsia="ja-JP"/>
        </w:rPr>
        <w:t>Australia’s A</w:t>
      </w:r>
      <w:r w:rsidR="00DF06E8">
        <w:rPr>
          <w:lang w:eastAsia="ja-JP"/>
        </w:rPr>
        <w:t xml:space="preserve">ppropriate </w:t>
      </w:r>
      <w:r w:rsidR="008823D1" w:rsidRPr="00920E20">
        <w:rPr>
          <w:lang w:eastAsia="ja-JP"/>
        </w:rPr>
        <w:t>L</w:t>
      </w:r>
      <w:r w:rsidR="00DF06E8">
        <w:rPr>
          <w:lang w:eastAsia="ja-JP"/>
        </w:rPr>
        <w:t>evel of Protection (AL</w:t>
      </w:r>
      <w:r w:rsidR="008823D1" w:rsidRPr="00920E20">
        <w:rPr>
          <w:lang w:eastAsia="ja-JP"/>
        </w:rPr>
        <w:t>OP</w:t>
      </w:r>
      <w:r w:rsidR="00DF06E8">
        <w:rPr>
          <w:lang w:eastAsia="ja-JP"/>
        </w:rPr>
        <w:t>)</w:t>
      </w:r>
      <w:r w:rsidR="008823D1" w:rsidRPr="00920E20">
        <w:rPr>
          <w:lang w:eastAsia="ja-JP"/>
        </w:rPr>
        <w:t xml:space="preserve">. </w:t>
      </w:r>
      <w:r w:rsidR="00B5082B" w:rsidRPr="00920E20">
        <w:rPr>
          <w:lang w:eastAsia="ja-JP"/>
        </w:rPr>
        <w:t xml:space="preserve">Our </w:t>
      </w:r>
      <w:r w:rsidR="008823D1" w:rsidRPr="00920E20">
        <w:rPr>
          <w:lang w:eastAsia="ja-JP"/>
        </w:rPr>
        <w:t xml:space="preserve">import policies are an essential element of maintaining </w:t>
      </w:r>
      <w:r w:rsidR="00B5082B" w:rsidRPr="00920E20">
        <w:rPr>
          <w:lang w:eastAsia="ja-JP"/>
        </w:rPr>
        <w:t>a</w:t>
      </w:r>
      <w:r w:rsidR="008823D1" w:rsidRPr="00920E20">
        <w:rPr>
          <w:lang w:eastAsia="ja-JP"/>
        </w:rPr>
        <w:t xml:space="preserve"> favourable animal and plant pest </w:t>
      </w:r>
      <w:r w:rsidR="00EA279D" w:rsidRPr="00920E20">
        <w:rPr>
          <w:lang w:eastAsia="ja-JP"/>
        </w:rPr>
        <w:t xml:space="preserve">and </w:t>
      </w:r>
      <w:r w:rsidR="008823D1" w:rsidRPr="00920E20">
        <w:rPr>
          <w:lang w:eastAsia="ja-JP"/>
        </w:rPr>
        <w:t>disease status.</w:t>
      </w:r>
    </w:p>
    <w:p w14:paraId="78409B5C" w14:textId="71950084" w:rsidR="008823D1" w:rsidRDefault="008823D1" w:rsidP="008823D1">
      <w:pPr>
        <w:rPr>
          <w:lang w:eastAsia="ja-JP"/>
        </w:rPr>
      </w:pPr>
      <w:r>
        <w:rPr>
          <w:lang w:eastAsia="ja-JP"/>
        </w:rPr>
        <w:t>Stakeholders expressed a range of views during th</w:t>
      </w:r>
      <w:r w:rsidR="00066033">
        <w:rPr>
          <w:lang w:eastAsia="ja-JP"/>
        </w:rPr>
        <w:t>is</w:t>
      </w:r>
      <w:r>
        <w:rPr>
          <w:lang w:eastAsia="ja-JP"/>
        </w:rPr>
        <w:t xml:space="preserve"> </w:t>
      </w:r>
      <w:r w:rsidR="00DF06E8">
        <w:rPr>
          <w:lang w:eastAsia="ja-JP"/>
        </w:rPr>
        <w:t>r</w:t>
      </w:r>
      <w:r>
        <w:rPr>
          <w:lang w:eastAsia="ja-JP"/>
        </w:rPr>
        <w:t xml:space="preserve">eview on the priority that market access considerations should be given in the national biosecurity system. </w:t>
      </w:r>
      <w:r w:rsidR="00782AB4">
        <w:rPr>
          <w:lang w:eastAsia="ja-JP"/>
        </w:rPr>
        <w:t>These</w:t>
      </w:r>
      <w:r>
        <w:rPr>
          <w:lang w:eastAsia="ja-JP"/>
        </w:rPr>
        <w:t xml:space="preserve"> can be summarised as</w:t>
      </w:r>
      <w:r w:rsidR="00DF06E8">
        <w:rPr>
          <w:lang w:eastAsia="ja-JP"/>
        </w:rPr>
        <w:t xml:space="preserve"> follows</w:t>
      </w:r>
      <w:r>
        <w:rPr>
          <w:lang w:eastAsia="ja-JP"/>
        </w:rPr>
        <w:t>:</w:t>
      </w:r>
    </w:p>
    <w:p w14:paraId="61950092" w14:textId="15137427" w:rsidR="008823D1" w:rsidRDefault="008823D1" w:rsidP="008823D1">
      <w:pPr>
        <w:pStyle w:val="ListBullet"/>
        <w:rPr>
          <w:lang w:eastAsia="ja-JP"/>
        </w:rPr>
      </w:pPr>
      <w:r>
        <w:rPr>
          <w:lang w:eastAsia="ja-JP"/>
        </w:rPr>
        <w:t>Market access is the reason for investing i</w:t>
      </w:r>
      <w:r w:rsidR="00CC6921">
        <w:rPr>
          <w:lang w:eastAsia="ja-JP"/>
        </w:rPr>
        <w:t>n a national biosecurity system:</w:t>
      </w:r>
      <w:r>
        <w:rPr>
          <w:lang w:eastAsia="ja-JP"/>
        </w:rPr>
        <w:t xml:space="preserve"> </w:t>
      </w:r>
      <w:r w:rsidR="00CC6921">
        <w:rPr>
          <w:lang w:eastAsia="ja-JP"/>
        </w:rPr>
        <w:t>‘</w:t>
      </w:r>
      <w:r>
        <w:rPr>
          <w:lang w:eastAsia="ja-JP"/>
        </w:rPr>
        <w:t>if you don’t have a good biosecurity system you can’t trade</w:t>
      </w:r>
      <w:r w:rsidR="00CC6921">
        <w:rPr>
          <w:lang w:eastAsia="ja-JP"/>
        </w:rPr>
        <w:t>’</w:t>
      </w:r>
      <w:r>
        <w:rPr>
          <w:lang w:eastAsia="ja-JP"/>
        </w:rPr>
        <w:t xml:space="preserve"> (key driver)</w:t>
      </w:r>
      <w:r w:rsidR="00DF06E8">
        <w:rPr>
          <w:lang w:eastAsia="ja-JP"/>
        </w:rPr>
        <w:t>.</w:t>
      </w:r>
    </w:p>
    <w:p w14:paraId="2C43CD76" w14:textId="265BAC20" w:rsidR="008823D1" w:rsidRDefault="008823D1" w:rsidP="008823D1">
      <w:pPr>
        <w:pStyle w:val="ListBullet"/>
        <w:rPr>
          <w:lang w:eastAsia="ja-JP"/>
        </w:rPr>
      </w:pPr>
      <w:r>
        <w:rPr>
          <w:lang w:eastAsia="ja-JP"/>
        </w:rPr>
        <w:t>Australia’s biosecurity system underpins international market access for Australia’s agriculture exports (key beneficiary)</w:t>
      </w:r>
      <w:r w:rsidR="00DF06E8">
        <w:rPr>
          <w:lang w:eastAsia="ja-JP"/>
        </w:rPr>
        <w:t>.</w:t>
      </w:r>
    </w:p>
    <w:p w14:paraId="402DFB56" w14:textId="7D605433" w:rsidR="008823D1" w:rsidRDefault="008823D1" w:rsidP="008823D1">
      <w:pPr>
        <w:pStyle w:val="ListBullet"/>
        <w:rPr>
          <w:lang w:eastAsia="ja-JP"/>
        </w:rPr>
      </w:pPr>
      <w:r>
        <w:rPr>
          <w:lang w:eastAsia="ja-JP"/>
        </w:rPr>
        <w:t>Market access is only one of the arguments for a strong national biosecurity system</w:t>
      </w:r>
      <w:r w:rsidR="00202C10">
        <w:rPr>
          <w:lang w:eastAsia="ja-JP"/>
        </w:rPr>
        <w:t>—</w:t>
      </w:r>
      <w:r>
        <w:rPr>
          <w:lang w:eastAsia="ja-JP"/>
        </w:rPr>
        <w:t>environmental</w:t>
      </w:r>
      <w:r w:rsidR="00664384">
        <w:rPr>
          <w:lang w:eastAsia="ja-JP"/>
        </w:rPr>
        <w:t>, human health</w:t>
      </w:r>
      <w:r>
        <w:rPr>
          <w:lang w:eastAsia="ja-JP"/>
        </w:rPr>
        <w:t xml:space="preserve"> and social amenity outcomes are also key (joint drivers and beneficiaries).</w:t>
      </w:r>
    </w:p>
    <w:p w14:paraId="0046D71F" w14:textId="319A7428" w:rsidR="000A2F44" w:rsidRPr="000A2F44" w:rsidRDefault="00E46700" w:rsidP="000A2F44">
      <w:pPr>
        <w:rPr>
          <w:lang w:eastAsia="ja-JP"/>
        </w:rPr>
      </w:pPr>
      <w:r w:rsidRPr="00E46700">
        <w:rPr>
          <w:lang w:eastAsia="ja-JP"/>
        </w:rPr>
        <w:t xml:space="preserve">Our clean, green image </w:t>
      </w:r>
      <w:r w:rsidR="002C41C4">
        <w:rPr>
          <w:lang w:eastAsia="ja-JP"/>
        </w:rPr>
        <w:t>also</w:t>
      </w:r>
      <w:r w:rsidR="002C41C4" w:rsidRPr="00E46700">
        <w:rPr>
          <w:lang w:eastAsia="ja-JP"/>
        </w:rPr>
        <w:t xml:space="preserve"> </w:t>
      </w:r>
      <w:r w:rsidRPr="00E46700">
        <w:rPr>
          <w:lang w:eastAsia="ja-JP"/>
        </w:rPr>
        <w:t>underpins our valuable tourism industry</w:t>
      </w:r>
      <w:r w:rsidR="004A0955">
        <w:rPr>
          <w:lang w:eastAsia="ja-JP"/>
        </w:rPr>
        <w:t>,</w:t>
      </w:r>
      <w:r w:rsidRPr="00E46700">
        <w:rPr>
          <w:lang w:eastAsia="ja-JP"/>
        </w:rPr>
        <w:t xml:space="preserve"> much of which is dependent upon utilising the natural beauty and biodiversity of the distinctly Australian environment. In 2015–16, the industry’s direct contribution to Australia’s GDP was around $53</w:t>
      </w:r>
      <w:r w:rsidR="004A0955">
        <w:rPr>
          <w:lang w:eastAsia="ja-JP"/>
        </w:rPr>
        <w:t> </w:t>
      </w:r>
      <w:r w:rsidRPr="00E46700">
        <w:rPr>
          <w:lang w:eastAsia="ja-JP"/>
        </w:rPr>
        <w:t xml:space="preserve">billion, with international visitors to </w:t>
      </w:r>
      <w:r w:rsidR="008B679E">
        <w:rPr>
          <w:lang w:eastAsia="ja-JP"/>
        </w:rPr>
        <w:t>Australia spending around $38.1 </w:t>
      </w:r>
      <w:r w:rsidRPr="00E46700">
        <w:rPr>
          <w:lang w:eastAsia="ja-JP"/>
        </w:rPr>
        <w:t>billion (</w:t>
      </w:r>
      <w:hyperlink w:anchor="TRA_2017" w:history="1">
        <w:r w:rsidRPr="00E46700">
          <w:rPr>
            <w:rStyle w:val="Hyperlink"/>
            <w:lang w:eastAsia="ja-JP"/>
          </w:rPr>
          <w:t>TRA 2017</w:t>
        </w:r>
      </w:hyperlink>
      <w:r>
        <w:rPr>
          <w:lang w:eastAsia="ja-JP"/>
        </w:rPr>
        <w:t>)</w:t>
      </w:r>
      <w:r w:rsidR="008823D1" w:rsidRPr="0035075A">
        <w:rPr>
          <w:lang w:eastAsia="ja-JP"/>
        </w:rPr>
        <w:t>. Nature</w:t>
      </w:r>
      <w:r w:rsidR="008823D1">
        <w:rPr>
          <w:lang w:eastAsia="ja-JP"/>
        </w:rPr>
        <w:t>-based tourism forms a significant component of</w:t>
      </w:r>
      <w:r w:rsidR="00DF06E8">
        <w:rPr>
          <w:lang w:eastAsia="ja-JP"/>
        </w:rPr>
        <w:t xml:space="preserve"> Australia’</w:t>
      </w:r>
      <w:r w:rsidR="008823D1">
        <w:rPr>
          <w:lang w:eastAsia="ja-JP"/>
        </w:rPr>
        <w:t xml:space="preserve">s visitor </w:t>
      </w:r>
      <w:r w:rsidR="008823D1" w:rsidRPr="000A7FA9">
        <w:rPr>
          <w:lang w:eastAsia="ja-JP"/>
        </w:rPr>
        <w:t>economy</w:t>
      </w:r>
      <w:r w:rsidR="001028F8" w:rsidRPr="000A7FA9">
        <w:rPr>
          <w:lang w:eastAsia="ja-JP"/>
        </w:rPr>
        <w:t>.</w:t>
      </w:r>
      <w:r w:rsidR="00066033" w:rsidRPr="000A7FA9">
        <w:rPr>
          <w:lang w:eastAsia="ja-JP"/>
        </w:rPr>
        <w:t xml:space="preserve"> </w:t>
      </w:r>
      <w:r w:rsidR="001028F8" w:rsidRPr="000A7FA9">
        <w:rPr>
          <w:lang w:eastAsia="ja-JP"/>
        </w:rPr>
        <w:t>F</w:t>
      </w:r>
      <w:r w:rsidR="00066033" w:rsidRPr="000A7FA9">
        <w:rPr>
          <w:lang w:eastAsia="ja-JP"/>
        </w:rPr>
        <w:t>or example</w:t>
      </w:r>
      <w:r w:rsidR="008823D1" w:rsidRPr="000A7FA9">
        <w:rPr>
          <w:lang w:eastAsia="ja-JP"/>
        </w:rPr>
        <w:t xml:space="preserve">, </w:t>
      </w:r>
      <w:r w:rsidR="00867692" w:rsidRPr="0066696A">
        <w:rPr>
          <w:lang w:eastAsia="ja-JP"/>
        </w:rPr>
        <w:t>Tourism Australia’s</w:t>
      </w:r>
      <w:r w:rsidR="00867692" w:rsidRPr="000A7FA9">
        <w:rPr>
          <w:lang w:eastAsia="ja-JP"/>
        </w:rPr>
        <w:t xml:space="preserve"> </w:t>
      </w:r>
      <w:hyperlink r:id="rId30" w:history="1">
        <w:r w:rsidR="0066696A" w:rsidRPr="0066696A">
          <w:rPr>
            <w:rStyle w:val="Hyperlink"/>
            <w:lang w:eastAsia="ja-JP"/>
          </w:rPr>
          <w:t>nature-based tourism</w:t>
        </w:r>
      </w:hyperlink>
      <w:r w:rsidR="0066696A">
        <w:rPr>
          <w:lang w:eastAsia="ja-JP"/>
        </w:rPr>
        <w:t xml:space="preserve"> </w:t>
      </w:r>
      <w:r w:rsidR="00867692" w:rsidRPr="002A3424">
        <w:rPr>
          <w:lang w:eastAsia="ja-JP"/>
        </w:rPr>
        <w:t>website</w:t>
      </w:r>
      <w:r w:rsidR="00867692" w:rsidRPr="000A7FA9">
        <w:rPr>
          <w:lang w:eastAsia="ja-JP"/>
        </w:rPr>
        <w:t xml:space="preserve"> notes that, </w:t>
      </w:r>
      <w:r w:rsidR="001028F8" w:rsidRPr="000A7FA9">
        <w:rPr>
          <w:lang w:eastAsia="ja-JP"/>
        </w:rPr>
        <w:t xml:space="preserve">in the year ending June 2016, </w:t>
      </w:r>
      <w:r w:rsidR="008823D1" w:rsidRPr="000A7FA9">
        <w:rPr>
          <w:lang w:eastAsia="ja-JP"/>
        </w:rPr>
        <w:t>68</w:t>
      </w:r>
      <w:r w:rsidR="000A7FA9" w:rsidRPr="000A7FA9">
        <w:rPr>
          <w:lang w:eastAsia="ja-JP"/>
        </w:rPr>
        <w:t> </w:t>
      </w:r>
      <w:r w:rsidR="00A8440A">
        <w:rPr>
          <w:lang w:eastAsia="ja-JP"/>
        </w:rPr>
        <w:t>per </w:t>
      </w:r>
      <w:r w:rsidR="008823D1" w:rsidRPr="000A7FA9">
        <w:rPr>
          <w:lang w:eastAsia="ja-JP"/>
        </w:rPr>
        <w:t>cent of international visitors engaged in som</w:t>
      </w:r>
      <w:r w:rsidR="0035075A" w:rsidRPr="000A7FA9">
        <w:rPr>
          <w:lang w:eastAsia="ja-JP"/>
        </w:rPr>
        <w:t>e form of nature-based activity</w:t>
      </w:r>
      <w:r w:rsidR="008823D1" w:rsidRPr="000A7FA9">
        <w:rPr>
          <w:lang w:eastAsia="ja-JP"/>
        </w:rPr>
        <w:t xml:space="preserve">. </w:t>
      </w:r>
      <w:r w:rsidR="000A2F44" w:rsidRPr="000A2F44">
        <w:rPr>
          <w:lang w:eastAsia="ja-JP"/>
        </w:rPr>
        <w:t>The Queensland Tourism Industry Council highlighted the significant negative consequences that biosecurity incidents can have on Australia’s tourism industry</w:t>
      </w:r>
      <w:r w:rsidR="00A550EC">
        <w:rPr>
          <w:lang w:eastAsia="ja-JP"/>
        </w:rPr>
        <w:t>:</w:t>
      </w:r>
    </w:p>
    <w:p w14:paraId="62E05C47" w14:textId="3F0A7F88" w:rsidR="008823D1" w:rsidRDefault="008823D1" w:rsidP="008823D1">
      <w:pPr>
        <w:pStyle w:val="Quote"/>
        <w:rPr>
          <w:lang w:eastAsia="ja-JP"/>
        </w:rPr>
      </w:pPr>
      <w:r>
        <w:rPr>
          <w:lang w:eastAsia="ja-JP"/>
        </w:rPr>
        <w:lastRenderedPageBreak/>
        <w:t>The integrate</w:t>
      </w:r>
      <w:r w:rsidR="00CA30D5">
        <w:rPr>
          <w:lang w:eastAsia="ja-JP"/>
        </w:rPr>
        <w:t>d</w:t>
      </w:r>
      <w:r>
        <w:rPr>
          <w:lang w:eastAsia="ja-JP"/>
        </w:rPr>
        <w:t xml:space="preserve"> nature of the visitor economy, across many sectors and sensitive to various global and local economic forces, m</w:t>
      </w:r>
      <w:r w:rsidR="00A9051C">
        <w:rPr>
          <w:lang w:eastAsia="ja-JP"/>
        </w:rPr>
        <w:t>e</w:t>
      </w:r>
      <w:r>
        <w:rPr>
          <w:lang w:eastAsia="ja-JP"/>
        </w:rPr>
        <w:t>ans that any risk or impact on other sectors, including agriculture, can have flow</w:t>
      </w:r>
      <w:r w:rsidR="00A9051C">
        <w:rPr>
          <w:lang w:eastAsia="ja-JP"/>
        </w:rPr>
        <w:t>-</w:t>
      </w:r>
      <w:r>
        <w:rPr>
          <w:lang w:eastAsia="ja-JP"/>
        </w:rPr>
        <w:t>on impact</w:t>
      </w:r>
      <w:r w:rsidR="00F211D8">
        <w:rPr>
          <w:lang w:eastAsia="ja-JP"/>
        </w:rPr>
        <w:t>s</w:t>
      </w:r>
      <w:r w:rsidR="00A9051C">
        <w:rPr>
          <w:lang w:eastAsia="ja-JP"/>
        </w:rPr>
        <w:t xml:space="preserve"> to the success of</w:t>
      </w:r>
      <w:r w:rsidR="00F211D8">
        <w:rPr>
          <w:lang w:eastAsia="ja-JP"/>
        </w:rPr>
        <w:t xml:space="preserve"> </w:t>
      </w:r>
      <w:r>
        <w:rPr>
          <w:lang w:eastAsia="ja-JP"/>
        </w:rPr>
        <w:t>the tourism industry (Q</w:t>
      </w:r>
      <w:r w:rsidR="00066033">
        <w:rPr>
          <w:lang w:eastAsia="ja-JP"/>
        </w:rPr>
        <w:t xml:space="preserve">ueensland </w:t>
      </w:r>
      <w:r>
        <w:rPr>
          <w:lang w:eastAsia="ja-JP"/>
        </w:rPr>
        <w:t>T</w:t>
      </w:r>
      <w:r w:rsidR="00066033">
        <w:rPr>
          <w:lang w:eastAsia="ja-JP"/>
        </w:rPr>
        <w:t xml:space="preserve">ourism </w:t>
      </w:r>
      <w:r>
        <w:rPr>
          <w:lang w:eastAsia="ja-JP"/>
        </w:rPr>
        <w:t>I</w:t>
      </w:r>
      <w:r w:rsidR="00066033">
        <w:rPr>
          <w:lang w:eastAsia="ja-JP"/>
        </w:rPr>
        <w:t xml:space="preserve">ndustry </w:t>
      </w:r>
      <w:r>
        <w:rPr>
          <w:lang w:eastAsia="ja-JP"/>
        </w:rPr>
        <w:t>C</w:t>
      </w:r>
      <w:r w:rsidR="00066033">
        <w:rPr>
          <w:lang w:eastAsia="ja-JP"/>
        </w:rPr>
        <w:t>ouncil</w:t>
      </w:r>
      <w:r w:rsidR="0014029A">
        <w:rPr>
          <w:lang w:eastAsia="ja-JP"/>
        </w:rPr>
        <w:t xml:space="preserve"> </w:t>
      </w:r>
      <w:r w:rsidR="00410C6A" w:rsidRPr="001710D3">
        <w:rPr>
          <w:lang w:eastAsia="ja-JP"/>
        </w:rPr>
        <w:t>sub</w:t>
      </w:r>
      <w:r w:rsidR="00D064B1" w:rsidRPr="001710D3">
        <w:rPr>
          <w:lang w:eastAsia="ja-JP"/>
        </w:rPr>
        <w:t>. DP57</w:t>
      </w:r>
      <w:r w:rsidRPr="00D23E20">
        <w:rPr>
          <w:lang w:eastAsia="ja-JP"/>
        </w:rPr>
        <w:t>)</w:t>
      </w:r>
    </w:p>
    <w:p w14:paraId="54410AE6" w14:textId="5120B62D" w:rsidR="008823D1" w:rsidRDefault="0066696A" w:rsidP="008823D1">
      <w:pPr>
        <w:rPr>
          <w:lang w:eastAsia="ja-JP"/>
        </w:rPr>
      </w:pPr>
      <w:r>
        <w:rPr>
          <w:lang w:eastAsia="ja-JP"/>
        </w:rPr>
        <w:t>For example, t</w:t>
      </w:r>
      <w:r w:rsidR="008823D1">
        <w:rPr>
          <w:lang w:eastAsia="ja-JP"/>
        </w:rPr>
        <w:t xml:space="preserve">he </w:t>
      </w:r>
      <w:r w:rsidR="000A1A1B">
        <w:rPr>
          <w:lang w:eastAsia="ja-JP"/>
        </w:rPr>
        <w:t>2003</w:t>
      </w:r>
      <w:r w:rsidR="005065B1">
        <w:rPr>
          <w:lang w:eastAsia="ja-JP"/>
        </w:rPr>
        <w:t xml:space="preserve"> </w:t>
      </w:r>
      <w:r w:rsidR="000A1A1B">
        <w:rPr>
          <w:lang w:eastAsia="ja-JP"/>
        </w:rPr>
        <w:t xml:space="preserve">global outbreak of </w:t>
      </w:r>
      <w:r w:rsidR="008823D1">
        <w:rPr>
          <w:lang w:eastAsia="ja-JP"/>
        </w:rPr>
        <w:t>S</w:t>
      </w:r>
      <w:r w:rsidR="008D08CD">
        <w:rPr>
          <w:lang w:eastAsia="ja-JP"/>
        </w:rPr>
        <w:t xml:space="preserve">evere </w:t>
      </w:r>
      <w:r w:rsidR="008823D1">
        <w:rPr>
          <w:lang w:eastAsia="ja-JP"/>
        </w:rPr>
        <w:t>A</w:t>
      </w:r>
      <w:r w:rsidR="008D08CD">
        <w:rPr>
          <w:lang w:eastAsia="ja-JP"/>
        </w:rPr>
        <w:t xml:space="preserve">cute </w:t>
      </w:r>
      <w:r w:rsidR="008823D1">
        <w:rPr>
          <w:lang w:eastAsia="ja-JP"/>
        </w:rPr>
        <w:t>R</w:t>
      </w:r>
      <w:r w:rsidR="008D08CD">
        <w:rPr>
          <w:lang w:eastAsia="ja-JP"/>
        </w:rPr>
        <w:t xml:space="preserve">espiratory </w:t>
      </w:r>
      <w:r w:rsidR="008823D1">
        <w:rPr>
          <w:lang w:eastAsia="ja-JP"/>
        </w:rPr>
        <w:t>S</w:t>
      </w:r>
      <w:r w:rsidR="008D08CD">
        <w:rPr>
          <w:lang w:eastAsia="ja-JP"/>
        </w:rPr>
        <w:t>yndrome (SARS)</w:t>
      </w:r>
      <w:r w:rsidR="008823D1">
        <w:rPr>
          <w:lang w:eastAsia="ja-JP"/>
        </w:rPr>
        <w:t xml:space="preserve"> resulted in the annual growth of Australia’s direct tourism GDP falling from 3.9</w:t>
      </w:r>
      <w:r w:rsidR="00741B65">
        <w:rPr>
          <w:lang w:eastAsia="ja-JP"/>
        </w:rPr>
        <w:t> per cent in 2002–03 to 0.3 </w:t>
      </w:r>
      <w:r w:rsidR="008823D1">
        <w:rPr>
          <w:lang w:eastAsia="ja-JP"/>
        </w:rPr>
        <w:t>per</w:t>
      </w:r>
      <w:r w:rsidR="00741B65">
        <w:rPr>
          <w:lang w:eastAsia="ja-JP"/>
        </w:rPr>
        <w:t> </w:t>
      </w:r>
      <w:r w:rsidR="008823D1">
        <w:rPr>
          <w:lang w:eastAsia="ja-JP"/>
        </w:rPr>
        <w:t>cent in 2003–04 (</w:t>
      </w:r>
      <w:hyperlink w:anchor="TRA_2016a" w:history="1">
        <w:r w:rsidR="001151FF" w:rsidRPr="00372466">
          <w:rPr>
            <w:rStyle w:val="Hyperlink"/>
            <w:lang w:eastAsia="ja-JP"/>
          </w:rPr>
          <w:t>TRA 2016a</w:t>
        </w:r>
      </w:hyperlink>
      <w:r w:rsidR="008823D1" w:rsidRPr="0035075A">
        <w:rPr>
          <w:lang w:eastAsia="ja-JP"/>
        </w:rPr>
        <w:t>). Internationally, tourism</w:t>
      </w:r>
      <w:r w:rsidR="005024D8">
        <w:rPr>
          <w:lang w:eastAsia="ja-JP"/>
        </w:rPr>
        <w:t xml:space="preserve"> in the United Kingdom </w:t>
      </w:r>
      <w:r w:rsidR="008823D1" w:rsidRPr="0035075A">
        <w:rPr>
          <w:lang w:eastAsia="ja-JP"/>
        </w:rPr>
        <w:t xml:space="preserve">suffered </w:t>
      </w:r>
      <w:r w:rsidR="005024D8">
        <w:rPr>
          <w:lang w:eastAsia="ja-JP"/>
        </w:rPr>
        <w:t>its</w:t>
      </w:r>
      <w:r w:rsidR="008823D1" w:rsidRPr="0035075A">
        <w:rPr>
          <w:lang w:eastAsia="ja-JP"/>
        </w:rPr>
        <w:t xml:space="preserve"> largest financial impact from the 2001 foot</w:t>
      </w:r>
      <w:r w:rsidR="00142B0F" w:rsidRPr="0035075A">
        <w:rPr>
          <w:lang w:eastAsia="ja-JP"/>
        </w:rPr>
        <w:t>-</w:t>
      </w:r>
      <w:r w:rsidR="008823D1" w:rsidRPr="0035075A">
        <w:rPr>
          <w:lang w:eastAsia="ja-JP"/>
        </w:rPr>
        <w:t>and</w:t>
      </w:r>
      <w:r w:rsidR="00142B0F" w:rsidRPr="0035075A">
        <w:rPr>
          <w:lang w:eastAsia="ja-JP"/>
        </w:rPr>
        <w:t>-</w:t>
      </w:r>
      <w:r w:rsidR="008823D1" w:rsidRPr="0035075A">
        <w:rPr>
          <w:lang w:eastAsia="ja-JP"/>
        </w:rPr>
        <w:t xml:space="preserve">mouth disease </w:t>
      </w:r>
      <w:r w:rsidR="005024D8">
        <w:rPr>
          <w:lang w:eastAsia="ja-JP"/>
        </w:rPr>
        <w:t>outbreak,</w:t>
      </w:r>
      <w:r w:rsidR="008823D1" w:rsidRPr="0035075A">
        <w:rPr>
          <w:lang w:eastAsia="ja-JP"/>
        </w:rPr>
        <w:t xml:space="preserve"> estimated to </w:t>
      </w:r>
      <w:r w:rsidR="00741B65">
        <w:rPr>
          <w:lang w:eastAsia="ja-JP"/>
        </w:rPr>
        <w:t>have been between £4.5 and £5.4 </w:t>
      </w:r>
      <w:r w:rsidR="008823D1" w:rsidRPr="0035075A">
        <w:rPr>
          <w:lang w:eastAsia="ja-JP"/>
        </w:rPr>
        <w:t>billion</w:t>
      </w:r>
      <w:r w:rsidR="005024D8">
        <w:rPr>
          <w:lang w:eastAsia="ja-JP"/>
        </w:rPr>
        <w:t>. The total direct costs to the public and private sectors across the UK economy from the outbreak were estimated at over £8.0 billion</w:t>
      </w:r>
      <w:r w:rsidR="005024D8" w:rsidRPr="0035075A">
        <w:rPr>
          <w:lang w:eastAsia="ja-JP"/>
        </w:rPr>
        <w:t xml:space="preserve"> </w:t>
      </w:r>
      <w:r w:rsidR="008823D1" w:rsidRPr="0035075A">
        <w:rPr>
          <w:lang w:eastAsia="ja-JP"/>
        </w:rPr>
        <w:t>(</w:t>
      </w:r>
      <w:hyperlink w:anchor="UK_NAO_2002" w:history="1">
        <w:r w:rsidR="008823D1" w:rsidRPr="00372466">
          <w:rPr>
            <w:rStyle w:val="Hyperlink"/>
            <w:lang w:eastAsia="ja-JP"/>
          </w:rPr>
          <w:t xml:space="preserve">UK </w:t>
        </w:r>
        <w:r w:rsidR="001151FF" w:rsidRPr="00372466">
          <w:rPr>
            <w:rStyle w:val="Hyperlink"/>
            <w:lang w:eastAsia="ja-JP"/>
          </w:rPr>
          <w:t>NAO</w:t>
        </w:r>
        <w:r w:rsidR="008823D1" w:rsidRPr="00372466">
          <w:rPr>
            <w:rStyle w:val="Hyperlink"/>
            <w:lang w:eastAsia="ja-JP"/>
          </w:rPr>
          <w:t xml:space="preserve"> 2002</w:t>
        </w:r>
      </w:hyperlink>
      <w:r w:rsidR="008823D1" w:rsidRPr="0035075A">
        <w:rPr>
          <w:lang w:eastAsia="ja-JP"/>
        </w:rPr>
        <w:t>).</w:t>
      </w:r>
    </w:p>
    <w:p w14:paraId="25463E87" w14:textId="589D1EFF" w:rsidR="00A1206C" w:rsidRDefault="00A1206C" w:rsidP="00A1206C">
      <w:pPr>
        <w:pStyle w:val="Heading3"/>
        <w:rPr>
          <w:lang w:eastAsia="ja-JP"/>
        </w:rPr>
      </w:pPr>
      <w:bookmarkStart w:id="47" w:name="_Toc486236035"/>
      <w:r>
        <w:rPr>
          <w:lang w:eastAsia="ja-JP"/>
        </w:rPr>
        <w:t>Int</w:t>
      </w:r>
      <w:r w:rsidR="00261B74">
        <w:rPr>
          <w:lang w:eastAsia="ja-JP"/>
        </w:rPr>
        <w:t>ernational e</w:t>
      </w:r>
      <w:r>
        <w:rPr>
          <w:lang w:eastAsia="ja-JP"/>
        </w:rPr>
        <w:t>xports</w:t>
      </w:r>
      <w:bookmarkEnd w:id="47"/>
    </w:p>
    <w:p w14:paraId="12D975CC" w14:textId="1D3FA618" w:rsidR="00C46E50" w:rsidRDefault="00C46E50" w:rsidP="00C46E50">
      <w:pPr>
        <w:rPr>
          <w:lang w:eastAsia="ja-JP"/>
        </w:rPr>
      </w:pPr>
      <w:r>
        <w:rPr>
          <w:lang w:eastAsia="ja-JP"/>
        </w:rPr>
        <w:t>Agriculture has been one of the most significant beneficiaries of trade agreements and is well placed to capitalise on the</w:t>
      </w:r>
      <w:r w:rsidR="00770364">
        <w:rPr>
          <w:lang w:eastAsia="ja-JP"/>
        </w:rPr>
        <w:t xml:space="preserve"> </w:t>
      </w:r>
      <w:r>
        <w:rPr>
          <w:lang w:eastAsia="ja-JP"/>
        </w:rPr>
        <w:t xml:space="preserve">free trade agreements with China (ChAFTA), Japan (JAEPA), and </w:t>
      </w:r>
      <w:r w:rsidR="00EA279D">
        <w:rPr>
          <w:lang w:eastAsia="ja-JP"/>
        </w:rPr>
        <w:t xml:space="preserve">the </w:t>
      </w:r>
      <w:r>
        <w:rPr>
          <w:lang w:eastAsia="ja-JP"/>
        </w:rPr>
        <w:t>Republic of Korea (KAFTA)</w:t>
      </w:r>
      <w:r w:rsidR="004A0955">
        <w:rPr>
          <w:lang w:eastAsia="ja-JP"/>
        </w:rPr>
        <w:t>. I</w:t>
      </w:r>
      <w:r w:rsidR="006E342D">
        <w:rPr>
          <w:lang w:eastAsia="ja-JP"/>
        </w:rPr>
        <w:t xml:space="preserve">t is also well placed to </w:t>
      </w:r>
      <w:r>
        <w:rPr>
          <w:lang w:eastAsia="ja-JP"/>
        </w:rPr>
        <w:t>advance other market access opportunities for Australian products. However, our ambitions for market access will not be realised without a finely tuned national biosecurity system. The New Zealand</w:t>
      </w:r>
      <w:r w:rsidR="00420E62">
        <w:rPr>
          <w:lang w:eastAsia="ja-JP"/>
        </w:rPr>
        <w:t xml:space="preserve"> </w:t>
      </w:r>
      <w:r>
        <w:rPr>
          <w:lang w:eastAsia="ja-JP"/>
        </w:rPr>
        <w:t xml:space="preserve">Ministry for Primary </w:t>
      </w:r>
      <w:r w:rsidRPr="00F64505">
        <w:rPr>
          <w:lang w:eastAsia="ja-JP"/>
        </w:rPr>
        <w:t>Industries (</w:t>
      </w:r>
      <w:hyperlink w:anchor="NZ_MPI_2016" w:history="1">
        <w:r w:rsidR="00066033" w:rsidRPr="00372466">
          <w:rPr>
            <w:rStyle w:val="Hyperlink"/>
            <w:lang w:eastAsia="ja-JP"/>
          </w:rPr>
          <w:t>NZ MPI</w:t>
        </w:r>
        <w:r w:rsidR="00432E1B" w:rsidRPr="00372466">
          <w:rPr>
            <w:rStyle w:val="Hyperlink"/>
            <w:lang w:eastAsia="ja-JP"/>
          </w:rPr>
          <w:t xml:space="preserve"> 2016</w:t>
        </w:r>
      </w:hyperlink>
      <w:r w:rsidRPr="00F64505">
        <w:rPr>
          <w:lang w:eastAsia="ja-JP"/>
        </w:rPr>
        <w:t>) c</w:t>
      </w:r>
      <w:r>
        <w:rPr>
          <w:lang w:eastAsia="ja-JP"/>
        </w:rPr>
        <w:t>aptured the relationships this way</w:t>
      </w:r>
      <w:r w:rsidR="00066033">
        <w:rPr>
          <w:lang w:eastAsia="ja-JP"/>
        </w:rPr>
        <w:t>:</w:t>
      </w:r>
    </w:p>
    <w:p w14:paraId="3B88C1CA" w14:textId="7C41CDB2" w:rsidR="00A1206C" w:rsidRPr="00C46E50" w:rsidRDefault="00C46E50" w:rsidP="00C46E50">
      <w:pPr>
        <w:jc w:val="center"/>
        <w:rPr>
          <w:rStyle w:val="Strong"/>
        </w:rPr>
      </w:pPr>
      <w:r w:rsidRPr="00C46E50">
        <w:rPr>
          <w:rStyle w:val="Strong"/>
          <w:lang w:eastAsia="ja-JP"/>
        </w:rPr>
        <w:t xml:space="preserve">Biosecurity + Market </w:t>
      </w:r>
      <w:r w:rsidR="00F06E92">
        <w:rPr>
          <w:rStyle w:val="Strong"/>
          <w:lang w:eastAsia="ja-JP"/>
        </w:rPr>
        <w:t>a</w:t>
      </w:r>
      <w:r w:rsidRPr="00C46E50">
        <w:rPr>
          <w:rStyle w:val="Strong"/>
          <w:lang w:eastAsia="ja-JP"/>
        </w:rPr>
        <w:t>ccess = Lasting two-way trade relationships</w:t>
      </w:r>
    </w:p>
    <w:p w14:paraId="1524BDA6" w14:textId="77777777" w:rsidR="00C46E50" w:rsidRDefault="00C46E50" w:rsidP="0035075A">
      <w:pPr>
        <w:pStyle w:val="Heading4"/>
        <w:keepNext/>
        <w:rPr>
          <w:lang w:eastAsia="ja-JP"/>
        </w:rPr>
      </w:pPr>
      <w:r>
        <w:rPr>
          <w:lang w:eastAsia="ja-JP"/>
        </w:rPr>
        <w:t>Assessing the opportunities</w:t>
      </w:r>
    </w:p>
    <w:p w14:paraId="3D8C3F8E" w14:textId="5A1E77EC" w:rsidR="00C46E50" w:rsidRDefault="00C46E50" w:rsidP="00C46E50">
      <w:pPr>
        <w:rPr>
          <w:lang w:eastAsia="ja-JP"/>
        </w:rPr>
      </w:pPr>
      <w:r>
        <w:rPr>
          <w:lang w:eastAsia="ja-JP"/>
        </w:rPr>
        <w:t xml:space="preserve">The Australian Government has responsibility for market access negotiations. However, the export interests of multiple governments and </w:t>
      </w:r>
      <w:r w:rsidR="005024D8">
        <w:rPr>
          <w:lang w:eastAsia="ja-JP"/>
        </w:rPr>
        <w:t>multiple</w:t>
      </w:r>
      <w:r w:rsidR="00C05B2C">
        <w:rPr>
          <w:lang w:eastAsia="ja-JP"/>
        </w:rPr>
        <w:t xml:space="preserve"> </w:t>
      </w:r>
      <w:r>
        <w:rPr>
          <w:lang w:eastAsia="ja-JP"/>
        </w:rPr>
        <w:t>industries</w:t>
      </w:r>
      <w:r w:rsidR="0014029A">
        <w:rPr>
          <w:lang w:eastAsia="ja-JP"/>
        </w:rPr>
        <w:t>—</w:t>
      </w:r>
      <w:r>
        <w:rPr>
          <w:lang w:eastAsia="ja-JP"/>
        </w:rPr>
        <w:t xml:space="preserve">with </w:t>
      </w:r>
      <w:r w:rsidR="005024D8">
        <w:rPr>
          <w:lang w:eastAsia="ja-JP"/>
        </w:rPr>
        <w:t>multiple</w:t>
      </w:r>
      <w:r w:rsidR="00C05B2C">
        <w:rPr>
          <w:lang w:eastAsia="ja-JP"/>
        </w:rPr>
        <w:t xml:space="preserve"> </w:t>
      </w:r>
      <w:r>
        <w:rPr>
          <w:lang w:eastAsia="ja-JP"/>
        </w:rPr>
        <w:t>export aspirations</w:t>
      </w:r>
      <w:r w:rsidR="0014029A">
        <w:rPr>
          <w:lang w:eastAsia="ja-JP"/>
        </w:rPr>
        <w:t>—</w:t>
      </w:r>
      <w:r>
        <w:rPr>
          <w:lang w:eastAsia="ja-JP"/>
        </w:rPr>
        <w:t>mean</w:t>
      </w:r>
      <w:r w:rsidR="00F06E92">
        <w:rPr>
          <w:lang w:eastAsia="ja-JP"/>
        </w:rPr>
        <w:t xml:space="preserve"> that</w:t>
      </w:r>
      <w:r>
        <w:rPr>
          <w:lang w:eastAsia="ja-JP"/>
        </w:rPr>
        <w:t xml:space="preserve"> </w:t>
      </w:r>
      <w:r w:rsidR="006E342D">
        <w:rPr>
          <w:lang w:eastAsia="ja-JP"/>
        </w:rPr>
        <w:t>implement</w:t>
      </w:r>
      <w:r w:rsidR="00FD0AA5">
        <w:rPr>
          <w:lang w:eastAsia="ja-JP"/>
        </w:rPr>
        <w:t>at</w:t>
      </w:r>
      <w:r w:rsidR="006E342D">
        <w:rPr>
          <w:lang w:eastAsia="ja-JP"/>
        </w:rPr>
        <w:t xml:space="preserve">ion </w:t>
      </w:r>
      <w:r>
        <w:rPr>
          <w:lang w:eastAsia="ja-JP"/>
        </w:rPr>
        <w:t>is highly complex.</w:t>
      </w:r>
    </w:p>
    <w:p w14:paraId="7DBE4803" w14:textId="5DEB7006" w:rsidR="00C43578" w:rsidRDefault="005024D8" w:rsidP="00C46E50">
      <w:pPr>
        <w:rPr>
          <w:lang w:eastAsia="ja-JP"/>
        </w:rPr>
      </w:pPr>
      <w:r w:rsidRPr="005024D8">
        <w:rPr>
          <w:lang w:eastAsia="ja-JP"/>
        </w:rPr>
        <w:t xml:space="preserve">The arrangements for facilitating government and industry agreement on market access priorities can be opaque to those not directly party to the negotiations. For example, the recently released </w:t>
      </w:r>
      <w:r w:rsidRPr="00F64E93">
        <w:rPr>
          <w:i/>
          <w:lang w:eastAsia="ja-JP"/>
        </w:rPr>
        <w:t>International Strategy 2016–19</w:t>
      </w:r>
      <w:r w:rsidRPr="005024D8">
        <w:rPr>
          <w:lang w:eastAsia="ja-JP"/>
        </w:rPr>
        <w:t xml:space="preserve"> by the Australian Government </w:t>
      </w:r>
      <w:r w:rsidR="00F06E92">
        <w:rPr>
          <w:lang w:eastAsia="ja-JP"/>
        </w:rPr>
        <w:t>Department of Agriculture and Water Resources</w:t>
      </w:r>
      <w:r w:rsidRPr="005024D8">
        <w:rPr>
          <w:lang w:eastAsia="ja-JP"/>
        </w:rPr>
        <w:t xml:space="preserve"> (</w:t>
      </w:r>
      <w:hyperlink w:anchor="DAWR_2016a" w:history="1">
        <w:r w:rsidR="00FA529C" w:rsidRPr="00AA5343">
          <w:rPr>
            <w:rStyle w:val="Hyperlink"/>
            <w:lang w:eastAsia="ja-JP"/>
          </w:rPr>
          <w:t>DAWR 2016</w:t>
        </w:r>
        <w:r w:rsidR="00F64E93" w:rsidRPr="00AA5343">
          <w:rPr>
            <w:rStyle w:val="Hyperlink"/>
            <w:lang w:eastAsia="ja-JP"/>
          </w:rPr>
          <w:t>a</w:t>
        </w:r>
      </w:hyperlink>
      <w:r w:rsidRPr="005024D8">
        <w:rPr>
          <w:lang w:eastAsia="ja-JP"/>
        </w:rPr>
        <w:t>) provides very limited information on market access priorities and industry consultation mechanisms.</w:t>
      </w:r>
    </w:p>
    <w:p w14:paraId="2B7A673B" w14:textId="2C358779" w:rsidR="005024D8" w:rsidRDefault="005024D8" w:rsidP="00C46E50">
      <w:pPr>
        <w:rPr>
          <w:lang w:eastAsia="ja-JP"/>
        </w:rPr>
      </w:pPr>
      <w:r w:rsidRPr="005024D8">
        <w:rPr>
          <w:lang w:eastAsia="ja-JP"/>
        </w:rPr>
        <w:t xml:space="preserve">While acknowledging the sensitive nature of our market access strategy, governments should consider what scope there is to publicly clarify the priorities and consultative mechanisms for developing and reviewing them, without compromising our trade. </w:t>
      </w:r>
      <w:r w:rsidRPr="005024D8">
        <w:rPr>
          <w:lang w:eastAsia="ja-JP"/>
        </w:rPr>
        <w:lastRenderedPageBreak/>
        <w:t>Judgment will clearly be required to assess the desirable degree of transparency against the risk it poses to Australia’s interests.</w:t>
      </w:r>
    </w:p>
    <w:p w14:paraId="63353BDC" w14:textId="5FEC20AF" w:rsidR="00C46E50" w:rsidRDefault="00C46E50" w:rsidP="00C46E50">
      <w:pPr>
        <w:rPr>
          <w:lang w:eastAsia="ja-JP"/>
        </w:rPr>
      </w:pPr>
      <w:r>
        <w:rPr>
          <w:lang w:eastAsia="ja-JP"/>
        </w:rPr>
        <w:t>The Primary Industries Technical Market Access and Trade Development Task Group (</w:t>
      </w:r>
      <w:r w:rsidRPr="00723F58">
        <w:rPr>
          <w:lang w:eastAsia="ja-JP"/>
        </w:rPr>
        <w:t>PITMATD</w:t>
      </w:r>
      <w:r>
        <w:rPr>
          <w:lang w:eastAsia="ja-JP"/>
        </w:rPr>
        <w:t>)</w:t>
      </w:r>
      <w:r w:rsidR="00142B0F">
        <w:rPr>
          <w:lang w:eastAsia="ja-JP"/>
        </w:rPr>
        <w:t>—</w:t>
      </w:r>
      <w:r>
        <w:rPr>
          <w:lang w:eastAsia="ja-JP"/>
        </w:rPr>
        <w:t>comprising senior representatives of agriculture and trade departments</w:t>
      </w:r>
      <w:r w:rsidR="00142B0F">
        <w:rPr>
          <w:lang w:eastAsia="ja-JP"/>
        </w:rPr>
        <w:t>—</w:t>
      </w:r>
      <w:r>
        <w:rPr>
          <w:lang w:eastAsia="ja-JP"/>
        </w:rPr>
        <w:t xml:space="preserve">plays a key role in shaping the trade policy framework and coordinating market access efforts by the jurisdictions. Feedback received by the </w:t>
      </w:r>
      <w:r w:rsidR="00EE7760">
        <w:rPr>
          <w:lang w:eastAsia="ja-JP"/>
        </w:rPr>
        <w:t>p</w:t>
      </w:r>
      <w:r>
        <w:rPr>
          <w:lang w:eastAsia="ja-JP"/>
        </w:rPr>
        <w:t>anel during th</w:t>
      </w:r>
      <w:r w:rsidR="00066033">
        <w:rPr>
          <w:lang w:eastAsia="ja-JP"/>
        </w:rPr>
        <w:t>is</w:t>
      </w:r>
      <w:r>
        <w:rPr>
          <w:lang w:eastAsia="ja-JP"/>
        </w:rPr>
        <w:t xml:space="preserve"> </w:t>
      </w:r>
      <w:r w:rsidR="00EE7760">
        <w:rPr>
          <w:lang w:eastAsia="ja-JP"/>
        </w:rPr>
        <w:t>r</w:t>
      </w:r>
      <w:r>
        <w:rPr>
          <w:lang w:eastAsia="ja-JP"/>
        </w:rPr>
        <w:t xml:space="preserve">eview indicates this can be an effective forum, </w:t>
      </w:r>
      <w:r w:rsidR="00EE7760">
        <w:rPr>
          <w:lang w:eastAsia="ja-JP"/>
        </w:rPr>
        <w:t>al</w:t>
      </w:r>
      <w:r>
        <w:rPr>
          <w:lang w:eastAsia="ja-JP"/>
        </w:rPr>
        <w:t xml:space="preserve">though there are no public outputs for non-government stakeholders to judge. It is also unclear how the work of </w:t>
      </w:r>
      <w:r w:rsidR="0014029A">
        <w:rPr>
          <w:lang w:eastAsia="ja-JP"/>
        </w:rPr>
        <w:t xml:space="preserve">the </w:t>
      </w:r>
      <w:r>
        <w:rPr>
          <w:lang w:eastAsia="ja-JP"/>
        </w:rPr>
        <w:t>N</w:t>
      </w:r>
      <w:r w:rsidR="00EE7760">
        <w:rPr>
          <w:lang w:eastAsia="ja-JP"/>
        </w:rPr>
        <w:t xml:space="preserve">ational </w:t>
      </w:r>
      <w:r>
        <w:rPr>
          <w:lang w:eastAsia="ja-JP"/>
        </w:rPr>
        <w:t>B</w:t>
      </w:r>
      <w:r w:rsidR="00EE7760">
        <w:rPr>
          <w:lang w:eastAsia="ja-JP"/>
        </w:rPr>
        <w:t xml:space="preserve">iosecurity </w:t>
      </w:r>
      <w:r>
        <w:rPr>
          <w:lang w:eastAsia="ja-JP"/>
        </w:rPr>
        <w:t>C</w:t>
      </w:r>
      <w:r w:rsidR="00EE7760">
        <w:rPr>
          <w:lang w:eastAsia="ja-JP"/>
        </w:rPr>
        <w:t>ommittee (NBC)</w:t>
      </w:r>
      <w:r>
        <w:rPr>
          <w:lang w:eastAsia="ja-JP"/>
        </w:rPr>
        <w:t>, including any role in addressing biosecurity</w:t>
      </w:r>
      <w:r w:rsidR="00EE7760">
        <w:rPr>
          <w:lang w:eastAsia="ja-JP"/>
        </w:rPr>
        <w:t>-</w:t>
      </w:r>
      <w:r>
        <w:rPr>
          <w:lang w:eastAsia="ja-JP"/>
        </w:rPr>
        <w:t>related trade limitations, might be taken up by or through PITMATD. This seems largely dependent upon CEOs of agriculture departments</w:t>
      </w:r>
      <w:r w:rsidR="00EE7760">
        <w:rPr>
          <w:lang w:eastAsia="ja-JP"/>
        </w:rPr>
        <w:t>,</w:t>
      </w:r>
      <w:r>
        <w:rPr>
          <w:lang w:eastAsia="ja-JP"/>
        </w:rPr>
        <w:t xml:space="preserve"> who are members of </w:t>
      </w:r>
      <w:r w:rsidR="00EE7760">
        <w:rPr>
          <w:lang w:eastAsia="ja-JP"/>
        </w:rPr>
        <w:t xml:space="preserve">both </w:t>
      </w:r>
      <w:r>
        <w:rPr>
          <w:lang w:eastAsia="ja-JP"/>
        </w:rPr>
        <w:t>PITMATD and</w:t>
      </w:r>
      <w:r w:rsidR="00F54EE9">
        <w:rPr>
          <w:lang w:eastAsia="ja-JP"/>
        </w:rPr>
        <w:t xml:space="preserve"> </w:t>
      </w:r>
      <w:r w:rsidR="00EE7760">
        <w:rPr>
          <w:lang w:eastAsia="ja-JP"/>
        </w:rPr>
        <w:t xml:space="preserve">the </w:t>
      </w:r>
      <w:r w:rsidR="006E342D">
        <w:rPr>
          <w:lang w:eastAsia="ja-JP"/>
        </w:rPr>
        <w:t>A</w:t>
      </w:r>
      <w:r w:rsidR="00EE7760">
        <w:rPr>
          <w:lang w:eastAsia="ja-JP"/>
        </w:rPr>
        <w:t xml:space="preserve">griculture </w:t>
      </w:r>
      <w:r w:rsidR="006E342D">
        <w:rPr>
          <w:lang w:eastAsia="ja-JP"/>
        </w:rPr>
        <w:t>S</w:t>
      </w:r>
      <w:r w:rsidR="00EE7760">
        <w:rPr>
          <w:lang w:eastAsia="ja-JP"/>
        </w:rPr>
        <w:t xml:space="preserve">enior </w:t>
      </w:r>
      <w:r w:rsidR="006E342D">
        <w:rPr>
          <w:lang w:eastAsia="ja-JP"/>
        </w:rPr>
        <w:t>O</w:t>
      </w:r>
      <w:r w:rsidR="00EE7760">
        <w:rPr>
          <w:lang w:eastAsia="ja-JP"/>
        </w:rPr>
        <w:t xml:space="preserve">fficials </w:t>
      </w:r>
      <w:r w:rsidR="006E342D">
        <w:rPr>
          <w:lang w:eastAsia="ja-JP"/>
        </w:rPr>
        <w:t>C</w:t>
      </w:r>
      <w:r w:rsidR="00EE7760">
        <w:rPr>
          <w:lang w:eastAsia="ja-JP"/>
        </w:rPr>
        <w:t>ommittee (AGSOC)</w:t>
      </w:r>
      <w:r w:rsidR="006E342D">
        <w:rPr>
          <w:lang w:eastAsia="ja-JP"/>
        </w:rPr>
        <w:t xml:space="preserve">, </w:t>
      </w:r>
      <w:r>
        <w:rPr>
          <w:lang w:eastAsia="ja-JP"/>
        </w:rPr>
        <w:t xml:space="preserve">the higher authority to </w:t>
      </w:r>
      <w:r w:rsidR="00D23E20">
        <w:rPr>
          <w:lang w:eastAsia="ja-JP"/>
        </w:rPr>
        <w:t xml:space="preserve">the </w:t>
      </w:r>
      <w:r>
        <w:rPr>
          <w:lang w:eastAsia="ja-JP"/>
        </w:rPr>
        <w:t>NBC</w:t>
      </w:r>
      <w:r w:rsidR="00386EDF">
        <w:rPr>
          <w:lang w:eastAsia="ja-JP"/>
        </w:rPr>
        <w:t>.</w:t>
      </w:r>
    </w:p>
    <w:p w14:paraId="0C464303" w14:textId="4A1CF00F" w:rsidR="00770364" w:rsidRDefault="00C46E50" w:rsidP="00C46E50">
      <w:pPr>
        <w:rPr>
          <w:lang w:eastAsia="ja-JP"/>
        </w:rPr>
      </w:pPr>
      <w:r>
        <w:rPr>
          <w:lang w:eastAsia="ja-JP"/>
        </w:rPr>
        <w:t>Industry is seeking</w:t>
      </w:r>
      <w:r w:rsidR="006E342D" w:rsidRPr="006E342D">
        <w:rPr>
          <w:lang w:eastAsia="ja-JP"/>
        </w:rPr>
        <w:t xml:space="preserve"> </w:t>
      </w:r>
      <w:r w:rsidR="006E342D">
        <w:rPr>
          <w:lang w:eastAsia="ja-JP"/>
        </w:rPr>
        <w:t>more predictable and</w:t>
      </w:r>
      <w:r>
        <w:rPr>
          <w:lang w:eastAsia="ja-JP"/>
        </w:rPr>
        <w:t xml:space="preserve"> greater opportunity to input into market access decisions by the Australian Government. While industry takes the lead on developing commodity market access strategies (with the input of governments), the Australian Government develops the overarching priorities for international market access and country strategies on key markets (with the input of industry and states</w:t>
      </w:r>
      <w:r w:rsidR="00741B65">
        <w:rPr>
          <w:lang w:eastAsia="ja-JP"/>
        </w:rPr>
        <w:t xml:space="preserve"> and territories</w:t>
      </w:r>
      <w:r>
        <w:rPr>
          <w:lang w:eastAsia="ja-JP"/>
        </w:rPr>
        <w:t>). Such arrangements have had variable outcomes for the parties depending on the balances struck during the negotiation process. Some industry stakeholders cited instances where market access wins did not align with industry priorities. On the other hand, government cited some instances where multiple market access requests by the horticulture sector wer</w:t>
      </w:r>
      <w:r w:rsidR="009D1E8D">
        <w:rPr>
          <w:lang w:eastAsia="ja-JP"/>
        </w:rPr>
        <w:t>e</w:t>
      </w:r>
      <w:r w:rsidR="002A5FE7" w:rsidRPr="002A5FE7">
        <w:rPr>
          <w:lang w:eastAsia="ja-JP"/>
        </w:rPr>
        <w:t xml:space="preserve"> </w:t>
      </w:r>
      <w:r w:rsidR="002A5FE7">
        <w:rPr>
          <w:lang w:eastAsia="ja-JP"/>
        </w:rPr>
        <w:t>neither</w:t>
      </w:r>
      <w:r w:rsidR="00C43578">
        <w:rPr>
          <w:lang w:eastAsia="ja-JP"/>
        </w:rPr>
        <w:t xml:space="preserve"> </w:t>
      </w:r>
      <w:r w:rsidR="002A5FE7">
        <w:rPr>
          <w:lang w:eastAsia="ja-JP"/>
        </w:rPr>
        <w:t>prioritised nor</w:t>
      </w:r>
      <w:r w:rsidR="009D1E8D">
        <w:rPr>
          <w:lang w:eastAsia="ja-JP"/>
        </w:rPr>
        <w:t xml:space="preserve"> realistic</w:t>
      </w:r>
      <w:r w:rsidR="00EE7760">
        <w:rPr>
          <w:lang w:eastAsia="ja-JP"/>
        </w:rPr>
        <w:t>;</w:t>
      </w:r>
      <w:r w:rsidR="00047F4F" w:rsidRPr="00047F4F">
        <w:rPr>
          <w:lang w:eastAsia="ja-JP"/>
        </w:rPr>
        <w:t xml:space="preserve"> or</w:t>
      </w:r>
      <w:r w:rsidR="00EE7760">
        <w:rPr>
          <w:lang w:eastAsia="ja-JP"/>
        </w:rPr>
        <w:t>,</w:t>
      </w:r>
      <w:r w:rsidR="00047F4F" w:rsidRPr="00047F4F">
        <w:rPr>
          <w:lang w:eastAsia="ja-JP"/>
        </w:rPr>
        <w:t xml:space="preserve"> once access was granted</w:t>
      </w:r>
      <w:r w:rsidR="00EE7760">
        <w:rPr>
          <w:lang w:eastAsia="ja-JP"/>
        </w:rPr>
        <w:t>,</w:t>
      </w:r>
      <w:r w:rsidR="00047F4F" w:rsidRPr="00047F4F">
        <w:rPr>
          <w:lang w:eastAsia="ja-JP"/>
        </w:rPr>
        <w:t xml:space="preserve"> the market was not serviced to establish a strong trade credibility and evidence to seek better conditions</w:t>
      </w:r>
      <w:r w:rsidR="00EE7760">
        <w:rPr>
          <w:lang w:eastAsia="ja-JP"/>
        </w:rPr>
        <w:t>:</w:t>
      </w:r>
    </w:p>
    <w:p w14:paraId="65B0C3F0" w14:textId="7313A680" w:rsidR="005024D8" w:rsidRDefault="005024D8" w:rsidP="005024D8">
      <w:pPr>
        <w:pStyle w:val="Quote"/>
        <w:rPr>
          <w:lang w:eastAsia="ja-JP"/>
        </w:rPr>
      </w:pPr>
      <w:r w:rsidRPr="00C43578">
        <w:rPr>
          <w:lang w:eastAsia="ja-JP"/>
        </w:rPr>
        <w:t xml:space="preserve">Export industries need to demonstrate the viability of a particular market and its importance to the whole industry when requesting technical market access. For example, the citrus and table grape industries have developed detailed, evidence-based export strategies to demonstrate the viability of and potential benefits from their technical market access requests. Peak industry bodies in the red meat industry also have well-developed processes for identifying and progressing priorities </w:t>
      </w:r>
      <w:r w:rsidRPr="00164D3B">
        <w:rPr>
          <w:lang w:eastAsia="ja-JP"/>
        </w:rPr>
        <w:t>(</w:t>
      </w:r>
      <w:hyperlink w:anchor="DAWR_2016a" w:history="1">
        <w:r w:rsidRPr="00164D3B">
          <w:rPr>
            <w:rStyle w:val="Hyperlink"/>
            <w:lang w:eastAsia="ja-JP"/>
          </w:rPr>
          <w:t>DAWR 201</w:t>
        </w:r>
        <w:r w:rsidR="00164D3B" w:rsidRPr="00164D3B">
          <w:rPr>
            <w:rStyle w:val="Hyperlink"/>
            <w:lang w:eastAsia="ja-JP"/>
          </w:rPr>
          <w:t>6a</w:t>
        </w:r>
      </w:hyperlink>
      <w:r w:rsidRPr="00164D3B">
        <w:rPr>
          <w:lang w:eastAsia="ja-JP"/>
        </w:rPr>
        <w:t>)</w:t>
      </w:r>
    </w:p>
    <w:p w14:paraId="5D7D7178" w14:textId="49C28992" w:rsidR="00047F4F" w:rsidRDefault="00047F4F" w:rsidP="00C46E50">
      <w:pPr>
        <w:rPr>
          <w:lang w:eastAsia="ja-JP"/>
        </w:rPr>
      </w:pPr>
      <w:r w:rsidRPr="00047F4F">
        <w:rPr>
          <w:lang w:eastAsia="ja-JP"/>
        </w:rPr>
        <w:t xml:space="preserve">It is in the interests of industries, and firms within industries, to have as broad a range of trade options with as few receiving country import conditions as possible. This results in regular requests to seek access for different products to different countries and </w:t>
      </w:r>
      <w:r w:rsidRPr="00047F4F">
        <w:rPr>
          <w:lang w:eastAsia="ja-JP"/>
        </w:rPr>
        <w:lastRenderedPageBreak/>
        <w:t>to improve the conditions to existing markets. However, there are limited resources, including technical expertise, that can be applied to achieve these outcomes. This means that</w:t>
      </w:r>
      <w:r w:rsidR="00EE7760">
        <w:rPr>
          <w:lang w:eastAsia="ja-JP"/>
        </w:rPr>
        <w:t>,</w:t>
      </w:r>
      <w:r w:rsidRPr="00047F4F">
        <w:rPr>
          <w:lang w:eastAsia="ja-JP"/>
        </w:rPr>
        <w:t xml:space="preserve"> when access requests are made to other countries or opportunities to improve conditions arise, high</w:t>
      </w:r>
      <w:r w:rsidR="00EE7760">
        <w:rPr>
          <w:lang w:eastAsia="ja-JP"/>
        </w:rPr>
        <w:t>-</w:t>
      </w:r>
      <w:r w:rsidRPr="00047F4F">
        <w:rPr>
          <w:lang w:eastAsia="ja-JP"/>
        </w:rPr>
        <w:t>quality data must be available to support discussions. Alignment of industries’ access priorities with biosecurity activities to generate data or provide assurance is critical and will provide confidence that government resources can be applied effectively.</w:t>
      </w:r>
    </w:p>
    <w:p w14:paraId="7E8586A1" w14:textId="6155A95C" w:rsidR="00C46E50" w:rsidRDefault="005024D8" w:rsidP="00C46E50">
      <w:pPr>
        <w:rPr>
          <w:lang w:eastAsia="ja-JP"/>
        </w:rPr>
      </w:pPr>
      <w:r w:rsidRPr="005024D8">
        <w:rPr>
          <w:lang w:eastAsia="ja-JP"/>
        </w:rPr>
        <w:t xml:space="preserve">The </w:t>
      </w:r>
      <w:r w:rsidR="00EE7760">
        <w:rPr>
          <w:lang w:eastAsia="ja-JP"/>
        </w:rPr>
        <w:t>p</w:t>
      </w:r>
      <w:r w:rsidRPr="005024D8">
        <w:rPr>
          <w:lang w:eastAsia="ja-JP"/>
        </w:rPr>
        <w:t xml:space="preserve">anel also notes the positive role being played by the Grains Industry Market Access Forum and Horticulture Innovation Australia Limited to facilitate development of industry priorities for new and improved market access. The </w:t>
      </w:r>
      <w:r w:rsidR="00EE7760">
        <w:rPr>
          <w:lang w:eastAsia="ja-JP"/>
        </w:rPr>
        <w:t>p</w:t>
      </w:r>
      <w:r w:rsidRPr="005024D8">
        <w:rPr>
          <w:lang w:eastAsia="ja-JP"/>
        </w:rPr>
        <w:t>anel encourages other agricultural industries to robustly assess market readiness and quantify the return for effort required to gain access.</w:t>
      </w:r>
    </w:p>
    <w:p w14:paraId="501A294E" w14:textId="77777777" w:rsidR="005024D8" w:rsidRPr="00C447ED" w:rsidRDefault="005024D8" w:rsidP="00C447ED">
      <w:pPr>
        <w:pStyle w:val="BoxHeading"/>
        <w:shd w:val="clear" w:color="auto" w:fill="D9D9D9" w:themeFill="background1" w:themeFillShade="D9"/>
        <w:rPr>
          <w:sz w:val="22"/>
          <w:lang w:eastAsia="ja-JP"/>
        </w:rPr>
      </w:pPr>
      <w:bookmarkStart w:id="48" w:name="_Ref482708812"/>
      <w:r w:rsidRPr="00C447ED">
        <w:rPr>
          <w:sz w:val="22"/>
          <w:lang w:eastAsia="ja-JP"/>
        </w:rPr>
        <w:t xml:space="preserve">Recommendation </w:t>
      </w:r>
      <w:r w:rsidRPr="00C447ED">
        <w:rPr>
          <w:sz w:val="22"/>
          <w:lang w:eastAsia="ja-JP"/>
        </w:rPr>
        <w:fldChar w:fldCharType="begin"/>
      </w:r>
      <w:r w:rsidRPr="00C447ED">
        <w:rPr>
          <w:sz w:val="22"/>
          <w:lang w:eastAsia="ja-JP"/>
        </w:rPr>
        <w:instrText xml:space="preserve"> SEQ Recommendation \* ARABIC </w:instrText>
      </w:r>
      <w:r w:rsidRPr="00C447ED">
        <w:rPr>
          <w:sz w:val="22"/>
          <w:lang w:eastAsia="ja-JP"/>
        </w:rPr>
        <w:fldChar w:fldCharType="separate"/>
      </w:r>
      <w:r w:rsidR="009F6923">
        <w:rPr>
          <w:noProof/>
          <w:sz w:val="22"/>
          <w:lang w:eastAsia="ja-JP"/>
        </w:rPr>
        <w:t>3</w:t>
      </w:r>
      <w:r w:rsidRPr="00C447ED">
        <w:rPr>
          <w:sz w:val="22"/>
          <w:lang w:eastAsia="ja-JP"/>
        </w:rPr>
        <w:fldChar w:fldCharType="end"/>
      </w:r>
      <w:bookmarkEnd w:id="48"/>
    </w:p>
    <w:p w14:paraId="429053A6" w14:textId="0949D06B" w:rsidR="002E48C5" w:rsidRPr="006441B8" w:rsidRDefault="002E48C5" w:rsidP="00C447ED">
      <w:pPr>
        <w:pStyle w:val="BoxText"/>
        <w:keepNext/>
        <w:shd w:val="clear" w:color="auto" w:fill="D9D9D9" w:themeFill="background1" w:themeFillShade="D9"/>
        <w:rPr>
          <w:sz w:val="22"/>
          <w:lang w:eastAsia="ja-JP"/>
        </w:rPr>
      </w:pPr>
      <w:r w:rsidRPr="00C447ED">
        <w:rPr>
          <w:sz w:val="22"/>
          <w:lang w:eastAsia="ja-JP"/>
        </w:rPr>
        <w:t>The Primary Industries Technical Market Access and Trade Development Task Group should enhance engagement with industry to</w:t>
      </w:r>
      <w:r w:rsidRPr="006441B8">
        <w:rPr>
          <w:sz w:val="22"/>
          <w:lang w:eastAsia="ja-JP"/>
        </w:rPr>
        <w:t xml:space="preserve"> ensure that Australia’s market access strategies are aligned appropriately through an agreed priority</w:t>
      </w:r>
      <w:r w:rsidR="00EE7760">
        <w:rPr>
          <w:sz w:val="22"/>
          <w:lang w:eastAsia="ja-JP"/>
        </w:rPr>
        <w:t>-</w:t>
      </w:r>
      <w:r w:rsidRPr="006441B8">
        <w:rPr>
          <w:sz w:val="22"/>
          <w:lang w:eastAsia="ja-JP"/>
        </w:rPr>
        <w:t>setting process and that the degree of transparency and communication is carefully weighed against its level of risk to trade activities.</w:t>
      </w:r>
    </w:p>
    <w:p w14:paraId="5DCF3D91" w14:textId="77777777" w:rsidR="00C46E50" w:rsidRDefault="00C46E50" w:rsidP="00C46E50">
      <w:pPr>
        <w:pStyle w:val="Heading4"/>
        <w:rPr>
          <w:lang w:eastAsia="ja-JP"/>
        </w:rPr>
      </w:pPr>
      <w:r>
        <w:rPr>
          <w:lang w:eastAsia="ja-JP"/>
        </w:rPr>
        <w:t>Balancing our efforts</w:t>
      </w:r>
    </w:p>
    <w:p w14:paraId="7279BFD6" w14:textId="1C9AF903" w:rsidR="00C46E50" w:rsidRDefault="006000B2" w:rsidP="00C46E50">
      <w:pPr>
        <w:rPr>
          <w:lang w:eastAsia="ja-JP"/>
        </w:rPr>
      </w:pPr>
      <w:r w:rsidRPr="006000B2">
        <w:rPr>
          <w:lang w:eastAsia="ja-JP"/>
        </w:rPr>
        <w:t xml:space="preserve">In Australia’s quest to obtain new markets for our agricultural products, hard-won and improved access for existing markets must be continuously nurtured and our international reputation maintained. Key market access achievements since July 2013, published on the Australian Government </w:t>
      </w:r>
      <w:r w:rsidR="00EE7760">
        <w:rPr>
          <w:lang w:eastAsia="ja-JP"/>
        </w:rPr>
        <w:t xml:space="preserve">Department of Agriculture and Water Resources </w:t>
      </w:r>
      <w:hyperlink r:id="rId31" w:anchor="2017" w:history="1">
        <w:r w:rsidR="00F64E93" w:rsidRPr="00F64E93">
          <w:rPr>
            <w:rStyle w:val="Hyperlink"/>
            <w:lang w:eastAsia="ja-JP"/>
          </w:rPr>
          <w:t>market access</w:t>
        </w:r>
      </w:hyperlink>
      <w:r w:rsidR="00F64E93">
        <w:rPr>
          <w:lang w:eastAsia="ja-JP"/>
        </w:rPr>
        <w:t xml:space="preserve"> </w:t>
      </w:r>
      <w:r w:rsidRPr="00F64E93">
        <w:rPr>
          <w:lang w:eastAsia="ja-JP"/>
        </w:rPr>
        <w:t>website</w:t>
      </w:r>
      <w:r w:rsidR="00A8440A">
        <w:rPr>
          <w:lang w:eastAsia="ja-JP"/>
        </w:rPr>
        <w:t>, indicates that more than 50 per </w:t>
      </w:r>
      <w:r w:rsidRPr="006000B2">
        <w:rPr>
          <w:lang w:eastAsia="ja-JP"/>
        </w:rPr>
        <w:t>cent of ‘wins’ concerned improved access, maintained access or restored access in existing markets.</w:t>
      </w:r>
    </w:p>
    <w:p w14:paraId="0ADA5512" w14:textId="0B29632B" w:rsidR="006000B2" w:rsidRDefault="00C46E50" w:rsidP="00C46E50">
      <w:pPr>
        <w:rPr>
          <w:lang w:eastAsia="ja-JP"/>
        </w:rPr>
      </w:pPr>
      <w:r>
        <w:rPr>
          <w:lang w:eastAsia="ja-JP"/>
        </w:rPr>
        <w:t xml:space="preserve">While incidents of temporary suspension of Australia’s market access are rare compared </w:t>
      </w:r>
      <w:r w:rsidR="00EE7760">
        <w:rPr>
          <w:lang w:eastAsia="ja-JP"/>
        </w:rPr>
        <w:t>with</w:t>
      </w:r>
      <w:r>
        <w:rPr>
          <w:lang w:eastAsia="ja-JP"/>
        </w:rPr>
        <w:t xml:space="preserve"> our exporting competitors (</w:t>
      </w:r>
      <w:r w:rsidR="00595669" w:rsidRPr="009D18E4">
        <w:rPr>
          <w:lang w:eastAsia="ja-JP"/>
        </w:rPr>
        <w:t>N</w:t>
      </w:r>
      <w:r w:rsidR="00A550EC">
        <w:rPr>
          <w:lang w:eastAsia="ja-JP"/>
        </w:rPr>
        <w:t xml:space="preserve">ew </w:t>
      </w:r>
      <w:r w:rsidR="00595669" w:rsidRPr="009D18E4">
        <w:rPr>
          <w:lang w:eastAsia="ja-JP"/>
        </w:rPr>
        <w:t>S</w:t>
      </w:r>
      <w:r w:rsidR="00A550EC">
        <w:rPr>
          <w:lang w:eastAsia="ja-JP"/>
        </w:rPr>
        <w:t xml:space="preserve">outh </w:t>
      </w:r>
      <w:r w:rsidR="00595669" w:rsidRPr="009D18E4">
        <w:rPr>
          <w:lang w:eastAsia="ja-JP"/>
        </w:rPr>
        <w:t>W</w:t>
      </w:r>
      <w:r w:rsidR="00A550EC">
        <w:rPr>
          <w:lang w:eastAsia="ja-JP"/>
        </w:rPr>
        <w:t>ales</w:t>
      </w:r>
      <w:r w:rsidR="00595669" w:rsidRPr="009D18E4">
        <w:rPr>
          <w:lang w:eastAsia="ja-JP"/>
        </w:rPr>
        <w:t xml:space="preserve"> </w:t>
      </w:r>
      <w:r w:rsidR="003D0E09">
        <w:rPr>
          <w:lang w:eastAsia="ja-JP"/>
        </w:rPr>
        <w:t xml:space="preserve">Government </w:t>
      </w:r>
      <w:r w:rsidRPr="001710D3">
        <w:rPr>
          <w:lang w:eastAsia="ja-JP"/>
        </w:rPr>
        <w:t>sub</w:t>
      </w:r>
      <w:r w:rsidR="00D064B1" w:rsidRPr="001710D3">
        <w:rPr>
          <w:lang w:eastAsia="ja-JP"/>
        </w:rPr>
        <w:t>. DP58</w:t>
      </w:r>
      <w:r>
        <w:rPr>
          <w:lang w:eastAsia="ja-JP"/>
        </w:rPr>
        <w:t xml:space="preserve">), the </w:t>
      </w:r>
      <w:r w:rsidR="00EE7760">
        <w:rPr>
          <w:lang w:eastAsia="ja-JP"/>
        </w:rPr>
        <w:t>p</w:t>
      </w:r>
      <w:r>
        <w:rPr>
          <w:lang w:eastAsia="ja-JP"/>
        </w:rPr>
        <w:t xml:space="preserve">anel notes there were at least </w:t>
      </w:r>
      <w:r w:rsidR="006000B2">
        <w:rPr>
          <w:lang w:eastAsia="ja-JP"/>
        </w:rPr>
        <w:t>22</w:t>
      </w:r>
      <w:r>
        <w:rPr>
          <w:lang w:eastAsia="ja-JP"/>
        </w:rPr>
        <w:t xml:space="preserve"> instances where trade was restored in the past </w:t>
      </w:r>
      <w:r w:rsidR="006000B2">
        <w:rPr>
          <w:lang w:eastAsia="ja-JP"/>
        </w:rPr>
        <w:t>four</w:t>
      </w:r>
      <w:r>
        <w:rPr>
          <w:lang w:eastAsia="ja-JP"/>
        </w:rPr>
        <w:t xml:space="preserve"> years. Recent examples of non</w:t>
      </w:r>
      <w:r w:rsidR="001D29B6">
        <w:rPr>
          <w:lang w:eastAsia="ja-JP"/>
        </w:rPr>
        <w:t>-</w:t>
      </w:r>
      <w:r>
        <w:rPr>
          <w:lang w:eastAsia="ja-JP"/>
        </w:rPr>
        <w:t>compliance with importing countries</w:t>
      </w:r>
      <w:r w:rsidR="00EE7760">
        <w:rPr>
          <w:lang w:eastAsia="ja-JP"/>
        </w:rPr>
        <w:t>’</w:t>
      </w:r>
      <w:r>
        <w:rPr>
          <w:lang w:eastAsia="ja-JP"/>
        </w:rPr>
        <w:t xml:space="preserve"> requirements include the 2016 suspension of live cattle exports to Japan (</w:t>
      </w:r>
      <w:r w:rsidR="00EE4AD4">
        <w:rPr>
          <w:lang w:eastAsia="ja-JP"/>
        </w:rPr>
        <w:fldChar w:fldCharType="begin"/>
      </w:r>
      <w:r w:rsidR="00EE4AD4">
        <w:rPr>
          <w:lang w:eastAsia="ja-JP"/>
        </w:rPr>
        <w:instrText xml:space="preserve"> REF _Ref466896160 \h </w:instrText>
      </w:r>
      <w:r w:rsidR="00EE4AD4">
        <w:rPr>
          <w:lang w:eastAsia="ja-JP"/>
        </w:rPr>
      </w:r>
      <w:r w:rsidR="00EE4AD4">
        <w:rPr>
          <w:lang w:eastAsia="ja-JP"/>
        </w:rPr>
        <w:fldChar w:fldCharType="separate"/>
      </w:r>
      <w:r w:rsidR="009F6923">
        <w:t xml:space="preserve">Box </w:t>
      </w:r>
      <w:r w:rsidR="009F6923">
        <w:rPr>
          <w:noProof/>
        </w:rPr>
        <w:t>4</w:t>
      </w:r>
      <w:r w:rsidR="00EE4AD4">
        <w:rPr>
          <w:lang w:eastAsia="ja-JP"/>
        </w:rPr>
        <w:fldChar w:fldCharType="end"/>
      </w:r>
      <w:r>
        <w:rPr>
          <w:lang w:eastAsia="ja-JP"/>
        </w:rPr>
        <w:t>) and repeated rejection of consignments of barley to China due to high snail numbers. Restoration of trade is usually achieved through agreement to new export certification requirements or bilateral negotiations with the importing countr</w:t>
      </w:r>
      <w:r w:rsidR="006000B2">
        <w:rPr>
          <w:lang w:eastAsia="ja-JP"/>
        </w:rPr>
        <w:t>y</w:t>
      </w:r>
      <w:r w:rsidR="00731E88">
        <w:rPr>
          <w:lang w:eastAsia="ja-JP"/>
        </w:rPr>
        <w:t>.</w:t>
      </w:r>
    </w:p>
    <w:p w14:paraId="6C57A033" w14:textId="77391380" w:rsidR="002B4A50" w:rsidRDefault="002B4A50" w:rsidP="00BC28A1">
      <w:pPr>
        <w:pStyle w:val="BoxHeading"/>
        <w:keepNext/>
        <w:keepLines/>
        <w:rPr>
          <w:lang w:eastAsia="ja-JP"/>
        </w:rPr>
      </w:pPr>
      <w:bookmarkStart w:id="49" w:name="_Ref466896160"/>
      <w:bookmarkStart w:id="50" w:name="_Toc468176747"/>
      <w:bookmarkStart w:id="51" w:name="_Toc468444396"/>
      <w:r>
        <w:lastRenderedPageBreak/>
        <w:t xml:space="preserve">Box </w:t>
      </w:r>
      <w:fldSimple w:instr=" SEQ Box \* ARABIC ">
        <w:r w:rsidR="009F6923">
          <w:rPr>
            <w:noProof/>
          </w:rPr>
          <w:t>4</w:t>
        </w:r>
      </w:fldSimple>
      <w:bookmarkEnd w:id="49"/>
      <w:r>
        <w:t xml:space="preserve"> 2016 suspension of live cattle exports to Japan</w:t>
      </w:r>
      <w:bookmarkEnd w:id="50"/>
      <w:bookmarkEnd w:id="51"/>
    </w:p>
    <w:p w14:paraId="78A9A555" w14:textId="4084E655" w:rsidR="00EE4AD4" w:rsidRDefault="00EE4AD4" w:rsidP="00BC28A1">
      <w:pPr>
        <w:pStyle w:val="BoxText"/>
        <w:keepNext/>
        <w:keepLines/>
        <w:rPr>
          <w:lang w:eastAsia="ja-JP"/>
        </w:rPr>
      </w:pPr>
      <w:r w:rsidRPr="00EE4AD4">
        <w:rPr>
          <w:lang w:eastAsia="ja-JP"/>
        </w:rPr>
        <w:t>In June 2016</w:t>
      </w:r>
      <w:r>
        <w:rPr>
          <w:lang w:eastAsia="ja-JP"/>
        </w:rPr>
        <w:t>,</w:t>
      </w:r>
      <w:r w:rsidRPr="00EE4AD4">
        <w:rPr>
          <w:lang w:eastAsia="ja-JP"/>
        </w:rPr>
        <w:t xml:space="preserve"> Japan temporarily stopped accepting feeder and breeder cattle from Australia in response to some cattle testing positive for the wasting disease </w:t>
      </w:r>
      <w:r w:rsidR="00EE7760">
        <w:rPr>
          <w:lang w:eastAsia="ja-JP"/>
        </w:rPr>
        <w:t>b</w:t>
      </w:r>
      <w:r w:rsidRPr="00EE4AD4">
        <w:rPr>
          <w:lang w:eastAsia="ja-JP"/>
        </w:rPr>
        <w:t>ovine Johne’s disease (BJD) in post</w:t>
      </w:r>
      <w:r w:rsidR="00EE7760">
        <w:rPr>
          <w:lang w:eastAsia="ja-JP"/>
        </w:rPr>
        <w:t>-</w:t>
      </w:r>
      <w:r w:rsidRPr="00EE4AD4">
        <w:rPr>
          <w:lang w:eastAsia="ja-JP"/>
        </w:rPr>
        <w:t>arrival quarantine. Japan is Australia’s only international live cattle export market that is ac</w:t>
      </w:r>
      <w:r w:rsidR="0028518A">
        <w:rPr>
          <w:lang w:eastAsia="ja-JP"/>
        </w:rPr>
        <w:t>tively eradicating BJD and has s</w:t>
      </w:r>
      <w:r w:rsidRPr="00EE4AD4">
        <w:rPr>
          <w:lang w:eastAsia="ja-JP"/>
        </w:rPr>
        <w:t xml:space="preserve">anitary justification in applying strict import controls for this disease. An investigation </w:t>
      </w:r>
      <w:r w:rsidR="00EE7760">
        <w:rPr>
          <w:lang w:eastAsia="ja-JP"/>
        </w:rPr>
        <w:t xml:space="preserve">into the matter </w:t>
      </w:r>
      <w:r w:rsidRPr="00EE4AD4">
        <w:rPr>
          <w:lang w:eastAsia="ja-JP"/>
        </w:rPr>
        <w:t>by the</w:t>
      </w:r>
      <w:r w:rsidR="00770364">
        <w:rPr>
          <w:lang w:eastAsia="ja-JP"/>
        </w:rPr>
        <w:t xml:space="preserve"> Australian Government</w:t>
      </w:r>
      <w:r w:rsidRPr="00EE4AD4">
        <w:rPr>
          <w:lang w:eastAsia="ja-JP"/>
        </w:rPr>
        <w:t xml:space="preserve"> </w:t>
      </w:r>
      <w:r w:rsidR="007D7E14">
        <w:rPr>
          <w:lang w:eastAsia="ja-JP"/>
        </w:rPr>
        <w:t>agriculture de</w:t>
      </w:r>
      <w:r w:rsidRPr="00EE4AD4">
        <w:rPr>
          <w:lang w:eastAsia="ja-JP"/>
        </w:rPr>
        <w:t xml:space="preserve">partment confirmed that the consignment of 300 cattle from Victoria </w:t>
      </w:r>
      <w:r w:rsidR="00EE7760">
        <w:rPr>
          <w:lang w:eastAsia="ja-JP"/>
        </w:rPr>
        <w:t>was</w:t>
      </w:r>
      <w:r w:rsidR="00EE7760" w:rsidRPr="00EE4AD4">
        <w:rPr>
          <w:lang w:eastAsia="ja-JP"/>
        </w:rPr>
        <w:t xml:space="preserve"> </w:t>
      </w:r>
      <w:r w:rsidRPr="00EE4AD4">
        <w:rPr>
          <w:lang w:eastAsia="ja-JP"/>
        </w:rPr>
        <w:t>not prepared according to the importing country requirements. In this case, certain preparation and isolation procedures within the supply chain were not adequately followed, resulting in the live cattle exporting business having its licence to send cattle overseas cancelled. Japanese</w:t>
      </w:r>
      <w:r w:rsidR="00B942A2">
        <w:rPr>
          <w:lang w:eastAsia="ja-JP"/>
        </w:rPr>
        <w:t xml:space="preserve"> authorities reopened the $14.6 </w:t>
      </w:r>
      <w:r w:rsidRPr="00EE4AD4">
        <w:rPr>
          <w:lang w:eastAsia="ja-JP"/>
        </w:rPr>
        <w:t>million trade in feeder and breeder cattle from Australia in August 2016 following agreement on improved export certification processes for all consignments to ensure transparent information about the origin of all exported cattle.</w:t>
      </w:r>
    </w:p>
    <w:p w14:paraId="1F38A1CC" w14:textId="6D3041A1" w:rsidR="00D23E20" w:rsidRDefault="00D23E20" w:rsidP="00BC28A1">
      <w:pPr>
        <w:pStyle w:val="BoxSource"/>
        <w:keepNext/>
        <w:keepLines/>
        <w:rPr>
          <w:lang w:eastAsia="ja-JP"/>
        </w:rPr>
      </w:pPr>
      <w:r>
        <w:rPr>
          <w:lang w:eastAsia="ja-JP"/>
        </w:rPr>
        <w:t xml:space="preserve">Source: </w:t>
      </w:r>
      <w:r w:rsidR="007B4D4F">
        <w:rPr>
          <w:lang w:eastAsia="ja-JP"/>
        </w:rPr>
        <w:t xml:space="preserve">Australian Government </w:t>
      </w:r>
      <w:r w:rsidR="007D7E14">
        <w:rPr>
          <w:lang w:eastAsia="ja-JP"/>
        </w:rPr>
        <w:t>D</w:t>
      </w:r>
      <w:r w:rsidR="00A550EC">
        <w:rPr>
          <w:lang w:eastAsia="ja-JP"/>
        </w:rPr>
        <w:t>epartment</w:t>
      </w:r>
      <w:r w:rsidR="007D7E14">
        <w:rPr>
          <w:lang w:eastAsia="ja-JP"/>
        </w:rPr>
        <w:t xml:space="preserve"> of Agriculture and Water Resources</w:t>
      </w:r>
      <w:r w:rsidR="009E7788">
        <w:rPr>
          <w:lang w:eastAsia="ja-JP"/>
        </w:rPr>
        <w:t>.</w:t>
      </w:r>
    </w:p>
    <w:p w14:paraId="548A426E" w14:textId="2DD39F4B" w:rsidR="004A0955" w:rsidRDefault="004A0955" w:rsidP="00A1206C">
      <w:pPr>
        <w:rPr>
          <w:lang w:eastAsia="ja-JP"/>
        </w:rPr>
      </w:pPr>
      <w:r>
        <w:rPr>
          <w:lang w:eastAsia="ja-JP"/>
        </w:rPr>
        <w:t xml:space="preserve">However, there is a significant </w:t>
      </w:r>
      <w:r w:rsidR="002C41C4">
        <w:rPr>
          <w:lang w:eastAsia="ja-JP"/>
        </w:rPr>
        <w:t>financial</w:t>
      </w:r>
      <w:r>
        <w:rPr>
          <w:lang w:eastAsia="ja-JP"/>
        </w:rPr>
        <w:t xml:space="preserve">, reputational and opportunity cost to these events occurring, even though trade may be restored within </w:t>
      </w:r>
      <w:r w:rsidR="00EE7760">
        <w:rPr>
          <w:lang w:eastAsia="ja-JP"/>
        </w:rPr>
        <w:t>twelve </w:t>
      </w:r>
      <w:r>
        <w:rPr>
          <w:lang w:eastAsia="ja-JP"/>
        </w:rPr>
        <w:t>months. A national biosecurity system focused on supporting market access should have a very low tolerance for such occurrences. When incidents occur, considerable analysis is needed to establish where the supply chain or inspection and certification processes have broken down and to institute remedial action to avoid repeat disruption to the market.</w:t>
      </w:r>
    </w:p>
    <w:p w14:paraId="5AA3C295" w14:textId="6A76FF74" w:rsidR="00A1206C" w:rsidRDefault="00EE4AD4" w:rsidP="00A1206C">
      <w:pPr>
        <w:rPr>
          <w:lang w:eastAsia="ja-JP"/>
        </w:rPr>
      </w:pPr>
      <w:r w:rsidRPr="00EE4AD4">
        <w:rPr>
          <w:lang w:eastAsia="ja-JP"/>
        </w:rPr>
        <w:t xml:space="preserve">While Australia’s strong regulatory framework, across all jurisdictions, has a critical role to play here, industry must ensure that systems are </w:t>
      </w:r>
      <w:r w:rsidR="008F7702">
        <w:rPr>
          <w:lang w:eastAsia="ja-JP"/>
        </w:rPr>
        <w:t xml:space="preserve">put </w:t>
      </w:r>
      <w:r w:rsidRPr="00EE4AD4">
        <w:rPr>
          <w:lang w:eastAsia="ja-JP"/>
        </w:rPr>
        <w:t>in place t</w:t>
      </w:r>
      <w:r w:rsidR="008F7702">
        <w:rPr>
          <w:lang w:eastAsia="ja-JP"/>
        </w:rPr>
        <w:t>o</w:t>
      </w:r>
      <w:r w:rsidRPr="00EE4AD4">
        <w:rPr>
          <w:lang w:eastAsia="ja-JP"/>
        </w:rPr>
        <w:t xml:space="preserve"> prevent a small number of operators</w:t>
      </w:r>
      <w:r w:rsidR="008F7702">
        <w:rPr>
          <w:lang w:eastAsia="ja-JP"/>
        </w:rPr>
        <w:t xml:space="preserve"> from</w:t>
      </w:r>
      <w:r w:rsidRPr="00EE4AD4">
        <w:rPr>
          <w:lang w:eastAsia="ja-JP"/>
        </w:rPr>
        <w:t xml:space="preserve"> adopting substandard practices</w:t>
      </w:r>
      <w:r w:rsidR="008F7702">
        <w:rPr>
          <w:lang w:eastAsia="ja-JP"/>
        </w:rPr>
        <w:t xml:space="preserve"> and</w:t>
      </w:r>
      <w:r w:rsidRPr="00EE4AD4">
        <w:rPr>
          <w:lang w:eastAsia="ja-JP"/>
        </w:rPr>
        <w:t xml:space="preserve"> potentially devastating a whole industry. Industries need to be proactive in encouraging the use of best</w:t>
      </w:r>
      <w:r w:rsidR="00186DE2">
        <w:rPr>
          <w:lang w:eastAsia="ja-JP"/>
        </w:rPr>
        <w:t>-</w:t>
      </w:r>
      <w:r w:rsidRPr="00EE4AD4">
        <w:rPr>
          <w:lang w:eastAsia="ja-JP"/>
        </w:rPr>
        <w:t>practi</w:t>
      </w:r>
      <w:r w:rsidR="002C41C4">
        <w:rPr>
          <w:lang w:eastAsia="ja-JP"/>
        </w:rPr>
        <w:t>c</w:t>
      </w:r>
      <w:r w:rsidRPr="00EE4AD4">
        <w:rPr>
          <w:lang w:eastAsia="ja-JP"/>
        </w:rPr>
        <w:t xml:space="preserve">e management systems across all sectors to minimise the threat of loss of reputation and credibility and </w:t>
      </w:r>
      <w:r w:rsidR="00186DE2">
        <w:rPr>
          <w:lang w:eastAsia="ja-JP"/>
        </w:rPr>
        <w:t xml:space="preserve">of </w:t>
      </w:r>
      <w:r w:rsidRPr="00EE4AD4">
        <w:rPr>
          <w:lang w:eastAsia="ja-JP"/>
        </w:rPr>
        <w:t>potentially being shut out of an export market.</w:t>
      </w:r>
      <w:r w:rsidR="00047F4F">
        <w:rPr>
          <w:lang w:eastAsia="ja-JP"/>
        </w:rPr>
        <w:t xml:space="preserve"> </w:t>
      </w:r>
      <w:r w:rsidR="00047F4F" w:rsidRPr="00047F4F">
        <w:rPr>
          <w:lang w:eastAsia="ja-JP"/>
        </w:rPr>
        <w:t>Active industry support for government decisions on withdrawal of export approvals or authorisations for individual firms or producers will also support the credibility of the broader system.</w:t>
      </w:r>
    </w:p>
    <w:p w14:paraId="576CC62A" w14:textId="699CD8C6" w:rsidR="002B4A50" w:rsidRDefault="00EE4AD4" w:rsidP="002B4A50">
      <w:pPr>
        <w:pStyle w:val="Heading4"/>
        <w:rPr>
          <w:lang w:eastAsia="ja-JP"/>
        </w:rPr>
      </w:pPr>
      <w:r>
        <w:rPr>
          <w:lang w:eastAsia="ja-JP"/>
        </w:rPr>
        <w:t>Regional differences</w:t>
      </w:r>
      <w:r w:rsidR="00186DE2">
        <w:rPr>
          <w:lang w:eastAsia="ja-JP"/>
        </w:rPr>
        <w:t xml:space="preserve"> </w:t>
      </w:r>
      <w:r>
        <w:rPr>
          <w:lang w:eastAsia="ja-JP"/>
        </w:rPr>
        <w:t>/</w:t>
      </w:r>
      <w:r w:rsidR="00186DE2">
        <w:rPr>
          <w:lang w:eastAsia="ja-JP"/>
        </w:rPr>
        <w:t xml:space="preserve"> </w:t>
      </w:r>
      <w:r>
        <w:rPr>
          <w:lang w:eastAsia="ja-JP"/>
        </w:rPr>
        <w:t>area freedom</w:t>
      </w:r>
    </w:p>
    <w:p w14:paraId="02FB12A7" w14:textId="41351958" w:rsidR="00EE4AD4" w:rsidRDefault="00EE4AD4" w:rsidP="00EE4AD4">
      <w:pPr>
        <w:rPr>
          <w:lang w:eastAsia="ja-JP"/>
        </w:rPr>
      </w:pPr>
      <w:r>
        <w:rPr>
          <w:lang w:eastAsia="ja-JP"/>
        </w:rPr>
        <w:t>The capacity to establish zones of</w:t>
      </w:r>
      <w:r w:rsidR="008F7702">
        <w:rPr>
          <w:lang w:eastAsia="ja-JP"/>
        </w:rPr>
        <w:t xml:space="preserve"> area</w:t>
      </w:r>
      <w:r>
        <w:rPr>
          <w:lang w:eastAsia="ja-JP"/>
        </w:rPr>
        <w:t xml:space="preserve"> freedom from pests and diseases is highly valued by primary producers. Regional freedom can provide significant trade advantages</w:t>
      </w:r>
      <w:r w:rsidR="00186DE2">
        <w:rPr>
          <w:lang w:eastAsia="ja-JP"/>
        </w:rPr>
        <w:t>,</w:t>
      </w:r>
      <w:r>
        <w:rPr>
          <w:lang w:eastAsia="ja-JP"/>
        </w:rPr>
        <w:t xml:space="preserve"> especially</w:t>
      </w:r>
      <w:r w:rsidR="00A6109D">
        <w:rPr>
          <w:lang w:eastAsia="ja-JP"/>
        </w:rPr>
        <w:t xml:space="preserve"> during a biosecurity outbreak.</w:t>
      </w:r>
    </w:p>
    <w:p w14:paraId="75073887" w14:textId="3B057ED8" w:rsidR="00EE4AD4" w:rsidRDefault="006000B2" w:rsidP="00EE4AD4">
      <w:pPr>
        <w:rPr>
          <w:lang w:eastAsia="ja-JP"/>
        </w:rPr>
      </w:pPr>
      <w:r w:rsidRPr="006000B2">
        <w:rPr>
          <w:lang w:eastAsia="ja-JP"/>
        </w:rPr>
        <w:t xml:space="preserve">Jurisdictions, however, hold a range of views on the strategic approach and value of demonstrating area freedom. The Western Australian </w:t>
      </w:r>
      <w:r w:rsidR="004A0955">
        <w:rPr>
          <w:lang w:eastAsia="ja-JP"/>
        </w:rPr>
        <w:t>G</w:t>
      </w:r>
      <w:r w:rsidRPr="006000B2">
        <w:rPr>
          <w:lang w:eastAsia="ja-JP"/>
        </w:rPr>
        <w:t xml:space="preserve">overnment </w:t>
      </w:r>
      <w:r w:rsidR="00047F4F">
        <w:rPr>
          <w:lang w:eastAsia="ja-JP"/>
        </w:rPr>
        <w:t>considers</w:t>
      </w:r>
      <w:r w:rsidR="00047F4F" w:rsidRPr="006000B2">
        <w:rPr>
          <w:lang w:eastAsia="ja-JP"/>
        </w:rPr>
        <w:t xml:space="preserve"> </w:t>
      </w:r>
      <w:r w:rsidRPr="006000B2">
        <w:rPr>
          <w:lang w:eastAsia="ja-JP"/>
        </w:rPr>
        <w:t xml:space="preserve">there </w:t>
      </w:r>
      <w:r w:rsidRPr="006000B2">
        <w:rPr>
          <w:lang w:eastAsia="ja-JP"/>
        </w:rPr>
        <w:lastRenderedPageBreak/>
        <w:t xml:space="preserve">should be greater recognition of the market access benefits that regional freedom status can bring to jurisdictions (sub. DP59). Western Australia is free of many pests and diseases that are present in other states and territories, largely as a result of its </w:t>
      </w:r>
      <w:r w:rsidR="00047F4F">
        <w:rPr>
          <w:lang w:eastAsia="ja-JP"/>
        </w:rPr>
        <w:t>natural barriers to pest and disease spread</w:t>
      </w:r>
      <w:r w:rsidRPr="006000B2">
        <w:rPr>
          <w:lang w:eastAsia="ja-JP"/>
        </w:rPr>
        <w:t>, and implements border protection arrangements to maintain its geographic and area freedom advantage. The same might be said for Tasmania.</w:t>
      </w:r>
    </w:p>
    <w:p w14:paraId="3110852A" w14:textId="282A8C1F" w:rsidR="00EE4AD4" w:rsidRDefault="00EE4AD4" w:rsidP="00EE4AD4">
      <w:pPr>
        <w:rPr>
          <w:lang w:eastAsia="ja-JP"/>
        </w:rPr>
      </w:pPr>
      <w:r>
        <w:rPr>
          <w:lang w:eastAsia="ja-JP"/>
        </w:rPr>
        <w:t xml:space="preserve">The </w:t>
      </w:r>
      <w:r w:rsidR="00386EDF">
        <w:rPr>
          <w:lang w:eastAsia="ja-JP"/>
        </w:rPr>
        <w:t>Australian Government</w:t>
      </w:r>
      <w:r>
        <w:rPr>
          <w:lang w:eastAsia="ja-JP"/>
        </w:rPr>
        <w:t>, on the other hand, generally seeks to minimise internal border measures but recognise</w:t>
      </w:r>
      <w:r w:rsidR="00770364">
        <w:rPr>
          <w:lang w:eastAsia="ja-JP"/>
        </w:rPr>
        <w:t>s</w:t>
      </w:r>
      <w:r>
        <w:rPr>
          <w:lang w:eastAsia="ja-JP"/>
        </w:rPr>
        <w:t xml:space="preserve">, under the </w:t>
      </w:r>
      <w:r w:rsidRPr="00EE4AD4">
        <w:rPr>
          <w:i/>
          <w:lang w:eastAsia="ja-JP"/>
        </w:rPr>
        <w:t>Biosecurity Act 2015</w:t>
      </w:r>
      <w:r w:rsidR="00770364">
        <w:rPr>
          <w:i/>
          <w:lang w:eastAsia="ja-JP"/>
        </w:rPr>
        <w:t xml:space="preserve"> </w:t>
      </w:r>
      <w:r w:rsidR="00770364" w:rsidRPr="00770364">
        <w:rPr>
          <w:lang w:eastAsia="ja-JP"/>
        </w:rPr>
        <w:t>(</w:t>
      </w:r>
      <w:r w:rsidR="00770364">
        <w:rPr>
          <w:lang w:eastAsia="ja-JP"/>
        </w:rPr>
        <w:t>Cw</w:t>
      </w:r>
      <w:r w:rsidR="00387484" w:rsidRPr="00770364">
        <w:rPr>
          <w:lang w:eastAsia="ja-JP"/>
        </w:rPr>
        <w:t>lth</w:t>
      </w:r>
      <w:r w:rsidR="00770364">
        <w:rPr>
          <w:lang w:eastAsia="ja-JP"/>
        </w:rPr>
        <w:t>),</w:t>
      </w:r>
      <w:r>
        <w:rPr>
          <w:lang w:eastAsia="ja-JP"/>
        </w:rPr>
        <w:t xml:space="preserve"> regional differences where there is strong scientific evidence for taking action. However, the Victorian </w:t>
      </w:r>
      <w:r w:rsidR="00D23E20">
        <w:rPr>
          <w:lang w:eastAsia="ja-JP"/>
        </w:rPr>
        <w:t>G</w:t>
      </w:r>
      <w:r>
        <w:rPr>
          <w:lang w:eastAsia="ja-JP"/>
        </w:rPr>
        <w:t>overnment provides the following caution:</w:t>
      </w:r>
    </w:p>
    <w:p w14:paraId="61D158E0" w14:textId="66C8FF78" w:rsidR="00EE4AD4" w:rsidRDefault="00EE4AD4" w:rsidP="00EE4AD4">
      <w:pPr>
        <w:pStyle w:val="Quote"/>
        <w:rPr>
          <w:lang w:eastAsia="ja-JP"/>
        </w:rPr>
      </w:pPr>
      <w:r>
        <w:rPr>
          <w:lang w:eastAsia="ja-JP"/>
        </w:rPr>
        <w:t xml:space="preserve">Zoning rules for international trade need to be carefully considered as they are very costly and can be more expensive to administer than the value of trade. Australia needs to carefully consider the need to have States and Territories recognised as zones, as this effectively results in the creation of ‘additional countries’ (Victorian </w:t>
      </w:r>
      <w:r w:rsidR="00D23E20">
        <w:rPr>
          <w:lang w:eastAsia="ja-JP"/>
        </w:rPr>
        <w:t>G</w:t>
      </w:r>
      <w:r>
        <w:rPr>
          <w:lang w:eastAsia="ja-JP"/>
        </w:rPr>
        <w:t xml:space="preserve">overnment </w:t>
      </w:r>
      <w:r w:rsidRPr="00AA4092">
        <w:rPr>
          <w:lang w:eastAsia="ja-JP"/>
        </w:rPr>
        <w:t>sub</w:t>
      </w:r>
      <w:r w:rsidR="00D064B1" w:rsidRPr="00AA4092">
        <w:rPr>
          <w:lang w:eastAsia="ja-JP"/>
        </w:rPr>
        <w:t>. DP64</w:t>
      </w:r>
      <w:r>
        <w:rPr>
          <w:lang w:eastAsia="ja-JP"/>
        </w:rPr>
        <w:t>)</w:t>
      </w:r>
    </w:p>
    <w:p w14:paraId="14F04617" w14:textId="5CDFE7FA" w:rsidR="006000B2" w:rsidRDefault="006000B2" w:rsidP="00EE4AD4">
      <w:pPr>
        <w:rPr>
          <w:lang w:eastAsia="ja-JP"/>
        </w:rPr>
      </w:pPr>
      <w:r w:rsidRPr="006000B2">
        <w:rPr>
          <w:lang w:eastAsia="ja-JP"/>
        </w:rPr>
        <w:t>Some governments expressed concern about the significant resources provided by governments to maintain proof of area freedom, despite the private benefit</w:t>
      </w:r>
      <w:r w:rsidR="00164D3B">
        <w:rPr>
          <w:lang w:eastAsia="ja-JP"/>
        </w:rPr>
        <w:t>:</w:t>
      </w:r>
    </w:p>
    <w:p w14:paraId="268FDFB5" w14:textId="258A6311" w:rsidR="006000B2" w:rsidRDefault="006000B2" w:rsidP="006000B2">
      <w:pPr>
        <w:pStyle w:val="Quote"/>
        <w:rPr>
          <w:lang w:eastAsia="ja-JP"/>
        </w:rPr>
      </w:pPr>
      <w:r w:rsidRPr="00C43578">
        <w:rPr>
          <w:lang w:eastAsia="ja-JP"/>
        </w:rPr>
        <w:t>The concept to establish zones of area freedom from pests and diseases is highly valued by primary producers and is largely based on the absence of evidence rather than the evidence of absence. To provide the required rigor to claim area freedom would require significantly more resources tha[n] is currently applied to the biosecurity system and would unlikely provide significant costs benefit</w:t>
      </w:r>
      <w:r w:rsidR="002A5FE7" w:rsidRPr="00C43578">
        <w:rPr>
          <w:lang w:eastAsia="ja-JP"/>
        </w:rPr>
        <w:t xml:space="preserve"> </w:t>
      </w:r>
      <w:r w:rsidRPr="00C43578">
        <w:rPr>
          <w:lang w:eastAsia="ja-JP"/>
        </w:rPr>
        <w:t>unless there is a natural barrier</w:t>
      </w:r>
      <w:r w:rsidR="00186DE2">
        <w:rPr>
          <w:lang w:eastAsia="ja-JP"/>
        </w:rPr>
        <w:t xml:space="preserve"> </w:t>
      </w:r>
      <w:r w:rsidRPr="00C43578">
        <w:rPr>
          <w:lang w:eastAsia="ja-JP"/>
        </w:rPr>
        <w:t>… that is minimising risk of spread (</w:t>
      </w:r>
      <w:r w:rsidRPr="00F54EE9">
        <w:rPr>
          <w:lang w:eastAsia="ja-JP"/>
        </w:rPr>
        <w:t xml:space="preserve">Northern Territory </w:t>
      </w:r>
      <w:r w:rsidR="00F54EE9">
        <w:rPr>
          <w:lang w:eastAsia="ja-JP"/>
        </w:rPr>
        <w:t xml:space="preserve">Government </w:t>
      </w:r>
      <w:r w:rsidRPr="00F54EE9">
        <w:rPr>
          <w:lang w:eastAsia="ja-JP"/>
        </w:rPr>
        <w:t>sub. DR117</w:t>
      </w:r>
      <w:r w:rsidRPr="00C43578">
        <w:rPr>
          <w:lang w:eastAsia="ja-JP"/>
        </w:rPr>
        <w:t>)</w:t>
      </w:r>
    </w:p>
    <w:p w14:paraId="7885DB19" w14:textId="48099587" w:rsidR="006000B2" w:rsidRDefault="006000B2" w:rsidP="00463040">
      <w:pPr>
        <w:pStyle w:val="Quote"/>
        <w:rPr>
          <w:lang w:eastAsia="ja-JP"/>
        </w:rPr>
      </w:pPr>
      <w:r>
        <w:rPr>
          <w:lang w:eastAsia="ja-JP"/>
        </w:rPr>
        <w:t>Every year the South Austra</w:t>
      </w:r>
      <w:r w:rsidR="00B942A2">
        <w:rPr>
          <w:lang w:eastAsia="ja-JP"/>
        </w:rPr>
        <w:t>lian Government spends about $5 </w:t>
      </w:r>
      <w:r>
        <w:rPr>
          <w:lang w:eastAsia="ja-JP"/>
        </w:rPr>
        <w:t>million keeping fruit fly and other plants pests out of the State, through a range of prevention, surveillance and eradication measures</w:t>
      </w:r>
      <w:r w:rsidR="004A0955">
        <w:rPr>
          <w:lang w:eastAsia="ja-JP"/>
        </w:rPr>
        <w:t xml:space="preserve"> </w:t>
      </w:r>
      <w:r>
        <w:rPr>
          <w:lang w:eastAsia="ja-JP"/>
        </w:rPr>
        <w:t>…</w:t>
      </w:r>
      <w:r w:rsidR="004A0955">
        <w:rPr>
          <w:lang w:eastAsia="ja-JP"/>
        </w:rPr>
        <w:t xml:space="preserve"> </w:t>
      </w:r>
      <w:r w:rsidR="000D1E81">
        <w:rPr>
          <w:lang w:eastAsia="ja-JP"/>
        </w:rPr>
        <w:t>t</w:t>
      </w:r>
      <w:r>
        <w:rPr>
          <w:lang w:eastAsia="ja-JP"/>
        </w:rPr>
        <w:t>he estimated farm-gate value of the state’s horticultural produce vulnerable to fruit fly infestation, including win</w:t>
      </w:r>
      <w:r w:rsidR="00B942A2">
        <w:rPr>
          <w:lang w:eastAsia="ja-JP"/>
        </w:rPr>
        <w:t>e grapes and almonds, was $1.15 </w:t>
      </w:r>
      <w:r>
        <w:rPr>
          <w:lang w:eastAsia="ja-JP"/>
        </w:rPr>
        <w:t>billion (South Australian Government, sub. DR111)</w:t>
      </w:r>
    </w:p>
    <w:p w14:paraId="63F9E2C1" w14:textId="294BAE7C" w:rsidR="006000B2" w:rsidRDefault="006000B2" w:rsidP="00463040">
      <w:pPr>
        <w:pStyle w:val="Quote"/>
        <w:rPr>
          <w:lang w:eastAsia="ja-JP"/>
        </w:rPr>
      </w:pPr>
      <w:r w:rsidRPr="00C43578">
        <w:rPr>
          <w:lang w:eastAsia="ja-JP"/>
        </w:rPr>
        <w:t xml:space="preserve">Victoria’s insistence on having Queensland Fruit Fly (QFF) restrictions in place imposed significant costs on NSW and Queensland producers and also imposed significant costs on the Victorian government to keep them in </w:t>
      </w:r>
      <w:r w:rsidRPr="00C43578">
        <w:rPr>
          <w:lang w:eastAsia="ja-JP"/>
        </w:rPr>
        <w:lastRenderedPageBreak/>
        <w:t xml:space="preserve">place. Up to the time that Victoria reduced their QFF regulation, it was costing the NSW </w:t>
      </w:r>
      <w:r w:rsidR="00420E62" w:rsidRPr="00C43578">
        <w:rPr>
          <w:lang w:eastAsia="ja-JP"/>
        </w:rPr>
        <w:t>G</w:t>
      </w:r>
      <w:r w:rsidR="00B942A2">
        <w:rPr>
          <w:lang w:eastAsia="ja-JP"/>
        </w:rPr>
        <w:t>overnment in excess of $4.5 </w:t>
      </w:r>
      <w:r w:rsidRPr="00C43578">
        <w:rPr>
          <w:lang w:eastAsia="ja-JP"/>
        </w:rPr>
        <w:t xml:space="preserve">million and the Victorian Government in </w:t>
      </w:r>
      <w:r w:rsidR="00B942A2">
        <w:rPr>
          <w:lang w:eastAsia="ja-JP"/>
        </w:rPr>
        <w:t>excess of $7 </w:t>
      </w:r>
      <w:r w:rsidRPr="00C43578">
        <w:rPr>
          <w:lang w:eastAsia="ja-JP"/>
        </w:rPr>
        <w:t>million per annum</w:t>
      </w:r>
      <w:r w:rsidR="00C43578">
        <w:rPr>
          <w:lang w:eastAsia="ja-JP"/>
        </w:rPr>
        <w:t xml:space="preserve"> </w:t>
      </w:r>
      <w:r w:rsidRPr="00C43578">
        <w:rPr>
          <w:lang w:eastAsia="ja-JP"/>
        </w:rPr>
        <w:t>… In NSW, compliance is market driven, not regulatory driven, and QFF free fruit not subject to regulation is available at Sydney markets (New South Wales Government, sub. DR113)</w:t>
      </w:r>
    </w:p>
    <w:p w14:paraId="7C74410F" w14:textId="1FDB9949" w:rsidR="000D1E81" w:rsidRDefault="000D1E81" w:rsidP="00EE4AD4">
      <w:pPr>
        <w:rPr>
          <w:lang w:eastAsia="ja-JP"/>
        </w:rPr>
      </w:pPr>
      <w:r w:rsidRPr="000D1E81">
        <w:rPr>
          <w:lang w:eastAsia="ja-JP"/>
        </w:rPr>
        <w:t>The IGAB contains commitments (</w:t>
      </w:r>
      <w:r w:rsidR="00056053">
        <w:rPr>
          <w:lang w:eastAsia="ja-JP"/>
        </w:rPr>
        <w:t>clause</w:t>
      </w:r>
      <w:r w:rsidRPr="005E58D6">
        <w:rPr>
          <w:lang w:eastAsia="ja-JP"/>
        </w:rPr>
        <w:t xml:space="preserve"> 7.10) around</w:t>
      </w:r>
      <w:r w:rsidRPr="000D1E81">
        <w:rPr>
          <w:lang w:eastAsia="ja-JP"/>
        </w:rPr>
        <w:t xml:space="preserve"> regional differences affecting imports (that is, they are a B</w:t>
      </w:r>
      <w:r w:rsidR="00186DE2">
        <w:rPr>
          <w:lang w:eastAsia="ja-JP"/>
        </w:rPr>
        <w:t xml:space="preserve">iosecurity </w:t>
      </w:r>
      <w:r w:rsidRPr="000D1E81">
        <w:rPr>
          <w:lang w:eastAsia="ja-JP"/>
        </w:rPr>
        <w:t>I</w:t>
      </w:r>
      <w:r w:rsidR="00186DE2">
        <w:rPr>
          <w:lang w:eastAsia="ja-JP"/>
        </w:rPr>
        <w:t xml:space="preserve">mport </w:t>
      </w:r>
      <w:r w:rsidRPr="000D1E81">
        <w:rPr>
          <w:lang w:eastAsia="ja-JP"/>
        </w:rPr>
        <w:t>R</w:t>
      </w:r>
      <w:r w:rsidR="00186DE2">
        <w:rPr>
          <w:lang w:eastAsia="ja-JP"/>
        </w:rPr>
        <w:t xml:space="preserve">isk </w:t>
      </w:r>
      <w:r w:rsidRPr="000D1E81">
        <w:rPr>
          <w:lang w:eastAsia="ja-JP"/>
        </w:rPr>
        <w:t>A</w:t>
      </w:r>
      <w:r w:rsidR="00186DE2">
        <w:rPr>
          <w:lang w:eastAsia="ja-JP"/>
        </w:rPr>
        <w:t>nalysis (BIRA)</w:t>
      </w:r>
      <w:r w:rsidRPr="000D1E81">
        <w:rPr>
          <w:lang w:eastAsia="ja-JP"/>
        </w:rPr>
        <w:t xml:space="preserve"> consideration) but does not deal with area freedom for exports. Australia’s export markets are concerned about risks associated with pests and diseases already here, but trading partners are increasingly taking into account any local trade restrictions when assessing the import of product from Australia.</w:t>
      </w:r>
    </w:p>
    <w:p w14:paraId="33ED4BCB" w14:textId="59DB3C26" w:rsidR="000D1E81" w:rsidRDefault="000D1E81" w:rsidP="00EE4AD4">
      <w:pPr>
        <w:rPr>
          <w:lang w:eastAsia="ja-JP"/>
        </w:rPr>
      </w:pPr>
      <w:r w:rsidRPr="000D1E81">
        <w:rPr>
          <w:lang w:eastAsia="ja-JP"/>
        </w:rPr>
        <w:t>As a nation we need to ensure that local trade restrictions are based on robust scientific evidence, are no more stringent than our import measures and are consistent with our claims for exports. For example, all states recognise South Australia and Tasmania’s freedom from Mediterranean fruit fly (</w:t>
      </w:r>
      <w:r w:rsidRPr="000D1E81">
        <w:rPr>
          <w:i/>
          <w:lang w:eastAsia="ja-JP"/>
        </w:rPr>
        <w:t>Ceratitis capitate</w:t>
      </w:r>
      <w:r w:rsidRPr="000D1E81">
        <w:rPr>
          <w:lang w:eastAsia="ja-JP"/>
        </w:rPr>
        <w:t>; MedFly) and Queensland fruit fly (</w:t>
      </w:r>
      <w:r w:rsidRPr="000D1E81">
        <w:rPr>
          <w:i/>
          <w:lang w:eastAsia="ja-JP"/>
        </w:rPr>
        <w:t>Bactrocera tryoni</w:t>
      </w:r>
      <w:r w:rsidRPr="000D1E81">
        <w:rPr>
          <w:lang w:eastAsia="ja-JP"/>
        </w:rPr>
        <w:t>; Qfly)—our export market access claims of area freedom for South Australia and Tasmania are consistent with domestic measures. Conversely, all jurisdictions recognise that MedFly is present in Western Australia and require treatment of Western Australian fruit to allow interstate movement. The domestic measures in place to contain MedFly to Western Australia are consistent with our import measures (international) and protect the rest of Australia from this serious pest.</w:t>
      </w:r>
    </w:p>
    <w:p w14:paraId="3FBD0E50" w14:textId="441ED2AE" w:rsidR="000D1E81" w:rsidRDefault="000D1E81" w:rsidP="000D1E81">
      <w:pPr>
        <w:rPr>
          <w:lang w:eastAsia="ja-JP"/>
        </w:rPr>
      </w:pPr>
      <w:r w:rsidRPr="00C43578">
        <w:rPr>
          <w:lang w:eastAsia="ja-JP"/>
        </w:rPr>
        <w:t>The feedback indicates the effort and costs associated with demonstrating area freedom can be considerable, as can be the value of the trade concerned. However, more analysis needs to be undertaken to fully establish the total effort and costs associated with demonstrating area freedom by governments and the return on this investment to the community.</w:t>
      </w:r>
    </w:p>
    <w:p w14:paraId="3426E892" w14:textId="21B8292E" w:rsidR="00E129C5" w:rsidRPr="001704F0" w:rsidRDefault="002A5FE7" w:rsidP="00C43578">
      <w:pPr>
        <w:rPr>
          <w:lang w:eastAsia="ja-JP"/>
        </w:rPr>
      </w:pPr>
      <w:r w:rsidRPr="00E129C5">
        <w:rPr>
          <w:lang w:eastAsia="ja-JP"/>
        </w:rPr>
        <w:t>Ana</w:t>
      </w:r>
      <w:r w:rsidRPr="001704F0">
        <w:rPr>
          <w:lang w:eastAsia="ja-JP"/>
        </w:rPr>
        <w:t>lysis needs to take into account different area freedom scenarios</w:t>
      </w:r>
      <w:r w:rsidR="00E129C5" w:rsidRPr="001704F0">
        <w:rPr>
          <w:lang w:eastAsia="ja-JP"/>
        </w:rPr>
        <w:t>, two of which may be</w:t>
      </w:r>
      <w:r w:rsidR="001704F0">
        <w:rPr>
          <w:lang w:eastAsia="ja-JP"/>
        </w:rPr>
        <w:t>:</w:t>
      </w:r>
    </w:p>
    <w:p w14:paraId="6BA2E493" w14:textId="44CD5685" w:rsidR="00E129C5" w:rsidRPr="001704F0" w:rsidRDefault="002A5FE7" w:rsidP="00E129C5">
      <w:pPr>
        <w:pStyle w:val="ListBullet"/>
      </w:pPr>
      <w:r w:rsidRPr="001704F0">
        <w:rPr>
          <w:lang w:eastAsia="ja-JP"/>
        </w:rPr>
        <w:t xml:space="preserve">where an outbreak </w:t>
      </w:r>
      <w:r w:rsidR="00F04BC6" w:rsidRPr="001704F0">
        <w:rPr>
          <w:lang w:eastAsia="ja-JP"/>
        </w:rPr>
        <w:t xml:space="preserve">of a pest or disease exotic to Australia </w:t>
      </w:r>
      <w:r w:rsidRPr="001704F0">
        <w:rPr>
          <w:lang w:eastAsia="ja-JP"/>
        </w:rPr>
        <w:t>occurs in a geographically isolated setting, such as south</w:t>
      </w:r>
      <w:r w:rsidR="004A0955" w:rsidRPr="001704F0">
        <w:rPr>
          <w:lang w:eastAsia="ja-JP"/>
        </w:rPr>
        <w:t>-</w:t>
      </w:r>
      <w:r w:rsidRPr="001704F0">
        <w:rPr>
          <w:lang w:eastAsia="ja-JP"/>
        </w:rPr>
        <w:t>western W</w:t>
      </w:r>
      <w:r w:rsidR="004A0955" w:rsidRPr="001704F0">
        <w:rPr>
          <w:lang w:eastAsia="ja-JP"/>
        </w:rPr>
        <w:t xml:space="preserve">estern </w:t>
      </w:r>
      <w:r w:rsidRPr="001704F0">
        <w:rPr>
          <w:lang w:eastAsia="ja-JP"/>
        </w:rPr>
        <w:t>A</w:t>
      </w:r>
      <w:r w:rsidR="004A0955" w:rsidRPr="001704F0">
        <w:rPr>
          <w:lang w:eastAsia="ja-JP"/>
        </w:rPr>
        <w:t>ustralia</w:t>
      </w:r>
      <w:r w:rsidRPr="001704F0">
        <w:rPr>
          <w:lang w:eastAsia="ja-JP"/>
        </w:rPr>
        <w:t xml:space="preserve"> or Tasmania (or the converse of this), and whether these restrictions would be temporary or permanent</w:t>
      </w:r>
    </w:p>
    <w:p w14:paraId="2B444790" w14:textId="7807DB9A" w:rsidR="002A5FE7" w:rsidRPr="00E129C5" w:rsidRDefault="00E129C5" w:rsidP="00E129C5">
      <w:pPr>
        <w:pStyle w:val="ListBullet"/>
      </w:pPr>
      <w:r>
        <w:rPr>
          <w:lang w:eastAsia="ja-JP"/>
        </w:rPr>
        <w:t>where</w:t>
      </w:r>
      <w:r w:rsidR="002A5FE7" w:rsidRPr="00E129C5">
        <w:rPr>
          <w:lang w:eastAsia="ja-JP"/>
        </w:rPr>
        <w:t xml:space="preserve"> area freedom restrictions </w:t>
      </w:r>
      <w:r>
        <w:rPr>
          <w:lang w:eastAsia="ja-JP"/>
        </w:rPr>
        <w:t xml:space="preserve">are </w:t>
      </w:r>
      <w:r w:rsidR="002A5FE7" w:rsidRPr="00E129C5">
        <w:rPr>
          <w:lang w:eastAsia="ja-JP"/>
        </w:rPr>
        <w:t>established to maintain freedom from a pest or disease which is already endemic to the remainder, or to a number of other regions of</w:t>
      </w:r>
      <w:r w:rsidR="008A0DE0">
        <w:rPr>
          <w:lang w:eastAsia="ja-JP"/>
        </w:rPr>
        <w:t>,</w:t>
      </w:r>
      <w:r w:rsidR="002A5FE7" w:rsidRPr="00E129C5">
        <w:rPr>
          <w:lang w:eastAsia="ja-JP"/>
        </w:rPr>
        <w:t xml:space="preserve"> the country.</w:t>
      </w:r>
    </w:p>
    <w:p w14:paraId="784E21E0" w14:textId="77777777" w:rsidR="00C43578" w:rsidRPr="006441B8" w:rsidRDefault="00C43578" w:rsidP="008E02CA">
      <w:pPr>
        <w:pStyle w:val="BoxHeading"/>
        <w:keepNext/>
        <w:keepLines/>
        <w:shd w:val="clear" w:color="auto" w:fill="D9D9D9" w:themeFill="background1" w:themeFillShade="D9"/>
        <w:rPr>
          <w:sz w:val="22"/>
          <w:lang w:eastAsia="ja-JP"/>
        </w:rPr>
      </w:pPr>
      <w:bookmarkStart w:id="52" w:name="_Ref482708833"/>
      <w:r w:rsidRPr="006441B8">
        <w:rPr>
          <w:sz w:val="22"/>
          <w:lang w:eastAsia="ja-JP"/>
        </w:rPr>
        <w:lastRenderedPageBreak/>
        <w:t xml:space="preserve">Recommendation </w:t>
      </w:r>
      <w:r w:rsidRPr="006441B8">
        <w:rPr>
          <w:sz w:val="22"/>
          <w:lang w:eastAsia="ja-JP"/>
        </w:rPr>
        <w:fldChar w:fldCharType="begin"/>
      </w:r>
      <w:r w:rsidRPr="006441B8">
        <w:rPr>
          <w:sz w:val="22"/>
          <w:lang w:eastAsia="ja-JP"/>
        </w:rPr>
        <w:instrText xml:space="preserve"> SEQ Recommendation \* ARABIC </w:instrText>
      </w:r>
      <w:r w:rsidRPr="006441B8">
        <w:rPr>
          <w:sz w:val="22"/>
          <w:lang w:eastAsia="ja-JP"/>
        </w:rPr>
        <w:fldChar w:fldCharType="separate"/>
      </w:r>
      <w:r w:rsidR="009F6923">
        <w:rPr>
          <w:noProof/>
          <w:sz w:val="22"/>
          <w:lang w:eastAsia="ja-JP"/>
        </w:rPr>
        <w:t>4</w:t>
      </w:r>
      <w:r w:rsidRPr="006441B8">
        <w:rPr>
          <w:sz w:val="22"/>
          <w:lang w:eastAsia="ja-JP"/>
        </w:rPr>
        <w:fldChar w:fldCharType="end"/>
      </w:r>
      <w:bookmarkEnd w:id="52"/>
    </w:p>
    <w:p w14:paraId="6876831C" w14:textId="6AA432EE" w:rsidR="00C43578" w:rsidRPr="006441B8" w:rsidRDefault="00C43578" w:rsidP="008E02CA">
      <w:pPr>
        <w:pStyle w:val="BoxText"/>
        <w:keepNext/>
        <w:keepLines/>
        <w:shd w:val="clear" w:color="auto" w:fill="D9D9D9" w:themeFill="background1" w:themeFillShade="D9"/>
        <w:rPr>
          <w:sz w:val="22"/>
        </w:rPr>
      </w:pPr>
      <w:r w:rsidRPr="006441B8">
        <w:rPr>
          <w:sz w:val="22"/>
        </w:rPr>
        <w:t xml:space="preserve">AGSOC, in conjunction with the Primary Industries Technical Market Access and Trade Development Task Group, should review the total effort and costs associated with demonstrating area freedom by jurisdictions and the value of that trade. The review should establish whether public investment is </w:t>
      </w:r>
      <w:r w:rsidR="00543E17">
        <w:rPr>
          <w:sz w:val="22"/>
        </w:rPr>
        <w:t>aligned</w:t>
      </w:r>
      <w:r w:rsidRPr="006441B8">
        <w:rPr>
          <w:sz w:val="22"/>
        </w:rPr>
        <w:t xml:space="preserve"> with IGAB investment principles and t</w:t>
      </w:r>
      <w:r w:rsidR="00F06EF3">
        <w:rPr>
          <w:sz w:val="22"/>
        </w:rPr>
        <w:t>he National Framework for Cost</w:t>
      </w:r>
      <w:r w:rsidR="00CB21E8">
        <w:rPr>
          <w:sz w:val="22"/>
        </w:rPr>
        <w:t xml:space="preserve"> </w:t>
      </w:r>
      <w:r w:rsidR="00F06EF3">
        <w:rPr>
          <w:sz w:val="22"/>
        </w:rPr>
        <w:t>S</w:t>
      </w:r>
      <w:r w:rsidRPr="006441B8">
        <w:rPr>
          <w:sz w:val="22"/>
        </w:rPr>
        <w:t xml:space="preserve">haring Biosecurity Activities (Recommendation </w:t>
      </w:r>
      <w:r w:rsidR="006441B8" w:rsidRPr="006441B8">
        <w:rPr>
          <w:sz w:val="22"/>
        </w:rPr>
        <w:t>2</w:t>
      </w:r>
      <w:r w:rsidR="00BA61DE">
        <w:rPr>
          <w:sz w:val="22"/>
        </w:rPr>
        <w:t>7</w:t>
      </w:r>
      <w:r w:rsidRPr="006441B8">
        <w:rPr>
          <w:sz w:val="22"/>
        </w:rPr>
        <w:t>).</w:t>
      </w:r>
    </w:p>
    <w:p w14:paraId="5FE0E302" w14:textId="252934D5" w:rsidR="00EB6CC4" w:rsidRDefault="00EB6CC4" w:rsidP="00EB6CC4">
      <w:pPr>
        <w:pStyle w:val="Heading3"/>
        <w:rPr>
          <w:lang w:eastAsia="ja-JP"/>
        </w:rPr>
      </w:pPr>
      <w:bookmarkStart w:id="53" w:name="RSC_2015"/>
      <w:bookmarkStart w:id="54" w:name="PC_2017"/>
      <w:bookmarkStart w:id="55" w:name="_Toc486236036"/>
      <w:bookmarkEnd w:id="53"/>
      <w:bookmarkEnd w:id="54"/>
      <w:r>
        <w:rPr>
          <w:lang w:eastAsia="ja-JP"/>
        </w:rPr>
        <w:t>Domestic trade</w:t>
      </w:r>
      <w:bookmarkEnd w:id="55"/>
    </w:p>
    <w:p w14:paraId="034F6B30" w14:textId="7F18849B" w:rsidR="000D1E81" w:rsidRDefault="000D1E81" w:rsidP="000D1E81">
      <w:pPr>
        <w:rPr>
          <w:lang w:eastAsia="ja-JP"/>
        </w:rPr>
      </w:pPr>
      <w:r>
        <w:rPr>
          <w:lang w:eastAsia="ja-JP"/>
        </w:rPr>
        <w:t xml:space="preserve">Trading and transporting goods across state and regional boundaries was a common concern raised by industry (producers and retailers) and government stakeholders during this </w:t>
      </w:r>
      <w:r w:rsidR="002E55CB">
        <w:rPr>
          <w:lang w:eastAsia="ja-JP"/>
        </w:rPr>
        <w:t>r</w:t>
      </w:r>
      <w:r>
        <w:rPr>
          <w:lang w:eastAsia="ja-JP"/>
        </w:rPr>
        <w:t>eview. Most domestic trade disputes appear to be long standing and primarily concern plant products</w:t>
      </w:r>
      <w:r w:rsidR="00731E88" w:rsidRPr="00D41CF5">
        <w:rPr>
          <w:lang w:eastAsia="ja-JP"/>
        </w:rPr>
        <w:t>.</w:t>
      </w:r>
    </w:p>
    <w:p w14:paraId="18CFBB86" w14:textId="314A2350" w:rsidR="000D1E81" w:rsidRDefault="00056053" w:rsidP="00001E5A">
      <w:pPr>
        <w:rPr>
          <w:lang w:eastAsia="ja-JP"/>
        </w:rPr>
      </w:pPr>
      <w:r>
        <w:rPr>
          <w:lang w:eastAsia="ja-JP"/>
        </w:rPr>
        <w:t>Clause</w:t>
      </w:r>
      <w:r w:rsidR="000D1E81">
        <w:rPr>
          <w:lang w:eastAsia="ja-JP"/>
        </w:rPr>
        <w:t xml:space="preserve"> 7.19 of the IGAB</w:t>
      </w:r>
      <w:r w:rsidR="004A1FE1">
        <w:rPr>
          <w:lang w:eastAsia="ja-JP"/>
        </w:rPr>
        <w:t xml:space="preserve"> commits signatories </w:t>
      </w:r>
      <w:r w:rsidR="000D1E81">
        <w:rPr>
          <w:lang w:eastAsia="ja-JP"/>
        </w:rPr>
        <w:t>to limit the application of interstate biosecurity measures to those necessary to mitigate risks to the economy, environment and community; the least trade restrictive and scientifically-based measures; and those necessary to achieve Australia’s ALOP. However, the Productivity Commission (</w:t>
      </w:r>
      <w:hyperlink w:anchor="PC_2017" w:history="1">
        <w:r w:rsidR="000D1E81" w:rsidRPr="00E555AA">
          <w:rPr>
            <w:rStyle w:val="Hyperlink"/>
            <w:lang w:eastAsia="ja-JP"/>
          </w:rPr>
          <w:t>PC 2017</w:t>
        </w:r>
      </w:hyperlink>
      <w:r w:rsidR="000D1E81">
        <w:rPr>
          <w:lang w:eastAsia="ja-JP"/>
        </w:rPr>
        <w:t xml:space="preserve">) found there is little information available on the </w:t>
      </w:r>
      <w:r w:rsidR="002A5FE7">
        <w:rPr>
          <w:lang w:eastAsia="ja-JP"/>
        </w:rPr>
        <w:t>effectiveness</w:t>
      </w:r>
      <w:r w:rsidR="000D1E81">
        <w:rPr>
          <w:lang w:eastAsia="ja-JP"/>
        </w:rPr>
        <w:t xml:space="preserve"> of these provisions</w:t>
      </w:r>
      <w:r w:rsidR="00001E5A">
        <w:rPr>
          <w:lang w:eastAsia="ja-JP"/>
        </w:rPr>
        <w:t xml:space="preserve"> in limiting the use of trade restrictive measures</w:t>
      </w:r>
      <w:r w:rsidR="000D1E81">
        <w:rPr>
          <w:lang w:eastAsia="ja-JP"/>
        </w:rPr>
        <w:t xml:space="preserve">—and the </w:t>
      </w:r>
      <w:r w:rsidR="00F24A64">
        <w:rPr>
          <w:lang w:eastAsia="ja-JP"/>
        </w:rPr>
        <w:t>p</w:t>
      </w:r>
      <w:r w:rsidR="000D1E81">
        <w:rPr>
          <w:lang w:eastAsia="ja-JP"/>
        </w:rPr>
        <w:t>anel notes this concern is evident in some instances.</w:t>
      </w:r>
    </w:p>
    <w:p w14:paraId="3360E4DA" w14:textId="637DD221" w:rsidR="000D1E81" w:rsidRDefault="000D1E81" w:rsidP="000D1E81">
      <w:pPr>
        <w:rPr>
          <w:lang w:eastAsia="ja-JP"/>
        </w:rPr>
      </w:pPr>
      <w:r>
        <w:rPr>
          <w:lang w:eastAsia="ja-JP"/>
        </w:rPr>
        <w:t xml:space="preserve">Some governments </w:t>
      </w:r>
      <w:r w:rsidR="004A1FE1">
        <w:rPr>
          <w:lang w:eastAsia="ja-JP"/>
        </w:rPr>
        <w:t xml:space="preserve">commented that </w:t>
      </w:r>
      <w:r>
        <w:rPr>
          <w:lang w:eastAsia="ja-JP"/>
        </w:rPr>
        <w:t>the Interstate</w:t>
      </w:r>
      <w:r w:rsidR="004A1FE1">
        <w:rPr>
          <w:lang w:eastAsia="ja-JP"/>
        </w:rPr>
        <w:t xml:space="preserve"> Certification Assurance Scheme, which provides opportunities </w:t>
      </w:r>
      <w:r>
        <w:rPr>
          <w:lang w:eastAsia="ja-JP"/>
        </w:rPr>
        <w:t xml:space="preserve">to streamline domestic trade arrangements (only plant at present) </w:t>
      </w:r>
      <w:r w:rsidR="004A1FE1">
        <w:rPr>
          <w:lang w:eastAsia="ja-JP"/>
        </w:rPr>
        <w:t>could, with increased rigour and transparency, help minimise domestic trade disputes</w:t>
      </w:r>
      <w:r>
        <w:rPr>
          <w:lang w:eastAsia="ja-JP"/>
        </w:rPr>
        <w:t xml:space="preserve">. The Queensland </w:t>
      </w:r>
      <w:r w:rsidR="00801DD8">
        <w:rPr>
          <w:lang w:eastAsia="ja-JP"/>
        </w:rPr>
        <w:t>Department of Agriculture and Fisheries</w:t>
      </w:r>
      <w:r>
        <w:rPr>
          <w:lang w:eastAsia="ja-JP"/>
        </w:rPr>
        <w:t xml:space="preserve"> believes interstate certification agreements </w:t>
      </w:r>
      <w:r w:rsidR="00AA193A">
        <w:rPr>
          <w:lang w:eastAsia="ja-JP"/>
        </w:rPr>
        <w:t>‘</w:t>
      </w:r>
      <w:r>
        <w:rPr>
          <w:lang w:eastAsia="ja-JP"/>
        </w:rPr>
        <w:t>largely operate independently of each other and would be complemented by a more strategic approach to domestic market access</w:t>
      </w:r>
      <w:r w:rsidR="00AA193A">
        <w:rPr>
          <w:lang w:eastAsia="ja-JP"/>
        </w:rPr>
        <w:t>’</w:t>
      </w:r>
      <w:r>
        <w:rPr>
          <w:lang w:eastAsia="ja-JP"/>
        </w:rPr>
        <w:t xml:space="preserve"> (sub. DP48)</w:t>
      </w:r>
      <w:r w:rsidR="000345A7">
        <w:rPr>
          <w:lang w:eastAsia="ja-JP"/>
        </w:rPr>
        <w:t>—</w:t>
      </w:r>
      <w:r>
        <w:rPr>
          <w:lang w:eastAsia="ja-JP"/>
        </w:rPr>
        <w:t>for example, development of a harmonised policy framework.</w:t>
      </w:r>
    </w:p>
    <w:p w14:paraId="2E9C2473" w14:textId="0498951A" w:rsidR="00EB6CC4" w:rsidRDefault="00EB6CC4" w:rsidP="00EB6CC4">
      <w:pPr>
        <w:rPr>
          <w:lang w:eastAsia="ja-JP"/>
        </w:rPr>
      </w:pPr>
      <w:r>
        <w:rPr>
          <w:lang w:eastAsia="ja-JP"/>
        </w:rPr>
        <w:t>The Nursery and Garden Industry Australia strongly address</w:t>
      </w:r>
      <w:r w:rsidR="00E86E69">
        <w:rPr>
          <w:lang w:eastAsia="ja-JP"/>
        </w:rPr>
        <w:t>es</w:t>
      </w:r>
      <w:r>
        <w:rPr>
          <w:lang w:eastAsia="ja-JP"/>
        </w:rPr>
        <w:t xml:space="preserve"> the need to fix domestic trade arrangements:</w:t>
      </w:r>
    </w:p>
    <w:p w14:paraId="26960CFF" w14:textId="6CF33A64" w:rsidR="00EB6CC4" w:rsidRDefault="00EB6CC4" w:rsidP="00EB6CC4">
      <w:pPr>
        <w:pStyle w:val="Quote"/>
        <w:rPr>
          <w:lang w:eastAsia="ja-JP"/>
        </w:rPr>
      </w:pPr>
      <w:r>
        <w:rPr>
          <w:lang w:eastAsia="ja-JP"/>
        </w:rPr>
        <w:t>…</w:t>
      </w:r>
      <w:r w:rsidR="00462C45">
        <w:rPr>
          <w:lang w:eastAsia="ja-JP"/>
        </w:rPr>
        <w:t xml:space="preserve"> </w:t>
      </w:r>
      <w:r>
        <w:rPr>
          <w:lang w:eastAsia="ja-JP"/>
        </w:rPr>
        <w:t>our national biosecurity system is exposed to fundamental risks due to an increasingly complex and costly domestic market access system</w:t>
      </w:r>
      <w:r w:rsidR="00D23E20">
        <w:rPr>
          <w:lang w:eastAsia="ja-JP"/>
        </w:rPr>
        <w:t xml:space="preserve"> … </w:t>
      </w:r>
      <w:r>
        <w:rPr>
          <w:lang w:eastAsia="ja-JP"/>
        </w:rPr>
        <w:t xml:space="preserve">The threat of non-compliance is increasing as government cost shifts and reduces business flexibility in servicing various supply chains. NGIA believes </w:t>
      </w:r>
      <w:r>
        <w:rPr>
          <w:lang w:eastAsia="ja-JP"/>
        </w:rPr>
        <w:lastRenderedPageBreak/>
        <w:t>this is a direct result of governments across Australia failing to fund plant biosecurity at adequate and appropriate base levels particularly in recognition of the public good</w:t>
      </w:r>
      <w:r w:rsidR="004D656A">
        <w:rPr>
          <w:lang w:eastAsia="ja-JP"/>
        </w:rPr>
        <w:t xml:space="preserve"> </w:t>
      </w:r>
      <w:r w:rsidR="006F59BA">
        <w:rPr>
          <w:lang w:eastAsia="ja-JP"/>
        </w:rPr>
        <w:t>(</w:t>
      </w:r>
      <w:r w:rsidR="006F59BA" w:rsidRPr="00AA4092">
        <w:rPr>
          <w:lang w:eastAsia="ja-JP"/>
        </w:rPr>
        <w:t>sub</w:t>
      </w:r>
      <w:r w:rsidR="00D064B1" w:rsidRPr="00AA4092">
        <w:rPr>
          <w:lang w:eastAsia="ja-JP"/>
        </w:rPr>
        <w:t>. DP23</w:t>
      </w:r>
      <w:r w:rsidR="006F59BA">
        <w:rPr>
          <w:lang w:eastAsia="ja-JP"/>
        </w:rPr>
        <w:t>)</w:t>
      </w:r>
    </w:p>
    <w:p w14:paraId="657D5579" w14:textId="320FC66F" w:rsidR="00EB6CC4" w:rsidRDefault="00EB6CC4" w:rsidP="00EB6CC4">
      <w:pPr>
        <w:rPr>
          <w:lang w:eastAsia="ja-JP"/>
        </w:rPr>
      </w:pPr>
      <w:r>
        <w:rPr>
          <w:lang w:eastAsia="ja-JP"/>
        </w:rPr>
        <w:t xml:space="preserve">The South Australian </w:t>
      </w:r>
      <w:r w:rsidR="00D23E20">
        <w:rPr>
          <w:lang w:eastAsia="ja-JP"/>
        </w:rPr>
        <w:t>G</w:t>
      </w:r>
      <w:r>
        <w:rPr>
          <w:lang w:eastAsia="ja-JP"/>
        </w:rPr>
        <w:t xml:space="preserve">overnment believes the </w:t>
      </w:r>
      <w:r w:rsidR="00F34957">
        <w:rPr>
          <w:lang w:eastAsia="ja-JP"/>
        </w:rPr>
        <w:t>Australian Government</w:t>
      </w:r>
      <w:r>
        <w:rPr>
          <w:lang w:eastAsia="ja-JP"/>
        </w:rPr>
        <w:t xml:space="preserve"> should have a proactive role in resolving significant post-border quarantine issues between the states and territories</w:t>
      </w:r>
      <w:r w:rsidR="0010762B">
        <w:rPr>
          <w:lang w:eastAsia="ja-JP"/>
        </w:rPr>
        <w:t>,</w:t>
      </w:r>
      <w:r>
        <w:rPr>
          <w:lang w:eastAsia="ja-JP"/>
        </w:rPr>
        <w:t xml:space="preserve"> including domestic trade disputes</w:t>
      </w:r>
      <w:r w:rsidR="00801DD8">
        <w:rPr>
          <w:lang w:eastAsia="ja-JP"/>
        </w:rPr>
        <w:t xml:space="preserve"> (sub. DP56)</w:t>
      </w:r>
      <w:r>
        <w:rPr>
          <w:lang w:eastAsia="ja-JP"/>
        </w:rPr>
        <w:t>. The IGAB (</w:t>
      </w:r>
      <w:r w:rsidR="00056053">
        <w:rPr>
          <w:lang w:eastAsia="ja-JP"/>
        </w:rPr>
        <w:t>clause</w:t>
      </w:r>
      <w:r>
        <w:rPr>
          <w:lang w:eastAsia="ja-JP"/>
        </w:rPr>
        <w:t xml:space="preserve"> 7.19) envisaged such a role for </w:t>
      </w:r>
      <w:r w:rsidR="002F1B82">
        <w:rPr>
          <w:lang w:eastAsia="ja-JP"/>
        </w:rPr>
        <w:t xml:space="preserve">the </w:t>
      </w:r>
      <w:r w:rsidR="0010762B">
        <w:rPr>
          <w:lang w:eastAsia="ja-JP"/>
        </w:rPr>
        <w:t>Commonwealth</w:t>
      </w:r>
      <w:r w:rsidR="000345A7">
        <w:rPr>
          <w:lang w:eastAsia="ja-JP"/>
        </w:rPr>
        <w:t>,</w:t>
      </w:r>
      <w:r>
        <w:rPr>
          <w:lang w:eastAsia="ja-JP"/>
        </w:rPr>
        <w:t xml:space="preserve"> and </w:t>
      </w:r>
      <w:r w:rsidR="00047F4F" w:rsidRPr="00047F4F">
        <w:rPr>
          <w:lang w:eastAsia="ja-JP"/>
        </w:rPr>
        <w:t xml:space="preserve">the </w:t>
      </w:r>
      <w:r w:rsidR="000345A7">
        <w:rPr>
          <w:lang w:eastAsia="ja-JP"/>
        </w:rPr>
        <w:t>p</w:t>
      </w:r>
      <w:r w:rsidR="00047F4F" w:rsidRPr="00047F4F">
        <w:rPr>
          <w:lang w:eastAsia="ja-JP"/>
        </w:rPr>
        <w:t xml:space="preserve">anel </w:t>
      </w:r>
      <w:r w:rsidR="00FF623E">
        <w:rPr>
          <w:lang w:eastAsia="ja-JP"/>
        </w:rPr>
        <w:t>understands this</w:t>
      </w:r>
      <w:r w:rsidR="00047F4F" w:rsidRPr="00047F4F">
        <w:rPr>
          <w:lang w:eastAsia="ja-JP"/>
        </w:rPr>
        <w:t xml:space="preserve"> </w:t>
      </w:r>
      <w:r>
        <w:rPr>
          <w:lang w:eastAsia="ja-JP"/>
        </w:rPr>
        <w:t xml:space="preserve">was the reason the Tasmanian </w:t>
      </w:r>
      <w:r w:rsidR="00D23E20">
        <w:rPr>
          <w:lang w:eastAsia="ja-JP"/>
        </w:rPr>
        <w:t>G</w:t>
      </w:r>
      <w:r>
        <w:rPr>
          <w:lang w:eastAsia="ja-JP"/>
        </w:rPr>
        <w:t xml:space="preserve">overnment did not sign the IGAB. The dispute resolution mechanism in the IGAB could not be drawn upon, even if there was a will to do so, as the Commonwealth had no legal basis for intervening. The </w:t>
      </w:r>
      <w:r w:rsidRPr="002F1B82">
        <w:rPr>
          <w:i/>
          <w:lang w:eastAsia="ja-JP"/>
        </w:rPr>
        <w:t>Biosecurity Act 2015</w:t>
      </w:r>
      <w:r>
        <w:rPr>
          <w:lang w:eastAsia="ja-JP"/>
        </w:rPr>
        <w:t xml:space="preserve"> </w:t>
      </w:r>
      <w:r w:rsidR="0010762B">
        <w:rPr>
          <w:lang w:eastAsia="ja-JP"/>
        </w:rPr>
        <w:t xml:space="preserve">(Cwlth) </w:t>
      </w:r>
      <w:r>
        <w:rPr>
          <w:lang w:eastAsia="ja-JP"/>
        </w:rPr>
        <w:t>similarly contains no such provisions</w:t>
      </w:r>
      <w:r w:rsidR="0010762B">
        <w:rPr>
          <w:lang w:eastAsia="ja-JP"/>
        </w:rPr>
        <w:t>.</w:t>
      </w:r>
    </w:p>
    <w:p w14:paraId="6D25C03D" w14:textId="76F1EF8F" w:rsidR="000D1E81" w:rsidRPr="008B26D6" w:rsidRDefault="000D1E81" w:rsidP="000D1E81">
      <w:pPr>
        <w:rPr>
          <w:lang w:eastAsia="ja-JP"/>
        </w:rPr>
      </w:pPr>
      <w:r w:rsidRPr="008B26D6">
        <w:rPr>
          <w:lang w:eastAsia="ja-JP"/>
        </w:rPr>
        <w:t>A comprehensive and implementable dispute resolution mechanism was approved in 2010 by agriculture ministers and is still current. The arrangement includes a dispute resolution framework and principles, along with terms of reference for a committee of experts to assess the merits of a dispute. However, jurisdictions have shown little appetite for escalating issues to agriculture CEOs and ministers, and it does not appear this process has been utilised.</w:t>
      </w:r>
    </w:p>
    <w:p w14:paraId="5C4CC318" w14:textId="3B4CD2ED" w:rsidR="000D1E81" w:rsidRPr="00436D31" w:rsidRDefault="000D1E81" w:rsidP="000D1E81">
      <w:pPr>
        <w:rPr>
          <w:lang w:eastAsia="ja-JP"/>
        </w:rPr>
      </w:pPr>
      <w:r w:rsidRPr="00436D31">
        <w:rPr>
          <w:lang w:eastAsia="ja-JP"/>
        </w:rPr>
        <w:t xml:space="preserve">Jurisdictions assert that domestic trade disputes are, in the main, being suitably handled by the NBC, with escalation of issues as required and on a case-by-case basis. Given this view, the </w:t>
      </w:r>
      <w:r w:rsidR="000345A7">
        <w:rPr>
          <w:lang w:eastAsia="ja-JP"/>
        </w:rPr>
        <w:t>p</w:t>
      </w:r>
      <w:r w:rsidRPr="00436D31">
        <w:rPr>
          <w:lang w:eastAsia="ja-JP"/>
        </w:rPr>
        <w:t xml:space="preserve">anel sees no purpose in including a prescriptive dispute resolution mechanism in the IGAB. Instead, </w:t>
      </w:r>
      <w:r w:rsidR="00F70315">
        <w:rPr>
          <w:lang w:eastAsia="ja-JP"/>
        </w:rPr>
        <w:t>clauses</w:t>
      </w:r>
      <w:r w:rsidRPr="00436D31">
        <w:rPr>
          <w:lang w:eastAsia="ja-JP"/>
        </w:rPr>
        <w:t xml:space="preserve"> 7.18 and 7.19 of the current IGAB should be replaced with the following:</w:t>
      </w:r>
    </w:p>
    <w:p w14:paraId="07E54EF5" w14:textId="58A68C37" w:rsidR="000D1E81" w:rsidRPr="00436D31" w:rsidRDefault="000D1E81" w:rsidP="00420E62">
      <w:pPr>
        <w:pStyle w:val="Quote"/>
        <w:rPr>
          <w:lang w:eastAsia="ja-JP"/>
        </w:rPr>
      </w:pPr>
      <w:r w:rsidRPr="00436D31">
        <w:rPr>
          <w:lang w:eastAsia="ja-JP"/>
        </w:rPr>
        <w:t xml:space="preserve">Where an interstate trade dispute arises between the Parties, the relevant Parties will seek to resolve the dispute through a process </w:t>
      </w:r>
      <w:r w:rsidR="00463040" w:rsidRPr="00436D31">
        <w:rPr>
          <w:i/>
          <w:lang w:eastAsia="ja-JP"/>
        </w:rPr>
        <w:t xml:space="preserve">agreed </w:t>
      </w:r>
      <w:r w:rsidRPr="00436D31">
        <w:rPr>
          <w:lang w:eastAsia="ja-JP"/>
        </w:rPr>
        <w:t xml:space="preserve">by the Parties, </w:t>
      </w:r>
      <w:r w:rsidR="006E51EB">
        <w:rPr>
          <w:lang w:eastAsia="ja-JP"/>
        </w:rPr>
        <w:t xml:space="preserve">and </w:t>
      </w:r>
      <w:r w:rsidRPr="00436D31">
        <w:rPr>
          <w:lang w:eastAsia="ja-JP"/>
        </w:rPr>
        <w:t>includ</w:t>
      </w:r>
      <w:r w:rsidR="006E51EB">
        <w:rPr>
          <w:lang w:eastAsia="ja-JP"/>
        </w:rPr>
        <w:t>e</w:t>
      </w:r>
      <w:r w:rsidRPr="00436D31">
        <w:rPr>
          <w:lang w:eastAsia="ja-JP"/>
        </w:rPr>
        <w:t xml:space="preserve"> determination on whether appropriate principles and processes were applied in imposing a biosecurity measure.</w:t>
      </w:r>
    </w:p>
    <w:p w14:paraId="0911BC30" w14:textId="3862A6DA" w:rsidR="000D1E81" w:rsidRDefault="000D1E81" w:rsidP="000D1E81">
      <w:pPr>
        <w:rPr>
          <w:lang w:eastAsia="ja-JP"/>
        </w:rPr>
      </w:pPr>
      <w:r w:rsidRPr="00436D31">
        <w:rPr>
          <w:lang w:eastAsia="ja-JP"/>
        </w:rPr>
        <w:t>Ultimately, the resolution of disputes will be dictated by the willingness of the parties to engage in a genuine process or to defer</w:t>
      </w:r>
      <w:r w:rsidR="00F02BB0">
        <w:rPr>
          <w:lang w:eastAsia="ja-JP"/>
        </w:rPr>
        <w:t xml:space="preserve"> to</w:t>
      </w:r>
      <w:r w:rsidRPr="00436D31">
        <w:rPr>
          <w:lang w:eastAsia="ja-JP"/>
        </w:rPr>
        <w:t>, and be bound by the decision of, a third party.</w:t>
      </w:r>
    </w:p>
    <w:p w14:paraId="6AE0C802" w14:textId="77777777" w:rsidR="002B4A50" w:rsidRDefault="002B4A50" w:rsidP="002F1B82">
      <w:pPr>
        <w:pStyle w:val="Heading3"/>
      </w:pPr>
      <w:bookmarkStart w:id="56" w:name="_Toc486236037"/>
      <w:r>
        <w:t>Regulatory efficiency</w:t>
      </w:r>
      <w:bookmarkEnd w:id="56"/>
    </w:p>
    <w:p w14:paraId="4C65F082" w14:textId="22CA576D" w:rsidR="002F1B82" w:rsidRDefault="002F1B82" w:rsidP="00182884">
      <w:r>
        <w:t>The</w:t>
      </w:r>
      <w:r w:rsidR="00C64286">
        <w:t xml:space="preserve"> Australian Government</w:t>
      </w:r>
      <w:r w:rsidR="00564564">
        <w:t xml:space="preserve"> </w:t>
      </w:r>
      <w:r w:rsidR="00420E62">
        <w:t>a</w:t>
      </w:r>
      <w:r>
        <w:t xml:space="preserve">griculture </w:t>
      </w:r>
      <w:r w:rsidR="00420E62">
        <w:t>department</w:t>
      </w:r>
      <w:r>
        <w:t xml:space="preserve"> controls exports of agricultural products under </w:t>
      </w:r>
      <w:r w:rsidRPr="002F1B82">
        <w:rPr>
          <w:i/>
        </w:rPr>
        <w:t>the Export Control Act 1982</w:t>
      </w:r>
      <w:r>
        <w:t xml:space="preserve"> </w:t>
      </w:r>
      <w:r w:rsidR="00C64286">
        <w:t xml:space="preserve">(Cwlth) </w:t>
      </w:r>
      <w:r>
        <w:t>and associated regulation</w:t>
      </w:r>
      <w:r w:rsidR="000E2926">
        <w:t>s</w:t>
      </w:r>
      <w:r>
        <w:t xml:space="preserve">. </w:t>
      </w:r>
      <w:r w:rsidR="00564564">
        <w:t>While</w:t>
      </w:r>
      <w:r>
        <w:t xml:space="preserve"> </w:t>
      </w:r>
      <w:r w:rsidR="00564564">
        <w:t xml:space="preserve">the legislation requires exporters to take responsibility for ensuring that Australian agricultural products meet importing country requirements, it is </w:t>
      </w:r>
      <w:r>
        <w:t xml:space="preserve">the department that </w:t>
      </w:r>
      <w:r>
        <w:lastRenderedPageBreak/>
        <w:t xml:space="preserve">bears responsibility for </w:t>
      </w:r>
      <w:r w:rsidR="00564564">
        <w:t xml:space="preserve">export certification. </w:t>
      </w:r>
      <w:r w:rsidR="00182884" w:rsidRPr="00182884">
        <w:t xml:space="preserve">In 2015–16, the department issued </w:t>
      </w:r>
      <w:r w:rsidR="00AD5BA2">
        <w:t xml:space="preserve">more than </w:t>
      </w:r>
      <w:r w:rsidR="00182884" w:rsidRPr="00182884">
        <w:t>407,</w:t>
      </w:r>
      <w:r w:rsidR="00AD2A85">
        <w:t>000</w:t>
      </w:r>
      <w:r w:rsidR="00182884" w:rsidRPr="00182884">
        <w:t xml:space="preserve"> export certificates and managed the export of </w:t>
      </w:r>
      <w:r w:rsidR="00AD5BA2">
        <w:t>more than</w:t>
      </w:r>
      <w:r w:rsidR="00182884" w:rsidRPr="00182884">
        <w:t xml:space="preserve"> </w:t>
      </w:r>
      <w:r w:rsidR="006E51EB">
        <w:t>3,000,000</w:t>
      </w:r>
      <w:r w:rsidR="00182884" w:rsidRPr="00182884">
        <w:t xml:space="preserve"> animals (</w:t>
      </w:r>
      <w:hyperlink w:anchor="DAWR_2016" w:history="1">
        <w:r w:rsidR="00182884" w:rsidRPr="002C7515">
          <w:rPr>
            <w:rStyle w:val="Hyperlink"/>
          </w:rPr>
          <w:t>DAWR 2016</w:t>
        </w:r>
      </w:hyperlink>
      <w:r w:rsidR="00182884" w:rsidRPr="00182884">
        <w:t>).</w:t>
      </w:r>
    </w:p>
    <w:p w14:paraId="7DC887C2" w14:textId="1A422D13" w:rsidR="002F1B82" w:rsidRDefault="00C64286" w:rsidP="002F1B82">
      <w:r>
        <w:t xml:space="preserve">The Australian Government </w:t>
      </w:r>
      <w:r w:rsidR="002F1B82">
        <w:t>ha</w:t>
      </w:r>
      <w:r>
        <w:t>s</w:t>
      </w:r>
      <w:r w:rsidR="002F1B82">
        <w:t xml:space="preserve"> </w:t>
      </w:r>
      <w:r>
        <w:t>made</w:t>
      </w:r>
      <w:r w:rsidR="002F1B82">
        <w:t xml:space="preserve"> a number of reforms to minimise regulatory burden and costs associated with </w:t>
      </w:r>
      <w:r>
        <w:t>its</w:t>
      </w:r>
      <w:r w:rsidR="002F1B82">
        <w:t xml:space="preserve"> export and biosecurity functions. These include modernisation of </w:t>
      </w:r>
      <w:r w:rsidR="006E51EB">
        <w:t xml:space="preserve">the </w:t>
      </w:r>
      <w:r w:rsidR="002F1B82">
        <w:t xml:space="preserve">department’s </w:t>
      </w:r>
      <w:r w:rsidR="00801DD8">
        <w:t>information and communication technology (</w:t>
      </w:r>
      <w:r w:rsidR="002F1B82">
        <w:t>ICT</w:t>
      </w:r>
      <w:r w:rsidR="00801DD8">
        <w:t>)</w:t>
      </w:r>
      <w:r w:rsidR="002F1B82">
        <w:t xml:space="preserve"> systems and service </w:t>
      </w:r>
      <w:r w:rsidR="00B038C7">
        <w:t>delivery arrangements, new cost-</w:t>
      </w:r>
      <w:r w:rsidR="002F1B82">
        <w:t xml:space="preserve">recovery arrangements, introduction of the </w:t>
      </w:r>
      <w:r w:rsidR="002F1B82" w:rsidRPr="002F1B82">
        <w:rPr>
          <w:i/>
        </w:rPr>
        <w:t>Biosecurity Act 2015</w:t>
      </w:r>
      <w:r w:rsidR="002F1B82">
        <w:t xml:space="preserve"> </w:t>
      </w:r>
      <w:r w:rsidR="00711F03">
        <w:t>(Cwlth)</w:t>
      </w:r>
      <w:r w:rsidR="004D656A">
        <w:t xml:space="preserve"> </w:t>
      </w:r>
      <w:r w:rsidR="002F1B82">
        <w:t>and a review of agricultural ex</w:t>
      </w:r>
      <w:r w:rsidR="00711F03">
        <w:t xml:space="preserve">port </w:t>
      </w:r>
      <w:r w:rsidR="00801DD8">
        <w:t xml:space="preserve">legislation </w:t>
      </w:r>
      <w:r w:rsidR="00711F03" w:rsidRPr="00FF2F5E">
        <w:t>(</w:t>
      </w:r>
      <w:hyperlink w:anchor="DAWR_2016b" w:history="1">
        <w:r w:rsidR="00711F03" w:rsidRPr="00801DD8">
          <w:rPr>
            <w:rStyle w:val="Hyperlink"/>
          </w:rPr>
          <w:t>DAWR 2016</w:t>
        </w:r>
        <w:r w:rsidR="00801DD8" w:rsidRPr="00801DD8">
          <w:rPr>
            <w:rStyle w:val="Hyperlink"/>
          </w:rPr>
          <w:t>b</w:t>
        </w:r>
      </w:hyperlink>
      <w:r w:rsidR="00711F03" w:rsidRPr="00FF2F5E">
        <w:t>)</w:t>
      </w:r>
      <w:r w:rsidR="002F1B82" w:rsidRPr="00AE0285">
        <w:t>. Similarly</w:t>
      </w:r>
      <w:r w:rsidR="002F1B82">
        <w:t>, the states and territories have been reviewing their biosecurity arrangements and are committed t</w:t>
      </w:r>
      <w:r w:rsidR="00B2636F">
        <w:t>o an ongoing process of reform.</w:t>
      </w:r>
    </w:p>
    <w:p w14:paraId="7982D1B1" w14:textId="27FA5B3B" w:rsidR="00BE440E" w:rsidRDefault="00BE440E" w:rsidP="002F1B82">
      <w:r w:rsidRPr="00436D31">
        <w:t>Jurisdictions have also moved to accept some co-regulatory arrangements with industry, where appropriate (</w:t>
      </w:r>
      <w:r w:rsidR="00462C45" w:rsidRPr="00436D31">
        <w:fldChar w:fldCharType="begin"/>
      </w:r>
      <w:r w:rsidR="00462C45" w:rsidRPr="00436D31">
        <w:instrText xml:space="preserve"> REF _Ref466897307 \h </w:instrText>
      </w:r>
      <w:r w:rsidR="00436D31">
        <w:instrText xml:space="preserve"> \* MERGEFORMAT </w:instrText>
      </w:r>
      <w:r w:rsidR="00462C45" w:rsidRPr="00436D31">
        <w:fldChar w:fldCharType="separate"/>
      </w:r>
      <w:r w:rsidR="009F6923">
        <w:t xml:space="preserve">Box </w:t>
      </w:r>
      <w:r w:rsidR="009F6923">
        <w:rPr>
          <w:noProof/>
        </w:rPr>
        <w:t>5</w:t>
      </w:r>
      <w:r w:rsidR="00462C45" w:rsidRPr="00436D31">
        <w:fldChar w:fldCharType="end"/>
      </w:r>
      <w:r w:rsidRPr="00436D31">
        <w:t xml:space="preserve">). The Australian Government </w:t>
      </w:r>
      <w:r w:rsidR="000345A7">
        <w:t xml:space="preserve">Department of Agriculture and Water Resources </w:t>
      </w:r>
      <w:r w:rsidRPr="00436D31">
        <w:t xml:space="preserve">informed the </w:t>
      </w:r>
      <w:r w:rsidR="000345A7">
        <w:t>r</w:t>
      </w:r>
      <w:r w:rsidRPr="00436D31">
        <w:t xml:space="preserve">eview that there were currently around 5,200 import arrangements in operation that are intended to facilitate trade and manage biosecurity risk. These arrangements provide for importers to undertake their own documentary assessments, biosecurity clearances or testing along their supply chain, as well as other incentives for participation. </w:t>
      </w:r>
      <w:r w:rsidRPr="00001E5A">
        <w:t xml:space="preserve">The </w:t>
      </w:r>
      <w:r w:rsidRPr="00001E5A">
        <w:rPr>
          <w:i/>
        </w:rPr>
        <w:t xml:space="preserve">Biosecurity Act 2015 </w:t>
      </w:r>
      <w:r w:rsidRPr="00001E5A">
        <w:t>(Cwlth) also provides for entry into a wide range of approved arrangements, the application of a ‘fit and proper’ test for participants and specific sanctions for non</w:t>
      </w:r>
      <w:r w:rsidR="001D29B6">
        <w:t>-</w:t>
      </w:r>
      <w:r w:rsidRPr="00001E5A">
        <w:t>compliance with the approved arrangement.</w:t>
      </w:r>
    </w:p>
    <w:p w14:paraId="110D2A32" w14:textId="39CA0926" w:rsidR="002F1B82" w:rsidRDefault="002F1B82" w:rsidP="002F1B82">
      <w:r>
        <w:t>Notwithstanding these moves, stakeholders continue to raise concerns around the red tape, time delays and cost</w:t>
      </w:r>
      <w:r w:rsidR="004D656A">
        <w:t>s</w:t>
      </w:r>
      <w:r>
        <w:t xml:space="preserve"> associated with biosecurity inspection and certification services.</w:t>
      </w:r>
    </w:p>
    <w:p w14:paraId="5A6ADF90" w14:textId="6438CCC6" w:rsidR="00BE440E" w:rsidRDefault="00BE440E" w:rsidP="002F1B82">
      <w:r w:rsidRPr="00BE440E">
        <w:t xml:space="preserve">The </w:t>
      </w:r>
      <w:r w:rsidR="006D1C23">
        <w:t>p</w:t>
      </w:r>
      <w:r w:rsidRPr="00BE440E">
        <w:t xml:space="preserve">anel believes potential exists for current compliance and assurance structures and schemes to continue to evolve. As part of this, the </w:t>
      </w:r>
      <w:r w:rsidR="006D1C23">
        <w:t>p</w:t>
      </w:r>
      <w:r w:rsidRPr="00BE440E">
        <w:t xml:space="preserve">anel encourages governments to explore the potential for introduction of further incentive-based programs </w:t>
      </w:r>
      <w:r w:rsidR="006E51EB">
        <w:t>that</w:t>
      </w:r>
      <w:r w:rsidRPr="00BE440E">
        <w:t xml:space="preserve"> reward a superior and sustained compliance culture by industry participants</w:t>
      </w:r>
      <w:r w:rsidR="00801DD8">
        <w:t>—</w:t>
      </w:r>
      <w:r w:rsidRPr="00BE440E">
        <w:t>with appropriately weighted sanctions. While there is always room for improvement, it is largely the case that the constraints applied are a combination of trading partner requirements on imports to meet their domestic legislation or to ensure a rogue event does not occur.</w:t>
      </w:r>
    </w:p>
    <w:p w14:paraId="62D123F9" w14:textId="63AE0D89" w:rsidR="00D74EF1" w:rsidRDefault="00D74EF1" w:rsidP="00001E5A">
      <w:pPr>
        <w:pStyle w:val="BoxHeading"/>
        <w:keepNext/>
      </w:pPr>
      <w:bookmarkStart w:id="57" w:name="_Ref466897307"/>
      <w:bookmarkStart w:id="58" w:name="_Ref467052815"/>
      <w:bookmarkStart w:id="59" w:name="_Toc468176748"/>
      <w:bookmarkStart w:id="60" w:name="_Toc468444397"/>
      <w:r>
        <w:lastRenderedPageBreak/>
        <w:t xml:space="preserve">Box </w:t>
      </w:r>
      <w:fldSimple w:instr=" SEQ Box \* ARABIC ">
        <w:r w:rsidR="009F6923">
          <w:rPr>
            <w:noProof/>
          </w:rPr>
          <w:t>5</w:t>
        </w:r>
      </w:fldSimple>
      <w:bookmarkEnd w:id="57"/>
      <w:r w:rsidR="00001E5A">
        <w:rPr>
          <w:noProof/>
        </w:rPr>
        <w:t xml:space="preserve"> </w:t>
      </w:r>
      <w:r w:rsidR="001418F5">
        <w:t>Government i</w:t>
      </w:r>
      <w:r>
        <w:t>ncentive</w:t>
      </w:r>
      <w:r w:rsidR="00064B7D">
        <w:t>-</w:t>
      </w:r>
      <w:r>
        <w:t>based programs</w:t>
      </w:r>
      <w:bookmarkEnd w:id="58"/>
      <w:bookmarkEnd w:id="59"/>
      <w:bookmarkEnd w:id="60"/>
    </w:p>
    <w:p w14:paraId="4919A01D" w14:textId="77777777" w:rsidR="00BE440E" w:rsidRPr="00001E5A" w:rsidRDefault="00BE440E" w:rsidP="00001E5A">
      <w:pPr>
        <w:pStyle w:val="BoxHeading"/>
        <w:keepNext/>
      </w:pPr>
      <w:r w:rsidRPr="00001E5A">
        <w:t>Australian Government Compliance-Based Inspection Scheme (CBIS)</w:t>
      </w:r>
    </w:p>
    <w:p w14:paraId="309A20CE" w14:textId="43648420" w:rsidR="00BE440E" w:rsidRDefault="00BE440E" w:rsidP="00BE440E">
      <w:pPr>
        <w:pStyle w:val="BoxText"/>
      </w:pPr>
      <w:r w:rsidRPr="00001E5A">
        <w:t xml:space="preserve">The Australian Government </w:t>
      </w:r>
      <w:r w:rsidR="007D7E14">
        <w:t>agriculture d</w:t>
      </w:r>
      <w:r w:rsidRPr="00001E5A">
        <w:t xml:space="preserve">epartment runs the </w:t>
      </w:r>
      <w:r w:rsidR="006D1C23">
        <w:t>CBIS</w:t>
      </w:r>
      <w:r w:rsidRPr="00001E5A">
        <w:t xml:space="preserve"> (formerly known as the Plant Product Pathway Q-ruler and the Continuous Sampling Plan) for the importation of certain plant products into Australia. </w:t>
      </w:r>
      <w:r w:rsidR="00236B8D">
        <w:t>CBIS</w:t>
      </w:r>
      <w:r w:rsidRPr="00001E5A">
        <w:t xml:space="preserve"> rewards importers of eligible products who demonstrate consistent compliance with biosecurity requirements by reducing the number of border inspections</w:t>
      </w:r>
      <w:r w:rsidR="00047F4F">
        <w:t xml:space="preserve"> </w:t>
      </w:r>
      <w:r w:rsidR="00047F4F" w:rsidRPr="00047F4F">
        <w:t>that they are subject to</w:t>
      </w:r>
      <w:r w:rsidRPr="00001E5A">
        <w:t>. These importers benefit from reduced inspection costs and faster clearance of goods. If non</w:t>
      </w:r>
      <w:r w:rsidR="001D29B6">
        <w:t>-</w:t>
      </w:r>
      <w:r w:rsidRPr="00001E5A">
        <w:t xml:space="preserve">compliance is detected at inspection or documentation assessment, </w:t>
      </w:r>
      <w:r w:rsidR="00A8440A">
        <w:t>the importer will return to 100 </w:t>
      </w:r>
      <w:r w:rsidRPr="00001E5A">
        <w:t>per</w:t>
      </w:r>
      <w:r w:rsidR="00A8440A">
        <w:t> </w:t>
      </w:r>
      <w:r w:rsidRPr="00001E5A">
        <w:t>cent inspection until they meet the number of clean consignments required to return to the reduced rate.</w:t>
      </w:r>
    </w:p>
    <w:p w14:paraId="4F5C9FC3" w14:textId="4FB4D3B5" w:rsidR="00241639" w:rsidRDefault="00241639" w:rsidP="00241639">
      <w:pPr>
        <w:pStyle w:val="BoxSource"/>
      </w:pPr>
      <w:r w:rsidRPr="00346F4A">
        <w:t>Source: Australian Government Department of Agriculture and</w:t>
      </w:r>
      <w:r>
        <w:t xml:space="preserve"> Water Resources</w:t>
      </w:r>
    </w:p>
    <w:p w14:paraId="6CF42DD8" w14:textId="23E93D1A" w:rsidR="00D74EF1" w:rsidRDefault="00D74EF1" w:rsidP="00BE440E">
      <w:pPr>
        <w:pStyle w:val="BoxHeading"/>
      </w:pPr>
      <w:r>
        <w:t xml:space="preserve">Interstate Certification Assurance </w:t>
      </w:r>
      <w:r w:rsidRPr="00723F58">
        <w:t>(ICA</w:t>
      </w:r>
      <w:r>
        <w:t>)</w:t>
      </w:r>
      <w:r w:rsidR="00C64286">
        <w:t xml:space="preserve"> Scheme</w:t>
      </w:r>
    </w:p>
    <w:p w14:paraId="6E8F9D25" w14:textId="022D9AAB" w:rsidR="00064B7D" w:rsidRDefault="00C64286" w:rsidP="00D74EF1">
      <w:pPr>
        <w:pStyle w:val="BoxText"/>
      </w:pPr>
      <w:r>
        <w:t xml:space="preserve">The </w:t>
      </w:r>
      <w:r w:rsidR="00064B7D" w:rsidRPr="00064B7D">
        <w:t>ICA</w:t>
      </w:r>
      <w:r>
        <w:t xml:space="preserve"> </w:t>
      </w:r>
      <w:r w:rsidR="00334BB1">
        <w:t>S</w:t>
      </w:r>
      <w:r>
        <w:t>cheme</w:t>
      </w:r>
      <w:r w:rsidR="00064B7D" w:rsidRPr="00064B7D">
        <w:t xml:space="preserve"> provides an alternative to traditional plant health certification involving government inspectors. Th</w:t>
      </w:r>
      <w:r w:rsidR="00EC2BC0">
        <w:t xml:space="preserve">is national </w:t>
      </w:r>
      <w:r w:rsidR="00064B7D" w:rsidRPr="00064B7D">
        <w:t>scheme</w:t>
      </w:r>
      <w:r w:rsidR="00EC2BC0">
        <w:t>,</w:t>
      </w:r>
      <w:r w:rsidR="00064B7D" w:rsidRPr="00064B7D">
        <w:t xml:space="preserve"> administered</w:t>
      </w:r>
      <w:r w:rsidR="00010C63">
        <w:t xml:space="preserve"> by all states and territories</w:t>
      </w:r>
      <w:r w:rsidR="00EC2BC0">
        <w:t>,</w:t>
      </w:r>
      <w:r w:rsidR="00010C63">
        <w:t xml:space="preserve"> </w:t>
      </w:r>
      <w:r w:rsidR="00064B7D" w:rsidRPr="00064B7D">
        <w:t>enables a business to be accredited by a state or territory plant quarantine authority to issue plant health assurance certificates for its produce. To be accredited, a business must be able to demonstrate it has effective in-house procedures in place that ensure produce consigned to intra</w:t>
      </w:r>
      <w:r w:rsidR="00334BB1">
        <w:t>state</w:t>
      </w:r>
      <w:r w:rsidR="00064B7D" w:rsidRPr="00064B7D">
        <w:t xml:space="preserve"> or interstate markets meets specified plant quarantine requirements. The plant quarantine authority audits compliance by the business. The </w:t>
      </w:r>
      <w:r>
        <w:t>s</w:t>
      </w:r>
      <w:r w:rsidR="00064B7D" w:rsidRPr="00064B7D">
        <w:t>cheme seeks to provide a harmonised approach to the audit and accreditation of businesses throughout Australia and the mutual recognition of plant health assurance certificates accompanying consignments of produce moving intrastate or interstate.</w:t>
      </w:r>
    </w:p>
    <w:p w14:paraId="672AB233" w14:textId="7ADBD8F4" w:rsidR="00241639" w:rsidRDefault="00241639" w:rsidP="00241639">
      <w:pPr>
        <w:pStyle w:val="BoxSource"/>
      </w:pPr>
      <w:r>
        <w:t>Source: Australian Interstate</w:t>
      </w:r>
      <w:r w:rsidRPr="00346F4A">
        <w:t xml:space="preserve"> Quarantine </w:t>
      </w:r>
      <w:hyperlink r:id="rId32" w:history="1">
        <w:r w:rsidRPr="005E58D6">
          <w:rPr>
            <w:rStyle w:val="Hyperlink"/>
          </w:rPr>
          <w:t>certification</w:t>
        </w:r>
      </w:hyperlink>
      <w:r>
        <w:t xml:space="preserve"> </w:t>
      </w:r>
      <w:r w:rsidRPr="00346F4A">
        <w:t>website</w:t>
      </w:r>
    </w:p>
    <w:p w14:paraId="273E3193" w14:textId="2A9339D6" w:rsidR="00D74EF1" w:rsidRDefault="00D74EF1" w:rsidP="00D74EF1">
      <w:pPr>
        <w:pStyle w:val="BoxHeading"/>
      </w:pPr>
      <w:r>
        <w:t xml:space="preserve">Australian Trusted Trader </w:t>
      </w:r>
      <w:r w:rsidR="00334BB1">
        <w:t>(ATT)</w:t>
      </w:r>
    </w:p>
    <w:p w14:paraId="180093F2" w14:textId="21E365B7" w:rsidR="00064B7D" w:rsidRDefault="00064B7D" w:rsidP="00064B7D">
      <w:pPr>
        <w:pStyle w:val="BoxText"/>
      </w:pPr>
      <w:r>
        <w:t>The Australian Border Force’s (ABF) voluntary trade facilitation initiative</w:t>
      </w:r>
      <w:r w:rsidR="008D1757">
        <w:t>,</w:t>
      </w:r>
      <w:r>
        <w:t xml:space="preserve"> </w:t>
      </w:r>
      <w:r w:rsidR="008D1757">
        <w:t xml:space="preserve">the </w:t>
      </w:r>
      <w:r w:rsidRPr="00723F58">
        <w:t>ATT</w:t>
      </w:r>
      <w:r w:rsidR="008D1757">
        <w:t>,</w:t>
      </w:r>
      <w:r>
        <w:t xml:space="preserve"> recognises businesses with a secure supply chain and compliant trade practices, rewarding accredited businesses with a range of trade facilitation benefits, including: a dedicated </w:t>
      </w:r>
      <w:r w:rsidR="00334BB1">
        <w:t>a</w:t>
      </w:r>
      <w:r>
        <w:t xml:space="preserve">ccount </w:t>
      </w:r>
      <w:r w:rsidR="00334BB1">
        <w:t>m</w:t>
      </w:r>
      <w:r>
        <w:t xml:space="preserve">anager; priority services; differentiated examinations </w:t>
      </w:r>
      <w:r w:rsidR="00047F4F">
        <w:t xml:space="preserve">which </w:t>
      </w:r>
      <w:r>
        <w:t xml:space="preserve">apply as they are recognised as low risk; and use of the </w:t>
      </w:r>
      <w:r w:rsidR="00334BB1">
        <w:t>ATT</w:t>
      </w:r>
      <w:r>
        <w:t xml:space="preserve"> logo. </w:t>
      </w:r>
      <w:r w:rsidR="00C64286">
        <w:t xml:space="preserve">The </w:t>
      </w:r>
      <w:r>
        <w:t>ATT is open to Australian importers, exporters and service providers such as ports, brokers and freight companies that are active in the international supply chain. Agricultural enterprises (</w:t>
      </w:r>
      <w:r w:rsidR="006F59BA">
        <w:t>for example</w:t>
      </w:r>
      <w:r w:rsidR="00152A5A">
        <w:t>,</w:t>
      </w:r>
      <w:r>
        <w:t xml:space="preserve"> Teys Australia) are participants in this program.</w:t>
      </w:r>
    </w:p>
    <w:p w14:paraId="095A01DC" w14:textId="77777777" w:rsidR="00BC28A1" w:rsidRDefault="00064B7D" w:rsidP="00BC28A1">
      <w:pPr>
        <w:pStyle w:val="BoxText"/>
      </w:pPr>
      <w:r>
        <w:t>Mutual Recognition Arrangements are being established with Australia’s key trading partners (</w:t>
      </w:r>
      <w:r w:rsidR="00D23E20">
        <w:t>for example,</w:t>
      </w:r>
      <w:r>
        <w:t xml:space="preserve"> New Zealand Customs Service) to enable Trusted Traders to access trade facilitation benefits of the reciprocal trading partner—reducing the customs regulatory burden for Australian exporters entering foreign markets. </w:t>
      </w:r>
      <w:r w:rsidR="00010C63">
        <w:t xml:space="preserve">The </w:t>
      </w:r>
      <w:r>
        <w:t>ABF has established an Industry Advisory Group to bring together representatives from industry and government to provide advice, feedback and input into the design and development of the ATT. Minutes of meetings are publicly available.</w:t>
      </w:r>
    </w:p>
    <w:p w14:paraId="32B7F1EF" w14:textId="1E4E2A70" w:rsidR="00064B7D" w:rsidRPr="003575C1" w:rsidRDefault="00241639" w:rsidP="00BC28A1">
      <w:pPr>
        <w:pStyle w:val="BoxSource"/>
      </w:pPr>
      <w:r>
        <w:t xml:space="preserve">Source: </w:t>
      </w:r>
      <w:r w:rsidR="008D72D1">
        <w:t xml:space="preserve">Australian Government </w:t>
      </w:r>
      <w:r w:rsidR="008D72D1" w:rsidRPr="00346F4A">
        <w:t xml:space="preserve">Department of Immigration and Border Protection </w:t>
      </w:r>
      <w:hyperlink r:id="rId33" w:history="1">
        <w:r w:rsidR="008D72D1" w:rsidRPr="00346F4A">
          <w:rPr>
            <w:rStyle w:val="Hyperlink"/>
          </w:rPr>
          <w:t>ATT</w:t>
        </w:r>
      </w:hyperlink>
      <w:r w:rsidR="008D72D1" w:rsidRPr="00346F4A">
        <w:t xml:space="preserve"> website</w:t>
      </w:r>
      <w:r w:rsidR="008D72D1">
        <w:t>.</w:t>
      </w:r>
    </w:p>
    <w:p w14:paraId="4BE6D45C" w14:textId="0ACD5BCC" w:rsidR="00BE440E" w:rsidRPr="00001E5A" w:rsidRDefault="00BE440E" w:rsidP="0055109D">
      <w:pPr>
        <w:pStyle w:val="Heading3"/>
      </w:pPr>
      <w:bookmarkStart w:id="61" w:name="_Toc486236038"/>
      <w:r w:rsidRPr="00001E5A">
        <w:lastRenderedPageBreak/>
        <w:t>Aligning the agendas</w:t>
      </w:r>
      <w:bookmarkEnd w:id="61"/>
    </w:p>
    <w:p w14:paraId="03476A2B" w14:textId="3720B804" w:rsidR="00BE440E" w:rsidRDefault="00BE440E" w:rsidP="00BE440E">
      <w:r w:rsidRPr="00001E5A">
        <w:t xml:space="preserve">The </w:t>
      </w:r>
      <w:r w:rsidR="00334BB1">
        <w:t>p</w:t>
      </w:r>
      <w:r w:rsidRPr="00001E5A">
        <w:t xml:space="preserve">anel believes there is scope to better align the trade, market access, biosecurity and biodiversity agendas. As the Victorian Government </w:t>
      </w:r>
      <w:r w:rsidR="00FA529C" w:rsidRPr="00001E5A">
        <w:t xml:space="preserve">(sub. DR118) </w:t>
      </w:r>
      <w:r w:rsidRPr="00001E5A">
        <w:t>points out</w:t>
      </w:r>
      <w:r w:rsidR="00FA529C" w:rsidRPr="00001E5A">
        <w:t>,</w:t>
      </w:r>
      <w:r w:rsidRPr="00001E5A">
        <w:t xml:space="preserve"> these functions are undertaken by various committees (including </w:t>
      </w:r>
      <w:r w:rsidR="00B26612">
        <w:t xml:space="preserve">the </w:t>
      </w:r>
      <w:r w:rsidRPr="00001E5A">
        <w:t>NBC and PITMATD)</w:t>
      </w:r>
      <w:r w:rsidR="00334BB1">
        <w:t>,</w:t>
      </w:r>
      <w:r w:rsidRPr="00001E5A">
        <w:t xml:space="preserve"> so it is important that market access</w:t>
      </w:r>
      <w:r w:rsidR="00334BB1">
        <w:t xml:space="preserve"> </w:t>
      </w:r>
      <w:r w:rsidRPr="00001E5A">
        <w:t xml:space="preserve">related roles of the committees and jurisdictions are clearly defined. </w:t>
      </w:r>
      <w:r w:rsidR="00334BB1">
        <w:t>Also</w:t>
      </w:r>
      <w:r w:rsidRPr="00001E5A">
        <w:t>, care will need to be exercised in arriving at a level of transparency in information that does not risk our trade.</w:t>
      </w:r>
    </w:p>
    <w:p w14:paraId="7072097E" w14:textId="5FAC391E" w:rsidR="00BE440E" w:rsidRPr="00BE440E" w:rsidRDefault="00BE440E" w:rsidP="00BE440E">
      <w:r w:rsidRPr="00BE440E">
        <w:t>Jurisdictions already have a sense of how ‘better alignment’ might be achieved. The N</w:t>
      </w:r>
      <w:r w:rsidR="005635AB">
        <w:t xml:space="preserve">ew </w:t>
      </w:r>
      <w:r w:rsidRPr="00BE440E">
        <w:t>South Wales Government (sub. DP58) proposed the following approach:</w:t>
      </w:r>
    </w:p>
    <w:p w14:paraId="61E3088E" w14:textId="390BF390" w:rsidR="00BE440E" w:rsidRPr="00BE440E" w:rsidRDefault="00334BB1" w:rsidP="000227C8">
      <w:pPr>
        <w:pStyle w:val="ListBullet"/>
      </w:pPr>
      <w:r>
        <w:t>i</w:t>
      </w:r>
      <w:r w:rsidR="00BE440E" w:rsidRPr="00BE440E">
        <w:t>dentifying biosecurity related trade limitations and agreeing to priorities and processes for overcoming these issues</w:t>
      </w:r>
    </w:p>
    <w:p w14:paraId="5DCC0B12" w14:textId="7B7AF8CE" w:rsidR="00BE440E" w:rsidRPr="00BE440E" w:rsidRDefault="00334BB1" w:rsidP="000227C8">
      <w:pPr>
        <w:pStyle w:val="ListBullet"/>
      </w:pPr>
      <w:r>
        <w:t>u</w:t>
      </w:r>
      <w:r w:rsidR="00BE440E" w:rsidRPr="00BE440E">
        <w:t>nderstanding what we need to do to demonstrate freedom from biosecurity threats to those markets</w:t>
      </w:r>
    </w:p>
    <w:p w14:paraId="77D1A96C" w14:textId="3F61678A" w:rsidR="00BE440E" w:rsidRPr="00BE440E" w:rsidRDefault="00334BB1" w:rsidP="000227C8">
      <w:pPr>
        <w:pStyle w:val="ListBullet"/>
      </w:pPr>
      <w:r>
        <w:t>u</w:t>
      </w:r>
      <w:r w:rsidR="00BE440E" w:rsidRPr="00BE440E">
        <w:t>sing available data (presence and absence) to build a cohesive picture of status-based programs</w:t>
      </w:r>
    </w:p>
    <w:p w14:paraId="415D860D" w14:textId="16CDE88F" w:rsidR="00BE440E" w:rsidRPr="00BE440E" w:rsidRDefault="00334BB1" w:rsidP="000227C8">
      <w:pPr>
        <w:pStyle w:val="ListBullet"/>
      </w:pPr>
      <w:r>
        <w:t>s</w:t>
      </w:r>
      <w:r w:rsidR="00BE440E" w:rsidRPr="00BE440E">
        <w:t>trengthening surveillance networks utilising government and non-government organisations.</w:t>
      </w:r>
    </w:p>
    <w:p w14:paraId="3BEC7744" w14:textId="37E2E9B8" w:rsidR="00BE440E" w:rsidRPr="00BE440E" w:rsidRDefault="00BE440E" w:rsidP="00BE440E">
      <w:r w:rsidRPr="00BE440E">
        <w:t xml:space="preserve">The Victorian Government (sub. DP64) proposed that the IGAB formally recognise </w:t>
      </w:r>
      <w:r w:rsidR="003C2A51">
        <w:t xml:space="preserve">the </w:t>
      </w:r>
      <w:r w:rsidRPr="00BE440E">
        <w:t>Plant Health Committee’s Trade Framework, which guides government efforts to harmonise and streamline interstate and export trade conditions. The framework comprises:</w:t>
      </w:r>
    </w:p>
    <w:p w14:paraId="79A83DAC" w14:textId="745F7E1A" w:rsidR="00BE440E" w:rsidRPr="00BE440E" w:rsidRDefault="00006C2D" w:rsidP="000227C8">
      <w:pPr>
        <w:pStyle w:val="ListBullet"/>
      </w:pPr>
      <w:r>
        <w:t>s</w:t>
      </w:r>
      <w:r w:rsidR="00BE440E" w:rsidRPr="00BE440E">
        <w:t>tandards for entry requirements, which are informed by risk analysis; pest status of the importing/exporting jurisdiction; and market access needs</w:t>
      </w:r>
    </w:p>
    <w:p w14:paraId="4652E4BF" w14:textId="32DE860B" w:rsidR="00BE440E" w:rsidRPr="00BE440E" w:rsidRDefault="00006C2D" w:rsidP="000227C8">
      <w:pPr>
        <w:pStyle w:val="ListBullet"/>
      </w:pPr>
      <w:r>
        <w:t>c</w:t>
      </w:r>
      <w:r w:rsidR="00BE440E" w:rsidRPr="00BE440E">
        <w:t xml:space="preserve">ontrols to ensure standards are met (for example, certification, registered establishments, inspection, </w:t>
      </w:r>
      <w:r w:rsidR="00334BB1">
        <w:t xml:space="preserve">and </w:t>
      </w:r>
      <w:r w:rsidR="00BE440E" w:rsidRPr="00BE440E">
        <w:t>documentation requirements)</w:t>
      </w:r>
    </w:p>
    <w:p w14:paraId="751E5790" w14:textId="43E58646" w:rsidR="00BE440E" w:rsidRPr="00BE440E" w:rsidRDefault="00006C2D" w:rsidP="000227C8">
      <w:pPr>
        <w:pStyle w:val="ListBullet"/>
      </w:pPr>
      <w:r>
        <w:t>s</w:t>
      </w:r>
      <w:r w:rsidR="00BE440E" w:rsidRPr="00BE440E">
        <w:t xml:space="preserve">ystems of compliance to provide assurance around implementation of the controls (for example, auditing, verification, </w:t>
      </w:r>
      <w:r w:rsidR="00334BB1">
        <w:t xml:space="preserve">and </w:t>
      </w:r>
      <w:r w:rsidR="00BE440E" w:rsidRPr="00BE440E">
        <w:t>non-compliance detection).</w:t>
      </w:r>
    </w:p>
    <w:p w14:paraId="0AAAD7FD" w14:textId="0E75A894" w:rsidR="00BE440E" w:rsidRPr="00310D1E" w:rsidRDefault="00BE440E" w:rsidP="00BE440E">
      <w:r w:rsidRPr="00310D1E">
        <w:t xml:space="preserve">The </w:t>
      </w:r>
      <w:r w:rsidR="007B2613">
        <w:t>p</w:t>
      </w:r>
      <w:r w:rsidRPr="00310D1E">
        <w:t>anel would support such efforts by jurisdictions to strengthen consideration of market access priorities and outcomes within the national biosecurity system and its components</w:t>
      </w:r>
      <w:r w:rsidR="002963A0" w:rsidRPr="00310D1E">
        <w:t>—</w:t>
      </w:r>
      <w:r w:rsidRPr="00310D1E">
        <w:t>and this should be facilitated through IGAB2. Enhancement and review of surveillance and diagnostic systems, research and innovation, and trac</w:t>
      </w:r>
      <w:r w:rsidR="002963A0" w:rsidRPr="00310D1E">
        <w:t>e</w:t>
      </w:r>
      <w:r w:rsidRPr="00310D1E">
        <w:t>ability systems to underpin existing and future market access arrangements would be obvious and fertile areas.</w:t>
      </w:r>
    </w:p>
    <w:p w14:paraId="1E9B332C" w14:textId="23B94150" w:rsidR="00BE440E" w:rsidRPr="00310D1E" w:rsidRDefault="00BE440E" w:rsidP="00BE440E">
      <w:r w:rsidRPr="00310D1E">
        <w:lastRenderedPageBreak/>
        <w:t>With regard to traceability, the Victorian Government (sub</w:t>
      </w:r>
      <w:r w:rsidR="002963A0" w:rsidRPr="00310D1E">
        <w:t>. DR118</w:t>
      </w:r>
      <w:r w:rsidRPr="00310D1E">
        <w:t>) proposed the development of a nationally consistent system for the allocation and use of property identification codes (PICs), which are currently administered separately by each jurisdiction according to different business rules. PICs are used extensively in the animal production industry</w:t>
      </w:r>
      <w:r w:rsidR="00001E5A">
        <w:t xml:space="preserve"> for livestock identification and traceability,</w:t>
      </w:r>
      <w:r w:rsidRPr="00310D1E">
        <w:t xml:space="preserve"> but </w:t>
      </w:r>
      <w:r w:rsidR="007B2613">
        <w:t xml:space="preserve">they are used </w:t>
      </w:r>
      <w:r w:rsidRPr="00310D1E">
        <w:t xml:space="preserve">far less in the plant production sector. The </w:t>
      </w:r>
      <w:r w:rsidR="007B2613">
        <w:t>p</w:t>
      </w:r>
      <w:r w:rsidRPr="00310D1E">
        <w:t>anel strongly agrees that the value of PICs in market (domestic and international) and biosecurity terms would be substantial if a unified, national system</w:t>
      </w:r>
      <w:r w:rsidR="00001E5A">
        <w:t xml:space="preserve"> tied to GPS data</w:t>
      </w:r>
      <w:r w:rsidRPr="00310D1E">
        <w:t xml:space="preserve"> was adopted across the animal and </w:t>
      </w:r>
      <w:r w:rsidR="00B2636F">
        <w:t>major plant production sectors.</w:t>
      </w:r>
    </w:p>
    <w:p w14:paraId="0B4BBC32" w14:textId="77777777" w:rsidR="00BE440E" w:rsidRPr="00892D9E" w:rsidRDefault="00BE440E" w:rsidP="00BE440E">
      <w:pPr>
        <w:pStyle w:val="BoxHeading"/>
        <w:shd w:val="clear" w:color="auto" w:fill="D9D9D9" w:themeFill="background1" w:themeFillShade="D9"/>
        <w:rPr>
          <w:sz w:val="22"/>
        </w:rPr>
      </w:pPr>
      <w:bookmarkStart w:id="62" w:name="_Ref482708917"/>
      <w:bookmarkStart w:id="63" w:name="_Toc467231857"/>
      <w:r w:rsidRPr="00892D9E">
        <w:rPr>
          <w:sz w:val="22"/>
        </w:rPr>
        <w:t xml:space="preserve">Recommendation </w:t>
      </w:r>
      <w:r w:rsidR="00264490" w:rsidRPr="00892D9E">
        <w:rPr>
          <w:sz w:val="22"/>
        </w:rPr>
        <w:fldChar w:fldCharType="begin"/>
      </w:r>
      <w:r w:rsidR="00264490" w:rsidRPr="00892D9E">
        <w:rPr>
          <w:sz w:val="22"/>
        </w:rPr>
        <w:instrText xml:space="preserve"> SEQ Recommendation \* ARABIC </w:instrText>
      </w:r>
      <w:r w:rsidR="00264490" w:rsidRPr="00892D9E">
        <w:rPr>
          <w:sz w:val="22"/>
        </w:rPr>
        <w:fldChar w:fldCharType="separate"/>
      </w:r>
      <w:r w:rsidR="009F6923">
        <w:rPr>
          <w:noProof/>
          <w:sz w:val="22"/>
        </w:rPr>
        <w:t>5</w:t>
      </w:r>
      <w:r w:rsidR="00264490" w:rsidRPr="00892D9E">
        <w:rPr>
          <w:noProof/>
          <w:sz w:val="22"/>
        </w:rPr>
        <w:fldChar w:fldCharType="end"/>
      </w:r>
      <w:bookmarkEnd w:id="62"/>
    </w:p>
    <w:p w14:paraId="43BA5A40" w14:textId="77777777" w:rsidR="00BE440E" w:rsidRPr="00892D9E" w:rsidRDefault="00BE440E" w:rsidP="00BE440E">
      <w:pPr>
        <w:pStyle w:val="BoxText"/>
        <w:shd w:val="clear" w:color="auto" w:fill="D9D9D9" w:themeFill="background1" w:themeFillShade="D9"/>
        <w:rPr>
          <w:sz w:val="22"/>
        </w:rPr>
      </w:pPr>
      <w:r w:rsidRPr="00892D9E">
        <w:rPr>
          <w:sz w:val="22"/>
        </w:rPr>
        <w:t>IGAB2 should facilitate greater consideration by governments of market access priorities and outcomes within the national biosecurity system:</w:t>
      </w:r>
    </w:p>
    <w:p w14:paraId="5F25227D" w14:textId="150B5D80" w:rsidR="00BE440E" w:rsidRPr="00892D9E" w:rsidRDefault="007B2613" w:rsidP="00BE440E">
      <w:pPr>
        <w:pStyle w:val="BoxTextBullet"/>
        <w:shd w:val="clear" w:color="auto" w:fill="D9D9D9" w:themeFill="background1" w:themeFillShade="D9"/>
        <w:rPr>
          <w:sz w:val="22"/>
        </w:rPr>
      </w:pPr>
      <w:r>
        <w:rPr>
          <w:sz w:val="22"/>
        </w:rPr>
        <w:t>B</w:t>
      </w:r>
      <w:r w:rsidR="00BE440E" w:rsidRPr="00892D9E">
        <w:rPr>
          <w:sz w:val="22"/>
        </w:rPr>
        <w:t>iosecurity surveillance activities should include pests and diseases and common pathways that pose the greatest threat to our export markets and tourism</w:t>
      </w:r>
      <w:r>
        <w:rPr>
          <w:sz w:val="22"/>
        </w:rPr>
        <w:t>.</w:t>
      </w:r>
    </w:p>
    <w:bookmarkEnd w:id="63"/>
    <w:p w14:paraId="2EA8FC10" w14:textId="599B2862" w:rsidR="00BE440E" w:rsidRPr="00892D9E" w:rsidRDefault="00BE440E" w:rsidP="00BE440E">
      <w:pPr>
        <w:pStyle w:val="BoxTextBullet"/>
        <w:shd w:val="clear" w:color="auto" w:fill="D9D9D9" w:themeFill="background1" w:themeFillShade="D9"/>
        <w:rPr>
          <w:sz w:val="22"/>
        </w:rPr>
      </w:pPr>
      <w:r w:rsidRPr="00892D9E">
        <w:rPr>
          <w:sz w:val="22"/>
        </w:rPr>
        <w:t>IGAB2 should clarify the roles and responsibilities of the parties with regard to international and domestic market access, including proof of area freedom</w:t>
      </w:r>
      <w:r w:rsidR="00B45227">
        <w:rPr>
          <w:sz w:val="22"/>
        </w:rPr>
        <w:t>.</w:t>
      </w:r>
    </w:p>
    <w:p w14:paraId="1CFD3BFC" w14:textId="77777777" w:rsidR="00BE440E" w:rsidRPr="00892D9E" w:rsidRDefault="00BE440E" w:rsidP="00BE440E">
      <w:pPr>
        <w:pStyle w:val="BoxHeading"/>
        <w:shd w:val="clear" w:color="auto" w:fill="D9D9D9" w:themeFill="background1" w:themeFillShade="D9"/>
        <w:rPr>
          <w:sz w:val="22"/>
        </w:rPr>
      </w:pPr>
      <w:bookmarkStart w:id="64" w:name="_Ref482708905"/>
      <w:r w:rsidRPr="00892D9E">
        <w:rPr>
          <w:sz w:val="22"/>
        </w:rPr>
        <w:t xml:space="preserve">Recommendation </w:t>
      </w:r>
      <w:r w:rsidR="00264490" w:rsidRPr="00892D9E">
        <w:rPr>
          <w:sz w:val="22"/>
        </w:rPr>
        <w:fldChar w:fldCharType="begin"/>
      </w:r>
      <w:r w:rsidR="00264490" w:rsidRPr="00892D9E">
        <w:rPr>
          <w:sz w:val="22"/>
        </w:rPr>
        <w:instrText xml:space="preserve"> SEQ Recommendation \* ARABIC </w:instrText>
      </w:r>
      <w:r w:rsidR="00264490" w:rsidRPr="00892D9E">
        <w:rPr>
          <w:sz w:val="22"/>
        </w:rPr>
        <w:fldChar w:fldCharType="separate"/>
      </w:r>
      <w:r w:rsidR="009F6923">
        <w:rPr>
          <w:noProof/>
          <w:sz w:val="22"/>
        </w:rPr>
        <w:t>6</w:t>
      </w:r>
      <w:r w:rsidR="00264490" w:rsidRPr="00892D9E">
        <w:rPr>
          <w:noProof/>
          <w:sz w:val="22"/>
        </w:rPr>
        <w:fldChar w:fldCharType="end"/>
      </w:r>
      <w:bookmarkEnd w:id="64"/>
    </w:p>
    <w:p w14:paraId="24996547" w14:textId="396063F8" w:rsidR="00BE440E" w:rsidRPr="00892D9E" w:rsidRDefault="00BE440E" w:rsidP="00BE440E">
      <w:pPr>
        <w:pStyle w:val="BoxText"/>
        <w:shd w:val="clear" w:color="auto" w:fill="D9D9D9" w:themeFill="background1" w:themeFillShade="D9"/>
        <w:rPr>
          <w:sz w:val="22"/>
        </w:rPr>
      </w:pPr>
      <w:r w:rsidRPr="00892D9E">
        <w:rPr>
          <w:sz w:val="22"/>
        </w:rPr>
        <w:t>Jurisdictions should develop a nationally consistent system for the allocation and use of property identification codes (PICs) across the animal and major plant production sectors.</w:t>
      </w:r>
    </w:p>
    <w:p w14:paraId="0A3D0405" w14:textId="607BB536" w:rsidR="00561771" w:rsidRDefault="008F2A54" w:rsidP="00561771">
      <w:pPr>
        <w:pStyle w:val="Heading2"/>
      </w:pPr>
      <w:bookmarkStart w:id="65" w:name="_Stronger_Environmental_biosecurity"/>
      <w:bookmarkStart w:id="66" w:name="_Stronger_community_and"/>
      <w:bookmarkStart w:id="67" w:name="_Toc486236039"/>
      <w:bookmarkEnd w:id="65"/>
      <w:bookmarkEnd w:id="66"/>
      <w:r>
        <w:lastRenderedPageBreak/>
        <w:t>Stronger e</w:t>
      </w:r>
      <w:r w:rsidR="00561771">
        <w:t>nvironmental biosecurity</w:t>
      </w:r>
      <w:bookmarkEnd w:id="67"/>
    </w:p>
    <w:p w14:paraId="61CFE9C3" w14:textId="77777777" w:rsidR="00A7534A" w:rsidRPr="00A65627" w:rsidRDefault="00A7534A" w:rsidP="00A7534A">
      <w:pPr>
        <w:pStyle w:val="BoxHeading"/>
        <w:rPr>
          <w:sz w:val="22"/>
          <w:lang w:eastAsia="ja-JP"/>
        </w:rPr>
      </w:pPr>
      <w:r w:rsidRPr="00A65627">
        <w:rPr>
          <w:sz w:val="22"/>
          <w:lang w:eastAsia="ja-JP"/>
        </w:rPr>
        <w:t>Key points</w:t>
      </w:r>
    </w:p>
    <w:p w14:paraId="310E882E" w14:textId="77777777" w:rsidR="00B2646B" w:rsidRDefault="00B2646B" w:rsidP="00B2646B">
      <w:pPr>
        <w:pStyle w:val="BoxTextBullet"/>
        <w:rPr>
          <w:sz w:val="22"/>
          <w:lang w:eastAsia="ja-JP"/>
        </w:rPr>
      </w:pPr>
      <w:r w:rsidRPr="00A65627">
        <w:rPr>
          <w:sz w:val="22"/>
          <w:lang w:eastAsia="ja-JP"/>
        </w:rPr>
        <w:t>Environmental biosecur</w:t>
      </w:r>
      <w:r>
        <w:rPr>
          <w:sz w:val="22"/>
          <w:lang w:eastAsia="ja-JP"/>
        </w:rPr>
        <w:t xml:space="preserve">ity encompasses natural </w:t>
      </w:r>
      <w:r w:rsidRPr="00A65627">
        <w:rPr>
          <w:sz w:val="22"/>
          <w:lang w:eastAsia="ja-JP"/>
        </w:rPr>
        <w:t>ecosystems and social amenity.</w:t>
      </w:r>
    </w:p>
    <w:p w14:paraId="2F25FEEA" w14:textId="77777777" w:rsidR="00F02BB0" w:rsidRDefault="00F02BB0" w:rsidP="00F02BB0">
      <w:pPr>
        <w:pStyle w:val="BoxTextBullet"/>
        <w:rPr>
          <w:sz w:val="22"/>
          <w:lang w:eastAsia="ja-JP"/>
        </w:rPr>
      </w:pPr>
      <w:r w:rsidRPr="00A65627">
        <w:rPr>
          <w:sz w:val="22"/>
          <w:lang w:eastAsia="ja-JP"/>
        </w:rPr>
        <w:t>Incursions of exotic</w:t>
      </w:r>
      <w:r>
        <w:rPr>
          <w:sz w:val="22"/>
          <w:lang w:eastAsia="ja-JP"/>
        </w:rPr>
        <w:t xml:space="preserve"> organisms harmful to Australia’</w:t>
      </w:r>
      <w:r w:rsidRPr="00A65627">
        <w:rPr>
          <w:sz w:val="22"/>
          <w:lang w:eastAsia="ja-JP"/>
        </w:rPr>
        <w:t xml:space="preserve">s environment </w:t>
      </w:r>
      <w:r>
        <w:rPr>
          <w:sz w:val="22"/>
          <w:lang w:eastAsia="ja-JP"/>
        </w:rPr>
        <w:t xml:space="preserve">and its citizens </w:t>
      </w:r>
      <w:r w:rsidRPr="00A65627">
        <w:rPr>
          <w:sz w:val="22"/>
          <w:lang w:eastAsia="ja-JP"/>
        </w:rPr>
        <w:t>are a regular occurrence.</w:t>
      </w:r>
    </w:p>
    <w:p w14:paraId="158B0EBA" w14:textId="21210497" w:rsidR="00B2646B" w:rsidRPr="00A65627" w:rsidRDefault="00B2646B" w:rsidP="00047F4F">
      <w:pPr>
        <w:pStyle w:val="BoxTextBullet"/>
        <w:rPr>
          <w:lang w:eastAsia="ja-JP"/>
        </w:rPr>
      </w:pPr>
      <w:r w:rsidRPr="00A04B46">
        <w:rPr>
          <w:sz w:val="22"/>
          <w:lang w:eastAsia="ja-JP"/>
        </w:rPr>
        <w:t xml:space="preserve">In recent years, pest incursions potentially impacting </w:t>
      </w:r>
      <w:r w:rsidR="00D72B36">
        <w:rPr>
          <w:sz w:val="22"/>
          <w:lang w:eastAsia="ja-JP"/>
        </w:rPr>
        <w:t xml:space="preserve">on </w:t>
      </w:r>
      <w:r w:rsidRPr="00A04B46">
        <w:rPr>
          <w:sz w:val="22"/>
          <w:lang w:eastAsia="ja-JP"/>
        </w:rPr>
        <w:t>the social amenity and wellbeing of Australian citizens have imposed the greatest challenge and financial burden to control and eradicate</w:t>
      </w:r>
      <w:r w:rsidR="00D72B36">
        <w:rPr>
          <w:sz w:val="22"/>
          <w:lang w:eastAsia="ja-JP"/>
        </w:rPr>
        <w:t>—</w:t>
      </w:r>
      <w:r w:rsidRPr="00A04B46">
        <w:rPr>
          <w:sz w:val="22"/>
          <w:lang w:eastAsia="ja-JP"/>
        </w:rPr>
        <w:t xml:space="preserve">for example, </w:t>
      </w:r>
      <w:r w:rsidR="00225EC7">
        <w:rPr>
          <w:sz w:val="22"/>
          <w:lang w:eastAsia="ja-JP"/>
        </w:rPr>
        <w:t xml:space="preserve">the </w:t>
      </w:r>
      <w:r w:rsidR="00D72B36">
        <w:rPr>
          <w:sz w:val="22"/>
          <w:lang w:eastAsia="ja-JP"/>
        </w:rPr>
        <w:t>red import fire ant (R</w:t>
      </w:r>
      <w:r w:rsidR="0002178A" w:rsidRPr="00A04B46">
        <w:rPr>
          <w:sz w:val="22"/>
          <w:lang w:eastAsia="ja-JP"/>
        </w:rPr>
        <w:t>IFA</w:t>
      </w:r>
      <w:r w:rsidR="00D72B36">
        <w:rPr>
          <w:sz w:val="22"/>
          <w:lang w:eastAsia="ja-JP"/>
        </w:rPr>
        <w:t>)</w:t>
      </w:r>
      <w:r w:rsidR="00225EC7">
        <w:rPr>
          <w:sz w:val="22"/>
          <w:lang w:eastAsia="ja-JP"/>
        </w:rPr>
        <w:t xml:space="preserve"> eradication program in south-east Queens</w:t>
      </w:r>
      <w:r w:rsidR="00C8718C">
        <w:rPr>
          <w:sz w:val="22"/>
          <w:lang w:eastAsia="ja-JP"/>
        </w:rPr>
        <w:t>land has been going for over 15 </w:t>
      </w:r>
      <w:r w:rsidR="00225EC7">
        <w:rPr>
          <w:sz w:val="22"/>
          <w:lang w:eastAsia="ja-JP"/>
        </w:rPr>
        <w:t>years and</w:t>
      </w:r>
      <w:r w:rsidR="00047F4F" w:rsidRPr="00047F4F">
        <w:t xml:space="preserve"> </w:t>
      </w:r>
      <w:r w:rsidR="00047F4F" w:rsidRPr="00047F4F">
        <w:rPr>
          <w:sz w:val="22"/>
          <w:lang w:eastAsia="ja-JP"/>
        </w:rPr>
        <w:t xml:space="preserve">has </w:t>
      </w:r>
      <w:r w:rsidR="00225EC7">
        <w:rPr>
          <w:sz w:val="22"/>
          <w:lang w:eastAsia="ja-JP"/>
        </w:rPr>
        <w:t xml:space="preserve">so far </w:t>
      </w:r>
      <w:r w:rsidR="00B942A2">
        <w:rPr>
          <w:sz w:val="22"/>
          <w:lang w:eastAsia="ja-JP"/>
        </w:rPr>
        <w:t>cost over $340 </w:t>
      </w:r>
      <w:r w:rsidR="00047F4F" w:rsidRPr="00047F4F">
        <w:rPr>
          <w:sz w:val="22"/>
          <w:lang w:eastAsia="ja-JP"/>
        </w:rPr>
        <w:t>million.</w:t>
      </w:r>
    </w:p>
    <w:p w14:paraId="0447615B" w14:textId="649C8F8A" w:rsidR="00B2646B" w:rsidRPr="00A65627" w:rsidRDefault="00D72B36" w:rsidP="00B2646B">
      <w:pPr>
        <w:pStyle w:val="BoxTextBullet"/>
        <w:rPr>
          <w:sz w:val="22"/>
          <w:lang w:eastAsia="ja-JP"/>
        </w:rPr>
      </w:pPr>
      <w:r>
        <w:rPr>
          <w:sz w:val="22"/>
          <w:lang w:eastAsia="ja-JP"/>
        </w:rPr>
        <w:t>Australia’</w:t>
      </w:r>
      <w:r w:rsidR="00B2646B" w:rsidRPr="00A65627">
        <w:rPr>
          <w:sz w:val="22"/>
          <w:lang w:eastAsia="ja-JP"/>
        </w:rPr>
        <w:t>s success in both trade and tourism depends to an increasing degree on our</w:t>
      </w:r>
      <w:r w:rsidR="00B2646B">
        <w:rPr>
          <w:sz w:val="22"/>
          <w:lang w:eastAsia="ja-JP"/>
        </w:rPr>
        <w:t xml:space="preserve"> </w:t>
      </w:r>
      <w:r w:rsidR="00B2646B" w:rsidRPr="00A65627">
        <w:rPr>
          <w:sz w:val="22"/>
          <w:lang w:eastAsia="ja-JP"/>
        </w:rPr>
        <w:t>clean, green, biodiverse</w:t>
      </w:r>
      <w:r w:rsidR="00B2646B">
        <w:rPr>
          <w:sz w:val="22"/>
          <w:lang w:eastAsia="ja-JP"/>
        </w:rPr>
        <w:t xml:space="preserve"> and largely pristine natural</w:t>
      </w:r>
      <w:r w:rsidR="00B2646B" w:rsidRPr="00A65627">
        <w:rPr>
          <w:sz w:val="22"/>
          <w:lang w:eastAsia="ja-JP"/>
        </w:rPr>
        <w:t xml:space="preserve"> environment.</w:t>
      </w:r>
      <w:r w:rsidR="00ED5128">
        <w:rPr>
          <w:sz w:val="22"/>
          <w:lang w:eastAsia="ja-JP"/>
        </w:rPr>
        <w:t xml:space="preserve"> Australia’s environment also supports natural resource industries, including fisheries and aquaculture, which are embedded in natural environments.</w:t>
      </w:r>
    </w:p>
    <w:p w14:paraId="416E83E0" w14:textId="77777777" w:rsidR="00B2646B" w:rsidRPr="00A65627" w:rsidRDefault="00B2646B" w:rsidP="00B2646B">
      <w:pPr>
        <w:pStyle w:val="BoxTextBullet"/>
        <w:rPr>
          <w:sz w:val="22"/>
          <w:lang w:eastAsia="ja-JP"/>
        </w:rPr>
      </w:pPr>
      <w:r w:rsidRPr="00A65627">
        <w:rPr>
          <w:sz w:val="22"/>
          <w:lang w:eastAsia="ja-JP"/>
        </w:rPr>
        <w:t xml:space="preserve">Environmental biosecurity efforts often have private as well as public benefits, but costs are largely borne by governments. Private contributions are </w:t>
      </w:r>
      <w:r>
        <w:rPr>
          <w:sz w:val="22"/>
          <w:lang w:eastAsia="ja-JP"/>
        </w:rPr>
        <w:t>minimal</w:t>
      </w:r>
      <w:r w:rsidRPr="00A65627">
        <w:rPr>
          <w:sz w:val="22"/>
          <w:lang w:eastAsia="ja-JP"/>
        </w:rPr>
        <w:t>.</w:t>
      </w:r>
    </w:p>
    <w:p w14:paraId="47C5FB78" w14:textId="5AD2BC7B" w:rsidR="00B2646B" w:rsidRPr="00A65627" w:rsidRDefault="00B2646B" w:rsidP="00B2646B">
      <w:pPr>
        <w:pStyle w:val="BoxTextBullet"/>
        <w:rPr>
          <w:sz w:val="22"/>
          <w:lang w:eastAsia="ja-JP"/>
        </w:rPr>
      </w:pPr>
      <w:r w:rsidRPr="00A65627">
        <w:rPr>
          <w:sz w:val="22"/>
          <w:lang w:eastAsia="ja-JP"/>
        </w:rPr>
        <w:t>Environmental considerations should be comparable to human health and primary production with respect to biosecurity, and</w:t>
      </w:r>
      <w:r w:rsidR="00047F4F">
        <w:rPr>
          <w:sz w:val="22"/>
          <w:lang w:eastAsia="ja-JP"/>
        </w:rPr>
        <w:t xml:space="preserve"> comprehensive</w:t>
      </w:r>
      <w:r w:rsidRPr="00A65627">
        <w:rPr>
          <w:sz w:val="22"/>
          <w:lang w:eastAsia="ja-JP"/>
        </w:rPr>
        <w:t xml:space="preserve"> national arrangements need to be explicitly developed (pre-border, at the border and post-border) to address environmental </w:t>
      </w:r>
      <w:r>
        <w:rPr>
          <w:sz w:val="22"/>
          <w:lang w:eastAsia="ja-JP"/>
        </w:rPr>
        <w:t xml:space="preserve">biosecurity </w:t>
      </w:r>
      <w:r w:rsidRPr="00A65627">
        <w:rPr>
          <w:sz w:val="22"/>
          <w:lang w:eastAsia="ja-JP"/>
        </w:rPr>
        <w:t>risks.</w:t>
      </w:r>
    </w:p>
    <w:p w14:paraId="114D154B" w14:textId="5F0C11EC" w:rsidR="00B2646B" w:rsidRDefault="00B2646B" w:rsidP="00B2646B">
      <w:pPr>
        <w:pStyle w:val="BoxTextBullet"/>
        <w:rPr>
          <w:sz w:val="22"/>
          <w:lang w:eastAsia="ja-JP"/>
        </w:rPr>
      </w:pPr>
      <w:r w:rsidRPr="00A65627">
        <w:rPr>
          <w:sz w:val="22"/>
          <w:lang w:eastAsia="ja-JP"/>
        </w:rPr>
        <w:t>Environment agencies need to be more engaged and play a far stronger and more direct role in the development of national biosecurity policy and in response arrangements, particularly in those situations where a newly introduced pest</w:t>
      </w:r>
      <w:r>
        <w:rPr>
          <w:sz w:val="22"/>
          <w:lang w:eastAsia="ja-JP"/>
        </w:rPr>
        <w:t xml:space="preserve"> or disease</w:t>
      </w:r>
      <w:r w:rsidRPr="00A65627">
        <w:rPr>
          <w:sz w:val="22"/>
          <w:lang w:eastAsia="ja-JP"/>
        </w:rPr>
        <w:t xml:space="preserve"> </w:t>
      </w:r>
      <w:r w:rsidR="00F04BC6">
        <w:rPr>
          <w:sz w:val="22"/>
          <w:lang w:eastAsia="ja-JP"/>
        </w:rPr>
        <w:t xml:space="preserve">primarily </w:t>
      </w:r>
      <w:r>
        <w:rPr>
          <w:sz w:val="22"/>
          <w:lang w:eastAsia="ja-JP"/>
        </w:rPr>
        <w:t>impact</w:t>
      </w:r>
      <w:r w:rsidR="00F04BC6">
        <w:rPr>
          <w:sz w:val="22"/>
          <w:lang w:eastAsia="ja-JP"/>
        </w:rPr>
        <w:t>s</w:t>
      </w:r>
      <w:r>
        <w:rPr>
          <w:sz w:val="22"/>
          <w:lang w:eastAsia="ja-JP"/>
        </w:rPr>
        <w:t xml:space="preserve"> </w:t>
      </w:r>
      <w:r w:rsidR="00B83A08">
        <w:rPr>
          <w:sz w:val="22"/>
          <w:lang w:eastAsia="ja-JP"/>
        </w:rPr>
        <w:t xml:space="preserve">on </w:t>
      </w:r>
      <w:r>
        <w:rPr>
          <w:sz w:val="22"/>
          <w:lang w:eastAsia="ja-JP"/>
        </w:rPr>
        <w:t xml:space="preserve">the natural </w:t>
      </w:r>
      <w:r w:rsidRPr="00A65627">
        <w:rPr>
          <w:sz w:val="22"/>
          <w:lang w:eastAsia="ja-JP"/>
        </w:rPr>
        <w:t>environment.</w:t>
      </w:r>
    </w:p>
    <w:p w14:paraId="5536AAE6" w14:textId="77777777" w:rsidR="00B2646B" w:rsidRPr="00A65627" w:rsidRDefault="00B2646B" w:rsidP="00B2646B">
      <w:pPr>
        <w:pStyle w:val="BoxTextBullet"/>
        <w:rPr>
          <w:sz w:val="22"/>
          <w:lang w:eastAsia="ja-JP"/>
        </w:rPr>
      </w:pPr>
      <w:r>
        <w:rPr>
          <w:sz w:val="22"/>
          <w:lang w:eastAsia="ja-JP"/>
        </w:rPr>
        <w:t>Environmental and social amenity stakeholders need to be involved in the biosecurity system.</w:t>
      </w:r>
    </w:p>
    <w:p w14:paraId="2D470C6D" w14:textId="785D1A7E" w:rsidR="00B2646B" w:rsidRPr="00A65627" w:rsidRDefault="00B2646B" w:rsidP="00B2646B">
      <w:pPr>
        <w:pStyle w:val="BoxTextBullet"/>
        <w:rPr>
          <w:sz w:val="22"/>
          <w:lang w:eastAsia="ja-JP"/>
        </w:rPr>
      </w:pPr>
      <w:r w:rsidRPr="00A65627">
        <w:rPr>
          <w:sz w:val="22"/>
          <w:lang w:eastAsia="ja-JP"/>
        </w:rPr>
        <w:t>Stakeholders are divided on how to strengthen environmental biosecurity arrangements: create equivalent arrangements to agriculture; or integrate environment</w:t>
      </w:r>
      <w:r>
        <w:rPr>
          <w:sz w:val="22"/>
          <w:lang w:eastAsia="ja-JP"/>
        </w:rPr>
        <w:t xml:space="preserve"> and social amenity </w:t>
      </w:r>
      <w:r w:rsidRPr="00A65627">
        <w:rPr>
          <w:sz w:val="22"/>
          <w:lang w:eastAsia="ja-JP"/>
        </w:rPr>
        <w:t>into existing arrangements.</w:t>
      </w:r>
    </w:p>
    <w:p w14:paraId="7B8CF06D" w14:textId="5EAC59AA" w:rsidR="00B2646B" w:rsidRDefault="00001E5A" w:rsidP="00B2646B">
      <w:pPr>
        <w:rPr>
          <w:lang w:eastAsia="ja-JP"/>
        </w:rPr>
      </w:pPr>
      <w:r>
        <w:rPr>
          <w:lang w:eastAsia="ja-JP"/>
        </w:rPr>
        <w:lastRenderedPageBreak/>
        <w:t>T</w:t>
      </w:r>
      <w:r w:rsidR="00B2646B">
        <w:rPr>
          <w:lang w:eastAsia="ja-JP"/>
        </w:rPr>
        <w:t>he</w:t>
      </w:r>
      <w:r w:rsidR="002963A0">
        <w:rPr>
          <w:lang w:eastAsia="ja-JP"/>
        </w:rPr>
        <w:t xml:space="preserve"> Australian Government</w:t>
      </w:r>
      <w:r w:rsidR="00B2646B">
        <w:rPr>
          <w:lang w:eastAsia="ja-JP"/>
        </w:rPr>
        <w:t xml:space="preserve"> </w:t>
      </w:r>
      <w:r w:rsidR="00F903A6">
        <w:rPr>
          <w:lang w:eastAsia="ja-JP"/>
        </w:rPr>
        <w:t>Department of the Environment and Energy’s</w:t>
      </w:r>
      <w:r w:rsidR="00EB44A7">
        <w:rPr>
          <w:lang w:eastAsia="ja-JP"/>
        </w:rPr>
        <w:t xml:space="preserve"> </w:t>
      </w:r>
      <w:hyperlink r:id="rId34" w:history="1">
        <w:r w:rsidR="00EB44A7" w:rsidRPr="00EB44A7">
          <w:rPr>
            <w:rStyle w:val="Hyperlink"/>
            <w:lang w:eastAsia="ja-JP"/>
          </w:rPr>
          <w:t>invasive species</w:t>
        </w:r>
      </w:hyperlink>
      <w:r w:rsidR="00B2646B">
        <w:rPr>
          <w:lang w:eastAsia="ja-JP"/>
        </w:rPr>
        <w:t xml:space="preserve"> </w:t>
      </w:r>
      <w:r w:rsidR="007300DC">
        <w:rPr>
          <w:lang w:eastAsia="ja-JP"/>
        </w:rPr>
        <w:t xml:space="preserve">website </w:t>
      </w:r>
      <w:r w:rsidR="00B2646B">
        <w:rPr>
          <w:lang w:eastAsia="ja-JP"/>
        </w:rPr>
        <w:t>define</w:t>
      </w:r>
      <w:r w:rsidR="00EB44A7">
        <w:rPr>
          <w:lang w:eastAsia="ja-JP"/>
        </w:rPr>
        <w:t>s</w:t>
      </w:r>
      <w:r w:rsidR="00B2646B">
        <w:rPr>
          <w:lang w:eastAsia="ja-JP"/>
        </w:rPr>
        <w:t xml:space="preserve"> environmental biosecurity as</w:t>
      </w:r>
      <w:r w:rsidR="00D44AD2">
        <w:rPr>
          <w:lang w:eastAsia="ja-JP"/>
        </w:rPr>
        <w:t xml:space="preserve"> follows</w:t>
      </w:r>
      <w:r w:rsidR="00B2646B">
        <w:rPr>
          <w:lang w:eastAsia="ja-JP"/>
        </w:rPr>
        <w:t>:</w:t>
      </w:r>
    </w:p>
    <w:p w14:paraId="68F06E6C" w14:textId="44A083CB" w:rsidR="00B2646B" w:rsidRDefault="00B2646B" w:rsidP="00B2646B">
      <w:pPr>
        <w:pStyle w:val="Quote"/>
        <w:rPr>
          <w:lang w:eastAsia="ja-JP"/>
        </w:rPr>
      </w:pPr>
      <w:r>
        <w:rPr>
          <w:lang w:eastAsia="ja-JP"/>
        </w:rPr>
        <w:t>Environmental biosecurity is the protection of the environment and social amenity from the negative effects associated with invasive species; including weeds, pests and diseases. It occurs across the entire biosecurity continuum: pre-border preparedness, border protection and post</w:t>
      </w:r>
      <w:r w:rsidR="00D53BE6">
        <w:rPr>
          <w:lang w:eastAsia="ja-JP"/>
        </w:rPr>
        <w:t>-border management and control.</w:t>
      </w:r>
    </w:p>
    <w:p w14:paraId="6AC90391" w14:textId="700EBD41" w:rsidR="00B2646B" w:rsidRDefault="0064537B" w:rsidP="00B2646B">
      <w:pPr>
        <w:rPr>
          <w:lang w:eastAsia="ja-JP"/>
        </w:rPr>
      </w:pPr>
      <w:r>
        <w:rPr>
          <w:lang w:eastAsia="ja-JP"/>
        </w:rPr>
        <w:t xml:space="preserve">This </w:t>
      </w:r>
      <w:r w:rsidR="00D44AD2">
        <w:rPr>
          <w:lang w:eastAsia="ja-JP"/>
        </w:rPr>
        <w:t>r</w:t>
      </w:r>
      <w:r w:rsidR="00B2646B">
        <w:rPr>
          <w:lang w:eastAsia="ja-JP"/>
        </w:rPr>
        <w:t xml:space="preserve">eview has adopted the following definition of environmental biosecurity, which is more </w:t>
      </w:r>
      <w:r>
        <w:rPr>
          <w:lang w:eastAsia="ja-JP"/>
        </w:rPr>
        <w:t xml:space="preserve">appropriately </w:t>
      </w:r>
      <w:r w:rsidR="00B2646B">
        <w:rPr>
          <w:lang w:eastAsia="ja-JP"/>
        </w:rPr>
        <w:t xml:space="preserve">aligned with the definition of biosecurity under the </w:t>
      </w:r>
      <w:r w:rsidR="00731E88">
        <w:rPr>
          <w:lang w:eastAsia="ja-JP"/>
        </w:rPr>
        <w:t>IGAB:</w:t>
      </w:r>
    </w:p>
    <w:p w14:paraId="3C9AC5D1" w14:textId="007F6AF1" w:rsidR="00B2646B" w:rsidRPr="00D44AD2" w:rsidRDefault="00B2646B" w:rsidP="00D44AD2">
      <w:pPr>
        <w:pStyle w:val="Quote"/>
      </w:pPr>
      <w:r>
        <w:rPr>
          <w:lang w:eastAsia="ja-JP"/>
        </w:rPr>
        <w:t>Environmental biosecurity is the management of risks to the natural environment, and to social amenity, of pests and diseases entering</w:t>
      </w:r>
      <w:r w:rsidR="00001E5A">
        <w:rPr>
          <w:lang w:eastAsia="ja-JP"/>
        </w:rPr>
        <w:t>, emerging, establishing</w:t>
      </w:r>
      <w:r>
        <w:rPr>
          <w:lang w:eastAsia="ja-JP"/>
        </w:rPr>
        <w:t xml:space="preserve"> or spreading (IGAB </w:t>
      </w:r>
      <w:r w:rsidR="00D44AD2">
        <w:rPr>
          <w:lang w:eastAsia="ja-JP"/>
        </w:rPr>
        <w:t>r</w:t>
      </w:r>
      <w:r>
        <w:rPr>
          <w:lang w:eastAsia="ja-JP"/>
        </w:rPr>
        <w:t>eview 2017)</w:t>
      </w:r>
    </w:p>
    <w:p w14:paraId="69775605" w14:textId="77777777" w:rsidR="00A7534A" w:rsidRDefault="00A7534A" w:rsidP="00A7534A">
      <w:pPr>
        <w:pStyle w:val="Heading3"/>
        <w:rPr>
          <w:lang w:eastAsia="ja-JP"/>
        </w:rPr>
      </w:pPr>
      <w:bookmarkStart w:id="68" w:name="_Toc486236040"/>
      <w:r>
        <w:rPr>
          <w:lang w:eastAsia="ja-JP"/>
        </w:rPr>
        <w:t>The problem for governments</w:t>
      </w:r>
      <w:bookmarkEnd w:id="68"/>
    </w:p>
    <w:p w14:paraId="4C5ACF4A" w14:textId="493EB419" w:rsidR="00B2646B" w:rsidRDefault="00B2646B" w:rsidP="00B2646B">
      <w:pPr>
        <w:rPr>
          <w:lang w:eastAsia="ja-JP"/>
        </w:rPr>
      </w:pPr>
      <w:r>
        <w:rPr>
          <w:lang w:eastAsia="ja-JP"/>
        </w:rPr>
        <w:t xml:space="preserve">Environmental biosecurity has long been viewed as subordinate, including in funding terms, to agricultural biosecurity in the national </w:t>
      </w:r>
      <w:r w:rsidR="0064537B">
        <w:rPr>
          <w:lang w:eastAsia="ja-JP"/>
        </w:rPr>
        <w:t xml:space="preserve">biosecurity </w:t>
      </w:r>
      <w:r>
        <w:rPr>
          <w:lang w:eastAsia="ja-JP"/>
        </w:rPr>
        <w:t>system. Biosecurity efforts for agriculture have clear economic drivers (for example, minimising production losses</w:t>
      </w:r>
      <w:r w:rsidR="00685F89">
        <w:rPr>
          <w:lang w:eastAsia="ja-JP"/>
        </w:rPr>
        <w:t xml:space="preserve"> and</w:t>
      </w:r>
      <w:r>
        <w:rPr>
          <w:lang w:eastAsia="ja-JP"/>
        </w:rPr>
        <w:t xml:space="preserve"> maintaining and gaining market access), whereas environmental biosecurity efforts are viewed as ‘public good’ activities and are </w:t>
      </w:r>
      <w:r w:rsidR="00685F89">
        <w:rPr>
          <w:lang w:eastAsia="ja-JP"/>
        </w:rPr>
        <w:t xml:space="preserve">therefore </w:t>
      </w:r>
      <w:r>
        <w:rPr>
          <w:lang w:eastAsia="ja-JP"/>
        </w:rPr>
        <w:t xml:space="preserve">left to governments to fund and implement. In reality, biosecurity incursions often have both production and environmental impacts, </w:t>
      </w:r>
      <w:r w:rsidR="00685F89">
        <w:rPr>
          <w:lang w:eastAsia="ja-JP"/>
        </w:rPr>
        <w:t xml:space="preserve">and this </w:t>
      </w:r>
      <w:r>
        <w:rPr>
          <w:lang w:eastAsia="ja-JP"/>
        </w:rPr>
        <w:t>blurs roles and responsibilities and decisions around who benefits and who pays.</w:t>
      </w:r>
      <w:r w:rsidR="00ED5128">
        <w:rPr>
          <w:lang w:eastAsia="ja-JP"/>
        </w:rPr>
        <w:t xml:space="preserve"> </w:t>
      </w:r>
      <w:r w:rsidR="0067085E">
        <w:rPr>
          <w:lang w:eastAsia="ja-JP"/>
        </w:rPr>
        <w:t>F</w:t>
      </w:r>
      <w:r w:rsidR="004A2AFF">
        <w:rPr>
          <w:lang w:eastAsia="ja-JP"/>
        </w:rPr>
        <w:t>or</w:t>
      </w:r>
      <w:r w:rsidR="0067085E">
        <w:rPr>
          <w:lang w:eastAsia="ja-JP"/>
        </w:rPr>
        <w:t xml:space="preserve"> </w:t>
      </w:r>
      <w:r w:rsidR="00FE53FB">
        <w:rPr>
          <w:lang w:eastAsia="ja-JP"/>
        </w:rPr>
        <w:t>industry</w:t>
      </w:r>
      <w:r w:rsidR="004A2AFF">
        <w:rPr>
          <w:lang w:eastAsia="ja-JP"/>
        </w:rPr>
        <w:t>,</w:t>
      </w:r>
      <w:r w:rsidR="00FE53FB">
        <w:rPr>
          <w:lang w:eastAsia="ja-JP"/>
        </w:rPr>
        <w:t xml:space="preserve"> </w:t>
      </w:r>
      <w:r w:rsidR="004A2AFF">
        <w:rPr>
          <w:lang w:eastAsia="ja-JP"/>
        </w:rPr>
        <w:t xml:space="preserve">its reputation and </w:t>
      </w:r>
      <w:r w:rsidR="00FE53FB">
        <w:rPr>
          <w:lang w:eastAsia="ja-JP"/>
        </w:rPr>
        <w:t xml:space="preserve">social licence to operate </w:t>
      </w:r>
      <w:r w:rsidR="004A2AFF">
        <w:rPr>
          <w:lang w:eastAsia="ja-JP"/>
        </w:rPr>
        <w:t xml:space="preserve">should </w:t>
      </w:r>
      <w:r w:rsidR="00FE53FB">
        <w:rPr>
          <w:lang w:eastAsia="ja-JP"/>
        </w:rPr>
        <w:t>drive it</w:t>
      </w:r>
      <w:r w:rsidR="0067085E">
        <w:rPr>
          <w:lang w:eastAsia="ja-JP"/>
        </w:rPr>
        <w:t>s</w:t>
      </w:r>
      <w:r w:rsidR="00FE53FB">
        <w:rPr>
          <w:lang w:eastAsia="ja-JP"/>
        </w:rPr>
        <w:t xml:space="preserve"> engage</w:t>
      </w:r>
      <w:r w:rsidR="0067085E">
        <w:rPr>
          <w:lang w:eastAsia="ja-JP"/>
        </w:rPr>
        <w:t>ment</w:t>
      </w:r>
      <w:r w:rsidR="00FE53FB">
        <w:rPr>
          <w:lang w:eastAsia="ja-JP"/>
        </w:rPr>
        <w:t xml:space="preserve"> on environmental biosecurity issues</w:t>
      </w:r>
      <w:r w:rsidR="00C9549B">
        <w:rPr>
          <w:lang w:eastAsia="ja-JP"/>
        </w:rPr>
        <w:t>—</w:t>
      </w:r>
      <w:r w:rsidR="00FE53FB">
        <w:rPr>
          <w:lang w:eastAsia="ja-JP"/>
        </w:rPr>
        <w:t>for example</w:t>
      </w:r>
      <w:r w:rsidR="00C9549B">
        <w:rPr>
          <w:lang w:eastAsia="ja-JP"/>
        </w:rPr>
        <w:t>,</w:t>
      </w:r>
      <w:r w:rsidR="00FE53FB">
        <w:rPr>
          <w:lang w:eastAsia="ja-JP"/>
        </w:rPr>
        <w:t xml:space="preserve"> </w:t>
      </w:r>
      <w:r w:rsidR="0067085E">
        <w:rPr>
          <w:lang w:eastAsia="ja-JP"/>
        </w:rPr>
        <w:t xml:space="preserve">the involvement of </w:t>
      </w:r>
      <w:r w:rsidR="00FE53FB">
        <w:rPr>
          <w:lang w:eastAsia="ja-JP"/>
        </w:rPr>
        <w:t xml:space="preserve">port authorities and </w:t>
      </w:r>
      <w:r w:rsidR="0067085E">
        <w:rPr>
          <w:lang w:eastAsia="ja-JP"/>
        </w:rPr>
        <w:t>oil and gas companies in marine pest surveillance.</w:t>
      </w:r>
    </w:p>
    <w:p w14:paraId="52CF176F" w14:textId="033FB4A8" w:rsidR="00B2646B" w:rsidRDefault="00B2646B" w:rsidP="00B2646B">
      <w:pPr>
        <w:rPr>
          <w:lang w:eastAsia="ja-JP"/>
        </w:rPr>
      </w:pPr>
      <w:r>
        <w:rPr>
          <w:lang w:eastAsia="ja-JP"/>
        </w:rPr>
        <w:t xml:space="preserve">Agriculture and primary industry agencies, both at </w:t>
      </w:r>
      <w:r w:rsidRPr="00685F89">
        <w:rPr>
          <w:lang w:eastAsia="ja-JP"/>
        </w:rPr>
        <w:t xml:space="preserve">the </w:t>
      </w:r>
      <w:r w:rsidR="00C470E0" w:rsidRPr="00685F89">
        <w:rPr>
          <w:lang w:eastAsia="ja-JP"/>
        </w:rPr>
        <w:t>Australian Government</w:t>
      </w:r>
      <w:r w:rsidR="00C470E0">
        <w:rPr>
          <w:lang w:eastAsia="ja-JP"/>
        </w:rPr>
        <w:t xml:space="preserve"> </w:t>
      </w:r>
      <w:r>
        <w:rPr>
          <w:lang w:eastAsia="ja-JP"/>
        </w:rPr>
        <w:t>and state and territory levels, have explicitly or by default largely taken responsibility for environmental biosecurity, primarily because they have existing arrangements, technical expertise and structures in place upon which to draw—</w:t>
      </w:r>
      <w:r w:rsidR="00685F89">
        <w:rPr>
          <w:lang w:eastAsia="ja-JP"/>
        </w:rPr>
        <w:t>al</w:t>
      </w:r>
      <w:r>
        <w:rPr>
          <w:lang w:eastAsia="ja-JP"/>
        </w:rPr>
        <w:t>though they have less expertise in environmental management and risk ide</w:t>
      </w:r>
      <w:r w:rsidR="0043587A">
        <w:rPr>
          <w:lang w:eastAsia="ja-JP"/>
        </w:rPr>
        <w:t xml:space="preserve">ntification to support decision </w:t>
      </w:r>
      <w:r>
        <w:rPr>
          <w:lang w:eastAsia="ja-JP"/>
        </w:rPr>
        <w:t>making. These agencies</w:t>
      </w:r>
      <w:r w:rsidR="00047F4F" w:rsidRPr="00047F4F">
        <w:t xml:space="preserve"> </w:t>
      </w:r>
      <w:r w:rsidR="00047F4F" w:rsidRPr="00047F4F">
        <w:rPr>
          <w:lang w:eastAsia="ja-JP"/>
        </w:rPr>
        <w:t>have largely</w:t>
      </w:r>
      <w:r>
        <w:rPr>
          <w:lang w:eastAsia="ja-JP"/>
        </w:rPr>
        <w:t xml:space="preserve"> fund</w:t>
      </w:r>
      <w:r w:rsidR="00047F4F">
        <w:rPr>
          <w:lang w:eastAsia="ja-JP"/>
        </w:rPr>
        <w:t>ed</w:t>
      </w:r>
      <w:r>
        <w:rPr>
          <w:lang w:eastAsia="ja-JP"/>
        </w:rPr>
        <w:t xml:space="preserve"> environmental biosecurity from within their existing budgets, leading some government and industry stakeholders to question the financial sustainability of such arrangements and opportunity costs for primary production outcomes.</w:t>
      </w:r>
    </w:p>
    <w:p w14:paraId="6DC2D716" w14:textId="57AEF43A" w:rsidR="00B2646B" w:rsidRDefault="00B2646B" w:rsidP="00B2646B">
      <w:pPr>
        <w:rPr>
          <w:lang w:eastAsia="ja-JP"/>
        </w:rPr>
      </w:pPr>
      <w:r>
        <w:rPr>
          <w:lang w:eastAsia="ja-JP"/>
        </w:rPr>
        <w:lastRenderedPageBreak/>
        <w:t>The numbers of invasive species in a region or country have been shown to be related to gross levels of trade (</w:t>
      </w:r>
      <w:hyperlink w:anchor="Paini_et_al_2016" w:history="1">
        <w:r w:rsidRPr="00BC245E">
          <w:rPr>
            <w:rStyle w:val="Hyperlink"/>
            <w:lang w:eastAsia="ja-JP"/>
          </w:rPr>
          <w:t>Paini et al. 2016</w:t>
        </w:r>
      </w:hyperlink>
      <w:r>
        <w:rPr>
          <w:lang w:eastAsia="ja-JP"/>
        </w:rPr>
        <w:t>). The 2015 Senate Standing Committee on Environment and Communications References Committee inquiry into environmental biosecurity (</w:t>
      </w:r>
      <w:hyperlink w:anchor="Commonwealth_of_Australia_2015" w:history="1">
        <w:r w:rsidRPr="00BC245E">
          <w:rPr>
            <w:rStyle w:val="Hyperlink"/>
            <w:lang w:eastAsia="ja-JP"/>
          </w:rPr>
          <w:t>Commonwealth of Australia 2015</w:t>
        </w:r>
      </w:hyperlink>
      <w:r>
        <w:rPr>
          <w:lang w:eastAsia="ja-JP"/>
        </w:rPr>
        <w:t>) found that incursions of exotic organisms harmful to Australia’s environment are a regular occurrence. The Australian Government’s submission to that inquiry (</w:t>
      </w:r>
      <w:hyperlink w:anchor="Australian_Government_2014" w:history="1">
        <w:r w:rsidRPr="00BC245E">
          <w:rPr>
            <w:rStyle w:val="Hyperlink"/>
            <w:lang w:eastAsia="ja-JP"/>
          </w:rPr>
          <w:t>Australian Government 2014</w:t>
        </w:r>
      </w:hyperlink>
      <w:r>
        <w:rPr>
          <w:lang w:eastAsia="ja-JP"/>
        </w:rPr>
        <w:t xml:space="preserve">) detailed more than </w:t>
      </w:r>
      <w:r w:rsidR="004B6CD8">
        <w:rPr>
          <w:lang w:eastAsia="ja-JP"/>
        </w:rPr>
        <w:t>thirty</w:t>
      </w:r>
      <w:r>
        <w:rPr>
          <w:lang w:eastAsia="ja-JP"/>
        </w:rPr>
        <w:t xml:space="preserve"> incursions of exotic pests and diseases </w:t>
      </w:r>
      <w:r w:rsidR="004B6CD8">
        <w:rPr>
          <w:lang w:eastAsia="ja-JP"/>
        </w:rPr>
        <w:t xml:space="preserve">with the potential to impact the environment </w:t>
      </w:r>
      <w:r>
        <w:rPr>
          <w:lang w:eastAsia="ja-JP"/>
        </w:rPr>
        <w:t>detected within Australia since 1</w:t>
      </w:r>
      <w:r w:rsidR="001D29B6">
        <w:rPr>
          <w:lang w:eastAsia="ja-JP"/>
        </w:rPr>
        <w:t> </w:t>
      </w:r>
      <w:r>
        <w:rPr>
          <w:lang w:eastAsia="ja-JP"/>
        </w:rPr>
        <w:t xml:space="preserve">January 2009. A significant number of these were plant pests that were found not technically feasible to eradicate. However, the </w:t>
      </w:r>
      <w:r w:rsidR="004B6CD8">
        <w:rPr>
          <w:lang w:eastAsia="ja-JP"/>
        </w:rPr>
        <w:t>c</w:t>
      </w:r>
      <w:r>
        <w:rPr>
          <w:lang w:eastAsia="ja-JP"/>
        </w:rPr>
        <w:t>ommittee found that evaluating the significance of this pattern of incursions is not straightforward and there are no absolute markers of success or failure against Australia’s level of biosecurity protection of ‘very low but not zero’.</w:t>
      </w:r>
    </w:p>
    <w:p w14:paraId="27F3B534" w14:textId="14E27AA3" w:rsidR="00A7534A" w:rsidRDefault="00B2646B" w:rsidP="00BC28A1">
      <w:pPr>
        <w:rPr>
          <w:lang w:eastAsia="ja-JP"/>
        </w:rPr>
      </w:pPr>
      <w:r>
        <w:rPr>
          <w:lang w:eastAsia="ja-JP"/>
        </w:rPr>
        <w:t xml:space="preserve">While the </w:t>
      </w:r>
      <w:r w:rsidR="004B6CD8">
        <w:rPr>
          <w:lang w:eastAsia="ja-JP"/>
        </w:rPr>
        <w:t>p</w:t>
      </w:r>
      <w:r>
        <w:rPr>
          <w:lang w:eastAsia="ja-JP"/>
        </w:rPr>
        <w:t>anel generally agrees with this finding, environmental biosecurity</w:t>
      </w:r>
      <w:r w:rsidR="007D7E14">
        <w:rPr>
          <w:lang w:eastAsia="ja-JP"/>
        </w:rPr>
        <w:t xml:space="preserve"> efforts (including </w:t>
      </w:r>
      <w:r w:rsidR="00522BEA">
        <w:rPr>
          <w:lang w:eastAsia="ja-JP"/>
        </w:rPr>
        <w:t xml:space="preserve">for </w:t>
      </w:r>
      <w:r w:rsidR="007D7E14">
        <w:rPr>
          <w:lang w:eastAsia="ja-JP"/>
        </w:rPr>
        <w:t xml:space="preserve">social amenity) </w:t>
      </w:r>
      <w:r>
        <w:rPr>
          <w:lang w:eastAsia="ja-JP"/>
        </w:rPr>
        <w:t>ha</w:t>
      </w:r>
      <w:r w:rsidR="004B6CD8">
        <w:rPr>
          <w:lang w:eastAsia="ja-JP"/>
        </w:rPr>
        <w:t>ve</w:t>
      </w:r>
      <w:r>
        <w:rPr>
          <w:lang w:eastAsia="ja-JP"/>
        </w:rPr>
        <w:t xml:space="preserve"> dominated the emergency response efforts and agency budgets in recent years</w:t>
      </w:r>
      <w:r w:rsidR="00BC03B7">
        <w:rPr>
          <w:lang w:eastAsia="ja-JP"/>
        </w:rPr>
        <w:t xml:space="preserve"> (</w:t>
      </w:r>
      <w:r w:rsidR="00BC28A1">
        <w:rPr>
          <w:lang w:eastAsia="ja-JP"/>
        </w:rPr>
        <w:fldChar w:fldCharType="begin"/>
      </w:r>
      <w:r w:rsidR="00BC28A1">
        <w:rPr>
          <w:lang w:eastAsia="ja-JP"/>
        </w:rPr>
        <w:instrText xml:space="preserve"> REF _Ref484093646 \h </w:instrText>
      </w:r>
      <w:r w:rsidR="00BC28A1">
        <w:rPr>
          <w:lang w:eastAsia="ja-JP"/>
        </w:rPr>
      </w:r>
      <w:r w:rsidR="00BC28A1">
        <w:rPr>
          <w:lang w:eastAsia="ja-JP"/>
        </w:rPr>
        <w:fldChar w:fldCharType="separate"/>
      </w:r>
      <w:r w:rsidR="009F6923" w:rsidRPr="00375F10">
        <w:t xml:space="preserve">Table </w:t>
      </w:r>
      <w:r w:rsidR="009F6923">
        <w:rPr>
          <w:noProof/>
        </w:rPr>
        <w:t>1</w:t>
      </w:r>
      <w:r w:rsidR="00BC28A1">
        <w:rPr>
          <w:lang w:eastAsia="ja-JP"/>
        </w:rPr>
        <w:fldChar w:fldCharType="end"/>
      </w:r>
      <w:r w:rsidR="00BC03B7">
        <w:rPr>
          <w:lang w:eastAsia="ja-JP"/>
        </w:rPr>
        <w:t>)</w:t>
      </w:r>
      <w:r>
        <w:rPr>
          <w:lang w:eastAsia="ja-JP"/>
        </w:rPr>
        <w:t xml:space="preserve">, particularly in relation to incursions of various tramp ants. Ongoing stakeholder concerns about the effectiveness of existing national arrangements to address environmental biosecurity risks elevated this issue </w:t>
      </w:r>
      <w:r w:rsidRPr="00522BEA">
        <w:rPr>
          <w:lang w:eastAsia="ja-JP"/>
        </w:rPr>
        <w:t xml:space="preserve">as a key area for this </w:t>
      </w:r>
      <w:r w:rsidR="004B6CD8">
        <w:rPr>
          <w:lang w:eastAsia="ja-JP"/>
        </w:rPr>
        <w:t>r</w:t>
      </w:r>
      <w:r w:rsidRPr="00522BEA">
        <w:rPr>
          <w:lang w:eastAsia="ja-JP"/>
        </w:rPr>
        <w:t>eview. Of note is the number of off-deed responses, which mostly pre-date</w:t>
      </w:r>
      <w:r w:rsidR="00522BEA" w:rsidRPr="00522BEA">
        <w:rPr>
          <w:lang w:eastAsia="ja-JP"/>
        </w:rPr>
        <w:t xml:space="preserve"> the</w:t>
      </w:r>
      <w:r w:rsidRPr="00522BEA">
        <w:rPr>
          <w:lang w:eastAsia="ja-JP"/>
        </w:rPr>
        <w:t xml:space="preserve"> N</w:t>
      </w:r>
      <w:r w:rsidR="004B6CD8">
        <w:rPr>
          <w:lang w:eastAsia="ja-JP"/>
        </w:rPr>
        <w:t xml:space="preserve">ational </w:t>
      </w:r>
      <w:r w:rsidR="004B6CD8" w:rsidRPr="00522BEA">
        <w:rPr>
          <w:lang w:eastAsia="ja-JP"/>
        </w:rPr>
        <w:t>E</w:t>
      </w:r>
      <w:r w:rsidR="004B6CD8">
        <w:rPr>
          <w:lang w:eastAsia="ja-JP"/>
        </w:rPr>
        <w:t xml:space="preserve">nvironmental </w:t>
      </w:r>
      <w:r w:rsidRPr="00522BEA">
        <w:rPr>
          <w:lang w:eastAsia="ja-JP"/>
        </w:rPr>
        <w:t>B</w:t>
      </w:r>
      <w:r w:rsidR="004B6CD8">
        <w:rPr>
          <w:lang w:eastAsia="ja-JP"/>
        </w:rPr>
        <w:t xml:space="preserve">iosecurity </w:t>
      </w:r>
      <w:r w:rsidRPr="00522BEA">
        <w:rPr>
          <w:lang w:eastAsia="ja-JP"/>
        </w:rPr>
        <w:t>R</w:t>
      </w:r>
      <w:r w:rsidR="004B6CD8">
        <w:rPr>
          <w:lang w:eastAsia="ja-JP"/>
        </w:rPr>
        <w:t xml:space="preserve">esponse </w:t>
      </w:r>
      <w:r w:rsidRPr="00522BEA">
        <w:rPr>
          <w:lang w:eastAsia="ja-JP"/>
        </w:rPr>
        <w:t>A</w:t>
      </w:r>
      <w:r w:rsidR="004B6CD8">
        <w:rPr>
          <w:lang w:eastAsia="ja-JP"/>
        </w:rPr>
        <w:t>greement (NEBRA)</w:t>
      </w:r>
      <w:r>
        <w:rPr>
          <w:lang w:eastAsia="ja-JP"/>
        </w:rPr>
        <w:t xml:space="preserve">. The agricultural parasitic weed, </w:t>
      </w:r>
      <w:r w:rsidR="004B6CD8">
        <w:rPr>
          <w:lang w:eastAsia="ja-JP"/>
        </w:rPr>
        <w:t>r</w:t>
      </w:r>
      <w:r>
        <w:rPr>
          <w:lang w:eastAsia="ja-JP"/>
        </w:rPr>
        <w:t xml:space="preserve">ed </w:t>
      </w:r>
      <w:r w:rsidR="004B6CD8">
        <w:rPr>
          <w:lang w:eastAsia="ja-JP"/>
        </w:rPr>
        <w:t>w</w:t>
      </w:r>
      <w:r>
        <w:rPr>
          <w:lang w:eastAsia="ja-JP"/>
        </w:rPr>
        <w:t>itchweed (</w:t>
      </w:r>
      <w:r w:rsidRPr="00677EB9">
        <w:rPr>
          <w:i/>
          <w:lang w:eastAsia="ja-JP"/>
        </w:rPr>
        <w:t>Striga asiatica</w:t>
      </w:r>
      <w:r>
        <w:rPr>
          <w:lang w:eastAsia="ja-JP"/>
        </w:rPr>
        <w:t>), was excluded from the Emergency Plant Pest Response Deed (EPPRD) (</w:t>
      </w:r>
      <w:r w:rsidR="00047F4F">
        <w:rPr>
          <w:lang w:eastAsia="ja-JP"/>
        </w:rPr>
        <w:t>because it is</w:t>
      </w:r>
      <w:r>
        <w:rPr>
          <w:lang w:eastAsia="ja-JP"/>
        </w:rPr>
        <w:t xml:space="preserve"> a weed) and </w:t>
      </w:r>
      <w:r w:rsidRPr="00522BEA">
        <w:rPr>
          <w:lang w:eastAsia="ja-JP"/>
        </w:rPr>
        <w:t>from</w:t>
      </w:r>
      <w:r w:rsidR="00522BEA" w:rsidRPr="00522BEA">
        <w:rPr>
          <w:lang w:eastAsia="ja-JP"/>
        </w:rPr>
        <w:t xml:space="preserve"> the</w:t>
      </w:r>
      <w:r w:rsidRPr="00522BEA">
        <w:rPr>
          <w:lang w:eastAsia="ja-JP"/>
        </w:rPr>
        <w:t xml:space="preserve"> N</w:t>
      </w:r>
      <w:r>
        <w:rPr>
          <w:lang w:eastAsia="ja-JP"/>
        </w:rPr>
        <w:t>EBRA because its impact is agricultural, not environmental, illustrating a gap in the current system.</w:t>
      </w:r>
    </w:p>
    <w:p w14:paraId="51E6EC11" w14:textId="05900132" w:rsidR="007C349C" w:rsidRDefault="007C349C" w:rsidP="007C349C">
      <w:pPr>
        <w:pStyle w:val="Caption"/>
        <w:rPr>
          <w:lang w:eastAsia="ja-JP"/>
        </w:rPr>
      </w:pPr>
      <w:bookmarkStart w:id="69" w:name="_Ref484093646"/>
      <w:r w:rsidRPr="00375F10">
        <w:t xml:space="preserve">Table </w:t>
      </w:r>
      <w:fldSimple w:instr=" SEQ Table \* ARABIC ">
        <w:r w:rsidR="009F6923">
          <w:rPr>
            <w:noProof/>
          </w:rPr>
          <w:t>1</w:t>
        </w:r>
      </w:fldSimple>
      <w:bookmarkEnd w:id="69"/>
      <w:r w:rsidRPr="00375F10">
        <w:t xml:space="preserve"> </w:t>
      </w:r>
      <w:r w:rsidR="003C57CC">
        <w:t>Current n</w:t>
      </w:r>
      <w:r w:rsidRPr="00375F10">
        <w:t xml:space="preserve">ationally funded emergency </w:t>
      </w:r>
      <w:r w:rsidRPr="00920E20">
        <w:t xml:space="preserve">responses (as at 1 </w:t>
      </w:r>
      <w:r w:rsidR="004B362E">
        <w:t>June</w:t>
      </w:r>
      <w:r w:rsidRPr="00920E20">
        <w:t xml:space="preserve"> 2017)</w:t>
      </w:r>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7"/>
        <w:gridCol w:w="1590"/>
        <w:gridCol w:w="1276"/>
        <w:gridCol w:w="1201"/>
        <w:gridCol w:w="1350"/>
        <w:gridCol w:w="1054"/>
        <w:gridCol w:w="1202"/>
      </w:tblGrid>
      <w:tr w:rsidR="007C349C" w:rsidRPr="00B1672A" w14:paraId="61680562" w14:textId="77777777" w:rsidTr="00BC28A1">
        <w:trPr>
          <w:tblHeader/>
        </w:trPr>
        <w:tc>
          <w:tcPr>
            <w:tcW w:w="1387" w:type="dxa"/>
          </w:tcPr>
          <w:p w14:paraId="4962C2FB" w14:textId="77777777" w:rsidR="007C349C" w:rsidRPr="00B1672A" w:rsidRDefault="007C349C" w:rsidP="00BC28A1">
            <w:pPr>
              <w:pStyle w:val="TableHeading"/>
              <w:rPr>
                <w:lang w:eastAsia="ja-JP"/>
              </w:rPr>
            </w:pPr>
            <w:r w:rsidRPr="00B1672A">
              <w:rPr>
                <w:lang w:eastAsia="ja-JP"/>
              </w:rPr>
              <w:t>Species</w:t>
            </w:r>
          </w:p>
        </w:tc>
        <w:tc>
          <w:tcPr>
            <w:tcW w:w="1590" w:type="dxa"/>
          </w:tcPr>
          <w:p w14:paraId="6CDEF36B" w14:textId="77777777" w:rsidR="007C349C" w:rsidRPr="00B1672A" w:rsidRDefault="007C349C" w:rsidP="00BC28A1">
            <w:pPr>
              <w:pStyle w:val="TableHeading"/>
              <w:rPr>
                <w:lang w:eastAsia="ja-JP"/>
              </w:rPr>
            </w:pPr>
            <w:r w:rsidRPr="00B1672A">
              <w:rPr>
                <w:lang w:eastAsia="ja-JP"/>
              </w:rPr>
              <w:t>Location</w:t>
            </w:r>
          </w:p>
        </w:tc>
        <w:tc>
          <w:tcPr>
            <w:tcW w:w="1276" w:type="dxa"/>
          </w:tcPr>
          <w:p w14:paraId="402D40B7" w14:textId="77777777" w:rsidR="007C349C" w:rsidRPr="00B1672A" w:rsidRDefault="007C349C" w:rsidP="00BC28A1">
            <w:pPr>
              <w:pStyle w:val="TableHeading"/>
              <w:rPr>
                <w:lang w:eastAsia="ja-JP"/>
              </w:rPr>
            </w:pPr>
            <w:r w:rsidRPr="00B1672A">
              <w:rPr>
                <w:lang w:eastAsia="ja-JP"/>
              </w:rPr>
              <w:t>Response plan duration</w:t>
            </w:r>
          </w:p>
        </w:tc>
        <w:tc>
          <w:tcPr>
            <w:tcW w:w="1201" w:type="dxa"/>
          </w:tcPr>
          <w:p w14:paraId="2318753D" w14:textId="77777777" w:rsidR="007C349C" w:rsidRPr="00B1672A" w:rsidRDefault="007C349C" w:rsidP="00BC28A1">
            <w:pPr>
              <w:pStyle w:val="TableHeading"/>
              <w:jc w:val="right"/>
              <w:rPr>
                <w:lang w:eastAsia="ja-JP"/>
              </w:rPr>
            </w:pPr>
            <w:r w:rsidRPr="00B1672A">
              <w:rPr>
                <w:lang w:eastAsia="ja-JP"/>
              </w:rPr>
              <w:t>Response plan budget ($m)</w:t>
            </w:r>
          </w:p>
        </w:tc>
        <w:tc>
          <w:tcPr>
            <w:tcW w:w="1350" w:type="dxa"/>
          </w:tcPr>
          <w:p w14:paraId="7C5666F2" w14:textId="77777777" w:rsidR="007C349C" w:rsidRPr="00B1672A" w:rsidRDefault="007C349C" w:rsidP="00BC28A1">
            <w:pPr>
              <w:pStyle w:val="TableHeading"/>
              <w:jc w:val="right"/>
              <w:rPr>
                <w:lang w:eastAsia="ja-JP"/>
              </w:rPr>
            </w:pPr>
            <w:r w:rsidRPr="00B1672A">
              <w:rPr>
                <w:lang w:eastAsia="ja-JP"/>
              </w:rPr>
              <w:t>A</w:t>
            </w:r>
            <w:r>
              <w:rPr>
                <w:lang w:eastAsia="ja-JP"/>
              </w:rPr>
              <w:t>ustralian Government ($m</w:t>
            </w:r>
            <w:r w:rsidRPr="00B1672A">
              <w:rPr>
                <w:lang w:eastAsia="ja-JP"/>
              </w:rPr>
              <w:t>)</w:t>
            </w:r>
            <w:r>
              <w:rPr>
                <w:lang w:eastAsia="ja-JP"/>
              </w:rPr>
              <w:t xml:space="preserve"> </w:t>
            </w:r>
          </w:p>
        </w:tc>
        <w:tc>
          <w:tcPr>
            <w:tcW w:w="1054" w:type="dxa"/>
          </w:tcPr>
          <w:p w14:paraId="19B83E30" w14:textId="77777777" w:rsidR="007C349C" w:rsidRPr="00B1672A" w:rsidRDefault="007C349C" w:rsidP="00BC28A1">
            <w:pPr>
              <w:pStyle w:val="TableHeading"/>
              <w:jc w:val="right"/>
              <w:rPr>
                <w:lang w:eastAsia="ja-JP"/>
              </w:rPr>
            </w:pPr>
            <w:r>
              <w:rPr>
                <w:lang w:eastAsia="ja-JP"/>
              </w:rPr>
              <w:t>State and territory ($m</w:t>
            </w:r>
            <w:r w:rsidRPr="00B1672A">
              <w:rPr>
                <w:lang w:eastAsia="ja-JP"/>
              </w:rPr>
              <w:t>)</w:t>
            </w:r>
          </w:p>
        </w:tc>
        <w:tc>
          <w:tcPr>
            <w:tcW w:w="1202" w:type="dxa"/>
          </w:tcPr>
          <w:p w14:paraId="4C367D0C" w14:textId="77777777" w:rsidR="007C349C" w:rsidRPr="00B1672A" w:rsidRDefault="007C349C" w:rsidP="00BC28A1">
            <w:pPr>
              <w:pStyle w:val="TableHeading"/>
              <w:jc w:val="right"/>
              <w:rPr>
                <w:lang w:eastAsia="ja-JP"/>
              </w:rPr>
            </w:pPr>
            <w:r>
              <w:rPr>
                <w:lang w:eastAsia="ja-JP"/>
              </w:rPr>
              <w:t>Industry ($m</w:t>
            </w:r>
            <w:r w:rsidRPr="00B1672A">
              <w:rPr>
                <w:lang w:eastAsia="ja-JP"/>
              </w:rPr>
              <w:t>)</w:t>
            </w:r>
          </w:p>
        </w:tc>
      </w:tr>
      <w:tr w:rsidR="007C349C" w:rsidRPr="00473B46" w14:paraId="0C4D49CD" w14:textId="77777777" w:rsidTr="00BC28A1">
        <w:tc>
          <w:tcPr>
            <w:tcW w:w="1387" w:type="dxa"/>
          </w:tcPr>
          <w:p w14:paraId="6EA35A23" w14:textId="77777777" w:rsidR="007C349C" w:rsidRPr="00B1672A" w:rsidRDefault="007C349C" w:rsidP="00BC28A1">
            <w:pPr>
              <w:pStyle w:val="TableHeading"/>
              <w:rPr>
                <w:lang w:eastAsia="ja-JP"/>
              </w:rPr>
            </w:pPr>
            <w:r>
              <w:rPr>
                <w:lang w:eastAsia="ja-JP"/>
              </w:rPr>
              <w:t>EPPRD</w:t>
            </w:r>
          </w:p>
        </w:tc>
        <w:tc>
          <w:tcPr>
            <w:tcW w:w="1590" w:type="dxa"/>
          </w:tcPr>
          <w:p w14:paraId="0BC5F33E" w14:textId="6416A09E"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c>
          <w:tcPr>
            <w:tcW w:w="1276" w:type="dxa"/>
          </w:tcPr>
          <w:p w14:paraId="4411552F" w14:textId="77777777"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c>
          <w:tcPr>
            <w:tcW w:w="1201" w:type="dxa"/>
          </w:tcPr>
          <w:p w14:paraId="67FDC6BC" w14:textId="77777777"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c>
          <w:tcPr>
            <w:tcW w:w="1350" w:type="dxa"/>
          </w:tcPr>
          <w:p w14:paraId="0DBE1243" w14:textId="77777777"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c>
          <w:tcPr>
            <w:tcW w:w="1054" w:type="dxa"/>
          </w:tcPr>
          <w:p w14:paraId="4FCF4066" w14:textId="77777777"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c>
          <w:tcPr>
            <w:tcW w:w="1202" w:type="dxa"/>
          </w:tcPr>
          <w:p w14:paraId="5CE65B66" w14:textId="77777777" w:rsidR="007C349C" w:rsidRPr="003E1863" w:rsidRDefault="007C349C" w:rsidP="00BC28A1">
            <w:pPr>
              <w:pStyle w:val="TableText"/>
              <w:rPr>
                <w:color w:val="FFFFFF" w:themeColor="background1"/>
                <w:lang w:eastAsia="ja-JP"/>
              </w:rPr>
            </w:pPr>
            <w:r w:rsidRPr="003E1863">
              <w:rPr>
                <w:color w:val="FFFFFF" w:themeColor="background1"/>
                <w:lang w:eastAsia="ja-JP"/>
              </w:rPr>
              <w:t>.</w:t>
            </w:r>
          </w:p>
        </w:tc>
      </w:tr>
      <w:tr w:rsidR="007C349C" w:rsidRPr="007C349C" w14:paraId="3C0FB6F4" w14:textId="77777777" w:rsidTr="00BC28A1">
        <w:tc>
          <w:tcPr>
            <w:tcW w:w="1387" w:type="dxa"/>
          </w:tcPr>
          <w:p w14:paraId="0C14E69D" w14:textId="7AA9FB34" w:rsidR="007C349C" w:rsidRPr="00F62D55" w:rsidRDefault="007C349C" w:rsidP="00BC28A1">
            <w:pPr>
              <w:pStyle w:val="TableText"/>
              <w:rPr>
                <w:lang w:eastAsia="ja-JP"/>
              </w:rPr>
            </w:pPr>
            <w:r w:rsidRPr="00F62D55">
              <w:rPr>
                <w:lang w:eastAsia="ja-JP"/>
              </w:rPr>
              <w:t>Khapra beetle (</w:t>
            </w:r>
            <w:r w:rsidRPr="00F62D55">
              <w:rPr>
                <w:i/>
                <w:lang w:eastAsia="ja-JP"/>
              </w:rPr>
              <w:t>Trogoderma granarium</w:t>
            </w:r>
            <w:r w:rsidRPr="00F62D55">
              <w:rPr>
                <w:lang w:eastAsia="ja-JP"/>
              </w:rPr>
              <w:t>)</w:t>
            </w:r>
          </w:p>
        </w:tc>
        <w:tc>
          <w:tcPr>
            <w:tcW w:w="1590" w:type="dxa"/>
          </w:tcPr>
          <w:p w14:paraId="18DFBDCD" w14:textId="77777777" w:rsidR="007C349C" w:rsidRPr="007C349C" w:rsidRDefault="007C349C" w:rsidP="00BC28A1">
            <w:pPr>
              <w:pStyle w:val="TableText"/>
              <w:rPr>
                <w:lang w:eastAsia="ja-JP"/>
              </w:rPr>
            </w:pPr>
            <w:r w:rsidRPr="007C349C">
              <w:rPr>
                <w:lang w:eastAsia="ja-JP"/>
              </w:rPr>
              <w:t>Adelaide and Kangaroo Island, SA</w:t>
            </w:r>
          </w:p>
        </w:tc>
        <w:tc>
          <w:tcPr>
            <w:tcW w:w="1276" w:type="dxa"/>
          </w:tcPr>
          <w:p w14:paraId="5A810DC1" w14:textId="77777777" w:rsidR="007C349C" w:rsidRPr="007C349C" w:rsidRDefault="007C349C" w:rsidP="00BC28A1">
            <w:pPr>
              <w:pStyle w:val="TableText"/>
              <w:rPr>
                <w:lang w:eastAsia="ja-JP"/>
              </w:rPr>
            </w:pPr>
            <w:r w:rsidRPr="007C349C">
              <w:rPr>
                <w:lang w:eastAsia="ja-JP"/>
              </w:rPr>
              <w:t>2015–16 to 2016–17</w:t>
            </w:r>
          </w:p>
        </w:tc>
        <w:tc>
          <w:tcPr>
            <w:tcW w:w="1201" w:type="dxa"/>
          </w:tcPr>
          <w:p w14:paraId="23F98C5E" w14:textId="77777777" w:rsidR="007C349C" w:rsidRPr="007C349C" w:rsidRDefault="007C349C" w:rsidP="00BC28A1">
            <w:pPr>
              <w:pStyle w:val="TableText"/>
              <w:jc w:val="right"/>
              <w:rPr>
                <w:lang w:eastAsia="ja-JP"/>
              </w:rPr>
            </w:pPr>
            <w:r w:rsidRPr="007C349C">
              <w:rPr>
                <w:lang w:eastAsia="ja-JP"/>
              </w:rPr>
              <w:t xml:space="preserve">2.57 </w:t>
            </w:r>
          </w:p>
        </w:tc>
        <w:tc>
          <w:tcPr>
            <w:tcW w:w="1350" w:type="dxa"/>
          </w:tcPr>
          <w:p w14:paraId="378AB12A" w14:textId="77777777" w:rsidR="007C349C" w:rsidRPr="007C349C" w:rsidRDefault="007C349C" w:rsidP="00BC28A1">
            <w:pPr>
              <w:pStyle w:val="TableText"/>
              <w:jc w:val="right"/>
              <w:rPr>
                <w:lang w:eastAsia="ja-JP"/>
              </w:rPr>
            </w:pPr>
            <w:r w:rsidRPr="007C349C">
              <w:rPr>
                <w:lang w:eastAsia="ja-JP"/>
              </w:rPr>
              <w:t>1.03</w:t>
            </w:r>
          </w:p>
        </w:tc>
        <w:tc>
          <w:tcPr>
            <w:tcW w:w="1054" w:type="dxa"/>
          </w:tcPr>
          <w:p w14:paraId="5EBB68E1" w14:textId="77777777" w:rsidR="007C349C" w:rsidRPr="007C349C" w:rsidRDefault="007C349C" w:rsidP="00BC28A1">
            <w:pPr>
              <w:pStyle w:val="TableText"/>
              <w:jc w:val="right"/>
              <w:rPr>
                <w:lang w:eastAsia="ja-JP"/>
              </w:rPr>
            </w:pPr>
            <w:r w:rsidRPr="007C349C">
              <w:rPr>
                <w:lang w:eastAsia="ja-JP"/>
              </w:rPr>
              <w:t>1.03</w:t>
            </w:r>
          </w:p>
        </w:tc>
        <w:tc>
          <w:tcPr>
            <w:tcW w:w="1202" w:type="dxa"/>
          </w:tcPr>
          <w:p w14:paraId="56B36AA9" w14:textId="77777777" w:rsidR="007C349C" w:rsidRPr="007C349C" w:rsidRDefault="007C349C" w:rsidP="00BC28A1">
            <w:pPr>
              <w:pStyle w:val="TableText"/>
              <w:jc w:val="right"/>
              <w:rPr>
                <w:lang w:eastAsia="ja-JP"/>
              </w:rPr>
            </w:pPr>
            <w:r w:rsidRPr="007C349C">
              <w:rPr>
                <w:lang w:eastAsia="ja-JP"/>
              </w:rPr>
              <w:t>0.51</w:t>
            </w:r>
          </w:p>
        </w:tc>
      </w:tr>
      <w:tr w:rsidR="007C349C" w:rsidRPr="007C349C" w14:paraId="6CFF0E55" w14:textId="77777777" w:rsidTr="00BC28A1">
        <w:tc>
          <w:tcPr>
            <w:tcW w:w="1387" w:type="dxa"/>
          </w:tcPr>
          <w:p w14:paraId="41EA7526" w14:textId="4F878C2A" w:rsidR="007C349C" w:rsidRPr="007C349C" w:rsidRDefault="007C349C" w:rsidP="00136B93">
            <w:pPr>
              <w:pStyle w:val="TableText"/>
              <w:rPr>
                <w:lang w:eastAsia="ja-JP"/>
              </w:rPr>
            </w:pPr>
            <w:r w:rsidRPr="007C349C">
              <w:rPr>
                <w:lang w:eastAsia="ja-JP"/>
              </w:rPr>
              <w:t xml:space="preserve">Exotic fruit fly </w:t>
            </w:r>
          </w:p>
        </w:tc>
        <w:tc>
          <w:tcPr>
            <w:tcW w:w="1590" w:type="dxa"/>
          </w:tcPr>
          <w:p w14:paraId="5A9D09B8" w14:textId="77777777" w:rsidR="007C349C" w:rsidRPr="007C349C" w:rsidRDefault="007C349C" w:rsidP="00BC28A1">
            <w:pPr>
              <w:pStyle w:val="TableText"/>
              <w:rPr>
                <w:lang w:eastAsia="ja-JP"/>
              </w:rPr>
            </w:pPr>
            <w:r w:rsidRPr="007C349C">
              <w:rPr>
                <w:lang w:eastAsia="ja-JP"/>
              </w:rPr>
              <w:t>Torres Strait, Qld</w:t>
            </w:r>
          </w:p>
        </w:tc>
        <w:tc>
          <w:tcPr>
            <w:tcW w:w="1276" w:type="dxa"/>
          </w:tcPr>
          <w:p w14:paraId="558ACCA8" w14:textId="77777777" w:rsidR="007C349C" w:rsidRPr="007C349C" w:rsidRDefault="007C349C" w:rsidP="00BC28A1">
            <w:pPr>
              <w:pStyle w:val="TableText"/>
              <w:rPr>
                <w:lang w:eastAsia="ja-JP"/>
              </w:rPr>
            </w:pPr>
            <w:r w:rsidRPr="007C349C">
              <w:rPr>
                <w:lang w:eastAsia="ja-JP"/>
              </w:rPr>
              <w:t>2015–16 to 2017–18</w:t>
            </w:r>
          </w:p>
        </w:tc>
        <w:tc>
          <w:tcPr>
            <w:tcW w:w="1201" w:type="dxa"/>
          </w:tcPr>
          <w:p w14:paraId="48DA29B0" w14:textId="77777777" w:rsidR="007C349C" w:rsidRPr="007C349C" w:rsidRDefault="007C349C" w:rsidP="00BC28A1">
            <w:pPr>
              <w:pStyle w:val="TableText"/>
              <w:jc w:val="right"/>
              <w:rPr>
                <w:lang w:eastAsia="ja-JP"/>
              </w:rPr>
            </w:pPr>
            <w:r w:rsidRPr="007C349C">
              <w:rPr>
                <w:lang w:eastAsia="ja-JP"/>
              </w:rPr>
              <w:t xml:space="preserve">1.23 </w:t>
            </w:r>
          </w:p>
        </w:tc>
        <w:tc>
          <w:tcPr>
            <w:tcW w:w="1350" w:type="dxa"/>
          </w:tcPr>
          <w:p w14:paraId="747E2AE9" w14:textId="77777777" w:rsidR="007C349C" w:rsidRPr="007C349C" w:rsidRDefault="007C349C" w:rsidP="00BC28A1">
            <w:pPr>
              <w:pStyle w:val="TableText"/>
              <w:jc w:val="right"/>
              <w:rPr>
                <w:lang w:eastAsia="ja-JP"/>
              </w:rPr>
            </w:pPr>
            <w:r w:rsidRPr="007C349C">
              <w:rPr>
                <w:lang w:eastAsia="ja-JP"/>
              </w:rPr>
              <w:t>0.49</w:t>
            </w:r>
          </w:p>
        </w:tc>
        <w:tc>
          <w:tcPr>
            <w:tcW w:w="1054" w:type="dxa"/>
          </w:tcPr>
          <w:p w14:paraId="27413504" w14:textId="77777777" w:rsidR="007C349C" w:rsidRPr="007C349C" w:rsidRDefault="007C349C" w:rsidP="00BC28A1">
            <w:pPr>
              <w:pStyle w:val="TableText"/>
              <w:jc w:val="right"/>
              <w:rPr>
                <w:lang w:eastAsia="ja-JP"/>
              </w:rPr>
            </w:pPr>
            <w:r w:rsidRPr="007C349C">
              <w:rPr>
                <w:lang w:eastAsia="ja-JP"/>
              </w:rPr>
              <w:t>0.49</w:t>
            </w:r>
          </w:p>
        </w:tc>
        <w:tc>
          <w:tcPr>
            <w:tcW w:w="1202" w:type="dxa"/>
          </w:tcPr>
          <w:p w14:paraId="0B9BA469" w14:textId="77777777" w:rsidR="007C349C" w:rsidRPr="007C349C" w:rsidRDefault="007C349C" w:rsidP="00BC28A1">
            <w:pPr>
              <w:pStyle w:val="TableText"/>
              <w:jc w:val="right"/>
              <w:rPr>
                <w:lang w:eastAsia="ja-JP"/>
              </w:rPr>
            </w:pPr>
            <w:r w:rsidRPr="007C349C">
              <w:rPr>
                <w:lang w:eastAsia="ja-JP"/>
              </w:rPr>
              <w:t>0.25</w:t>
            </w:r>
          </w:p>
        </w:tc>
      </w:tr>
      <w:tr w:rsidR="007C349C" w:rsidRPr="007C349C" w14:paraId="4306A0DE" w14:textId="77777777" w:rsidTr="00BC28A1">
        <w:tc>
          <w:tcPr>
            <w:tcW w:w="1387" w:type="dxa"/>
          </w:tcPr>
          <w:p w14:paraId="0FD5C9F1" w14:textId="77777777" w:rsidR="007C349C" w:rsidRPr="007C349C" w:rsidRDefault="007C349C" w:rsidP="00BC28A1">
            <w:pPr>
              <w:pStyle w:val="TableText"/>
              <w:rPr>
                <w:lang w:eastAsia="ja-JP"/>
              </w:rPr>
            </w:pPr>
            <w:r w:rsidRPr="007C349C">
              <w:rPr>
                <w:lang w:eastAsia="ja-JP"/>
              </w:rPr>
              <w:t>Giant pine scale (</w:t>
            </w:r>
            <w:r w:rsidRPr="007C349C">
              <w:rPr>
                <w:i/>
                <w:lang w:eastAsia="ja-JP"/>
              </w:rPr>
              <w:t>Marchalina hellenica</w:t>
            </w:r>
            <w:r w:rsidRPr="007C349C">
              <w:rPr>
                <w:lang w:eastAsia="ja-JP"/>
              </w:rPr>
              <w:t>)</w:t>
            </w:r>
          </w:p>
        </w:tc>
        <w:tc>
          <w:tcPr>
            <w:tcW w:w="1590" w:type="dxa"/>
          </w:tcPr>
          <w:p w14:paraId="17B0EE28" w14:textId="77777777" w:rsidR="007C349C" w:rsidRPr="007C349C" w:rsidRDefault="007C349C" w:rsidP="00BC28A1">
            <w:pPr>
              <w:pStyle w:val="TableText"/>
              <w:rPr>
                <w:lang w:eastAsia="ja-JP"/>
              </w:rPr>
            </w:pPr>
            <w:r w:rsidRPr="007C349C">
              <w:rPr>
                <w:lang w:eastAsia="ja-JP"/>
              </w:rPr>
              <w:t>Harkaway and Mt Waverly, Vic. and Dernancourt, SA</w:t>
            </w:r>
          </w:p>
        </w:tc>
        <w:tc>
          <w:tcPr>
            <w:tcW w:w="1276" w:type="dxa"/>
          </w:tcPr>
          <w:p w14:paraId="79AD3292" w14:textId="77777777" w:rsidR="007C349C" w:rsidRPr="007C349C" w:rsidRDefault="007C349C" w:rsidP="00BC28A1">
            <w:pPr>
              <w:pStyle w:val="TableText"/>
              <w:rPr>
                <w:lang w:eastAsia="ja-JP"/>
              </w:rPr>
            </w:pPr>
            <w:r w:rsidRPr="007C349C">
              <w:rPr>
                <w:lang w:eastAsia="ja-JP"/>
              </w:rPr>
              <w:t>2014–15 to 2017–18</w:t>
            </w:r>
          </w:p>
        </w:tc>
        <w:tc>
          <w:tcPr>
            <w:tcW w:w="1201" w:type="dxa"/>
          </w:tcPr>
          <w:p w14:paraId="0479F42B" w14:textId="77777777" w:rsidR="007C349C" w:rsidRPr="007C349C" w:rsidRDefault="007C349C" w:rsidP="00BC28A1">
            <w:pPr>
              <w:pStyle w:val="TableText"/>
              <w:jc w:val="right"/>
              <w:rPr>
                <w:lang w:eastAsia="ja-JP"/>
              </w:rPr>
            </w:pPr>
            <w:r w:rsidRPr="007C349C">
              <w:rPr>
                <w:lang w:eastAsia="ja-JP"/>
              </w:rPr>
              <w:t>4.40</w:t>
            </w:r>
          </w:p>
        </w:tc>
        <w:tc>
          <w:tcPr>
            <w:tcW w:w="1350" w:type="dxa"/>
          </w:tcPr>
          <w:p w14:paraId="5598C31A" w14:textId="77777777" w:rsidR="007C349C" w:rsidRPr="007C349C" w:rsidRDefault="007C349C" w:rsidP="00BC28A1">
            <w:pPr>
              <w:pStyle w:val="TableText"/>
              <w:jc w:val="right"/>
              <w:rPr>
                <w:lang w:eastAsia="ja-JP"/>
              </w:rPr>
            </w:pPr>
            <w:r w:rsidRPr="007C349C">
              <w:rPr>
                <w:lang w:eastAsia="ja-JP"/>
              </w:rPr>
              <w:t>1.10</w:t>
            </w:r>
          </w:p>
        </w:tc>
        <w:tc>
          <w:tcPr>
            <w:tcW w:w="1054" w:type="dxa"/>
          </w:tcPr>
          <w:p w14:paraId="6081A019" w14:textId="77777777" w:rsidR="007C349C" w:rsidRPr="007C349C" w:rsidRDefault="007C349C" w:rsidP="00BC28A1">
            <w:pPr>
              <w:pStyle w:val="TableText"/>
              <w:jc w:val="right"/>
              <w:rPr>
                <w:lang w:eastAsia="ja-JP"/>
              </w:rPr>
            </w:pPr>
            <w:r w:rsidRPr="007C349C">
              <w:rPr>
                <w:lang w:eastAsia="ja-JP"/>
              </w:rPr>
              <w:t>1.10</w:t>
            </w:r>
          </w:p>
        </w:tc>
        <w:tc>
          <w:tcPr>
            <w:tcW w:w="1202" w:type="dxa"/>
          </w:tcPr>
          <w:p w14:paraId="67E7CF3F" w14:textId="77777777" w:rsidR="007C349C" w:rsidRPr="007C349C" w:rsidRDefault="007C349C" w:rsidP="00BC28A1">
            <w:pPr>
              <w:pStyle w:val="TableText"/>
              <w:jc w:val="right"/>
              <w:rPr>
                <w:lang w:eastAsia="ja-JP"/>
              </w:rPr>
            </w:pPr>
            <w:r w:rsidRPr="007C349C">
              <w:rPr>
                <w:lang w:eastAsia="ja-JP"/>
              </w:rPr>
              <w:t>2.20</w:t>
            </w:r>
          </w:p>
        </w:tc>
      </w:tr>
      <w:tr w:rsidR="007C349C" w:rsidRPr="007C349C" w14:paraId="7DDC4B64" w14:textId="77777777" w:rsidTr="00BC28A1">
        <w:tc>
          <w:tcPr>
            <w:tcW w:w="1387" w:type="dxa"/>
          </w:tcPr>
          <w:p w14:paraId="70563D96" w14:textId="77777777" w:rsidR="007C349C" w:rsidRPr="007C349C" w:rsidRDefault="007C349C" w:rsidP="00BC28A1">
            <w:pPr>
              <w:pStyle w:val="TableText"/>
              <w:rPr>
                <w:lang w:eastAsia="ja-JP"/>
              </w:rPr>
            </w:pPr>
            <w:r w:rsidRPr="007C349C">
              <w:rPr>
                <w:lang w:eastAsia="ja-JP"/>
              </w:rPr>
              <w:t xml:space="preserve">Banana freckle </w:t>
            </w:r>
          </w:p>
        </w:tc>
        <w:tc>
          <w:tcPr>
            <w:tcW w:w="1590" w:type="dxa"/>
          </w:tcPr>
          <w:p w14:paraId="378594A2" w14:textId="77777777" w:rsidR="007C349C" w:rsidRPr="007C349C" w:rsidRDefault="007C349C" w:rsidP="00BC28A1">
            <w:pPr>
              <w:pStyle w:val="TableText"/>
              <w:rPr>
                <w:lang w:eastAsia="ja-JP"/>
              </w:rPr>
            </w:pPr>
            <w:r w:rsidRPr="007C349C">
              <w:rPr>
                <w:lang w:eastAsia="ja-JP"/>
              </w:rPr>
              <w:t>Howard Springs, Darwin, NT</w:t>
            </w:r>
          </w:p>
        </w:tc>
        <w:tc>
          <w:tcPr>
            <w:tcW w:w="1276" w:type="dxa"/>
          </w:tcPr>
          <w:p w14:paraId="1AA3EF7C" w14:textId="77777777" w:rsidR="007C349C" w:rsidRPr="007C349C" w:rsidRDefault="007C349C" w:rsidP="00BC28A1">
            <w:pPr>
              <w:pStyle w:val="TableText"/>
              <w:rPr>
                <w:lang w:eastAsia="ja-JP"/>
              </w:rPr>
            </w:pPr>
            <w:r w:rsidRPr="007C349C">
              <w:rPr>
                <w:lang w:eastAsia="ja-JP"/>
              </w:rPr>
              <w:t>2013–14 to 2017–18</w:t>
            </w:r>
          </w:p>
        </w:tc>
        <w:tc>
          <w:tcPr>
            <w:tcW w:w="1201" w:type="dxa"/>
          </w:tcPr>
          <w:p w14:paraId="1E27195A" w14:textId="77777777" w:rsidR="007C349C" w:rsidRPr="007C349C" w:rsidRDefault="007C349C" w:rsidP="00BC28A1">
            <w:pPr>
              <w:pStyle w:val="TableText"/>
              <w:jc w:val="right"/>
              <w:rPr>
                <w:lang w:eastAsia="ja-JP"/>
              </w:rPr>
            </w:pPr>
            <w:r w:rsidRPr="007C349C">
              <w:rPr>
                <w:lang w:eastAsia="ja-JP"/>
              </w:rPr>
              <w:t>23.74</w:t>
            </w:r>
          </w:p>
        </w:tc>
        <w:tc>
          <w:tcPr>
            <w:tcW w:w="1350" w:type="dxa"/>
          </w:tcPr>
          <w:p w14:paraId="5D04591A" w14:textId="77777777" w:rsidR="007C349C" w:rsidRPr="007C349C" w:rsidRDefault="007C349C" w:rsidP="00BC28A1">
            <w:pPr>
              <w:pStyle w:val="TableText"/>
              <w:jc w:val="right"/>
              <w:rPr>
                <w:lang w:eastAsia="ja-JP"/>
              </w:rPr>
            </w:pPr>
            <w:r w:rsidRPr="007C349C">
              <w:rPr>
                <w:lang w:eastAsia="ja-JP"/>
              </w:rPr>
              <w:t>5.96</w:t>
            </w:r>
          </w:p>
        </w:tc>
        <w:tc>
          <w:tcPr>
            <w:tcW w:w="1054" w:type="dxa"/>
          </w:tcPr>
          <w:p w14:paraId="0ADB1842" w14:textId="77777777" w:rsidR="007C349C" w:rsidRPr="007C349C" w:rsidRDefault="007C349C" w:rsidP="00BC28A1">
            <w:pPr>
              <w:pStyle w:val="TableText"/>
              <w:jc w:val="right"/>
              <w:rPr>
                <w:lang w:eastAsia="ja-JP"/>
              </w:rPr>
            </w:pPr>
            <w:r w:rsidRPr="007C349C">
              <w:rPr>
                <w:lang w:eastAsia="ja-JP"/>
              </w:rPr>
              <w:t>5.85</w:t>
            </w:r>
          </w:p>
        </w:tc>
        <w:tc>
          <w:tcPr>
            <w:tcW w:w="1202" w:type="dxa"/>
          </w:tcPr>
          <w:p w14:paraId="123E5F57" w14:textId="77777777" w:rsidR="007C349C" w:rsidRPr="007C349C" w:rsidRDefault="007C349C" w:rsidP="00BC28A1">
            <w:pPr>
              <w:pStyle w:val="TableText"/>
              <w:jc w:val="right"/>
              <w:rPr>
                <w:lang w:eastAsia="ja-JP"/>
              </w:rPr>
            </w:pPr>
            <w:r w:rsidRPr="007C349C">
              <w:rPr>
                <w:lang w:eastAsia="ja-JP"/>
              </w:rPr>
              <w:t>11.93</w:t>
            </w:r>
          </w:p>
        </w:tc>
      </w:tr>
      <w:tr w:rsidR="007C349C" w:rsidRPr="007C349C" w14:paraId="17CE1543" w14:textId="77777777" w:rsidTr="00BC28A1">
        <w:tc>
          <w:tcPr>
            <w:tcW w:w="1387" w:type="dxa"/>
          </w:tcPr>
          <w:p w14:paraId="074543C7" w14:textId="77777777" w:rsidR="007C349C" w:rsidRPr="007C349C" w:rsidRDefault="007C349C" w:rsidP="00BC28A1">
            <w:pPr>
              <w:pStyle w:val="TableText"/>
              <w:rPr>
                <w:lang w:eastAsia="ja-JP"/>
              </w:rPr>
            </w:pPr>
            <w:r w:rsidRPr="007C349C">
              <w:rPr>
                <w:lang w:eastAsia="ja-JP"/>
              </w:rPr>
              <w:t xml:space="preserve">Chestnut blight </w:t>
            </w:r>
            <w:r w:rsidRPr="007C349C">
              <w:rPr>
                <w:lang w:eastAsia="ja-JP"/>
              </w:rPr>
              <w:lastRenderedPageBreak/>
              <w:t>(</w:t>
            </w:r>
            <w:r w:rsidRPr="007C349C">
              <w:rPr>
                <w:i/>
                <w:lang w:eastAsia="ja-JP"/>
              </w:rPr>
              <w:t>Cryphonectria parasitica</w:t>
            </w:r>
            <w:r w:rsidRPr="007C349C">
              <w:rPr>
                <w:lang w:eastAsia="ja-JP"/>
              </w:rPr>
              <w:t>)</w:t>
            </w:r>
          </w:p>
        </w:tc>
        <w:tc>
          <w:tcPr>
            <w:tcW w:w="1590" w:type="dxa"/>
          </w:tcPr>
          <w:p w14:paraId="0745D3EE" w14:textId="77777777" w:rsidR="007C349C" w:rsidRPr="007C349C" w:rsidRDefault="007C349C" w:rsidP="00BC28A1">
            <w:pPr>
              <w:pStyle w:val="TableText"/>
              <w:rPr>
                <w:lang w:eastAsia="ja-JP"/>
              </w:rPr>
            </w:pPr>
            <w:r w:rsidRPr="007C349C">
              <w:rPr>
                <w:lang w:eastAsia="ja-JP"/>
              </w:rPr>
              <w:lastRenderedPageBreak/>
              <w:t>Ovens Valley, Vic.</w:t>
            </w:r>
          </w:p>
        </w:tc>
        <w:tc>
          <w:tcPr>
            <w:tcW w:w="1276" w:type="dxa"/>
          </w:tcPr>
          <w:p w14:paraId="1CE01280" w14:textId="77777777" w:rsidR="007C349C" w:rsidRPr="007C349C" w:rsidRDefault="007C349C" w:rsidP="00BC28A1">
            <w:pPr>
              <w:pStyle w:val="TableText"/>
              <w:rPr>
                <w:lang w:eastAsia="ja-JP"/>
              </w:rPr>
            </w:pPr>
            <w:r w:rsidRPr="007C349C">
              <w:rPr>
                <w:lang w:eastAsia="ja-JP"/>
              </w:rPr>
              <w:t>2010–11 to 2016–17</w:t>
            </w:r>
          </w:p>
        </w:tc>
        <w:tc>
          <w:tcPr>
            <w:tcW w:w="1201" w:type="dxa"/>
          </w:tcPr>
          <w:p w14:paraId="5B328573" w14:textId="77777777" w:rsidR="007C349C" w:rsidRPr="007C349C" w:rsidRDefault="007C349C" w:rsidP="00BC28A1">
            <w:pPr>
              <w:pStyle w:val="TableText"/>
              <w:jc w:val="right"/>
              <w:rPr>
                <w:lang w:eastAsia="ja-JP"/>
              </w:rPr>
            </w:pPr>
            <w:r w:rsidRPr="007C349C">
              <w:rPr>
                <w:lang w:eastAsia="ja-JP"/>
              </w:rPr>
              <w:t>3.75</w:t>
            </w:r>
          </w:p>
        </w:tc>
        <w:tc>
          <w:tcPr>
            <w:tcW w:w="1350" w:type="dxa"/>
          </w:tcPr>
          <w:p w14:paraId="3C367B86" w14:textId="77777777" w:rsidR="007C349C" w:rsidRPr="007C349C" w:rsidRDefault="007C349C" w:rsidP="00BC28A1">
            <w:pPr>
              <w:pStyle w:val="TableText"/>
              <w:jc w:val="right"/>
              <w:rPr>
                <w:lang w:eastAsia="ja-JP"/>
              </w:rPr>
            </w:pPr>
            <w:r w:rsidRPr="007C349C">
              <w:rPr>
                <w:lang w:eastAsia="ja-JP"/>
              </w:rPr>
              <w:t>1.85</w:t>
            </w:r>
          </w:p>
        </w:tc>
        <w:tc>
          <w:tcPr>
            <w:tcW w:w="1054" w:type="dxa"/>
          </w:tcPr>
          <w:p w14:paraId="112D88FE" w14:textId="77777777" w:rsidR="007C349C" w:rsidRPr="007C349C" w:rsidRDefault="007C349C" w:rsidP="00BC28A1">
            <w:pPr>
              <w:pStyle w:val="TableText"/>
              <w:jc w:val="right"/>
              <w:rPr>
                <w:lang w:eastAsia="ja-JP"/>
              </w:rPr>
            </w:pPr>
            <w:r w:rsidRPr="007C349C">
              <w:rPr>
                <w:lang w:eastAsia="ja-JP"/>
              </w:rPr>
              <w:t>1.85</w:t>
            </w:r>
          </w:p>
        </w:tc>
        <w:tc>
          <w:tcPr>
            <w:tcW w:w="1202" w:type="dxa"/>
          </w:tcPr>
          <w:p w14:paraId="1AED2C6D" w14:textId="77777777" w:rsidR="007C349C" w:rsidRPr="007C349C" w:rsidRDefault="007C349C" w:rsidP="00BC28A1">
            <w:pPr>
              <w:pStyle w:val="TableText"/>
              <w:jc w:val="right"/>
              <w:rPr>
                <w:lang w:eastAsia="ja-JP"/>
              </w:rPr>
            </w:pPr>
            <w:r w:rsidRPr="007C349C">
              <w:rPr>
                <w:lang w:eastAsia="ja-JP"/>
              </w:rPr>
              <w:t>0.05</w:t>
            </w:r>
          </w:p>
        </w:tc>
      </w:tr>
      <w:tr w:rsidR="007C349C" w:rsidRPr="007C349C" w14:paraId="366DB57D" w14:textId="77777777" w:rsidTr="00BC28A1">
        <w:tc>
          <w:tcPr>
            <w:tcW w:w="1387" w:type="dxa"/>
          </w:tcPr>
          <w:p w14:paraId="58125FA3" w14:textId="77777777" w:rsidR="007C349C" w:rsidRPr="007C349C" w:rsidRDefault="007C349C" w:rsidP="00BC28A1">
            <w:pPr>
              <w:pStyle w:val="TableText"/>
              <w:rPr>
                <w:lang w:eastAsia="ja-JP"/>
              </w:rPr>
            </w:pPr>
            <w:r w:rsidRPr="007C349C">
              <w:rPr>
                <w:lang w:eastAsia="ja-JP"/>
              </w:rPr>
              <w:t>Varroa mite (</w:t>
            </w:r>
            <w:r w:rsidRPr="007C349C">
              <w:rPr>
                <w:i/>
                <w:lang w:eastAsia="ja-JP"/>
              </w:rPr>
              <w:t>V. jacobsoni</w:t>
            </w:r>
            <w:r w:rsidRPr="007C349C">
              <w:rPr>
                <w:lang w:eastAsia="ja-JP"/>
              </w:rPr>
              <w:t>)</w:t>
            </w:r>
          </w:p>
        </w:tc>
        <w:tc>
          <w:tcPr>
            <w:tcW w:w="1590" w:type="dxa"/>
          </w:tcPr>
          <w:p w14:paraId="53EBE82D" w14:textId="77777777" w:rsidR="007C349C" w:rsidRPr="007C349C" w:rsidRDefault="007C349C" w:rsidP="00BC28A1">
            <w:pPr>
              <w:pStyle w:val="TableText"/>
              <w:rPr>
                <w:lang w:eastAsia="ja-JP"/>
              </w:rPr>
            </w:pPr>
            <w:r w:rsidRPr="007C349C">
              <w:rPr>
                <w:lang w:eastAsia="ja-JP"/>
              </w:rPr>
              <w:t>Townsville, Qld</w:t>
            </w:r>
          </w:p>
        </w:tc>
        <w:tc>
          <w:tcPr>
            <w:tcW w:w="1276" w:type="dxa"/>
          </w:tcPr>
          <w:p w14:paraId="1C36D8C5" w14:textId="77777777" w:rsidR="007C349C" w:rsidRPr="007C349C" w:rsidRDefault="007C349C" w:rsidP="00BC28A1">
            <w:pPr>
              <w:pStyle w:val="TableText"/>
              <w:rPr>
                <w:lang w:eastAsia="ja-JP"/>
              </w:rPr>
            </w:pPr>
            <w:r w:rsidRPr="007C349C">
              <w:rPr>
                <w:lang w:eastAsia="ja-JP"/>
              </w:rPr>
              <w:t>2016–17 to 2019–20</w:t>
            </w:r>
          </w:p>
        </w:tc>
        <w:tc>
          <w:tcPr>
            <w:tcW w:w="1201" w:type="dxa"/>
          </w:tcPr>
          <w:p w14:paraId="7F26CFE9" w14:textId="77777777" w:rsidR="007C349C" w:rsidRPr="007C349C" w:rsidRDefault="007C349C" w:rsidP="00BC28A1">
            <w:pPr>
              <w:pStyle w:val="TableText"/>
              <w:jc w:val="right"/>
              <w:rPr>
                <w:lang w:eastAsia="ja-JP"/>
              </w:rPr>
            </w:pPr>
            <w:r w:rsidRPr="007C349C">
              <w:rPr>
                <w:lang w:eastAsia="ja-JP"/>
              </w:rPr>
              <w:t>2.57</w:t>
            </w:r>
          </w:p>
        </w:tc>
        <w:tc>
          <w:tcPr>
            <w:tcW w:w="1350" w:type="dxa"/>
          </w:tcPr>
          <w:p w14:paraId="0F030F64" w14:textId="77777777" w:rsidR="007C349C" w:rsidRPr="007C349C" w:rsidRDefault="007C349C" w:rsidP="00BC28A1">
            <w:pPr>
              <w:pStyle w:val="TableText"/>
              <w:jc w:val="right"/>
              <w:rPr>
                <w:lang w:eastAsia="ja-JP"/>
              </w:rPr>
            </w:pPr>
            <w:r w:rsidRPr="007C349C">
              <w:rPr>
                <w:lang w:eastAsia="ja-JP"/>
              </w:rPr>
              <w:t>0.65</w:t>
            </w:r>
          </w:p>
        </w:tc>
        <w:tc>
          <w:tcPr>
            <w:tcW w:w="1054" w:type="dxa"/>
          </w:tcPr>
          <w:p w14:paraId="0372189E" w14:textId="77777777" w:rsidR="007C349C" w:rsidRPr="007C349C" w:rsidRDefault="007C349C" w:rsidP="00BC28A1">
            <w:pPr>
              <w:pStyle w:val="TableText"/>
              <w:jc w:val="right"/>
              <w:rPr>
                <w:lang w:eastAsia="ja-JP"/>
              </w:rPr>
            </w:pPr>
            <w:r w:rsidRPr="007C349C">
              <w:rPr>
                <w:lang w:eastAsia="ja-JP"/>
              </w:rPr>
              <w:t>0.65</w:t>
            </w:r>
          </w:p>
        </w:tc>
        <w:tc>
          <w:tcPr>
            <w:tcW w:w="1202" w:type="dxa"/>
          </w:tcPr>
          <w:p w14:paraId="4B271C19" w14:textId="77777777" w:rsidR="007C349C" w:rsidRPr="007C349C" w:rsidRDefault="007C349C" w:rsidP="00BC28A1">
            <w:pPr>
              <w:pStyle w:val="TableText"/>
              <w:jc w:val="right"/>
              <w:rPr>
                <w:lang w:eastAsia="ja-JP"/>
              </w:rPr>
            </w:pPr>
            <w:r w:rsidRPr="007C349C">
              <w:rPr>
                <w:lang w:eastAsia="ja-JP"/>
              </w:rPr>
              <w:t>1.27</w:t>
            </w:r>
          </w:p>
        </w:tc>
      </w:tr>
      <w:tr w:rsidR="007C349C" w:rsidRPr="007C349C" w14:paraId="3685D27F" w14:textId="77777777" w:rsidTr="00BC28A1">
        <w:tc>
          <w:tcPr>
            <w:tcW w:w="1387" w:type="dxa"/>
          </w:tcPr>
          <w:p w14:paraId="29D83E0D" w14:textId="77777777" w:rsidR="007C349C" w:rsidRPr="007C349C" w:rsidRDefault="007C349C" w:rsidP="00BC28A1">
            <w:pPr>
              <w:pStyle w:val="TableText"/>
              <w:rPr>
                <w:lang w:eastAsia="ja-JP"/>
              </w:rPr>
            </w:pPr>
            <w:r w:rsidRPr="007C349C">
              <w:rPr>
                <w:lang w:eastAsia="ja-JP"/>
              </w:rPr>
              <w:t>Tomato potato psyllid (</w:t>
            </w:r>
            <w:r w:rsidRPr="007C349C">
              <w:rPr>
                <w:i/>
                <w:lang w:eastAsia="ja-JP"/>
              </w:rPr>
              <w:t>Bactericera cockerelli</w:t>
            </w:r>
            <w:r w:rsidRPr="007C349C">
              <w:rPr>
                <w:lang w:eastAsia="ja-JP"/>
              </w:rPr>
              <w:t>)</w:t>
            </w:r>
          </w:p>
        </w:tc>
        <w:tc>
          <w:tcPr>
            <w:tcW w:w="1590" w:type="dxa"/>
          </w:tcPr>
          <w:p w14:paraId="67D130B1" w14:textId="77777777" w:rsidR="007C349C" w:rsidRPr="007C349C" w:rsidRDefault="007C349C" w:rsidP="00BC28A1">
            <w:pPr>
              <w:pStyle w:val="TableText"/>
              <w:rPr>
                <w:lang w:eastAsia="ja-JP"/>
              </w:rPr>
            </w:pPr>
            <w:r w:rsidRPr="007C349C">
              <w:rPr>
                <w:lang w:eastAsia="ja-JP"/>
              </w:rPr>
              <w:t>WA</w:t>
            </w:r>
          </w:p>
        </w:tc>
        <w:tc>
          <w:tcPr>
            <w:tcW w:w="1276" w:type="dxa"/>
          </w:tcPr>
          <w:p w14:paraId="5F45EA70" w14:textId="77777777" w:rsidR="007C349C" w:rsidRPr="007C349C" w:rsidRDefault="007C349C" w:rsidP="00BC28A1">
            <w:pPr>
              <w:pStyle w:val="TableText"/>
              <w:rPr>
                <w:lang w:eastAsia="ja-JP"/>
              </w:rPr>
            </w:pPr>
            <w:r w:rsidRPr="007C349C">
              <w:rPr>
                <w:lang w:eastAsia="ja-JP"/>
              </w:rPr>
              <w:t>2017</w:t>
            </w:r>
          </w:p>
        </w:tc>
        <w:tc>
          <w:tcPr>
            <w:tcW w:w="1201" w:type="dxa"/>
          </w:tcPr>
          <w:p w14:paraId="183FB95C" w14:textId="77777777" w:rsidR="007C349C" w:rsidRPr="007C349C" w:rsidRDefault="007C349C" w:rsidP="00BC28A1">
            <w:pPr>
              <w:pStyle w:val="TableText"/>
              <w:jc w:val="right"/>
              <w:rPr>
                <w:lang w:eastAsia="ja-JP"/>
              </w:rPr>
            </w:pPr>
            <w:r w:rsidRPr="007C349C">
              <w:rPr>
                <w:lang w:eastAsia="ja-JP"/>
              </w:rPr>
              <w:t>3.10</w:t>
            </w:r>
          </w:p>
        </w:tc>
        <w:tc>
          <w:tcPr>
            <w:tcW w:w="1350" w:type="dxa"/>
          </w:tcPr>
          <w:p w14:paraId="5FB6BCC3" w14:textId="77777777" w:rsidR="007C349C" w:rsidRPr="007C349C" w:rsidRDefault="007C349C" w:rsidP="00BC28A1">
            <w:pPr>
              <w:pStyle w:val="TableText"/>
              <w:jc w:val="right"/>
              <w:rPr>
                <w:lang w:eastAsia="ja-JP"/>
              </w:rPr>
            </w:pPr>
            <w:r w:rsidRPr="007C349C">
              <w:rPr>
                <w:lang w:eastAsia="ja-JP"/>
              </w:rPr>
              <w:t>1.24</w:t>
            </w:r>
          </w:p>
        </w:tc>
        <w:tc>
          <w:tcPr>
            <w:tcW w:w="1054" w:type="dxa"/>
          </w:tcPr>
          <w:p w14:paraId="0074637A" w14:textId="77777777" w:rsidR="007C349C" w:rsidRPr="007C349C" w:rsidRDefault="007C349C" w:rsidP="00BC28A1">
            <w:pPr>
              <w:pStyle w:val="TableText"/>
              <w:jc w:val="right"/>
              <w:rPr>
                <w:lang w:eastAsia="ja-JP"/>
              </w:rPr>
            </w:pPr>
            <w:r w:rsidRPr="007C349C">
              <w:rPr>
                <w:lang w:eastAsia="ja-JP"/>
              </w:rPr>
              <w:t>1.27</w:t>
            </w:r>
          </w:p>
        </w:tc>
        <w:tc>
          <w:tcPr>
            <w:tcW w:w="1202" w:type="dxa"/>
          </w:tcPr>
          <w:p w14:paraId="0C19029C" w14:textId="77777777" w:rsidR="007C349C" w:rsidRPr="007C349C" w:rsidRDefault="007C349C" w:rsidP="00BC28A1">
            <w:pPr>
              <w:pStyle w:val="TableText"/>
              <w:jc w:val="right"/>
              <w:rPr>
                <w:lang w:eastAsia="ja-JP"/>
              </w:rPr>
            </w:pPr>
            <w:r w:rsidRPr="007C349C">
              <w:rPr>
                <w:lang w:eastAsia="ja-JP"/>
              </w:rPr>
              <w:t>0.62</w:t>
            </w:r>
          </w:p>
        </w:tc>
      </w:tr>
      <w:tr w:rsidR="007C349C" w:rsidRPr="007C349C" w14:paraId="76AC81C9" w14:textId="77777777" w:rsidTr="00BC28A1">
        <w:tc>
          <w:tcPr>
            <w:tcW w:w="1387" w:type="dxa"/>
          </w:tcPr>
          <w:p w14:paraId="46E91D7A" w14:textId="77777777" w:rsidR="007C349C" w:rsidRPr="007C349C" w:rsidRDefault="007C349C" w:rsidP="00BC28A1">
            <w:pPr>
              <w:pStyle w:val="TableHeading"/>
              <w:rPr>
                <w:lang w:eastAsia="ja-JP"/>
              </w:rPr>
            </w:pPr>
            <w:r w:rsidRPr="007C349C">
              <w:rPr>
                <w:lang w:eastAsia="ja-JP"/>
              </w:rPr>
              <w:t>NEBRA</w:t>
            </w:r>
          </w:p>
        </w:tc>
        <w:tc>
          <w:tcPr>
            <w:tcW w:w="1590" w:type="dxa"/>
          </w:tcPr>
          <w:p w14:paraId="781CB07A" w14:textId="77777777" w:rsidR="007C349C" w:rsidRPr="007C349C" w:rsidRDefault="007C349C" w:rsidP="00BC28A1">
            <w:pPr>
              <w:pStyle w:val="TableHeading"/>
              <w:rPr>
                <w:color w:val="FFFFFF" w:themeColor="background1"/>
                <w:lang w:eastAsia="ja-JP"/>
              </w:rPr>
            </w:pPr>
            <w:r w:rsidRPr="007C349C">
              <w:rPr>
                <w:color w:val="FFFFFF" w:themeColor="background1"/>
                <w:lang w:eastAsia="ja-JP"/>
              </w:rPr>
              <w:t>.</w:t>
            </w:r>
          </w:p>
        </w:tc>
        <w:tc>
          <w:tcPr>
            <w:tcW w:w="1276" w:type="dxa"/>
          </w:tcPr>
          <w:p w14:paraId="7FAB2C61" w14:textId="77777777" w:rsidR="007C349C" w:rsidRPr="007C349C" w:rsidRDefault="007C349C" w:rsidP="00BC28A1">
            <w:pPr>
              <w:pStyle w:val="TableHeading"/>
              <w:rPr>
                <w:color w:val="FFFFFF" w:themeColor="background1"/>
                <w:lang w:eastAsia="ja-JP"/>
              </w:rPr>
            </w:pPr>
            <w:r w:rsidRPr="007C349C">
              <w:rPr>
                <w:color w:val="FFFFFF" w:themeColor="background1"/>
                <w:lang w:eastAsia="ja-JP"/>
              </w:rPr>
              <w:t>.</w:t>
            </w:r>
          </w:p>
        </w:tc>
        <w:tc>
          <w:tcPr>
            <w:tcW w:w="1201" w:type="dxa"/>
          </w:tcPr>
          <w:p w14:paraId="64D29360"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350" w:type="dxa"/>
          </w:tcPr>
          <w:p w14:paraId="7D6CB9BD"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054" w:type="dxa"/>
          </w:tcPr>
          <w:p w14:paraId="4F1E8F21"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202" w:type="dxa"/>
          </w:tcPr>
          <w:p w14:paraId="6265CE69"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r>
      <w:tr w:rsidR="007C349C" w:rsidRPr="007C349C" w14:paraId="3873FF53" w14:textId="77777777" w:rsidTr="00BC28A1">
        <w:tc>
          <w:tcPr>
            <w:tcW w:w="1387" w:type="dxa"/>
          </w:tcPr>
          <w:p w14:paraId="52FBEE96" w14:textId="77777777" w:rsidR="007C349C" w:rsidRPr="007C349C" w:rsidRDefault="007C349C" w:rsidP="00BC28A1">
            <w:pPr>
              <w:pStyle w:val="TableText"/>
              <w:rPr>
                <w:lang w:eastAsia="ja-JP"/>
              </w:rPr>
            </w:pPr>
            <w:r w:rsidRPr="007C349C">
              <w:rPr>
                <w:lang w:eastAsia="ja-JP"/>
              </w:rPr>
              <w:t>Red imported fire ant (</w:t>
            </w:r>
            <w:r w:rsidRPr="007C349C">
              <w:rPr>
                <w:i/>
                <w:lang w:eastAsia="ja-JP"/>
              </w:rPr>
              <w:t>Solenopsis invicta</w:t>
            </w:r>
            <w:r w:rsidRPr="007C349C">
              <w:rPr>
                <w:lang w:eastAsia="ja-JP"/>
              </w:rPr>
              <w:t xml:space="preserve">) </w:t>
            </w:r>
          </w:p>
        </w:tc>
        <w:tc>
          <w:tcPr>
            <w:tcW w:w="1590" w:type="dxa"/>
          </w:tcPr>
          <w:p w14:paraId="25FCBFFE" w14:textId="1E191601" w:rsidR="007C349C" w:rsidRPr="007C349C" w:rsidRDefault="007C349C" w:rsidP="00136B93">
            <w:pPr>
              <w:pStyle w:val="TableText"/>
              <w:rPr>
                <w:lang w:eastAsia="ja-JP"/>
              </w:rPr>
            </w:pPr>
            <w:r w:rsidRPr="007C349C">
              <w:rPr>
                <w:lang w:eastAsia="ja-JP"/>
              </w:rPr>
              <w:t xml:space="preserve">Brisbane </w:t>
            </w:r>
            <w:r w:rsidR="00136B93">
              <w:rPr>
                <w:lang w:eastAsia="ja-JP"/>
              </w:rPr>
              <w:t>A</w:t>
            </w:r>
            <w:r w:rsidRPr="007C349C">
              <w:rPr>
                <w:lang w:eastAsia="ja-JP"/>
              </w:rPr>
              <w:t>irport, Qld</w:t>
            </w:r>
          </w:p>
        </w:tc>
        <w:tc>
          <w:tcPr>
            <w:tcW w:w="1276" w:type="dxa"/>
          </w:tcPr>
          <w:p w14:paraId="6C5E4265" w14:textId="77777777" w:rsidR="007C349C" w:rsidRPr="007C349C" w:rsidRDefault="007C349C" w:rsidP="00BC28A1">
            <w:pPr>
              <w:pStyle w:val="TableText"/>
              <w:rPr>
                <w:lang w:eastAsia="ja-JP"/>
              </w:rPr>
            </w:pPr>
            <w:r w:rsidRPr="007C349C">
              <w:rPr>
                <w:lang w:eastAsia="ja-JP"/>
              </w:rPr>
              <w:t>2015–16 to 2017–18</w:t>
            </w:r>
          </w:p>
        </w:tc>
        <w:tc>
          <w:tcPr>
            <w:tcW w:w="1201" w:type="dxa"/>
          </w:tcPr>
          <w:p w14:paraId="772615B3" w14:textId="77777777" w:rsidR="007C349C" w:rsidRPr="007C349C" w:rsidRDefault="007C349C" w:rsidP="00BC28A1">
            <w:pPr>
              <w:pStyle w:val="TableText"/>
              <w:jc w:val="right"/>
              <w:rPr>
                <w:lang w:eastAsia="ja-JP"/>
              </w:rPr>
            </w:pPr>
            <w:r w:rsidRPr="007C349C">
              <w:rPr>
                <w:lang w:eastAsia="ja-JP"/>
              </w:rPr>
              <w:t>0.91</w:t>
            </w:r>
          </w:p>
        </w:tc>
        <w:tc>
          <w:tcPr>
            <w:tcW w:w="1350" w:type="dxa"/>
          </w:tcPr>
          <w:p w14:paraId="0B1B5B5B" w14:textId="77777777" w:rsidR="007C349C" w:rsidRPr="007C349C" w:rsidRDefault="007C349C" w:rsidP="00BC28A1">
            <w:pPr>
              <w:pStyle w:val="TableText"/>
              <w:jc w:val="right"/>
              <w:rPr>
                <w:lang w:eastAsia="ja-JP"/>
              </w:rPr>
            </w:pPr>
            <w:r w:rsidRPr="007C349C">
              <w:rPr>
                <w:lang w:eastAsia="ja-JP"/>
              </w:rPr>
              <w:t>0.46</w:t>
            </w:r>
          </w:p>
        </w:tc>
        <w:tc>
          <w:tcPr>
            <w:tcW w:w="1054" w:type="dxa"/>
          </w:tcPr>
          <w:p w14:paraId="338C781E" w14:textId="77777777" w:rsidR="007C349C" w:rsidRPr="007C349C" w:rsidRDefault="007C349C" w:rsidP="00BC28A1">
            <w:pPr>
              <w:pStyle w:val="TableText"/>
              <w:jc w:val="right"/>
              <w:rPr>
                <w:lang w:eastAsia="ja-JP"/>
              </w:rPr>
            </w:pPr>
            <w:r w:rsidRPr="007C349C">
              <w:rPr>
                <w:lang w:eastAsia="ja-JP"/>
              </w:rPr>
              <w:t>0.45</w:t>
            </w:r>
          </w:p>
        </w:tc>
        <w:tc>
          <w:tcPr>
            <w:tcW w:w="1202" w:type="dxa"/>
          </w:tcPr>
          <w:p w14:paraId="2EE8EA5F"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617EB712" w14:textId="77777777" w:rsidTr="00BC28A1">
        <w:tc>
          <w:tcPr>
            <w:tcW w:w="1387" w:type="dxa"/>
          </w:tcPr>
          <w:p w14:paraId="5516F190" w14:textId="77777777" w:rsidR="007C349C" w:rsidRPr="007C349C" w:rsidRDefault="007C349C" w:rsidP="00BC28A1">
            <w:pPr>
              <w:pStyle w:val="TableText"/>
              <w:rPr>
                <w:lang w:eastAsia="ja-JP"/>
              </w:rPr>
            </w:pPr>
            <w:r w:rsidRPr="007C349C">
              <w:rPr>
                <w:lang w:eastAsia="ja-JP"/>
              </w:rPr>
              <w:t>Browsing ant (</w:t>
            </w:r>
            <w:r w:rsidRPr="007C349C">
              <w:rPr>
                <w:i/>
                <w:lang w:eastAsia="ja-JP"/>
              </w:rPr>
              <w:t>Lepisiota frauenfeldi</w:t>
            </w:r>
            <w:r w:rsidRPr="007C349C">
              <w:rPr>
                <w:lang w:eastAsia="ja-JP"/>
              </w:rPr>
              <w:t>)</w:t>
            </w:r>
          </w:p>
        </w:tc>
        <w:tc>
          <w:tcPr>
            <w:tcW w:w="1590" w:type="dxa"/>
          </w:tcPr>
          <w:p w14:paraId="6C3DF60E" w14:textId="77777777" w:rsidR="007C349C" w:rsidRPr="007C349C" w:rsidRDefault="007C349C" w:rsidP="00BC28A1">
            <w:pPr>
              <w:pStyle w:val="TableText"/>
              <w:rPr>
                <w:lang w:eastAsia="ja-JP"/>
              </w:rPr>
            </w:pPr>
            <w:r w:rsidRPr="007C349C">
              <w:rPr>
                <w:lang w:eastAsia="ja-JP"/>
              </w:rPr>
              <w:t>Darwin Port, NT</w:t>
            </w:r>
          </w:p>
        </w:tc>
        <w:tc>
          <w:tcPr>
            <w:tcW w:w="1276" w:type="dxa"/>
          </w:tcPr>
          <w:p w14:paraId="201561A3" w14:textId="77777777" w:rsidR="007C349C" w:rsidRPr="007C349C" w:rsidRDefault="007C349C" w:rsidP="00BC28A1">
            <w:pPr>
              <w:pStyle w:val="TableText"/>
              <w:rPr>
                <w:lang w:eastAsia="ja-JP"/>
              </w:rPr>
            </w:pPr>
            <w:r w:rsidRPr="007C349C">
              <w:rPr>
                <w:lang w:eastAsia="ja-JP"/>
              </w:rPr>
              <w:t xml:space="preserve">2015–16 to 2017–18 </w:t>
            </w:r>
          </w:p>
        </w:tc>
        <w:tc>
          <w:tcPr>
            <w:tcW w:w="1201" w:type="dxa"/>
          </w:tcPr>
          <w:p w14:paraId="6F4F6914" w14:textId="77777777" w:rsidR="007C349C" w:rsidRPr="007C349C" w:rsidRDefault="007C349C" w:rsidP="00BC28A1">
            <w:pPr>
              <w:pStyle w:val="TableText"/>
              <w:jc w:val="right"/>
              <w:rPr>
                <w:lang w:eastAsia="ja-JP"/>
              </w:rPr>
            </w:pPr>
            <w:r w:rsidRPr="007C349C">
              <w:rPr>
                <w:lang w:eastAsia="ja-JP"/>
              </w:rPr>
              <w:t xml:space="preserve">1.11 </w:t>
            </w:r>
          </w:p>
        </w:tc>
        <w:tc>
          <w:tcPr>
            <w:tcW w:w="1350" w:type="dxa"/>
          </w:tcPr>
          <w:p w14:paraId="547F0D50" w14:textId="77777777" w:rsidR="007C349C" w:rsidRPr="007C349C" w:rsidRDefault="007C349C" w:rsidP="00BC28A1">
            <w:pPr>
              <w:pStyle w:val="TableText"/>
              <w:jc w:val="right"/>
              <w:rPr>
                <w:lang w:eastAsia="ja-JP"/>
              </w:rPr>
            </w:pPr>
            <w:r w:rsidRPr="007C349C">
              <w:rPr>
                <w:lang w:eastAsia="ja-JP"/>
              </w:rPr>
              <w:t>0.56</w:t>
            </w:r>
          </w:p>
        </w:tc>
        <w:tc>
          <w:tcPr>
            <w:tcW w:w="1054" w:type="dxa"/>
          </w:tcPr>
          <w:p w14:paraId="292EA961" w14:textId="77777777" w:rsidR="007C349C" w:rsidRPr="007C349C" w:rsidRDefault="007C349C" w:rsidP="00BC28A1">
            <w:pPr>
              <w:pStyle w:val="TableText"/>
              <w:jc w:val="right"/>
              <w:rPr>
                <w:lang w:eastAsia="ja-JP"/>
              </w:rPr>
            </w:pPr>
            <w:r w:rsidRPr="007C349C">
              <w:rPr>
                <w:lang w:eastAsia="ja-JP"/>
              </w:rPr>
              <w:t>0.55</w:t>
            </w:r>
          </w:p>
        </w:tc>
        <w:tc>
          <w:tcPr>
            <w:tcW w:w="1202" w:type="dxa"/>
          </w:tcPr>
          <w:p w14:paraId="7E24B69E"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60BE7898" w14:textId="77777777" w:rsidTr="00BC28A1">
        <w:tc>
          <w:tcPr>
            <w:tcW w:w="1387" w:type="dxa"/>
          </w:tcPr>
          <w:p w14:paraId="55420820" w14:textId="77777777" w:rsidR="007C349C" w:rsidRPr="007C349C" w:rsidRDefault="007C349C" w:rsidP="00BC28A1">
            <w:pPr>
              <w:pStyle w:val="TableText"/>
              <w:rPr>
                <w:lang w:eastAsia="ja-JP"/>
              </w:rPr>
            </w:pPr>
            <w:r w:rsidRPr="007C349C">
              <w:rPr>
                <w:lang w:eastAsia="ja-JP"/>
              </w:rPr>
              <w:t>Red imported fire ant</w:t>
            </w:r>
            <w:r w:rsidRPr="007C349C">
              <w:rPr>
                <w:vertAlign w:val="superscript"/>
                <w:lang w:eastAsia="ja-JP"/>
              </w:rPr>
              <w:t>1</w:t>
            </w:r>
          </w:p>
        </w:tc>
        <w:tc>
          <w:tcPr>
            <w:tcW w:w="1590" w:type="dxa"/>
          </w:tcPr>
          <w:p w14:paraId="613EA49D" w14:textId="77777777" w:rsidR="007C349C" w:rsidRPr="007C349C" w:rsidRDefault="007C349C" w:rsidP="00BC28A1">
            <w:pPr>
              <w:pStyle w:val="TableText"/>
              <w:rPr>
                <w:lang w:eastAsia="ja-JP"/>
              </w:rPr>
            </w:pPr>
            <w:r w:rsidRPr="007C349C">
              <w:rPr>
                <w:lang w:eastAsia="ja-JP"/>
              </w:rPr>
              <w:t>Port Botany, NSW*</w:t>
            </w:r>
          </w:p>
        </w:tc>
        <w:tc>
          <w:tcPr>
            <w:tcW w:w="1276" w:type="dxa"/>
          </w:tcPr>
          <w:p w14:paraId="3B3E17F1" w14:textId="77777777" w:rsidR="007C349C" w:rsidRPr="007C349C" w:rsidRDefault="007C349C" w:rsidP="00BC28A1">
            <w:pPr>
              <w:pStyle w:val="TableText"/>
              <w:rPr>
                <w:lang w:eastAsia="ja-JP"/>
              </w:rPr>
            </w:pPr>
            <w:r w:rsidRPr="007C349C">
              <w:rPr>
                <w:lang w:eastAsia="ja-JP"/>
              </w:rPr>
              <w:t>2014–15 to 2016–17</w:t>
            </w:r>
          </w:p>
        </w:tc>
        <w:tc>
          <w:tcPr>
            <w:tcW w:w="1201" w:type="dxa"/>
          </w:tcPr>
          <w:p w14:paraId="58294A85" w14:textId="77777777" w:rsidR="007C349C" w:rsidRPr="007C349C" w:rsidRDefault="007C349C" w:rsidP="00BC28A1">
            <w:pPr>
              <w:pStyle w:val="TableText"/>
              <w:jc w:val="right"/>
              <w:rPr>
                <w:lang w:eastAsia="ja-JP"/>
              </w:rPr>
            </w:pPr>
            <w:r w:rsidRPr="007C349C">
              <w:rPr>
                <w:lang w:eastAsia="ja-JP"/>
              </w:rPr>
              <w:t>1.00</w:t>
            </w:r>
          </w:p>
        </w:tc>
        <w:tc>
          <w:tcPr>
            <w:tcW w:w="1350" w:type="dxa"/>
          </w:tcPr>
          <w:p w14:paraId="431CC594" w14:textId="77777777" w:rsidR="007C349C" w:rsidRPr="007C349C" w:rsidRDefault="007C349C" w:rsidP="00BC28A1">
            <w:pPr>
              <w:pStyle w:val="TableText"/>
              <w:jc w:val="right"/>
              <w:rPr>
                <w:lang w:eastAsia="ja-JP"/>
              </w:rPr>
            </w:pPr>
            <w:r w:rsidRPr="007C349C">
              <w:rPr>
                <w:lang w:eastAsia="ja-JP"/>
              </w:rPr>
              <w:t>0.50</w:t>
            </w:r>
          </w:p>
        </w:tc>
        <w:tc>
          <w:tcPr>
            <w:tcW w:w="1054" w:type="dxa"/>
          </w:tcPr>
          <w:p w14:paraId="41D4A2DF" w14:textId="77777777" w:rsidR="007C349C" w:rsidRPr="007C349C" w:rsidRDefault="007C349C" w:rsidP="00BC28A1">
            <w:pPr>
              <w:pStyle w:val="TableText"/>
              <w:jc w:val="right"/>
              <w:rPr>
                <w:lang w:eastAsia="ja-JP"/>
              </w:rPr>
            </w:pPr>
            <w:r w:rsidRPr="007C349C">
              <w:rPr>
                <w:lang w:eastAsia="ja-JP"/>
              </w:rPr>
              <w:t>0.50</w:t>
            </w:r>
          </w:p>
        </w:tc>
        <w:tc>
          <w:tcPr>
            <w:tcW w:w="1202" w:type="dxa"/>
          </w:tcPr>
          <w:p w14:paraId="15791244"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0F5B8C6D" w14:textId="77777777" w:rsidTr="00BC28A1">
        <w:tc>
          <w:tcPr>
            <w:tcW w:w="1387" w:type="dxa"/>
          </w:tcPr>
          <w:p w14:paraId="06253A69" w14:textId="77777777" w:rsidR="007C349C" w:rsidRPr="007C349C" w:rsidRDefault="007C349C" w:rsidP="00BC28A1">
            <w:pPr>
              <w:pStyle w:val="TableText"/>
              <w:rPr>
                <w:lang w:eastAsia="ja-JP"/>
              </w:rPr>
            </w:pPr>
            <w:r w:rsidRPr="007C349C">
              <w:rPr>
                <w:lang w:eastAsia="ja-JP"/>
              </w:rPr>
              <w:t>Red imported fire ant</w:t>
            </w:r>
          </w:p>
        </w:tc>
        <w:tc>
          <w:tcPr>
            <w:tcW w:w="1590" w:type="dxa"/>
          </w:tcPr>
          <w:p w14:paraId="5D3E83CB" w14:textId="77777777" w:rsidR="007C349C" w:rsidRPr="007C349C" w:rsidRDefault="007C349C" w:rsidP="00BC28A1">
            <w:pPr>
              <w:pStyle w:val="TableText"/>
              <w:rPr>
                <w:lang w:eastAsia="ja-JP"/>
              </w:rPr>
            </w:pPr>
            <w:r w:rsidRPr="007C349C">
              <w:rPr>
                <w:lang w:eastAsia="ja-JP"/>
              </w:rPr>
              <w:t>Yarwun, Qld*</w:t>
            </w:r>
          </w:p>
        </w:tc>
        <w:tc>
          <w:tcPr>
            <w:tcW w:w="1276" w:type="dxa"/>
          </w:tcPr>
          <w:p w14:paraId="4252DEAF" w14:textId="77777777" w:rsidR="007C349C" w:rsidRPr="007C349C" w:rsidRDefault="007C349C" w:rsidP="00BC28A1">
            <w:pPr>
              <w:pStyle w:val="TableText"/>
              <w:rPr>
                <w:lang w:eastAsia="ja-JP"/>
              </w:rPr>
            </w:pPr>
            <w:r w:rsidRPr="007C349C">
              <w:rPr>
                <w:lang w:eastAsia="ja-JP"/>
              </w:rPr>
              <w:t>2013–14 to 2016–17</w:t>
            </w:r>
          </w:p>
        </w:tc>
        <w:tc>
          <w:tcPr>
            <w:tcW w:w="1201" w:type="dxa"/>
          </w:tcPr>
          <w:p w14:paraId="0035B48C" w14:textId="77777777" w:rsidR="007C349C" w:rsidRPr="007C349C" w:rsidRDefault="007C349C" w:rsidP="00BC28A1">
            <w:pPr>
              <w:pStyle w:val="TableText"/>
              <w:jc w:val="right"/>
              <w:rPr>
                <w:lang w:eastAsia="ja-JP"/>
              </w:rPr>
            </w:pPr>
            <w:r w:rsidRPr="007C349C">
              <w:rPr>
                <w:lang w:eastAsia="ja-JP"/>
              </w:rPr>
              <w:t>3.80</w:t>
            </w:r>
          </w:p>
        </w:tc>
        <w:tc>
          <w:tcPr>
            <w:tcW w:w="1350" w:type="dxa"/>
          </w:tcPr>
          <w:p w14:paraId="275C1196" w14:textId="77777777" w:rsidR="007C349C" w:rsidRPr="007C349C" w:rsidRDefault="007C349C" w:rsidP="00BC28A1">
            <w:pPr>
              <w:pStyle w:val="TableText"/>
              <w:jc w:val="right"/>
              <w:rPr>
                <w:lang w:eastAsia="ja-JP"/>
              </w:rPr>
            </w:pPr>
            <w:r w:rsidRPr="007C349C">
              <w:rPr>
                <w:lang w:eastAsia="ja-JP"/>
              </w:rPr>
              <w:t>1.90</w:t>
            </w:r>
          </w:p>
        </w:tc>
        <w:tc>
          <w:tcPr>
            <w:tcW w:w="1054" w:type="dxa"/>
          </w:tcPr>
          <w:p w14:paraId="121B8036" w14:textId="77777777" w:rsidR="007C349C" w:rsidRPr="007C349C" w:rsidRDefault="007C349C" w:rsidP="00BC28A1">
            <w:pPr>
              <w:pStyle w:val="TableText"/>
              <w:jc w:val="right"/>
              <w:rPr>
                <w:lang w:eastAsia="ja-JP"/>
              </w:rPr>
            </w:pPr>
            <w:r w:rsidRPr="007C349C">
              <w:rPr>
                <w:lang w:eastAsia="ja-JP"/>
              </w:rPr>
              <w:t>1.90</w:t>
            </w:r>
          </w:p>
        </w:tc>
        <w:tc>
          <w:tcPr>
            <w:tcW w:w="1202" w:type="dxa"/>
          </w:tcPr>
          <w:p w14:paraId="44125BE0"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0BFE29E4" w14:textId="77777777" w:rsidTr="00BC28A1">
        <w:tc>
          <w:tcPr>
            <w:tcW w:w="1387" w:type="dxa"/>
          </w:tcPr>
          <w:p w14:paraId="4626E23A" w14:textId="77777777" w:rsidR="007C349C" w:rsidRPr="007C349C" w:rsidRDefault="007C349C" w:rsidP="00BC28A1">
            <w:pPr>
              <w:pStyle w:val="TableText"/>
              <w:rPr>
                <w:lang w:eastAsia="ja-JP"/>
              </w:rPr>
            </w:pPr>
            <w:r w:rsidRPr="007C349C">
              <w:rPr>
                <w:lang w:eastAsia="ja-JP"/>
              </w:rPr>
              <w:t>Macao paper wasp (</w:t>
            </w:r>
            <w:r w:rsidRPr="007C349C">
              <w:rPr>
                <w:i/>
                <w:lang w:eastAsia="ja-JP"/>
              </w:rPr>
              <w:t>Polistes olivaceus</w:t>
            </w:r>
            <w:r w:rsidRPr="007C349C">
              <w:rPr>
                <w:lang w:eastAsia="ja-JP"/>
              </w:rPr>
              <w:t>)</w:t>
            </w:r>
          </w:p>
        </w:tc>
        <w:tc>
          <w:tcPr>
            <w:tcW w:w="1590" w:type="dxa"/>
          </w:tcPr>
          <w:p w14:paraId="5CC1A07D" w14:textId="77777777" w:rsidR="007C349C" w:rsidRPr="007C349C" w:rsidRDefault="007C349C" w:rsidP="00BC28A1">
            <w:pPr>
              <w:pStyle w:val="TableText"/>
              <w:rPr>
                <w:lang w:eastAsia="ja-JP"/>
              </w:rPr>
            </w:pPr>
            <w:r w:rsidRPr="007C349C">
              <w:rPr>
                <w:lang w:eastAsia="ja-JP"/>
              </w:rPr>
              <w:t>Cocos (Keeling) Islands</w:t>
            </w:r>
          </w:p>
        </w:tc>
        <w:tc>
          <w:tcPr>
            <w:tcW w:w="1276" w:type="dxa"/>
          </w:tcPr>
          <w:p w14:paraId="0B36B7F3" w14:textId="77777777" w:rsidR="007C349C" w:rsidRPr="007C349C" w:rsidRDefault="007C349C" w:rsidP="00BC28A1">
            <w:pPr>
              <w:pStyle w:val="TableText"/>
              <w:rPr>
                <w:lang w:eastAsia="ja-JP"/>
              </w:rPr>
            </w:pPr>
            <w:r w:rsidRPr="007C349C">
              <w:rPr>
                <w:lang w:eastAsia="ja-JP"/>
              </w:rPr>
              <w:t>2015–16 to 2017–18</w:t>
            </w:r>
          </w:p>
        </w:tc>
        <w:tc>
          <w:tcPr>
            <w:tcW w:w="1201" w:type="dxa"/>
          </w:tcPr>
          <w:p w14:paraId="4D3BA544" w14:textId="77777777" w:rsidR="007C349C" w:rsidRPr="007C349C" w:rsidRDefault="007C349C" w:rsidP="00BC28A1">
            <w:pPr>
              <w:pStyle w:val="TableText"/>
              <w:jc w:val="right"/>
              <w:rPr>
                <w:lang w:eastAsia="ja-JP"/>
              </w:rPr>
            </w:pPr>
            <w:r w:rsidRPr="007C349C">
              <w:rPr>
                <w:lang w:eastAsia="ja-JP"/>
              </w:rPr>
              <w:t>0.19</w:t>
            </w:r>
          </w:p>
        </w:tc>
        <w:tc>
          <w:tcPr>
            <w:tcW w:w="1350" w:type="dxa"/>
          </w:tcPr>
          <w:p w14:paraId="04400031" w14:textId="77777777" w:rsidR="007C349C" w:rsidRPr="007C349C" w:rsidRDefault="007C349C" w:rsidP="00BC28A1">
            <w:pPr>
              <w:pStyle w:val="TableText"/>
              <w:jc w:val="right"/>
              <w:rPr>
                <w:lang w:eastAsia="ja-JP"/>
              </w:rPr>
            </w:pPr>
            <w:r w:rsidRPr="007C349C">
              <w:rPr>
                <w:lang w:eastAsia="ja-JP"/>
              </w:rPr>
              <w:t>0.19</w:t>
            </w:r>
          </w:p>
        </w:tc>
        <w:tc>
          <w:tcPr>
            <w:tcW w:w="1054" w:type="dxa"/>
          </w:tcPr>
          <w:p w14:paraId="26540D27" w14:textId="77777777" w:rsidR="007C349C" w:rsidRPr="007C349C" w:rsidRDefault="007C349C" w:rsidP="00BC28A1">
            <w:pPr>
              <w:pStyle w:val="TableText"/>
              <w:jc w:val="right"/>
              <w:rPr>
                <w:lang w:eastAsia="ja-JP"/>
              </w:rPr>
            </w:pPr>
            <w:r w:rsidRPr="007C349C">
              <w:rPr>
                <w:lang w:eastAsia="ja-JP"/>
              </w:rPr>
              <w:t>0</w:t>
            </w:r>
          </w:p>
        </w:tc>
        <w:tc>
          <w:tcPr>
            <w:tcW w:w="1202" w:type="dxa"/>
          </w:tcPr>
          <w:p w14:paraId="0189513C"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2E49F097" w14:textId="77777777" w:rsidTr="00BC28A1">
        <w:tc>
          <w:tcPr>
            <w:tcW w:w="1387" w:type="dxa"/>
          </w:tcPr>
          <w:p w14:paraId="3099C10F" w14:textId="77777777" w:rsidR="007C349C" w:rsidRPr="007C349C" w:rsidRDefault="007C349C" w:rsidP="00BC28A1">
            <w:pPr>
              <w:pStyle w:val="TableHeading"/>
              <w:rPr>
                <w:lang w:eastAsia="ja-JP"/>
              </w:rPr>
            </w:pPr>
            <w:r w:rsidRPr="007C349C">
              <w:rPr>
                <w:lang w:eastAsia="ja-JP"/>
              </w:rPr>
              <w:t>Off-deed responses</w:t>
            </w:r>
          </w:p>
        </w:tc>
        <w:tc>
          <w:tcPr>
            <w:tcW w:w="1590" w:type="dxa"/>
          </w:tcPr>
          <w:p w14:paraId="15902864" w14:textId="77777777" w:rsidR="007C349C" w:rsidRPr="007C349C" w:rsidRDefault="007C349C" w:rsidP="00BC28A1">
            <w:pPr>
              <w:pStyle w:val="TableHeading"/>
              <w:rPr>
                <w:color w:val="FFFFFF" w:themeColor="background1"/>
                <w:lang w:eastAsia="ja-JP"/>
              </w:rPr>
            </w:pPr>
            <w:r w:rsidRPr="007C349C">
              <w:rPr>
                <w:color w:val="FFFFFF" w:themeColor="background1"/>
                <w:lang w:eastAsia="ja-JP"/>
              </w:rPr>
              <w:t>.</w:t>
            </w:r>
          </w:p>
        </w:tc>
        <w:tc>
          <w:tcPr>
            <w:tcW w:w="1276" w:type="dxa"/>
          </w:tcPr>
          <w:p w14:paraId="566A4E8B" w14:textId="77777777" w:rsidR="007C349C" w:rsidRPr="007C349C" w:rsidRDefault="007C349C" w:rsidP="00BC28A1">
            <w:pPr>
              <w:pStyle w:val="TableHeading"/>
              <w:rPr>
                <w:color w:val="FFFFFF" w:themeColor="background1"/>
                <w:lang w:eastAsia="ja-JP"/>
              </w:rPr>
            </w:pPr>
            <w:r w:rsidRPr="007C349C">
              <w:rPr>
                <w:color w:val="FFFFFF" w:themeColor="background1"/>
                <w:lang w:eastAsia="ja-JP"/>
              </w:rPr>
              <w:t>.</w:t>
            </w:r>
          </w:p>
        </w:tc>
        <w:tc>
          <w:tcPr>
            <w:tcW w:w="1201" w:type="dxa"/>
          </w:tcPr>
          <w:p w14:paraId="47541442"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350" w:type="dxa"/>
          </w:tcPr>
          <w:p w14:paraId="7F99FD64"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054" w:type="dxa"/>
          </w:tcPr>
          <w:p w14:paraId="519AE83A"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c>
          <w:tcPr>
            <w:tcW w:w="1202" w:type="dxa"/>
          </w:tcPr>
          <w:p w14:paraId="3ECBDF7F" w14:textId="77777777" w:rsidR="007C349C" w:rsidRPr="007C349C" w:rsidRDefault="007C349C" w:rsidP="00BC28A1">
            <w:pPr>
              <w:pStyle w:val="TableHeading"/>
              <w:jc w:val="right"/>
              <w:rPr>
                <w:color w:val="FFFFFF" w:themeColor="background1"/>
                <w:lang w:eastAsia="ja-JP"/>
              </w:rPr>
            </w:pPr>
            <w:r w:rsidRPr="007C349C">
              <w:rPr>
                <w:color w:val="FFFFFF" w:themeColor="background1"/>
                <w:lang w:eastAsia="ja-JP"/>
              </w:rPr>
              <w:t>.</w:t>
            </w:r>
          </w:p>
        </w:tc>
      </w:tr>
      <w:tr w:rsidR="007C349C" w:rsidRPr="007C349C" w14:paraId="04DFD865" w14:textId="77777777" w:rsidTr="00BC28A1">
        <w:tc>
          <w:tcPr>
            <w:tcW w:w="1387" w:type="dxa"/>
          </w:tcPr>
          <w:p w14:paraId="659FA872" w14:textId="77777777" w:rsidR="007C349C" w:rsidRPr="007C349C" w:rsidRDefault="007C349C" w:rsidP="00BC28A1">
            <w:pPr>
              <w:pStyle w:val="TableText"/>
              <w:rPr>
                <w:lang w:eastAsia="ja-JP"/>
              </w:rPr>
            </w:pPr>
            <w:r w:rsidRPr="007C349C">
              <w:rPr>
                <w:lang w:eastAsia="ja-JP"/>
              </w:rPr>
              <w:t>Red witchweed (</w:t>
            </w:r>
            <w:r w:rsidRPr="007C349C">
              <w:rPr>
                <w:i/>
                <w:lang w:eastAsia="ja-JP"/>
              </w:rPr>
              <w:t>Striga asiatica</w:t>
            </w:r>
            <w:r w:rsidRPr="007C349C">
              <w:rPr>
                <w:lang w:eastAsia="ja-JP"/>
              </w:rPr>
              <w:t>)</w:t>
            </w:r>
          </w:p>
        </w:tc>
        <w:tc>
          <w:tcPr>
            <w:tcW w:w="1590" w:type="dxa"/>
          </w:tcPr>
          <w:p w14:paraId="390E0437" w14:textId="77777777" w:rsidR="007C349C" w:rsidRPr="007C349C" w:rsidRDefault="007C349C" w:rsidP="00BC28A1">
            <w:pPr>
              <w:pStyle w:val="TableText"/>
              <w:rPr>
                <w:lang w:eastAsia="ja-JP"/>
              </w:rPr>
            </w:pPr>
            <w:r w:rsidRPr="007C349C">
              <w:rPr>
                <w:lang w:eastAsia="ja-JP"/>
              </w:rPr>
              <w:t>Mackay, Qld</w:t>
            </w:r>
          </w:p>
        </w:tc>
        <w:tc>
          <w:tcPr>
            <w:tcW w:w="1276" w:type="dxa"/>
          </w:tcPr>
          <w:p w14:paraId="69C493E9" w14:textId="77777777" w:rsidR="007C349C" w:rsidRPr="007C349C" w:rsidRDefault="007C349C" w:rsidP="00BC28A1">
            <w:pPr>
              <w:pStyle w:val="TableText"/>
              <w:rPr>
                <w:lang w:eastAsia="ja-JP"/>
              </w:rPr>
            </w:pPr>
            <w:r w:rsidRPr="007C349C">
              <w:rPr>
                <w:lang w:eastAsia="ja-JP"/>
              </w:rPr>
              <w:t>2015–16 to 2024–25</w:t>
            </w:r>
          </w:p>
        </w:tc>
        <w:tc>
          <w:tcPr>
            <w:tcW w:w="1201" w:type="dxa"/>
          </w:tcPr>
          <w:p w14:paraId="356B3AFF" w14:textId="77777777" w:rsidR="007C349C" w:rsidRPr="007C349C" w:rsidRDefault="007C349C" w:rsidP="00BC28A1">
            <w:pPr>
              <w:pStyle w:val="TableText"/>
              <w:jc w:val="right"/>
              <w:rPr>
                <w:lang w:eastAsia="ja-JP"/>
              </w:rPr>
            </w:pPr>
            <w:r w:rsidRPr="007C349C">
              <w:rPr>
                <w:lang w:eastAsia="ja-JP"/>
              </w:rPr>
              <w:t>5.86</w:t>
            </w:r>
          </w:p>
        </w:tc>
        <w:tc>
          <w:tcPr>
            <w:tcW w:w="1350" w:type="dxa"/>
          </w:tcPr>
          <w:p w14:paraId="6DC30AF2" w14:textId="77777777" w:rsidR="007C349C" w:rsidRPr="007C349C" w:rsidRDefault="007C349C" w:rsidP="00BC28A1">
            <w:pPr>
              <w:pStyle w:val="TableText"/>
              <w:jc w:val="right"/>
              <w:rPr>
                <w:lang w:eastAsia="ja-JP"/>
              </w:rPr>
            </w:pPr>
            <w:r w:rsidRPr="007C349C">
              <w:rPr>
                <w:lang w:eastAsia="ja-JP"/>
              </w:rPr>
              <w:t>1.80</w:t>
            </w:r>
          </w:p>
        </w:tc>
        <w:tc>
          <w:tcPr>
            <w:tcW w:w="1054" w:type="dxa"/>
          </w:tcPr>
          <w:p w14:paraId="6E87DC99" w14:textId="77777777" w:rsidR="007C349C" w:rsidRPr="007C349C" w:rsidRDefault="007C349C" w:rsidP="00BC28A1">
            <w:pPr>
              <w:pStyle w:val="TableText"/>
              <w:jc w:val="right"/>
              <w:rPr>
                <w:lang w:eastAsia="ja-JP"/>
              </w:rPr>
            </w:pPr>
            <w:r w:rsidRPr="007C349C">
              <w:rPr>
                <w:lang w:eastAsia="ja-JP"/>
              </w:rPr>
              <w:t>1.16</w:t>
            </w:r>
          </w:p>
        </w:tc>
        <w:tc>
          <w:tcPr>
            <w:tcW w:w="1202" w:type="dxa"/>
          </w:tcPr>
          <w:p w14:paraId="6D26CEFE" w14:textId="77777777" w:rsidR="007C349C" w:rsidRPr="007C349C" w:rsidRDefault="007C349C" w:rsidP="00BC28A1">
            <w:pPr>
              <w:pStyle w:val="TableText"/>
              <w:jc w:val="right"/>
              <w:rPr>
                <w:lang w:eastAsia="ja-JP"/>
              </w:rPr>
            </w:pPr>
            <w:r w:rsidRPr="007C349C">
              <w:rPr>
                <w:lang w:eastAsia="ja-JP"/>
              </w:rPr>
              <w:t>2.90</w:t>
            </w:r>
          </w:p>
        </w:tc>
      </w:tr>
      <w:tr w:rsidR="007C349C" w:rsidRPr="007C349C" w14:paraId="36929228" w14:textId="77777777" w:rsidTr="00BC28A1">
        <w:tc>
          <w:tcPr>
            <w:tcW w:w="1387" w:type="dxa"/>
          </w:tcPr>
          <w:p w14:paraId="1A7D4062" w14:textId="77777777" w:rsidR="007C349C" w:rsidRPr="007C349C" w:rsidRDefault="007C349C" w:rsidP="00BC28A1">
            <w:pPr>
              <w:pStyle w:val="TableText"/>
              <w:rPr>
                <w:lang w:eastAsia="ja-JP"/>
              </w:rPr>
            </w:pPr>
            <w:r w:rsidRPr="007C349C">
              <w:rPr>
                <w:lang w:eastAsia="ja-JP"/>
              </w:rPr>
              <w:t>Browsing ant</w:t>
            </w:r>
          </w:p>
        </w:tc>
        <w:tc>
          <w:tcPr>
            <w:tcW w:w="1590" w:type="dxa"/>
          </w:tcPr>
          <w:p w14:paraId="521BB117" w14:textId="77777777" w:rsidR="007C349C" w:rsidRPr="007C349C" w:rsidRDefault="007C349C" w:rsidP="00BC28A1">
            <w:pPr>
              <w:pStyle w:val="TableText"/>
              <w:rPr>
                <w:lang w:eastAsia="ja-JP"/>
              </w:rPr>
            </w:pPr>
            <w:r w:rsidRPr="007C349C">
              <w:rPr>
                <w:lang w:eastAsia="ja-JP"/>
              </w:rPr>
              <w:t>Perth Airport, WA*</w:t>
            </w:r>
          </w:p>
        </w:tc>
        <w:tc>
          <w:tcPr>
            <w:tcW w:w="1276" w:type="dxa"/>
          </w:tcPr>
          <w:p w14:paraId="0B658FC2" w14:textId="77777777" w:rsidR="007C349C" w:rsidRPr="007C349C" w:rsidRDefault="007C349C" w:rsidP="00BC28A1">
            <w:pPr>
              <w:pStyle w:val="TableText"/>
              <w:rPr>
                <w:lang w:eastAsia="ja-JP"/>
              </w:rPr>
            </w:pPr>
            <w:r w:rsidRPr="007C349C">
              <w:rPr>
                <w:lang w:eastAsia="ja-JP"/>
              </w:rPr>
              <w:t>2013–14 to 2015–16</w:t>
            </w:r>
          </w:p>
        </w:tc>
        <w:tc>
          <w:tcPr>
            <w:tcW w:w="1201" w:type="dxa"/>
          </w:tcPr>
          <w:p w14:paraId="5248B521" w14:textId="77777777" w:rsidR="007C349C" w:rsidRPr="007C349C" w:rsidRDefault="007C349C" w:rsidP="00BC28A1">
            <w:pPr>
              <w:pStyle w:val="TableText"/>
              <w:jc w:val="right"/>
              <w:rPr>
                <w:lang w:eastAsia="ja-JP"/>
              </w:rPr>
            </w:pPr>
            <w:r w:rsidRPr="007C349C">
              <w:rPr>
                <w:lang w:eastAsia="ja-JP"/>
              </w:rPr>
              <w:t>0.14</w:t>
            </w:r>
          </w:p>
        </w:tc>
        <w:tc>
          <w:tcPr>
            <w:tcW w:w="1350" w:type="dxa"/>
          </w:tcPr>
          <w:p w14:paraId="4A59A0E8" w14:textId="77777777" w:rsidR="007C349C" w:rsidRPr="007C349C" w:rsidRDefault="007C349C" w:rsidP="00BC28A1">
            <w:pPr>
              <w:pStyle w:val="TableText"/>
              <w:jc w:val="right"/>
              <w:rPr>
                <w:lang w:eastAsia="ja-JP"/>
              </w:rPr>
            </w:pPr>
            <w:r w:rsidRPr="007C349C">
              <w:rPr>
                <w:lang w:eastAsia="ja-JP"/>
              </w:rPr>
              <w:t>0.14</w:t>
            </w:r>
          </w:p>
        </w:tc>
        <w:tc>
          <w:tcPr>
            <w:tcW w:w="1054" w:type="dxa"/>
          </w:tcPr>
          <w:p w14:paraId="6B7ED007" w14:textId="77777777" w:rsidR="007C349C" w:rsidRPr="007C349C" w:rsidRDefault="007C349C" w:rsidP="00BC28A1">
            <w:pPr>
              <w:pStyle w:val="TableText"/>
              <w:jc w:val="right"/>
              <w:rPr>
                <w:lang w:eastAsia="ja-JP"/>
              </w:rPr>
            </w:pPr>
            <w:r w:rsidRPr="007C349C">
              <w:rPr>
                <w:lang w:eastAsia="ja-JP"/>
              </w:rPr>
              <w:t>0</w:t>
            </w:r>
          </w:p>
        </w:tc>
        <w:tc>
          <w:tcPr>
            <w:tcW w:w="1202" w:type="dxa"/>
          </w:tcPr>
          <w:p w14:paraId="7AFF7E05"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49DB5DBD" w14:textId="77777777" w:rsidTr="00BC28A1">
        <w:tc>
          <w:tcPr>
            <w:tcW w:w="1387" w:type="dxa"/>
          </w:tcPr>
          <w:p w14:paraId="2FFDEA9D" w14:textId="77777777" w:rsidR="007C349C" w:rsidRPr="007C349C" w:rsidRDefault="007C349C" w:rsidP="00BC28A1">
            <w:pPr>
              <w:pStyle w:val="TableText"/>
              <w:rPr>
                <w:lang w:eastAsia="ja-JP"/>
              </w:rPr>
            </w:pPr>
            <w:r w:rsidRPr="007C349C">
              <w:rPr>
                <w:lang w:eastAsia="ja-JP"/>
              </w:rPr>
              <w:t>Electric ant (</w:t>
            </w:r>
            <w:r w:rsidRPr="007C349C">
              <w:rPr>
                <w:i/>
                <w:lang w:eastAsia="ja-JP"/>
              </w:rPr>
              <w:t>Wasmannia auropunctata</w:t>
            </w:r>
            <w:r w:rsidRPr="007C349C">
              <w:rPr>
                <w:lang w:eastAsia="ja-JP"/>
              </w:rPr>
              <w:t>)</w:t>
            </w:r>
          </w:p>
        </w:tc>
        <w:tc>
          <w:tcPr>
            <w:tcW w:w="1590" w:type="dxa"/>
          </w:tcPr>
          <w:p w14:paraId="3B1E59F5" w14:textId="77777777" w:rsidR="007C349C" w:rsidRPr="007C349C" w:rsidRDefault="007C349C" w:rsidP="00BC28A1">
            <w:pPr>
              <w:pStyle w:val="TableText"/>
              <w:rPr>
                <w:lang w:eastAsia="ja-JP"/>
              </w:rPr>
            </w:pPr>
            <w:r w:rsidRPr="007C349C">
              <w:rPr>
                <w:lang w:eastAsia="ja-JP"/>
              </w:rPr>
              <w:t>Cairns, Qld</w:t>
            </w:r>
          </w:p>
        </w:tc>
        <w:tc>
          <w:tcPr>
            <w:tcW w:w="1276" w:type="dxa"/>
          </w:tcPr>
          <w:p w14:paraId="166DEC71" w14:textId="77777777" w:rsidR="007C349C" w:rsidRPr="007C349C" w:rsidRDefault="007C349C" w:rsidP="00BC28A1">
            <w:pPr>
              <w:pStyle w:val="TableText"/>
              <w:rPr>
                <w:lang w:eastAsia="ja-JP"/>
              </w:rPr>
            </w:pPr>
            <w:r w:rsidRPr="007C349C">
              <w:rPr>
                <w:lang w:eastAsia="ja-JP"/>
              </w:rPr>
              <w:t>2006–07 to 2015–16</w:t>
            </w:r>
          </w:p>
        </w:tc>
        <w:tc>
          <w:tcPr>
            <w:tcW w:w="1201" w:type="dxa"/>
          </w:tcPr>
          <w:p w14:paraId="121455C3" w14:textId="77777777" w:rsidR="007C349C" w:rsidRPr="007C349C" w:rsidRDefault="007C349C" w:rsidP="00BC28A1">
            <w:pPr>
              <w:pStyle w:val="TableText"/>
              <w:jc w:val="right"/>
              <w:rPr>
                <w:lang w:eastAsia="ja-JP"/>
              </w:rPr>
            </w:pPr>
            <w:r w:rsidRPr="007C349C">
              <w:rPr>
                <w:lang w:eastAsia="ja-JP"/>
              </w:rPr>
              <w:t>12.88</w:t>
            </w:r>
          </w:p>
        </w:tc>
        <w:tc>
          <w:tcPr>
            <w:tcW w:w="1350" w:type="dxa"/>
          </w:tcPr>
          <w:p w14:paraId="312AE1D9" w14:textId="77777777" w:rsidR="007C349C" w:rsidRPr="007C349C" w:rsidRDefault="007C349C" w:rsidP="00BC28A1">
            <w:pPr>
              <w:pStyle w:val="TableText"/>
              <w:jc w:val="right"/>
              <w:rPr>
                <w:lang w:eastAsia="ja-JP"/>
              </w:rPr>
            </w:pPr>
            <w:r w:rsidRPr="007C349C">
              <w:rPr>
                <w:lang w:eastAsia="ja-JP"/>
              </w:rPr>
              <w:t>6.44</w:t>
            </w:r>
          </w:p>
        </w:tc>
        <w:tc>
          <w:tcPr>
            <w:tcW w:w="1054" w:type="dxa"/>
          </w:tcPr>
          <w:p w14:paraId="55270AA9" w14:textId="77777777" w:rsidR="007C349C" w:rsidRPr="007C349C" w:rsidRDefault="007C349C" w:rsidP="00BC28A1">
            <w:pPr>
              <w:pStyle w:val="TableText"/>
              <w:jc w:val="right"/>
              <w:rPr>
                <w:lang w:eastAsia="ja-JP"/>
              </w:rPr>
            </w:pPr>
            <w:r w:rsidRPr="007C349C">
              <w:rPr>
                <w:lang w:eastAsia="ja-JP"/>
              </w:rPr>
              <w:t>6.44</w:t>
            </w:r>
          </w:p>
        </w:tc>
        <w:tc>
          <w:tcPr>
            <w:tcW w:w="1202" w:type="dxa"/>
          </w:tcPr>
          <w:p w14:paraId="55D0E483"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0F2AD35D" w14:textId="77777777" w:rsidTr="00BC28A1">
        <w:tc>
          <w:tcPr>
            <w:tcW w:w="1387" w:type="dxa"/>
          </w:tcPr>
          <w:p w14:paraId="7FA807EE" w14:textId="77777777" w:rsidR="007C349C" w:rsidRPr="007C349C" w:rsidRDefault="007C349C" w:rsidP="00BC28A1">
            <w:pPr>
              <w:pStyle w:val="TableText"/>
              <w:rPr>
                <w:lang w:eastAsia="ja-JP"/>
              </w:rPr>
            </w:pPr>
            <w:r w:rsidRPr="007C349C">
              <w:rPr>
                <w:lang w:eastAsia="ja-JP"/>
              </w:rPr>
              <w:t>Red imported fire ant</w:t>
            </w:r>
          </w:p>
        </w:tc>
        <w:tc>
          <w:tcPr>
            <w:tcW w:w="1590" w:type="dxa"/>
          </w:tcPr>
          <w:p w14:paraId="6C45215B" w14:textId="77777777" w:rsidR="007C349C" w:rsidRPr="007C349C" w:rsidRDefault="007C349C" w:rsidP="00BC28A1">
            <w:pPr>
              <w:pStyle w:val="TableText"/>
              <w:rPr>
                <w:lang w:eastAsia="ja-JP"/>
              </w:rPr>
            </w:pPr>
            <w:r w:rsidRPr="007C349C">
              <w:rPr>
                <w:lang w:eastAsia="ja-JP"/>
              </w:rPr>
              <w:t>South-east Qld</w:t>
            </w:r>
          </w:p>
        </w:tc>
        <w:tc>
          <w:tcPr>
            <w:tcW w:w="1276" w:type="dxa"/>
          </w:tcPr>
          <w:p w14:paraId="331D8F7A" w14:textId="77777777" w:rsidR="007C349C" w:rsidRPr="007C349C" w:rsidRDefault="007C349C" w:rsidP="00BC28A1">
            <w:pPr>
              <w:pStyle w:val="TableText"/>
              <w:rPr>
                <w:lang w:eastAsia="ja-JP"/>
              </w:rPr>
            </w:pPr>
            <w:r w:rsidRPr="007C349C">
              <w:rPr>
                <w:lang w:eastAsia="ja-JP"/>
              </w:rPr>
              <w:t>2013–14 to 2017–18</w:t>
            </w:r>
          </w:p>
        </w:tc>
        <w:tc>
          <w:tcPr>
            <w:tcW w:w="1201" w:type="dxa"/>
          </w:tcPr>
          <w:p w14:paraId="1016190F" w14:textId="77777777" w:rsidR="007C349C" w:rsidRPr="007C349C" w:rsidRDefault="007C349C" w:rsidP="00BC28A1">
            <w:pPr>
              <w:pStyle w:val="TableText"/>
              <w:jc w:val="right"/>
              <w:rPr>
                <w:lang w:eastAsia="ja-JP"/>
              </w:rPr>
            </w:pPr>
            <w:r w:rsidRPr="007C349C">
              <w:rPr>
                <w:lang w:eastAsia="ja-JP"/>
              </w:rPr>
              <w:t>92.95</w:t>
            </w:r>
          </w:p>
        </w:tc>
        <w:tc>
          <w:tcPr>
            <w:tcW w:w="1350" w:type="dxa"/>
          </w:tcPr>
          <w:p w14:paraId="3ACC10D8" w14:textId="77777777" w:rsidR="007C349C" w:rsidRPr="007C349C" w:rsidRDefault="007C349C" w:rsidP="00BC28A1">
            <w:pPr>
              <w:pStyle w:val="TableText"/>
              <w:jc w:val="right"/>
              <w:rPr>
                <w:lang w:eastAsia="ja-JP"/>
              </w:rPr>
            </w:pPr>
            <w:r w:rsidRPr="007C349C">
              <w:rPr>
                <w:lang w:eastAsia="ja-JP"/>
              </w:rPr>
              <w:t>37.47</w:t>
            </w:r>
          </w:p>
        </w:tc>
        <w:tc>
          <w:tcPr>
            <w:tcW w:w="1054" w:type="dxa"/>
          </w:tcPr>
          <w:p w14:paraId="41AEF161" w14:textId="77777777" w:rsidR="007C349C" w:rsidRPr="007C349C" w:rsidRDefault="007C349C" w:rsidP="00BC28A1">
            <w:pPr>
              <w:pStyle w:val="TableText"/>
              <w:jc w:val="right"/>
              <w:rPr>
                <w:lang w:eastAsia="ja-JP"/>
              </w:rPr>
            </w:pPr>
            <w:r w:rsidRPr="007C349C">
              <w:rPr>
                <w:lang w:eastAsia="ja-JP"/>
              </w:rPr>
              <w:t>55.48</w:t>
            </w:r>
            <w:r w:rsidRPr="007C349C">
              <w:rPr>
                <w:vertAlign w:val="superscript"/>
                <w:lang w:eastAsia="ja-JP"/>
              </w:rPr>
              <w:t>2</w:t>
            </w:r>
          </w:p>
        </w:tc>
        <w:tc>
          <w:tcPr>
            <w:tcW w:w="1202" w:type="dxa"/>
          </w:tcPr>
          <w:p w14:paraId="6F6EF7F1"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48FAE8FC" w14:textId="77777777" w:rsidTr="00BC28A1">
        <w:tc>
          <w:tcPr>
            <w:tcW w:w="1387" w:type="dxa"/>
          </w:tcPr>
          <w:p w14:paraId="78FB3F2B" w14:textId="77777777" w:rsidR="007C349C" w:rsidRPr="007C349C" w:rsidRDefault="007C349C" w:rsidP="00BC28A1">
            <w:pPr>
              <w:pStyle w:val="TableText"/>
              <w:rPr>
                <w:lang w:eastAsia="ja-JP"/>
              </w:rPr>
            </w:pPr>
            <w:r w:rsidRPr="007C349C">
              <w:rPr>
                <w:lang w:eastAsia="ja-JP"/>
              </w:rPr>
              <w:t>Four tropical weeds</w:t>
            </w:r>
          </w:p>
        </w:tc>
        <w:tc>
          <w:tcPr>
            <w:tcW w:w="1590" w:type="dxa"/>
          </w:tcPr>
          <w:p w14:paraId="59B35127" w14:textId="77777777" w:rsidR="007C349C" w:rsidRPr="007C349C" w:rsidRDefault="007C349C" w:rsidP="00BC28A1">
            <w:pPr>
              <w:pStyle w:val="TableText"/>
              <w:rPr>
                <w:lang w:eastAsia="ja-JP"/>
              </w:rPr>
            </w:pPr>
            <w:r w:rsidRPr="007C349C">
              <w:rPr>
                <w:lang w:eastAsia="ja-JP"/>
              </w:rPr>
              <w:t>Qld and NSW</w:t>
            </w:r>
          </w:p>
        </w:tc>
        <w:tc>
          <w:tcPr>
            <w:tcW w:w="1276" w:type="dxa"/>
          </w:tcPr>
          <w:p w14:paraId="4F3D1ACF" w14:textId="77777777" w:rsidR="007C349C" w:rsidRPr="007C349C" w:rsidRDefault="007C349C" w:rsidP="00BC28A1">
            <w:pPr>
              <w:pStyle w:val="TableText"/>
              <w:rPr>
                <w:lang w:eastAsia="ja-JP"/>
              </w:rPr>
            </w:pPr>
            <w:r w:rsidRPr="007C349C">
              <w:rPr>
                <w:lang w:eastAsia="ja-JP"/>
              </w:rPr>
              <w:t>2010–11 to 2017–18</w:t>
            </w:r>
          </w:p>
        </w:tc>
        <w:tc>
          <w:tcPr>
            <w:tcW w:w="1201" w:type="dxa"/>
          </w:tcPr>
          <w:p w14:paraId="763A68A3" w14:textId="77777777" w:rsidR="007C349C" w:rsidRPr="007C349C" w:rsidRDefault="007C349C" w:rsidP="00BC28A1">
            <w:pPr>
              <w:pStyle w:val="TableText"/>
              <w:jc w:val="right"/>
              <w:rPr>
                <w:lang w:eastAsia="ja-JP"/>
              </w:rPr>
            </w:pPr>
            <w:r w:rsidRPr="007C349C">
              <w:rPr>
                <w:lang w:eastAsia="ja-JP"/>
              </w:rPr>
              <w:t>14.60</w:t>
            </w:r>
          </w:p>
        </w:tc>
        <w:tc>
          <w:tcPr>
            <w:tcW w:w="1350" w:type="dxa"/>
          </w:tcPr>
          <w:p w14:paraId="39CD3591" w14:textId="77777777" w:rsidR="007C349C" w:rsidRPr="007C349C" w:rsidRDefault="007C349C" w:rsidP="00BC28A1">
            <w:pPr>
              <w:pStyle w:val="TableText"/>
              <w:jc w:val="right"/>
              <w:rPr>
                <w:lang w:eastAsia="ja-JP"/>
              </w:rPr>
            </w:pPr>
            <w:r w:rsidRPr="007C349C">
              <w:rPr>
                <w:lang w:eastAsia="ja-JP"/>
              </w:rPr>
              <w:t>7.38</w:t>
            </w:r>
          </w:p>
        </w:tc>
        <w:tc>
          <w:tcPr>
            <w:tcW w:w="1054" w:type="dxa"/>
          </w:tcPr>
          <w:p w14:paraId="108CDB5D" w14:textId="77777777" w:rsidR="007C349C" w:rsidRPr="007C349C" w:rsidRDefault="007C349C" w:rsidP="00BC28A1">
            <w:pPr>
              <w:pStyle w:val="TableText"/>
              <w:jc w:val="right"/>
              <w:rPr>
                <w:lang w:eastAsia="ja-JP"/>
              </w:rPr>
            </w:pPr>
            <w:r w:rsidRPr="007C349C">
              <w:rPr>
                <w:lang w:eastAsia="ja-JP"/>
              </w:rPr>
              <w:t>7.22</w:t>
            </w:r>
          </w:p>
        </w:tc>
        <w:tc>
          <w:tcPr>
            <w:tcW w:w="1202" w:type="dxa"/>
          </w:tcPr>
          <w:p w14:paraId="06C8308B" w14:textId="77777777" w:rsidR="007C349C" w:rsidRPr="007C349C" w:rsidRDefault="007C349C" w:rsidP="00BC28A1">
            <w:pPr>
              <w:pStyle w:val="TableText"/>
              <w:jc w:val="right"/>
              <w:rPr>
                <w:lang w:eastAsia="ja-JP"/>
              </w:rPr>
            </w:pPr>
            <w:r w:rsidRPr="007C349C">
              <w:rPr>
                <w:lang w:eastAsia="ja-JP"/>
              </w:rPr>
              <w:t>N/A</w:t>
            </w:r>
          </w:p>
        </w:tc>
      </w:tr>
      <w:tr w:rsidR="007C349C" w:rsidRPr="007C349C" w14:paraId="691B2853" w14:textId="77777777" w:rsidTr="00BC28A1">
        <w:tc>
          <w:tcPr>
            <w:tcW w:w="1387" w:type="dxa"/>
          </w:tcPr>
          <w:p w14:paraId="5CC8F6FE" w14:textId="1D9DF091" w:rsidR="007C349C" w:rsidRPr="00136B93" w:rsidRDefault="00136B93" w:rsidP="00BC28A1">
            <w:pPr>
              <w:pStyle w:val="TableText"/>
              <w:rPr>
                <w:b/>
                <w:lang w:eastAsia="ja-JP"/>
              </w:rPr>
            </w:pPr>
            <w:r w:rsidRPr="00136B93">
              <w:rPr>
                <w:b/>
                <w:lang w:eastAsia="ja-JP"/>
              </w:rPr>
              <w:t>Total ($m)</w:t>
            </w:r>
          </w:p>
        </w:tc>
        <w:tc>
          <w:tcPr>
            <w:tcW w:w="1590" w:type="dxa"/>
          </w:tcPr>
          <w:p w14:paraId="24B85A3F" w14:textId="4F22A964" w:rsidR="007C349C" w:rsidRPr="00136B93" w:rsidRDefault="00136B93" w:rsidP="00BC28A1">
            <w:pPr>
              <w:pStyle w:val="TableText"/>
              <w:rPr>
                <w:color w:val="FFFFFF" w:themeColor="background1"/>
                <w:lang w:eastAsia="ja-JP"/>
              </w:rPr>
            </w:pPr>
            <w:r w:rsidRPr="00136B93">
              <w:rPr>
                <w:color w:val="FFFFFF" w:themeColor="background1"/>
                <w:lang w:eastAsia="ja-JP"/>
              </w:rPr>
              <w:t>.</w:t>
            </w:r>
          </w:p>
        </w:tc>
        <w:tc>
          <w:tcPr>
            <w:tcW w:w="1276" w:type="dxa"/>
          </w:tcPr>
          <w:p w14:paraId="4F6AF2E9" w14:textId="7FC93C70" w:rsidR="007C349C" w:rsidRPr="00136B93" w:rsidRDefault="00136B93" w:rsidP="00BC28A1">
            <w:pPr>
              <w:pStyle w:val="TableHeading"/>
              <w:rPr>
                <w:color w:val="FFFFFF" w:themeColor="background1"/>
                <w:lang w:eastAsia="ja-JP"/>
              </w:rPr>
            </w:pPr>
            <w:r w:rsidRPr="00136B93">
              <w:rPr>
                <w:color w:val="FFFFFF" w:themeColor="background1"/>
                <w:lang w:eastAsia="ja-JP"/>
              </w:rPr>
              <w:t>.</w:t>
            </w:r>
          </w:p>
        </w:tc>
        <w:tc>
          <w:tcPr>
            <w:tcW w:w="1201" w:type="dxa"/>
          </w:tcPr>
          <w:p w14:paraId="54F5AE2F" w14:textId="77777777" w:rsidR="007C349C" w:rsidRPr="007C349C" w:rsidRDefault="007C349C" w:rsidP="00BC28A1">
            <w:pPr>
              <w:pStyle w:val="TableHeading"/>
              <w:jc w:val="right"/>
              <w:rPr>
                <w:lang w:eastAsia="ja-JP"/>
              </w:rPr>
            </w:pPr>
            <w:r w:rsidRPr="007C349C">
              <w:rPr>
                <w:lang w:eastAsia="ja-JP"/>
              </w:rPr>
              <w:t>174.80</w:t>
            </w:r>
          </w:p>
        </w:tc>
        <w:tc>
          <w:tcPr>
            <w:tcW w:w="1350" w:type="dxa"/>
          </w:tcPr>
          <w:p w14:paraId="70281D3C" w14:textId="77777777" w:rsidR="007C349C" w:rsidRPr="007C349C" w:rsidRDefault="007C349C" w:rsidP="00BC28A1">
            <w:pPr>
              <w:pStyle w:val="TableHeading"/>
              <w:jc w:val="right"/>
              <w:rPr>
                <w:lang w:eastAsia="ja-JP"/>
              </w:rPr>
            </w:pPr>
            <w:r w:rsidRPr="007C349C">
              <w:rPr>
                <w:lang w:eastAsia="ja-JP"/>
              </w:rPr>
              <w:t>69.16</w:t>
            </w:r>
          </w:p>
        </w:tc>
        <w:tc>
          <w:tcPr>
            <w:tcW w:w="1054" w:type="dxa"/>
          </w:tcPr>
          <w:p w14:paraId="4DF670AC" w14:textId="77777777" w:rsidR="007C349C" w:rsidRPr="007C349C" w:rsidRDefault="007C349C" w:rsidP="00BC28A1">
            <w:pPr>
              <w:pStyle w:val="TableHeading"/>
              <w:jc w:val="right"/>
              <w:rPr>
                <w:lang w:eastAsia="ja-JP"/>
              </w:rPr>
            </w:pPr>
            <w:r w:rsidRPr="007C349C">
              <w:rPr>
                <w:lang w:eastAsia="ja-JP"/>
              </w:rPr>
              <w:t>85.91</w:t>
            </w:r>
          </w:p>
        </w:tc>
        <w:tc>
          <w:tcPr>
            <w:tcW w:w="1202" w:type="dxa"/>
          </w:tcPr>
          <w:p w14:paraId="024D434A" w14:textId="77777777" w:rsidR="007C349C" w:rsidRPr="007C349C" w:rsidRDefault="007C349C" w:rsidP="00BC28A1">
            <w:pPr>
              <w:pStyle w:val="TableHeading"/>
              <w:jc w:val="right"/>
              <w:rPr>
                <w:lang w:eastAsia="ja-JP"/>
              </w:rPr>
            </w:pPr>
            <w:r w:rsidRPr="007C349C">
              <w:rPr>
                <w:lang w:eastAsia="ja-JP"/>
              </w:rPr>
              <w:t>19.73</w:t>
            </w:r>
          </w:p>
        </w:tc>
      </w:tr>
    </w:tbl>
    <w:p w14:paraId="5EF32B78" w14:textId="60988EA9" w:rsidR="007C349C" w:rsidRPr="007C349C" w:rsidRDefault="006B5AE4" w:rsidP="007C349C">
      <w:pPr>
        <w:pStyle w:val="FigureTableNoteSource"/>
      </w:pPr>
      <w:bookmarkStart w:id="70" w:name="_Ref467141479"/>
      <w:bookmarkStart w:id="71" w:name="_Toc468176723"/>
      <w:r>
        <w:t xml:space="preserve">EPPRD: </w:t>
      </w:r>
      <w:r w:rsidR="004D2DB1">
        <w:t xml:space="preserve">the </w:t>
      </w:r>
      <w:r>
        <w:t xml:space="preserve">Emergency Plant Pest Response Deed; NEBRA: </w:t>
      </w:r>
      <w:r w:rsidR="004D2DB1">
        <w:t xml:space="preserve">the </w:t>
      </w:r>
      <w:r>
        <w:t xml:space="preserve">National Environmental Biosecurity Response Agreement. 1. </w:t>
      </w:r>
      <w:r w:rsidR="007C349C" w:rsidRPr="007C349C">
        <w:t>Figures are actual expenditure</w:t>
      </w:r>
      <w:r w:rsidR="001F66E9">
        <w:t xml:space="preserve">. </w:t>
      </w:r>
      <w:r>
        <w:t xml:space="preserve">2. </w:t>
      </w:r>
      <w:r w:rsidR="007C349C" w:rsidRPr="007C349C">
        <w:t>Total state a</w:t>
      </w:r>
      <w:r w:rsidR="00B942A2">
        <w:t>nd cost shared amount is $37.48 million, with an additional $18 </w:t>
      </w:r>
      <w:r w:rsidR="007C349C" w:rsidRPr="007C349C">
        <w:t xml:space="preserve">million provided </w:t>
      </w:r>
      <w:r w:rsidR="001F66E9">
        <w:t>by the Queensland Government.</w:t>
      </w:r>
      <w:r w:rsidR="00F24E0A">
        <w:t xml:space="preserve"> *</w:t>
      </w:r>
      <w:r w:rsidR="007C349C" w:rsidRPr="007C349C">
        <w:t>Responses that are complete.</w:t>
      </w:r>
    </w:p>
    <w:p w14:paraId="31D795A1" w14:textId="0D1DDB29" w:rsidR="007C349C" w:rsidRPr="007C349C" w:rsidRDefault="007C349C" w:rsidP="007C349C">
      <w:pPr>
        <w:pStyle w:val="FigureTableNoteSource"/>
      </w:pPr>
      <w:r w:rsidRPr="007C349C">
        <w:t xml:space="preserve">Source: Figures supplied by the Australian Government </w:t>
      </w:r>
      <w:r w:rsidR="001F66E9">
        <w:t>Department of Agriculture and Water Resources</w:t>
      </w:r>
      <w:r w:rsidRPr="007C349C">
        <w:t>.</w:t>
      </w:r>
    </w:p>
    <w:bookmarkEnd w:id="70"/>
    <w:bookmarkEnd w:id="71"/>
    <w:p w14:paraId="07EA8052" w14:textId="0C1C646E" w:rsidR="00047F4F" w:rsidRDefault="00047F4F" w:rsidP="00A7534A">
      <w:pPr>
        <w:rPr>
          <w:lang w:eastAsia="ja-JP"/>
        </w:rPr>
      </w:pPr>
      <w:r w:rsidRPr="00047F4F">
        <w:rPr>
          <w:lang w:eastAsia="ja-JP"/>
        </w:rPr>
        <w:t>There are no current emergency responses being funded under the E</w:t>
      </w:r>
      <w:r w:rsidR="006B5AE4">
        <w:rPr>
          <w:lang w:eastAsia="ja-JP"/>
        </w:rPr>
        <w:t xml:space="preserve">mergency </w:t>
      </w:r>
      <w:r w:rsidRPr="00047F4F">
        <w:rPr>
          <w:lang w:eastAsia="ja-JP"/>
        </w:rPr>
        <w:t>A</w:t>
      </w:r>
      <w:r w:rsidR="006B5AE4">
        <w:rPr>
          <w:lang w:eastAsia="ja-JP"/>
        </w:rPr>
        <w:t xml:space="preserve">nimal </w:t>
      </w:r>
      <w:r w:rsidRPr="00047F4F">
        <w:rPr>
          <w:lang w:eastAsia="ja-JP"/>
        </w:rPr>
        <w:t>D</w:t>
      </w:r>
      <w:r w:rsidR="006B5AE4">
        <w:rPr>
          <w:lang w:eastAsia="ja-JP"/>
        </w:rPr>
        <w:t xml:space="preserve">isease </w:t>
      </w:r>
      <w:r w:rsidRPr="00047F4F">
        <w:rPr>
          <w:lang w:eastAsia="ja-JP"/>
        </w:rPr>
        <w:t>R</w:t>
      </w:r>
      <w:r w:rsidR="006B5AE4">
        <w:rPr>
          <w:lang w:eastAsia="ja-JP"/>
        </w:rPr>
        <w:t xml:space="preserve">esponse </w:t>
      </w:r>
      <w:r w:rsidRPr="00047F4F">
        <w:rPr>
          <w:lang w:eastAsia="ja-JP"/>
        </w:rPr>
        <w:t>A</w:t>
      </w:r>
      <w:r w:rsidR="006B5AE4">
        <w:rPr>
          <w:lang w:eastAsia="ja-JP"/>
        </w:rPr>
        <w:t>greement</w:t>
      </w:r>
      <w:r w:rsidRPr="00047F4F">
        <w:rPr>
          <w:lang w:eastAsia="ja-JP"/>
        </w:rPr>
        <w:t xml:space="preserve"> </w:t>
      </w:r>
      <w:r w:rsidR="00D830F4">
        <w:rPr>
          <w:lang w:eastAsia="ja-JP"/>
        </w:rPr>
        <w:t xml:space="preserve">(EADRA) </w:t>
      </w:r>
      <w:r w:rsidRPr="00047F4F">
        <w:rPr>
          <w:lang w:eastAsia="ja-JP"/>
        </w:rPr>
        <w:t xml:space="preserve">as at </w:t>
      </w:r>
      <w:r w:rsidR="007C349C">
        <w:rPr>
          <w:lang w:eastAsia="ja-JP"/>
        </w:rPr>
        <w:t xml:space="preserve">1 June </w:t>
      </w:r>
      <w:r w:rsidRPr="00047F4F">
        <w:rPr>
          <w:lang w:eastAsia="ja-JP"/>
        </w:rPr>
        <w:t>201</w:t>
      </w:r>
      <w:r w:rsidR="00B66B98">
        <w:rPr>
          <w:lang w:eastAsia="ja-JP"/>
        </w:rPr>
        <w:t>7</w:t>
      </w:r>
      <w:r w:rsidRPr="00047F4F">
        <w:rPr>
          <w:lang w:eastAsia="ja-JP"/>
        </w:rPr>
        <w:t>.</w:t>
      </w:r>
    </w:p>
    <w:p w14:paraId="58165D01" w14:textId="46F4BEDE" w:rsidR="00A14048" w:rsidRDefault="0002178A" w:rsidP="00A7534A">
      <w:pPr>
        <w:rPr>
          <w:lang w:eastAsia="ja-JP"/>
        </w:rPr>
      </w:pPr>
      <w:r>
        <w:rPr>
          <w:lang w:eastAsia="ja-JP"/>
        </w:rPr>
        <w:lastRenderedPageBreak/>
        <w:t>RIFA</w:t>
      </w:r>
      <w:r w:rsidR="00A14048" w:rsidRPr="00A14048">
        <w:rPr>
          <w:lang w:eastAsia="ja-JP"/>
        </w:rPr>
        <w:t xml:space="preserve"> (</w:t>
      </w:r>
      <w:r w:rsidR="00A14048">
        <w:rPr>
          <w:lang w:eastAsia="ja-JP"/>
        </w:rPr>
        <w:fldChar w:fldCharType="begin"/>
      </w:r>
      <w:r w:rsidR="00A14048">
        <w:rPr>
          <w:lang w:eastAsia="ja-JP"/>
        </w:rPr>
        <w:instrText xml:space="preserve"> REF _Ref466964740 \h </w:instrText>
      </w:r>
      <w:r w:rsidR="00A14048">
        <w:rPr>
          <w:lang w:eastAsia="ja-JP"/>
        </w:rPr>
      </w:r>
      <w:r w:rsidR="00A14048">
        <w:rPr>
          <w:lang w:eastAsia="ja-JP"/>
        </w:rPr>
        <w:fldChar w:fldCharType="separate"/>
      </w:r>
      <w:r w:rsidR="009F6923">
        <w:t xml:space="preserve">Box </w:t>
      </w:r>
      <w:r w:rsidR="009F6923">
        <w:rPr>
          <w:noProof/>
        </w:rPr>
        <w:t>6</w:t>
      </w:r>
      <w:r w:rsidR="00A14048">
        <w:rPr>
          <w:lang w:eastAsia="ja-JP"/>
        </w:rPr>
        <w:fldChar w:fldCharType="end"/>
      </w:r>
      <w:r w:rsidR="00A14048" w:rsidRPr="00A14048">
        <w:rPr>
          <w:lang w:eastAsia="ja-JP"/>
        </w:rPr>
        <w:t>) and myrtle rust are examples from the last two decades of incursions with significant environmental</w:t>
      </w:r>
      <w:r w:rsidR="007D7E14">
        <w:rPr>
          <w:lang w:eastAsia="ja-JP"/>
        </w:rPr>
        <w:t>, community</w:t>
      </w:r>
      <w:r w:rsidR="00A14048" w:rsidRPr="00A14048">
        <w:rPr>
          <w:lang w:eastAsia="ja-JP"/>
        </w:rPr>
        <w:t xml:space="preserve"> and cost impacts.</w:t>
      </w:r>
    </w:p>
    <w:p w14:paraId="6CFAE73F" w14:textId="214C31AA" w:rsidR="00A14048" w:rsidRDefault="00A14048" w:rsidP="00CB1F69">
      <w:pPr>
        <w:pStyle w:val="BoxHeading"/>
        <w:rPr>
          <w:lang w:eastAsia="ja-JP"/>
        </w:rPr>
      </w:pPr>
      <w:bookmarkStart w:id="72" w:name="_Ref466964740"/>
      <w:bookmarkStart w:id="73" w:name="_Toc468176749"/>
      <w:bookmarkStart w:id="74" w:name="_Toc468444398"/>
      <w:r>
        <w:t xml:space="preserve">Box </w:t>
      </w:r>
      <w:fldSimple w:instr=" SEQ Box \* ARABIC ">
        <w:r w:rsidR="009F6923">
          <w:rPr>
            <w:noProof/>
          </w:rPr>
          <w:t>6</w:t>
        </w:r>
      </w:fldSimple>
      <w:bookmarkEnd w:id="72"/>
      <w:r>
        <w:t xml:space="preserve"> Red </w:t>
      </w:r>
      <w:r w:rsidR="00D830F4">
        <w:t>i</w:t>
      </w:r>
      <w:r>
        <w:t xml:space="preserve">mported </w:t>
      </w:r>
      <w:r w:rsidR="00D830F4">
        <w:t>f</w:t>
      </w:r>
      <w:r>
        <w:t xml:space="preserve">ire </w:t>
      </w:r>
      <w:r w:rsidR="00D830F4">
        <w:t>a</w:t>
      </w:r>
      <w:r>
        <w:t>nt (</w:t>
      </w:r>
      <w:r w:rsidRPr="00081BB4">
        <w:rPr>
          <w:i/>
        </w:rPr>
        <w:t>Solenopsis invicta</w:t>
      </w:r>
      <w:r w:rsidR="0002325D">
        <w:rPr>
          <w:i/>
        </w:rPr>
        <w:t xml:space="preserve"> </w:t>
      </w:r>
      <w:r w:rsidR="0002325D">
        <w:t>Buren</w:t>
      </w:r>
      <w:r>
        <w:t>)</w:t>
      </w:r>
      <w:bookmarkEnd w:id="73"/>
      <w:bookmarkEnd w:id="74"/>
    </w:p>
    <w:p w14:paraId="70864DB3" w14:textId="2ABDEB70" w:rsidR="00A14048" w:rsidRDefault="0002178A" w:rsidP="00A14048">
      <w:pPr>
        <w:pStyle w:val="BoxText"/>
      </w:pPr>
      <w:r>
        <w:t xml:space="preserve">The </w:t>
      </w:r>
      <w:r w:rsidR="00D63978">
        <w:t>red imported fire ant (R</w:t>
      </w:r>
      <w:r w:rsidR="00A14048">
        <w:t>IFA</w:t>
      </w:r>
      <w:r w:rsidR="00D63978">
        <w:t>)</w:t>
      </w:r>
      <w:r w:rsidR="00A14048">
        <w:t xml:space="preserve"> </w:t>
      </w:r>
      <w:r>
        <w:t>is</w:t>
      </w:r>
      <w:r w:rsidR="00A14048">
        <w:t xml:space="preserve"> one of the world’s most invasive species, causing serious impacts for the environment, agriculture, social amenity, the economy, infrastructure and human and animal health.</w:t>
      </w:r>
    </w:p>
    <w:p w14:paraId="6B5FC8EE" w14:textId="69C3198F" w:rsidR="00AD2FCB" w:rsidRDefault="00A14048" w:rsidP="00A14048">
      <w:pPr>
        <w:pStyle w:val="BoxText"/>
      </w:pPr>
      <w:r>
        <w:t xml:space="preserve">RIFA </w:t>
      </w:r>
      <w:r w:rsidR="00367EFB">
        <w:t>was</w:t>
      </w:r>
      <w:r>
        <w:t xml:space="preserve"> first detected in Port Brisbane and Richlands, Brisbane in 2001. </w:t>
      </w:r>
      <w:r w:rsidR="006F6771">
        <w:t>Ants at</w:t>
      </w:r>
      <w:r w:rsidR="00505E57">
        <w:t xml:space="preserve"> </w:t>
      </w:r>
      <w:r>
        <w:t>Port Brisbane w</w:t>
      </w:r>
      <w:r w:rsidR="006F6771">
        <w:t>ere</w:t>
      </w:r>
      <w:r>
        <w:t xml:space="preserve"> eradicated in 2012</w:t>
      </w:r>
      <w:r w:rsidR="00A120A1">
        <w:t>,</w:t>
      </w:r>
      <w:r>
        <w:t xml:space="preserve"> while </w:t>
      </w:r>
      <w:r w:rsidR="000953B3">
        <w:t>south-east</w:t>
      </w:r>
      <w:r>
        <w:t xml:space="preserve"> Queensland </w:t>
      </w:r>
      <w:r w:rsidR="00015C1C">
        <w:t>continue</w:t>
      </w:r>
      <w:r w:rsidR="00DF1103">
        <w:t>s</w:t>
      </w:r>
      <w:r w:rsidR="00015C1C">
        <w:t xml:space="preserve"> to be</w:t>
      </w:r>
      <w:r>
        <w:t xml:space="preserve"> the subject of an eradication </w:t>
      </w:r>
      <w:r w:rsidRPr="00F06EF3">
        <w:t>program</w:t>
      </w:r>
      <w:r w:rsidR="00015C1C" w:rsidRPr="00F06EF3">
        <w:t xml:space="preserve"> costing </w:t>
      </w:r>
      <w:r w:rsidR="00DF1103" w:rsidRPr="00F06EF3">
        <w:t>over</w:t>
      </w:r>
      <w:r w:rsidR="00B942A2">
        <w:t xml:space="preserve"> $340 </w:t>
      </w:r>
      <w:r w:rsidR="00015C1C" w:rsidRPr="00F06EF3">
        <w:t>million to date</w:t>
      </w:r>
      <w:r w:rsidRPr="00F06EF3">
        <w:t>.</w:t>
      </w:r>
      <w:r>
        <w:t xml:space="preserve"> In 2006, RIFA </w:t>
      </w:r>
      <w:r w:rsidR="00367EFB">
        <w:t>was</w:t>
      </w:r>
      <w:r>
        <w:t xml:space="preserve"> detected in Yarwun, Queensland</w:t>
      </w:r>
      <w:r w:rsidR="00A120A1">
        <w:t>,</w:t>
      </w:r>
      <w:r>
        <w:t xml:space="preserve"> and eradicated in 2010. This was the first time in the world that an established RIFA population had been </w:t>
      </w:r>
      <w:r w:rsidRPr="005A7F7E">
        <w:t>eradicated (</w:t>
      </w:r>
      <w:hyperlink w:anchor="Wylie_et_al_2016" w:history="1">
        <w:r w:rsidRPr="00D362A5">
          <w:rPr>
            <w:rStyle w:val="Hyperlink"/>
          </w:rPr>
          <w:t>Wylie et al</w:t>
        </w:r>
        <w:r w:rsidR="006F7903" w:rsidRPr="00D362A5">
          <w:rPr>
            <w:rStyle w:val="Hyperlink"/>
          </w:rPr>
          <w:t>.</w:t>
        </w:r>
        <w:r w:rsidRPr="00D362A5">
          <w:rPr>
            <w:rStyle w:val="Hyperlink"/>
          </w:rPr>
          <w:t xml:space="preserve"> 2016</w:t>
        </w:r>
      </w:hyperlink>
      <w:r w:rsidRPr="005A7F7E">
        <w:t>). In 2013</w:t>
      </w:r>
      <w:r w:rsidR="00505E57">
        <w:t>,</w:t>
      </w:r>
      <w:r>
        <w:t xml:space="preserve"> a new incursion was detected at the Port of Gladstone, Queensland, which was the first</w:t>
      </w:r>
      <w:r w:rsidR="00505E57">
        <w:t xml:space="preserve"> emergency</w:t>
      </w:r>
      <w:r>
        <w:t xml:space="preserve"> response to be considered under</w:t>
      </w:r>
      <w:r w:rsidR="00522BEA">
        <w:t xml:space="preserve"> the</w:t>
      </w:r>
      <w:r>
        <w:t xml:space="preserve"> NEBRA.</w:t>
      </w:r>
    </w:p>
    <w:p w14:paraId="564B142F" w14:textId="0EC2DEC9" w:rsidR="00B2646B" w:rsidRDefault="00B2646B" w:rsidP="00A14048">
      <w:pPr>
        <w:pStyle w:val="BoxText"/>
      </w:pPr>
      <w:r w:rsidRPr="00B2646B">
        <w:t>Another detection in Port Botany</w:t>
      </w:r>
      <w:r w:rsidR="00A120A1">
        <w:t xml:space="preserve"> in</w:t>
      </w:r>
      <w:r w:rsidRPr="00B2646B">
        <w:t xml:space="preserve"> Sydney (2014) has been eradicated by a program cost-shared by all Australian governments. Under cost</w:t>
      </w:r>
      <w:r w:rsidR="00A120A1">
        <w:t>-</w:t>
      </w:r>
      <w:r w:rsidRPr="00B2646B">
        <w:t>sharing arrangements, three of Australia’s six established incursions of RIFA have been eradicated.</w:t>
      </w:r>
    </w:p>
    <w:p w14:paraId="292BFFAF" w14:textId="2CD38169" w:rsidR="00B2646B" w:rsidRDefault="00B2646B" w:rsidP="00B2646B">
      <w:pPr>
        <w:pStyle w:val="BoxText"/>
      </w:pPr>
      <w:r>
        <w:t xml:space="preserve">The </w:t>
      </w:r>
      <w:r w:rsidR="000953B3">
        <w:t>south-east</w:t>
      </w:r>
      <w:r>
        <w:t xml:space="preserve"> Queensland incursion was </w:t>
      </w:r>
      <w:r w:rsidR="00015C1C">
        <w:t xml:space="preserve">considered </w:t>
      </w:r>
      <w:r>
        <w:t>almost eradicated in 2003, but initial surveillance failed to gauge the extent of the outbreak. Subsequent surveillance showed the outbreak was about twice the size that it was originally thought to be. It is estimated tha</w:t>
      </w:r>
      <w:r w:rsidR="00C8718C">
        <w:t xml:space="preserve">t RIFA </w:t>
      </w:r>
      <w:r w:rsidR="00367EFB">
        <w:t>was</w:t>
      </w:r>
      <w:r w:rsidR="00C8718C">
        <w:t xml:space="preserve"> present at least </w:t>
      </w:r>
      <w:r w:rsidR="00A120A1">
        <w:t>twenty </w:t>
      </w:r>
      <w:r>
        <w:t>years prior to 2003.</w:t>
      </w:r>
    </w:p>
    <w:p w14:paraId="54D7D337" w14:textId="33DA4002" w:rsidR="00B2646B" w:rsidRDefault="00B2646B" w:rsidP="00B2646B">
      <w:pPr>
        <w:pStyle w:val="BoxText"/>
      </w:pPr>
      <w:r>
        <w:t xml:space="preserve">In 2016, an independent review </w:t>
      </w:r>
      <w:r w:rsidR="00367EFB">
        <w:t>of the national RIFA eradication program</w:t>
      </w:r>
      <w:r w:rsidR="005C7700">
        <w:t xml:space="preserve"> (</w:t>
      </w:r>
      <w:hyperlink w:anchor="Magee_et_al_2016" w:history="1">
        <w:r w:rsidR="003547D0" w:rsidRPr="003547D0">
          <w:rPr>
            <w:rStyle w:val="Hyperlink"/>
          </w:rPr>
          <w:t>Magee et al.</w:t>
        </w:r>
        <w:bookmarkStart w:id="75" w:name="Magee_et_al_2016"/>
        <w:bookmarkEnd w:id="75"/>
        <w:r w:rsidR="005C7700" w:rsidRPr="003547D0">
          <w:rPr>
            <w:rStyle w:val="Hyperlink"/>
          </w:rPr>
          <w:t xml:space="preserve"> 2016</w:t>
        </w:r>
      </w:hyperlink>
      <w:r w:rsidR="005C7700">
        <w:t>)</w:t>
      </w:r>
      <w:r>
        <w:t xml:space="preserve"> found that it remains in the national interest to eradicate the ants and that it is technically feasible and cost beneficial to do so. All Australian governments have agreed to continue to cost</w:t>
      </w:r>
      <w:r w:rsidR="00E225CC">
        <w:t>-</w:t>
      </w:r>
      <w:r>
        <w:t xml:space="preserve">share the RIFA </w:t>
      </w:r>
      <w:r w:rsidR="000953B3">
        <w:t>south-east</w:t>
      </w:r>
      <w:r>
        <w:t xml:space="preserve"> Queensland eradication program in 2016–17 in accordance with the nationally agreed 2013–18 Response Plan. </w:t>
      </w:r>
      <w:r w:rsidR="007D7E14">
        <w:t>Further f</w:t>
      </w:r>
      <w:r>
        <w:t xml:space="preserve">unding </w:t>
      </w:r>
      <w:r w:rsidR="007D7E14">
        <w:t xml:space="preserve">of </w:t>
      </w:r>
      <w:r w:rsidR="00F06EF3" w:rsidRPr="00920E20">
        <w:t>$380 </w:t>
      </w:r>
      <w:r w:rsidR="007D7E14" w:rsidRPr="00920E20">
        <w:t xml:space="preserve">million for </w:t>
      </w:r>
      <w:r w:rsidRPr="00920E20">
        <w:t xml:space="preserve">a </w:t>
      </w:r>
      <w:r w:rsidR="00E225CC">
        <w:t>ten</w:t>
      </w:r>
      <w:r w:rsidRPr="00920E20">
        <w:t>-year eradication plan</w:t>
      </w:r>
      <w:r>
        <w:t xml:space="preserve"> is under consideration.</w:t>
      </w:r>
    </w:p>
    <w:p w14:paraId="3C66D198" w14:textId="4B4025C7" w:rsidR="00542799" w:rsidRPr="00A166A1" w:rsidRDefault="00A14048" w:rsidP="00B2646B">
      <w:pPr>
        <w:pStyle w:val="BoxText"/>
      </w:pPr>
      <w:r w:rsidRPr="00A166A1">
        <w:t xml:space="preserve">Modelling by the Queensland </w:t>
      </w:r>
      <w:r w:rsidR="00A166A1">
        <w:t>G</w:t>
      </w:r>
      <w:r w:rsidRPr="00A166A1">
        <w:t xml:space="preserve">overnment indicates that failure to eradicate RIFA in </w:t>
      </w:r>
      <w:r w:rsidR="000953B3">
        <w:t>south-east</w:t>
      </w:r>
      <w:r w:rsidRPr="00A166A1">
        <w:t xml:space="preserve"> Queensland would impose costs of $43</w:t>
      </w:r>
      <w:r w:rsidR="00752EEA">
        <w:t> </w:t>
      </w:r>
      <w:r w:rsidR="00C8718C">
        <w:t xml:space="preserve">billion over </w:t>
      </w:r>
      <w:r w:rsidR="00302BD7">
        <w:t>thirty</w:t>
      </w:r>
      <w:r w:rsidR="00C8718C">
        <w:t> </w:t>
      </w:r>
      <w:r w:rsidRPr="00A166A1">
        <w:t>years (</w:t>
      </w:r>
      <w:hyperlink w:anchor="Antony_et_al_2009" w:history="1">
        <w:r w:rsidR="005A7F7E" w:rsidRPr="00A166A1">
          <w:rPr>
            <w:rStyle w:val="Hyperlink"/>
            <w:color w:val="auto"/>
            <w:u w:val="none"/>
          </w:rPr>
          <w:t>Antony et al.</w:t>
        </w:r>
        <w:r w:rsidRPr="00A166A1">
          <w:rPr>
            <w:rStyle w:val="Hyperlink"/>
            <w:color w:val="auto"/>
            <w:u w:val="none"/>
          </w:rPr>
          <w:t xml:space="preserve"> 2009</w:t>
        </w:r>
      </w:hyperlink>
      <w:r w:rsidRPr="00A166A1">
        <w:t>). In the United States, RIFA currently inhabit</w:t>
      </w:r>
      <w:r w:rsidR="005344DE">
        <w:t>s</w:t>
      </w:r>
      <w:r w:rsidRPr="00A166A1">
        <w:t xml:space="preserve"> </w:t>
      </w:r>
      <w:r w:rsidR="00302BD7">
        <w:t>fourteen</w:t>
      </w:r>
      <w:r w:rsidRPr="00A166A1">
        <w:t xml:space="preserve"> states and cost $7</w:t>
      </w:r>
      <w:r w:rsidR="00752EEA">
        <w:t> </w:t>
      </w:r>
      <w:r w:rsidRPr="00A166A1">
        <w:t>billion a year in damage and control.</w:t>
      </w:r>
    </w:p>
    <w:p w14:paraId="4F837DDF" w14:textId="3ECE19F0" w:rsidR="00E50188" w:rsidRDefault="00DD2BA9" w:rsidP="00542799">
      <w:pPr>
        <w:pStyle w:val="BoxSource"/>
      </w:pPr>
      <w:r>
        <w:t xml:space="preserve">Source: </w:t>
      </w:r>
      <w:hyperlink w:anchor="Antony_et_al_2009" w:history="1">
        <w:r w:rsidR="00E50188" w:rsidRPr="00D362A5">
          <w:rPr>
            <w:rStyle w:val="Hyperlink"/>
          </w:rPr>
          <w:t>Antony et al</w:t>
        </w:r>
        <w:r w:rsidR="005A7F7E" w:rsidRPr="00D362A5">
          <w:rPr>
            <w:rStyle w:val="Hyperlink"/>
          </w:rPr>
          <w:t>.</w:t>
        </w:r>
        <w:r w:rsidR="00E50188" w:rsidRPr="00D362A5">
          <w:rPr>
            <w:rStyle w:val="Hyperlink"/>
          </w:rPr>
          <w:t xml:space="preserve"> 2009</w:t>
        </w:r>
      </w:hyperlink>
      <w:r w:rsidR="00E50188">
        <w:t xml:space="preserve">; </w:t>
      </w:r>
      <w:r w:rsidR="003F44E2">
        <w:t xml:space="preserve">QDAF RIFA </w:t>
      </w:r>
      <w:hyperlink r:id="rId35" w:history="1">
        <w:r w:rsidR="003F44E2" w:rsidRPr="003F44E2">
          <w:rPr>
            <w:rStyle w:val="Hyperlink"/>
          </w:rPr>
          <w:t>eradication program</w:t>
        </w:r>
      </w:hyperlink>
      <w:r w:rsidR="003F44E2">
        <w:t xml:space="preserve"> website; </w:t>
      </w:r>
      <w:hyperlink w:anchor="Wylie_Jansen_2016" w:history="1">
        <w:r w:rsidRPr="00D362A5">
          <w:rPr>
            <w:rStyle w:val="Hyperlink"/>
          </w:rPr>
          <w:t>Wylie and Janssen-May 2016</w:t>
        </w:r>
      </w:hyperlink>
      <w:r>
        <w:t xml:space="preserve">; </w:t>
      </w:r>
      <w:hyperlink w:anchor="Wylie_et_al_2016" w:history="1">
        <w:r w:rsidR="00E50188" w:rsidRPr="00D362A5">
          <w:rPr>
            <w:rStyle w:val="Hyperlink"/>
          </w:rPr>
          <w:t xml:space="preserve">Wylie </w:t>
        </w:r>
        <w:r w:rsidR="00C84A88" w:rsidRPr="00D362A5">
          <w:rPr>
            <w:rStyle w:val="Hyperlink"/>
          </w:rPr>
          <w:t xml:space="preserve">et al. </w:t>
        </w:r>
        <w:r w:rsidRPr="00D362A5">
          <w:rPr>
            <w:rStyle w:val="Hyperlink"/>
          </w:rPr>
          <w:t>2016</w:t>
        </w:r>
      </w:hyperlink>
      <w:r>
        <w:t>.</w:t>
      </w:r>
    </w:p>
    <w:p w14:paraId="3F220EE9" w14:textId="3458D9AA" w:rsidR="00B2646B" w:rsidRPr="00B2646B" w:rsidRDefault="00B2646B" w:rsidP="00B2646B">
      <w:r w:rsidRPr="00B2646B">
        <w:t>RIFA is, and will continue to be, a major test for the national biosecurity system. It demonstrates the importance of all jurisdictions (ministers and senior officials and stakeholders) acting together in a transparent, timely and decisive manner. Concerns around ‘bureaucratic delays’ in funding and cost</w:t>
      </w:r>
      <w:r w:rsidR="00D542ED">
        <w:t>-</w:t>
      </w:r>
      <w:r w:rsidRPr="00B2646B">
        <w:t xml:space="preserve">sharing decisions were frequently raised during consultation for this </w:t>
      </w:r>
      <w:r w:rsidR="00D542ED">
        <w:t>r</w:t>
      </w:r>
      <w:r w:rsidRPr="00B2646B">
        <w:t xml:space="preserve">eview, particularly for off-deed emergency responses. These off-deed decisions take time because they do not have pre-existing </w:t>
      </w:r>
      <w:r w:rsidRPr="00B2646B">
        <w:lastRenderedPageBreak/>
        <w:t xml:space="preserve">agreement from </w:t>
      </w:r>
      <w:r w:rsidR="00D542ED">
        <w:t xml:space="preserve">the </w:t>
      </w:r>
      <w:r w:rsidR="00D542ED" w:rsidRPr="00D542ED">
        <w:t>Australian</w:t>
      </w:r>
      <w:r w:rsidRPr="00D542ED">
        <w:t>,</w:t>
      </w:r>
      <w:r w:rsidRPr="00B2646B">
        <w:t xml:space="preserve"> state or territory governments and, therefore, often require Cabinet or Cabinet Sub</w:t>
      </w:r>
      <w:r w:rsidR="00307000">
        <w:t>c</w:t>
      </w:r>
      <w:r w:rsidRPr="00B2646B">
        <w:t xml:space="preserve">ommittee approval. The </w:t>
      </w:r>
      <w:r w:rsidR="00D542ED">
        <w:t>p</w:t>
      </w:r>
      <w:r w:rsidRPr="00B2646B">
        <w:t>anel is also aware that funding and delivery (lead agency) arrangements to contain yellow crazy ants (</w:t>
      </w:r>
      <w:r w:rsidRPr="00B2646B">
        <w:rPr>
          <w:i/>
        </w:rPr>
        <w:t>Anoplolepis gracilipes</w:t>
      </w:r>
      <w:r w:rsidRPr="00B2646B">
        <w:t>) in the Wet Tropics World Heritage Area are still subject to ongoing negotiation within and between relevant jurisdictions. Yellow crazy ants are considered an established pest</w:t>
      </w:r>
      <w:r w:rsidR="00D542ED">
        <w:t>,</w:t>
      </w:r>
      <w:r w:rsidRPr="00B2646B">
        <w:t xml:space="preserve"> so </w:t>
      </w:r>
      <w:r w:rsidR="00D542ED">
        <w:t xml:space="preserve">they </w:t>
      </w:r>
      <w:r w:rsidRPr="00B2646B">
        <w:t>do not come under the national arrangements for cost-shared eradication.</w:t>
      </w:r>
    </w:p>
    <w:p w14:paraId="20C7D145" w14:textId="3EB7C7F1" w:rsidR="00FC0BB2" w:rsidRDefault="00AD2FCB" w:rsidP="00AD2FCB">
      <w:r>
        <w:t>Biosecurity efforts can lose significant traction from</w:t>
      </w:r>
      <w:r w:rsidR="00542799">
        <w:t xml:space="preserve"> delays in </w:t>
      </w:r>
      <w:r>
        <w:t>funding decision</w:t>
      </w:r>
      <w:r w:rsidR="00542799">
        <w:t>s</w:t>
      </w:r>
      <w:r>
        <w:t>, impacting</w:t>
      </w:r>
      <w:r w:rsidR="00D542ED">
        <w:t xml:space="preserve"> on</w:t>
      </w:r>
      <w:r>
        <w:t xml:space="preserve"> eradication or containment, as the experience of </w:t>
      </w:r>
      <w:r w:rsidR="007F107A">
        <w:t xml:space="preserve">RIFA in south-east Queensland </w:t>
      </w:r>
      <w:r w:rsidR="003C2A51">
        <w:t xml:space="preserve">and </w:t>
      </w:r>
      <w:r>
        <w:t>yellow crazy ants in far north Queensland illustrates.</w:t>
      </w:r>
    </w:p>
    <w:p w14:paraId="2CB40E19" w14:textId="77777777" w:rsidR="00A14048" w:rsidRDefault="00A14048" w:rsidP="00A14048">
      <w:pPr>
        <w:pStyle w:val="Heading3"/>
      </w:pPr>
      <w:bookmarkStart w:id="76" w:name="_Toc486236041"/>
      <w:r>
        <w:t>Views on environmental biosecurity</w:t>
      </w:r>
      <w:bookmarkEnd w:id="76"/>
    </w:p>
    <w:p w14:paraId="1FA58B6C" w14:textId="5142B649" w:rsidR="007300DC" w:rsidRDefault="00B2646B" w:rsidP="00B2646B">
      <w:pPr>
        <w:rPr>
          <w:rFonts w:asciiTheme="majorHAnsi" w:hAnsiTheme="majorHAnsi"/>
        </w:rPr>
      </w:pPr>
      <w:r w:rsidRPr="00A74151">
        <w:t>Governments and biosecurity stakeholders have long debated the best way to address env</w:t>
      </w:r>
      <w:r>
        <w:t>ironmental biosecurity concerns—</w:t>
      </w:r>
      <w:r w:rsidRPr="00A74151">
        <w:t xml:space="preserve">whether to create separate and equivalent arrangements </w:t>
      </w:r>
      <w:r w:rsidRPr="00781111">
        <w:rPr>
          <w:rFonts w:asciiTheme="majorHAnsi" w:hAnsiTheme="majorHAnsi"/>
        </w:rPr>
        <w:t xml:space="preserve">to agriculture or to embed environment within the animal and plant biosecurity streams. However, a necessary </w:t>
      </w:r>
      <w:r w:rsidRPr="007A47B2">
        <w:rPr>
          <w:rFonts w:asciiTheme="majorHAnsi" w:hAnsiTheme="majorHAnsi"/>
        </w:rPr>
        <w:t>prerequisite</w:t>
      </w:r>
      <w:r w:rsidRPr="00781111">
        <w:rPr>
          <w:rFonts w:asciiTheme="majorHAnsi" w:hAnsiTheme="majorHAnsi"/>
        </w:rPr>
        <w:t xml:space="preserve"> must be clarity and agreement on the </w:t>
      </w:r>
      <w:r>
        <w:rPr>
          <w:rFonts w:asciiTheme="majorHAnsi" w:hAnsiTheme="majorHAnsi"/>
        </w:rPr>
        <w:t>scope</w:t>
      </w:r>
      <w:r w:rsidRPr="00781111">
        <w:rPr>
          <w:rFonts w:asciiTheme="majorHAnsi" w:hAnsiTheme="majorHAnsi"/>
        </w:rPr>
        <w:t xml:space="preserve"> of environmental biosecurity</w:t>
      </w:r>
      <w:r>
        <w:rPr>
          <w:rFonts w:asciiTheme="majorHAnsi" w:hAnsiTheme="majorHAnsi"/>
        </w:rPr>
        <w:t xml:space="preserve"> efforts</w:t>
      </w:r>
      <w:r w:rsidRPr="00781111">
        <w:rPr>
          <w:rFonts w:asciiTheme="majorHAnsi" w:hAnsiTheme="majorHAnsi"/>
        </w:rPr>
        <w:t>.</w:t>
      </w:r>
    </w:p>
    <w:p w14:paraId="3E777CC1" w14:textId="2CE26F20" w:rsidR="00B2646B" w:rsidRDefault="00B2646B" w:rsidP="007300DC">
      <w:pPr>
        <w:pStyle w:val="Heading4"/>
      </w:pPr>
      <w:r>
        <w:t>What the Beale and Hawke reviews said</w:t>
      </w:r>
    </w:p>
    <w:p w14:paraId="79D1F2C7" w14:textId="567E708B" w:rsidR="004F7576" w:rsidRPr="006C3A06" w:rsidRDefault="004F7576" w:rsidP="004F7576">
      <w:r>
        <w:t xml:space="preserve">The 2008 Beale </w:t>
      </w:r>
      <w:r w:rsidR="00D542ED">
        <w:t>r</w:t>
      </w:r>
      <w:r>
        <w:t>eview</w:t>
      </w:r>
      <w:r w:rsidR="00542799">
        <w:t xml:space="preserve"> </w:t>
      </w:r>
      <w:r w:rsidR="00542799" w:rsidRPr="006C3A06">
        <w:t>(</w:t>
      </w:r>
      <w:hyperlink w:anchor="Beale_et_al_2008" w:history="1">
        <w:r w:rsidR="00542799" w:rsidRPr="00D362A5">
          <w:rPr>
            <w:rStyle w:val="Hyperlink"/>
          </w:rPr>
          <w:t xml:space="preserve">Beale </w:t>
        </w:r>
        <w:r w:rsidR="00373F12" w:rsidRPr="00D362A5">
          <w:rPr>
            <w:rStyle w:val="Hyperlink"/>
          </w:rPr>
          <w:t xml:space="preserve">et al. </w:t>
        </w:r>
        <w:r w:rsidR="00542799" w:rsidRPr="00D362A5">
          <w:rPr>
            <w:rStyle w:val="Hyperlink"/>
          </w:rPr>
          <w:t>2008</w:t>
        </w:r>
      </w:hyperlink>
      <w:r w:rsidR="006C3A06">
        <w:t xml:space="preserve">) </w:t>
      </w:r>
      <w:r w:rsidRPr="006C3A06">
        <w:t>concluded that more significant effort is needed on the terrestrial and aquatic environment reflecting the nature of the incursion risks involved</w:t>
      </w:r>
      <w:r w:rsidR="00DA1F72">
        <w:t>:</w:t>
      </w:r>
    </w:p>
    <w:p w14:paraId="065BBC80" w14:textId="2283AC4B" w:rsidR="004F7576" w:rsidRPr="006C3A06" w:rsidRDefault="004F7576" w:rsidP="004F7576">
      <w:pPr>
        <w:pStyle w:val="Quote"/>
      </w:pPr>
      <w:r w:rsidRPr="006C3A06">
        <w:t>The biosecurity of the environment is a concern not only for the sake of Australia’s environmental assets, but also because of the scope for wild animals and plants to act as a reservoir for pests and dis</w:t>
      </w:r>
      <w:r w:rsidR="00D53BE6">
        <w:t>eases that have broader effects</w:t>
      </w:r>
      <w:r w:rsidR="00D542ED">
        <w:t xml:space="preserve"> …</w:t>
      </w:r>
    </w:p>
    <w:p w14:paraId="085B25E3" w14:textId="4B393738" w:rsidR="004F7576" w:rsidRPr="006C3A06" w:rsidRDefault="00542799" w:rsidP="004F7576">
      <w:r w:rsidRPr="006C3A06">
        <w:t xml:space="preserve">The </w:t>
      </w:r>
      <w:r w:rsidR="004F7576" w:rsidRPr="006C3A06">
        <w:t>Beale</w:t>
      </w:r>
      <w:r w:rsidR="00373F12" w:rsidRPr="006C3A06">
        <w:t xml:space="preserve"> </w:t>
      </w:r>
      <w:r w:rsidR="00D542ED">
        <w:t>r</w:t>
      </w:r>
      <w:r w:rsidRPr="006C3A06">
        <w:t>eview</w:t>
      </w:r>
      <w:r w:rsidR="004F7576" w:rsidRPr="006C3A06">
        <w:t xml:space="preserve"> proposed, among other things, ensuring the then recommended National Biosecurity Authority was armed with the appropriate environmental (terrestrial and aquatic) technical expertise and broadening the membership of </w:t>
      </w:r>
      <w:r w:rsidR="00053D8A">
        <w:t>A</w:t>
      </w:r>
      <w:r w:rsidR="00D542ED">
        <w:t xml:space="preserve">nimal </w:t>
      </w:r>
      <w:r w:rsidR="00053D8A">
        <w:t>H</w:t>
      </w:r>
      <w:r w:rsidR="00D542ED">
        <w:t xml:space="preserve">ealth </w:t>
      </w:r>
      <w:r w:rsidR="00053D8A">
        <w:t>A</w:t>
      </w:r>
      <w:r w:rsidR="00D542ED">
        <w:t>ustralia (AHA)</w:t>
      </w:r>
      <w:r w:rsidR="004F7576" w:rsidRPr="006C3A06">
        <w:t xml:space="preserve"> and </w:t>
      </w:r>
      <w:r w:rsidR="00053D8A">
        <w:t>P</w:t>
      </w:r>
      <w:r w:rsidR="00D542ED">
        <w:t>lant Health Australia (P</w:t>
      </w:r>
      <w:r w:rsidR="00053D8A">
        <w:t>HA</w:t>
      </w:r>
      <w:r w:rsidR="00D542ED">
        <w:t>)</w:t>
      </w:r>
      <w:r w:rsidR="004F7576" w:rsidRPr="006C3A06">
        <w:t xml:space="preserve"> to encompass environmental pest and disease issues.</w:t>
      </w:r>
    </w:p>
    <w:p w14:paraId="2BC92F76" w14:textId="599EDA0C" w:rsidR="004F7576" w:rsidRDefault="004F7576" w:rsidP="004F7576">
      <w:r w:rsidRPr="006C3A06">
        <w:t xml:space="preserve">In responding to the recommendations of the Beale </w:t>
      </w:r>
      <w:r w:rsidR="00D542ED">
        <w:t>r</w:t>
      </w:r>
      <w:r w:rsidRPr="006C3A06">
        <w:t xml:space="preserve">eview and environmental biosecurity arrangements under the </w:t>
      </w:r>
      <w:r w:rsidRPr="006C3A06">
        <w:rPr>
          <w:i/>
        </w:rPr>
        <w:t>Environment Protection and Biodiversity Conservation Act 1999</w:t>
      </w:r>
      <w:r w:rsidRPr="006C3A06">
        <w:t xml:space="preserve"> </w:t>
      </w:r>
      <w:r w:rsidR="006C3A7B">
        <w:t xml:space="preserve">(Cwlth) </w:t>
      </w:r>
      <w:r w:rsidRPr="006C3A06">
        <w:t>(</w:t>
      </w:r>
      <w:r w:rsidR="004554BF">
        <w:t xml:space="preserve">the </w:t>
      </w:r>
      <w:r w:rsidRPr="006C3A06">
        <w:t xml:space="preserve">EPBC Act), </w:t>
      </w:r>
      <w:r w:rsidR="00D542ED" w:rsidRPr="005E58D6">
        <w:t>Hawke</w:t>
      </w:r>
      <w:r w:rsidRPr="005E58D6">
        <w:t xml:space="preserve"> </w:t>
      </w:r>
      <w:r w:rsidR="00CE33A8" w:rsidRPr="005E58D6">
        <w:t>(</w:t>
      </w:r>
      <w:hyperlink w:anchor="Hawke_2009" w:history="1">
        <w:r w:rsidR="00D542ED" w:rsidRPr="005E58D6">
          <w:rPr>
            <w:rStyle w:val="Hyperlink"/>
          </w:rPr>
          <w:t xml:space="preserve">Hawke </w:t>
        </w:r>
        <w:r w:rsidRPr="005E58D6">
          <w:rPr>
            <w:rStyle w:val="Hyperlink"/>
          </w:rPr>
          <w:t>2009</w:t>
        </w:r>
      </w:hyperlink>
      <w:r w:rsidRPr="005E58D6">
        <w:t>) suggested</w:t>
      </w:r>
      <w:r>
        <w:t>:</w:t>
      </w:r>
    </w:p>
    <w:p w14:paraId="602E8BF8" w14:textId="467BF079" w:rsidR="004F7576" w:rsidRDefault="004F7576" w:rsidP="004F7576">
      <w:pPr>
        <w:pStyle w:val="ListBullet"/>
      </w:pPr>
      <w:r>
        <w:lastRenderedPageBreak/>
        <w:t>most of Australia’s ecosystems and species are threate</w:t>
      </w:r>
      <w:r w:rsidR="00041132">
        <w:t>ne</w:t>
      </w:r>
      <w:r>
        <w:t>d to some extent by invasion by diseases, pests, weeds and feral animals</w:t>
      </w:r>
      <w:bookmarkStart w:id="77" w:name="_GoBack"/>
      <w:bookmarkEnd w:id="77"/>
    </w:p>
    <w:p w14:paraId="74BC9B95" w14:textId="717ABB3E" w:rsidR="004F7576" w:rsidRDefault="004F7576" w:rsidP="00FA4FC9">
      <w:pPr>
        <w:pStyle w:val="ListBullet"/>
      </w:pPr>
      <w:r>
        <w:t>environmental considerations should be equal to human health and primary production in all stages of Australia’s approach to managing biosecurity</w:t>
      </w:r>
      <w:r w:rsidR="00F85813">
        <w:t>—</w:t>
      </w:r>
      <w:r>
        <w:t>pre-border, at the border</w:t>
      </w:r>
      <w:r w:rsidR="00D542ED">
        <w:t xml:space="preserve"> and</w:t>
      </w:r>
      <w:r>
        <w:t xml:space="preserve"> post-border</w:t>
      </w:r>
    </w:p>
    <w:p w14:paraId="02A991F4" w14:textId="0C6E1EC1" w:rsidR="00A14048" w:rsidRDefault="004F7576" w:rsidP="00FA4FC9">
      <w:pPr>
        <w:pStyle w:val="ListBullet"/>
      </w:pPr>
      <w:r>
        <w:t xml:space="preserve">an integrated governance model is preferred for implementing the Beale </w:t>
      </w:r>
      <w:r w:rsidR="00AC008B">
        <w:t>r</w:t>
      </w:r>
      <w:r>
        <w:t>eview recommendations provided that environmental outcomes are not compromised by a ‘culture’ favourin</w:t>
      </w:r>
      <w:r w:rsidR="00317654">
        <w:t>g trade and primary production.</w:t>
      </w:r>
    </w:p>
    <w:p w14:paraId="3E50E3A1" w14:textId="77777777" w:rsidR="00A14048" w:rsidRDefault="00A14048" w:rsidP="00A22F4B">
      <w:pPr>
        <w:pStyle w:val="Heading4"/>
        <w:keepNext/>
        <w:keepLines/>
      </w:pPr>
      <w:r>
        <w:t>What governments and stakeholders told us</w:t>
      </w:r>
    </w:p>
    <w:p w14:paraId="50BDEF53" w14:textId="3FD13770" w:rsidR="00B2646B" w:rsidRDefault="00B2646B" w:rsidP="00A22F4B">
      <w:pPr>
        <w:keepNext/>
        <w:keepLines/>
      </w:pPr>
      <w:r>
        <w:t xml:space="preserve">The Australian Government </w:t>
      </w:r>
      <w:r w:rsidR="00AC008B">
        <w:t>Department of Agriculture and Water Resources</w:t>
      </w:r>
      <w:r>
        <w:t xml:space="preserve"> asserts it is difficult and not desirable to manage biosecurity risk to the environment in isolation from managing biosecurity risk to animal, plant and human health. This </w:t>
      </w:r>
      <w:r w:rsidR="001D29B6">
        <w:t xml:space="preserve">view </w:t>
      </w:r>
      <w:r>
        <w:t xml:space="preserve">was reiterated in the joint </w:t>
      </w:r>
      <w:r w:rsidR="00AC008B">
        <w:t>submission of the Department of A</w:t>
      </w:r>
      <w:r w:rsidR="005C7700">
        <w:t>griculture</w:t>
      </w:r>
      <w:r w:rsidR="00AC008B">
        <w:t xml:space="preserve"> and Water Resources</w:t>
      </w:r>
      <w:r w:rsidR="005C7700">
        <w:t xml:space="preserve"> and </w:t>
      </w:r>
      <w:r w:rsidR="00AC008B">
        <w:t>the Department of the E</w:t>
      </w:r>
      <w:r w:rsidR="005C7700">
        <w:t>nvironment</w:t>
      </w:r>
      <w:r w:rsidR="00AC008B">
        <w:t xml:space="preserve"> and Energy, which was</w:t>
      </w:r>
      <w:r>
        <w:t xml:space="preserve"> largely based on resource use efficiency considerations</w:t>
      </w:r>
      <w:r w:rsidR="00053D8A">
        <w:t xml:space="preserve"> (sub. DP65)</w:t>
      </w:r>
      <w:r>
        <w:t>.</w:t>
      </w:r>
    </w:p>
    <w:p w14:paraId="3C02C9A6" w14:textId="58488865" w:rsidR="00B2646B" w:rsidRDefault="00B2646B" w:rsidP="004F7576">
      <w:r w:rsidRPr="00B2646B">
        <w:t>The 2015 Senate inquiry examined the framework in place for environmental biosecurity</w:t>
      </w:r>
      <w:r w:rsidR="00AC008B">
        <w:t>,</w:t>
      </w:r>
      <w:r w:rsidRPr="00B2646B">
        <w:t xml:space="preserve"> including </w:t>
      </w:r>
      <w:r w:rsidR="00034DD4">
        <w:t xml:space="preserve">a </w:t>
      </w:r>
      <w:r w:rsidRPr="00B2646B">
        <w:t>proposal by the Invasive Species Council and others to establish Environment Health Australia. The proposal was resoundingly opposed by the Australian Government (agriculture and environment portfolios)</w:t>
      </w:r>
      <w:r w:rsidR="00034DD4">
        <w:t>,</w:t>
      </w:r>
      <w:r w:rsidRPr="00B2646B">
        <w:t xml:space="preserve"> AHA and PHA. The inquiry’s final report (</w:t>
      </w:r>
      <w:hyperlink w:anchor="Commonwealth_of_Australia_2015" w:history="1">
        <w:r w:rsidRPr="00B2646B">
          <w:rPr>
            <w:rStyle w:val="Hyperlink"/>
          </w:rPr>
          <w:t>Commonwealth of Australia 2015</w:t>
        </w:r>
      </w:hyperlink>
      <w:r w:rsidRPr="00B2646B">
        <w:t xml:space="preserve">) proposed better coordination and information between existing organisations and agreements. The Australian Government’s response to the inquiry’s recommendations is expected to be tabled in Parliament </w:t>
      </w:r>
      <w:r w:rsidR="003B2FA5">
        <w:t xml:space="preserve">later </w:t>
      </w:r>
      <w:r w:rsidRPr="00B2646B">
        <w:t>in 2017.</w:t>
      </w:r>
    </w:p>
    <w:p w14:paraId="2C2060F9" w14:textId="64EB3CBE" w:rsidR="00B2646B" w:rsidRDefault="00B2646B" w:rsidP="004F7576">
      <w:r w:rsidRPr="00B2646B">
        <w:t>Within the current N</w:t>
      </w:r>
      <w:r w:rsidR="00B475A9">
        <w:t xml:space="preserve">ational </w:t>
      </w:r>
      <w:r w:rsidRPr="00B2646B">
        <w:t>B</w:t>
      </w:r>
      <w:r w:rsidR="00B475A9">
        <w:t xml:space="preserve">iosecurity </w:t>
      </w:r>
      <w:r w:rsidRPr="00B2646B">
        <w:t>C</w:t>
      </w:r>
      <w:r w:rsidR="00B475A9">
        <w:t>ommittee (NBC)</w:t>
      </w:r>
      <w:r w:rsidRPr="00B2646B">
        <w:t xml:space="preserve"> model, environmental issues and risks appear to be di</w:t>
      </w:r>
      <w:r w:rsidR="00307000">
        <w:t>stributed amongst the NBC’s sub</w:t>
      </w:r>
      <w:r w:rsidRPr="00B2646B">
        <w:t xml:space="preserve">committees. For example, the Animal Health Committee deals with diseases impacting </w:t>
      </w:r>
      <w:r w:rsidR="00B475A9">
        <w:t xml:space="preserve">on </w:t>
      </w:r>
      <w:r w:rsidRPr="00B2646B">
        <w:t>native wildlife, and its members include Wildlife Health Australia</w:t>
      </w:r>
      <w:r w:rsidR="00034DD4">
        <w:t>—</w:t>
      </w:r>
      <w:r w:rsidRPr="00B2646B">
        <w:t>an environmental non-government organisation</w:t>
      </w:r>
      <w:r w:rsidR="00015C1C" w:rsidRPr="00015C1C">
        <w:t xml:space="preserve"> whos</w:t>
      </w:r>
      <w:r w:rsidR="007F107A">
        <w:t>e</w:t>
      </w:r>
      <w:r w:rsidR="00015C1C" w:rsidRPr="00015C1C">
        <w:t xml:space="preserve"> core funding is provided by the Australian Government</w:t>
      </w:r>
      <w:r w:rsidR="00015C1C">
        <w:t>.</w:t>
      </w:r>
      <w:r w:rsidR="00B17031">
        <w:t xml:space="preserve"> </w:t>
      </w:r>
      <w:r w:rsidR="00B475A9">
        <w:t xml:space="preserve">The </w:t>
      </w:r>
      <w:r w:rsidR="003C72C9">
        <w:t>Plant He</w:t>
      </w:r>
      <w:r w:rsidR="00CF1E8E">
        <w:t>a</w:t>
      </w:r>
      <w:r w:rsidR="003C72C9">
        <w:t>lth</w:t>
      </w:r>
      <w:r w:rsidR="00CF1E8E">
        <w:t xml:space="preserve"> Committee</w:t>
      </w:r>
      <w:r w:rsidR="008E02CA">
        <w:t>’s ‘top forty’</w:t>
      </w:r>
      <w:r w:rsidR="00CF1E8E">
        <w:t xml:space="preserve"> priority plant pest</w:t>
      </w:r>
      <w:r w:rsidR="008E02CA">
        <w:t xml:space="preserve"> and disease</w:t>
      </w:r>
      <w:r w:rsidR="00CF1E8E">
        <w:t xml:space="preserve"> list includes</w:t>
      </w:r>
      <w:r w:rsidR="008E02CA">
        <w:t xml:space="preserve"> environmental pests such as</w:t>
      </w:r>
      <w:r w:rsidR="00CF1E8E">
        <w:t xml:space="preserve"> RIFA. </w:t>
      </w:r>
      <w:r w:rsidRPr="008E02CA">
        <w:t xml:space="preserve">The Marine Pest Sectoral Committee deals with </w:t>
      </w:r>
      <w:r w:rsidR="001D7353">
        <w:t>marine pest biosecurity issues</w:t>
      </w:r>
      <w:r w:rsidRPr="00B2646B">
        <w:t>, and the Invasive Plants and Animals Committee deals with biodiversity and environmental impacts of established pests and diseases (including weeds and freshwater pests). While this could be presented as a feature of an ‘integrated environmental biosecurity model’, the structural logic of the arrangement is opaque</w:t>
      </w:r>
      <w:r w:rsidR="00B475A9">
        <w:t>,</w:t>
      </w:r>
      <w:r w:rsidRPr="00B2646B">
        <w:t xml:space="preserve"> and there is no NBC </w:t>
      </w:r>
      <w:r w:rsidRPr="00B2646B">
        <w:lastRenderedPageBreak/>
        <w:t>body steering the environmental biosecurity agenda or</w:t>
      </w:r>
      <w:r w:rsidR="00015C1C">
        <w:t xml:space="preserve"> that</w:t>
      </w:r>
      <w:r w:rsidRPr="00B2646B">
        <w:t xml:space="preserve"> has a comprehensive grasp on the effectiveness of, or gaps in, these combined efforts.</w:t>
      </w:r>
    </w:p>
    <w:p w14:paraId="03705F53" w14:textId="744D41B3" w:rsidR="00B2646B" w:rsidRDefault="00B2646B" w:rsidP="004F7576">
      <w:r w:rsidRPr="00B2646B">
        <w:t>Jurisdictions cited past attempts to treat environment issues as a separate stream under the NBC but consider this approach inefficient and duplicative. Additionally, some have highlighted that the environment also benefits from the broader system efforts (pre-border</w:t>
      </w:r>
      <w:r w:rsidR="00B475A9">
        <w:t xml:space="preserve"> and</w:t>
      </w:r>
      <w:r w:rsidRPr="00B2646B">
        <w:t xml:space="preserve"> border measures and surveillance). The Australian Government and representatives from other jurisdictions believe stakeholders are simply not aware of the full scope and breadth of activities undertaken by governments that support the management of biosecurity risks to the environment. That is, the issue is primarily one of</w:t>
      </w:r>
      <w:r w:rsidR="00015C1C">
        <w:t xml:space="preserve"> awareness and</w:t>
      </w:r>
      <w:r w:rsidRPr="00B2646B">
        <w:t xml:space="preserve"> transparency. Regardless, non-government stakeholders continue to view the arrangements for environmental biosecurity as immature, </w:t>
      </w:r>
      <w:r w:rsidRPr="00B2646B">
        <w:rPr>
          <w:i/>
        </w:rPr>
        <w:t>ad hoc</w:t>
      </w:r>
      <w:r w:rsidRPr="00B2646B">
        <w:t xml:space="preserve"> and underfunded at all points in the system. For example</w:t>
      </w:r>
      <w:r w:rsidR="007300DC">
        <w:t>,</w:t>
      </w:r>
      <w:r w:rsidRPr="00B2646B">
        <w:t xml:space="preserve"> </w:t>
      </w:r>
      <w:r w:rsidR="007300DC">
        <w:t>t</w:t>
      </w:r>
      <w:r w:rsidRPr="00B2646B">
        <w:t>he Invasive Species Council states that</w:t>
      </w:r>
      <w:r w:rsidR="00DA1F72">
        <w:t>:</w:t>
      </w:r>
    </w:p>
    <w:p w14:paraId="59B7F062" w14:textId="6CF1E528" w:rsidR="00B2646B" w:rsidRDefault="00B2646B" w:rsidP="0093468F">
      <w:pPr>
        <w:pStyle w:val="Quote"/>
      </w:pPr>
      <w:r w:rsidRPr="00B2646B">
        <w:t xml:space="preserve">The Invasive Plants and Animals </w:t>
      </w:r>
      <w:r w:rsidR="007F7D85">
        <w:t xml:space="preserve">Committee has given some attention to vertebrate pests </w:t>
      </w:r>
      <w:r w:rsidRPr="00B2646B">
        <w:t>and weeds that may impact on the environment, but has failed to advance work at the national level on several issues, including escaped garden plants and legal and illegal exotic pet birds, reptiles, mammals and fish. The recently exhibited draft Australian Pest Animal Strategy and Australian Weed Strategy are two examples of low ambition and little action by these committees</w:t>
      </w:r>
      <w:r w:rsidR="00462C45">
        <w:t xml:space="preserve"> </w:t>
      </w:r>
      <w:r w:rsidRPr="00B2646B">
        <w:t>… The marine pest sectoral committee has been progressing important work on ballast water and biofouling but has not to date adequately represented environmental interests (sub. DR95)</w:t>
      </w:r>
    </w:p>
    <w:p w14:paraId="337057D9" w14:textId="1EA92413" w:rsidR="0093468F" w:rsidRPr="0093468F" w:rsidRDefault="0093468F" w:rsidP="0093468F">
      <w:r w:rsidRPr="0093468F">
        <w:t>A contributing factor to the lack of transparency is</w:t>
      </w:r>
      <w:r w:rsidR="007300DC">
        <w:t xml:space="preserve"> that</w:t>
      </w:r>
      <w:r w:rsidRPr="0093468F">
        <w:t xml:space="preserve"> there is no equivalent to Wildlife Health Australia (WHA) for ‘non-wildlife biodiversity’, so </w:t>
      </w:r>
      <w:r w:rsidR="00CC4AA4">
        <w:t xml:space="preserve">there is </w:t>
      </w:r>
      <w:r w:rsidRPr="0093468F">
        <w:t xml:space="preserve">no direct conduit to environment organisations or the community. WHA is funded by the Australian Government and public donations to coordinate and provide input on diseases in native wildlife which may affect the natural environment and be passed on to production animals. The </w:t>
      </w:r>
      <w:r w:rsidR="00015C1C">
        <w:t>g</w:t>
      </w:r>
      <w:r w:rsidRPr="0093468F">
        <w:t>overnment</w:t>
      </w:r>
      <w:r w:rsidR="00015C1C">
        <w:t>s and WHA</w:t>
      </w:r>
      <w:r w:rsidRPr="0093468F">
        <w:t xml:space="preserve"> could consider an expanded remit for WHA, covering biodiversity more broadly.</w:t>
      </w:r>
    </w:p>
    <w:p w14:paraId="77E6FA91" w14:textId="1173C6AA" w:rsidR="0093468F" w:rsidRPr="0093468F" w:rsidRDefault="0093468F" w:rsidP="0093468F">
      <w:r w:rsidRPr="0093468F">
        <w:t>The Invasive Species Council, Wildlife Queensland, environmental stakeholders and others asserted that the issue lies in the fact that biosecurity is currently an agriculture commodity</w:t>
      </w:r>
      <w:r w:rsidR="00CC4AA4">
        <w:t>-</w:t>
      </w:r>
      <w:r w:rsidRPr="0093468F">
        <w:t>based system. In its initial submission, the Invasive Species Council</w:t>
      </w:r>
      <w:r w:rsidR="00E3218C">
        <w:t xml:space="preserve"> (sub. DP50)</w:t>
      </w:r>
      <w:r w:rsidRPr="0093468F">
        <w:t xml:space="preserve"> drew the </w:t>
      </w:r>
      <w:r w:rsidR="00CC4AA4">
        <w:t>p</w:t>
      </w:r>
      <w:r w:rsidRPr="0093468F">
        <w:t>anel’s attention to their view of the level of preparedness in agricultural biosecurity compared with environmental biosecurity, highlighting limited systematic surveillance for environmental biosecurity and few early detection and rapid response plans (</w:t>
      </w:r>
      <w:hyperlink w:anchor="_Appendix_F:_Comparing" w:history="1">
        <w:r w:rsidRPr="00D96D13">
          <w:rPr>
            <w:rStyle w:val="Hyperlink"/>
          </w:rPr>
          <w:t>Appendix F</w:t>
        </w:r>
      </w:hyperlink>
      <w:r w:rsidRPr="0093468F">
        <w:t>).</w:t>
      </w:r>
    </w:p>
    <w:p w14:paraId="3CAD7263" w14:textId="517621AA" w:rsidR="0093468F" w:rsidRPr="0093468F" w:rsidRDefault="0093468F" w:rsidP="0093468F">
      <w:r w:rsidRPr="0093468F">
        <w:lastRenderedPageBreak/>
        <w:t xml:space="preserve">Biosecurity stakeholders, including government departments, have also expressed concerns about emergency response arrangements for environmental pests and diseases. </w:t>
      </w:r>
      <w:r w:rsidR="00522BEA">
        <w:t xml:space="preserve">The </w:t>
      </w:r>
      <w:r w:rsidRPr="0093468F">
        <w:t>NEBRA establishes emergency response arrangements for responding to nationally significant biosecurity incidents where there are predominantly public benefits.</w:t>
      </w:r>
      <w:r w:rsidR="003B2FA5" w:rsidRPr="00686FCA">
        <w:t xml:space="preserve"> It is a government-only agreement that has been triggered on five occasions to date, primarily for tramp ants</w:t>
      </w:r>
      <w:r w:rsidR="003B2FA5">
        <w:t>.</w:t>
      </w:r>
    </w:p>
    <w:p w14:paraId="6E72A58E" w14:textId="3DAA6DD0" w:rsidR="0093468F" w:rsidRPr="0093468F" w:rsidRDefault="00522BEA" w:rsidP="0093468F">
      <w:r>
        <w:t xml:space="preserve">The </w:t>
      </w:r>
      <w:r w:rsidR="0093468F" w:rsidRPr="00686FCA">
        <w:t>NEBRA is highlighted as one of the key achievements under the IGAB.</w:t>
      </w:r>
      <w:r w:rsidR="00686FCA">
        <w:t xml:space="preserve"> </w:t>
      </w:r>
      <w:r w:rsidR="0093468F" w:rsidRPr="0093468F">
        <w:t>However,</w:t>
      </w:r>
      <w:r>
        <w:t xml:space="preserve"> the</w:t>
      </w:r>
      <w:r w:rsidR="0093468F" w:rsidRPr="0093468F">
        <w:t xml:space="preserve"> NEBRA signatories and environmental biosecurity stakeholders have questioned the workability of </w:t>
      </w:r>
      <w:r>
        <w:t xml:space="preserve">the </w:t>
      </w:r>
      <w:r w:rsidR="0093468F" w:rsidRPr="0093468F">
        <w:t>NEBRA, including</w:t>
      </w:r>
      <w:r w:rsidR="00906748">
        <w:t xml:space="preserve"> because</w:t>
      </w:r>
      <w:r w:rsidR="0093468F" w:rsidRPr="0093468F">
        <w:t>:</w:t>
      </w:r>
    </w:p>
    <w:p w14:paraId="3F4619C5" w14:textId="42AA1C75" w:rsidR="0093468F" w:rsidRPr="0093468F" w:rsidRDefault="0093468F" w:rsidP="00104222">
      <w:pPr>
        <w:pStyle w:val="ListBullet"/>
      </w:pPr>
      <w:r w:rsidRPr="0093468F">
        <w:t>the need for consensus from all governments to trigger a biosecurity incident response ‘sets the bar too high’ and allows a single jurisdiction to block a national effort</w:t>
      </w:r>
      <w:r w:rsidR="00015C1C">
        <w:t xml:space="preserve"> </w:t>
      </w:r>
      <w:r w:rsidR="00015C1C" w:rsidRPr="00015C1C">
        <w:t xml:space="preserve">(although the EADRA and </w:t>
      </w:r>
      <w:r w:rsidR="00B038C7">
        <w:t xml:space="preserve">the </w:t>
      </w:r>
      <w:r w:rsidR="00015C1C" w:rsidRPr="00015C1C">
        <w:t>EPPRD also require unanimous agreement to a response)</w:t>
      </w:r>
    </w:p>
    <w:p w14:paraId="7F577035" w14:textId="0F85294D" w:rsidR="0093468F" w:rsidRDefault="00906748" w:rsidP="00104222">
      <w:pPr>
        <w:pStyle w:val="ListBullet"/>
      </w:pPr>
      <w:r>
        <w:t xml:space="preserve">neither </w:t>
      </w:r>
      <w:r w:rsidR="00522BEA">
        <w:t xml:space="preserve">the </w:t>
      </w:r>
      <w:r w:rsidR="0093468F" w:rsidRPr="0093468F">
        <w:t>NEBRA nor any other response deed will be able to successfully address airborne environmental pest incursions</w:t>
      </w:r>
      <w:r>
        <w:t>,</w:t>
      </w:r>
      <w:r w:rsidR="0093468F" w:rsidRPr="0093468F">
        <w:t xml:space="preserve"> such as rusts and airborne insects, or incursions into marine and freshwater ecosystems</w:t>
      </w:r>
      <w:r>
        <w:t xml:space="preserve">, </w:t>
      </w:r>
      <w:r w:rsidR="0093468F" w:rsidRPr="0093468F">
        <w:t xml:space="preserve">as these pests and diseases </w:t>
      </w:r>
      <w:r>
        <w:t xml:space="preserve">are </w:t>
      </w:r>
      <w:r w:rsidR="0093468F" w:rsidRPr="0093468F">
        <w:t>rarely eradicable</w:t>
      </w:r>
      <w:r w:rsidR="009D67B5">
        <w:t>:</w:t>
      </w:r>
    </w:p>
    <w:p w14:paraId="2EC35E9C" w14:textId="57D52339" w:rsidR="009D67B5" w:rsidRPr="0093468F" w:rsidRDefault="009D67B5" w:rsidP="009D67B5">
      <w:pPr>
        <w:pStyle w:val="Quote"/>
      </w:pPr>
      <w:r w:rsidRPr="009D67B5">
        <w:t>There is a diverse range of vectors, such as ballast water, biofouling of vessels which could transfer disease and pests into Tasmania’s marine waters. It is near impossible to fence off or isolate areas of the marine environment, meaning that disease or pest eradication is near impossible (Tasmanian Seafood Industry council sub. DR89)</w:t>
      </w:r>
    </w:p>
    <w:p w14:paraId="587892B2" w14:textId="4977E145" w:rsidR="0093468F" w:rsidRPr="0093468F" w:rsidRDefault="0093468F" w:rsidP="00104222">
      <w:pPr>
        <w:pStyle w:val="ListBullet"/>
      </w:pPr>
      <w:r w:rsidRPr="0093468F">
        <w:t xml:space="preserve">failure to meet the initial containment, verification assessment, notification and reporting requirements, all within </w:t>
      </w:r>
      <w:r w:rsidR="00906748">
        <w:t>twenty-four</w:t>
      </w:r>
      <w:r w:rsidRPr="0093468F">
        <w:t xml:space="preserve"> hours of the initial detection, can make an incursion ineligible under </w:t>
      </w:r>
      <w:r w:rsidR="007F107A">
        <w:t xml:space="preserve">the </w:t>
      </w:r>
      <w:r w:rsidRPr="0093468F">
        <w:t xml:space="preserve">NEBRA </w:t>
      </w:r>
      <w:r w:rsidRPr="002D7FC5">
        <w:t>(</w:t>
      </w:r>
      <w:r w:rsidR="003C2E47" w:rsidRPr="002D7FC5">
        <w:t xml:space="preserve">Australian Government </w:t>
      </w:r>
      <w:r w:rsidR="00906748">
        <w:t xml:space="preserve">Department of Agriculture and Water Resources and Department of the Environment and Energy </w:t>
      </w:r>
      <w:r w:rsidRPr="002D7FC5">
        <w:t>sub</w:t>
      </w:r>
      <w:r w:rsidR="00E3218C" w:rsidRPr="002D7FC5">
        <w:t>mission</w:t>
      </w:r>
      <w:r w:rsidRPr="002D7FC5">
        <w:t xml:space="preserve"> to </w:t>
      </w:r>
      <w:r w:rsidR="00906748">
        <w:t xml:space="preserve">the </w:t>
      </w:r>
      <w:r w:rsidRPr="002D7FC5">
        <w:t>NEBRA review)</w:t>
      </w:r>
      <w:r w:rsidR="00443248" w:rsidRPr="002D7FC5">
        <w:t>.</w:t>
      </w:r>
    </w:p>
    <w:p w14:paraId="26BF05C1" w14:textId="1709FE2B" w:rsidR="00A14048" w:rsidRDefault="0093468F" w:rsidP="0093468F">
      <w:r w:rsidRPr="0093468F">
        <w:t>Addressing such issues will be fundamental to the success and optimal use of</w:t>
      </w:r>
      <w:r w:rsidR="007F107A">
        <w:t xml:space="preserve"> the</w:t>
      </w:r>
      <w:r w:rsidRPr="0093468F">
        <w:t xml:space="preserve"> NEBRA into the future</w:t>
      </w:r>
      <w:r w:rsidR="00E3218C">
        <w:t>,</w:t>
      </w:r>
      <w:r w:rsidRPr="0093468F">
        <w:t xml:space="preserve"> and are the rightful focus of</w:t>
      </w:r>
      <w:r w:rsidR="00731E88">
        <w:t xml:space="preserve"> the current 2017 NEBRA </w:t>
      </w:r>
      <w:r w:rsidR="00D079E1">
        <w:t>r</w:t>
      </w:r>
      <w:r w:rsidR="00731E88">
        <w:t>eview.</w:t>
      </w:r>
    </w:p>
    <w:p w14:paraId="79766709" w14:textId="05E8422B" w:rsidR="0093468F" w:rsidRDefault="007300DC" w:rsidP="0093468F">
      <w:r>
        <w:t>I</w:t>
      </w:r>
      <w:r w:rsidR="00DD29D6" w:rsidRPr="00DD29D6">
        <w:t xml:space="preserve">t is worth noting that in the primary industry sectors, the relevant industry commits funds, along with the </w:t>
      </w:r>
      <w:r w:rsidR="00DD29D6" w:rsidRPr="00D079E1">
        <w:t>Australian, state</w:t>
      </w:r>
      <w:r w:rsidR="00DD29D6" w:rsidRPr="00DD29D6">
        <w:t xml:space="preserve"> and territory governments, to an agreed eradication program in accord</w:t>
      </w:r>
      <w:r w:rsidR="00C738A1">
        <w:t>ance</w:t>
      </w:r>
      <w:r w:rsidR="00DD29D6" w:rsidRPr="00DD29D6">
        <w:t xml:space="preserve"> with the relevant deed. The relevant industry is financially exposed to the cost of a control program, and this in itself provides an additional exter</w:t>
      </w:r>
      <w:r w:rsidR="00DD29D6" w:rsidRPr="00DD29D6">
        <w:lastRenderedPageBreak/>
        <w:t xml:space="preserve">nal check to ensure a prudent assessment and evaluation prior to committing substantial funds to an eradication program. No such external party with financial exposure exists in the context of environmental pests and diseases, and governments are rightly concerned about the potential to inappropriately allocate taxpayer funds to eradication programs that have little or no chance of success. Accordingly, jurisdictions should put in place systems that ensure decisions of the National Biosecurity Management Group (the peak national decision-making group under </w:t>
      </w:r>
      <w:r w:rsidR="007F107A">
        <w:t xml:space="preserve">the </w:t>
      </w:r>
      <w:r w:rsidR="00DD29D6" w:rsidRPr="00DD29D6">
        <w:t xml:space="preserve">NEBRA) are evidence-based and transparent, in keeping with best risk management principles, </w:t>
      </w:r>
      <w:r w:rsidR="00D079E1">
        <w:t xml:space="preserve">and </w:t>
      </w:r>
      <w:r w:rsidR="00DD29D6" w:rsidRPr="00DD29D6">
        <w:t>are timely and provide confidence to governments and the community that funds are being committed wisely and appropriately.</w:t>
      </w:r>
    </w:p>
    <w:p w14:paraId="11A28803" w14:textId="77777777" w:rsidR="00934DB6" w:rsidRDefault="00934DB6" w:rsidP="00934DB6">
      <w:pPr>
        <w:pStyle w:val="Heading3"/>
      </w:pPr>
      <w:bookmarkStart w:id="78" w:name="_Governing_for_environmental"/>
      <w:bookmarkStart w:id="79" w:name="_Toc486236042"/>
      <w:bookmarkEnd w:id="78"/>
      <w:r>
        <w:t>Governing for environmental outcomes</w:t>
      </w:r>
      <w:bookmarkEnd w:id="79"/>
    </w:p>
    <w:p w14:paraId="3E8C2529" w14:textId="430C624E" w:rsidR="00DD29D6" w:rsidRDefault="00DD29D6" w:rsidP="00DD29D6">
      <w:pPr>
        <w:rPr>
          <w:highlight w:val="yellow"/>
        </w:rPr>
      </w:pPr>
      <w:r w:rsidRPr="00F96DFA">
        <w:t xml:space="preserve">Responsibility for environmental biosecurity is shared across jurisdictions, government agencies and other systems participants. However, </w:t>
      </w:r>
      <w:r w:rsidR="00D079E1" w:rsidRPr="00F96DFA">
        <w:t>despite best endeavours,</w:t>
      </w:r>
      <w:r w:rsidR="00D079E1">
        <w:t xml:space="preserve"> </w:t>
      </w:r>
      <w:r w:rsidRPr="00F96DFA">
        <w:t xml:space="preserve">current governance structures and relationships built around ‘integrating’ the consideration </w:t>
      </w:r>
      <w:r>
        <w:t xml:space="preserve">of </w:t>
      </w:r>
      <w:r w:rsidRPr="00F96DFA">
        <w:t>environmental biosecurity risks are</w:t>
      </w:r>
      <w:r w:rsidR="00D079E1">
        <w:t xml:space="preserve"> </w:t>
      </w:r>
      <w:r w:rsidRPr="00F96DFA">
        <w:t>not advancing the scope of work needed to identify and mitigate those risks</w:t>
      </w:r>
      <w:r>
        <w:t>—</w:t>
      </w:r>
      <w:r w:rsidRPr="00F96DFA">
        <w:t xml:space="preserve">and current activities </w:t>
      </w:r>
      <w:r>
        <w:t>an</w:t>
      </w:r>
      <w:r w:rsidRPr="00F96DFA">
        <w:t>d outcomes are largely invisible to those external to the NB</w:t>
      </w:r>
      <w:r>
        <w:t>C for whom Australia is perceived as failing to meet its commitments under international conventions and domestic legislation.</w:t>
      </w:r>
    </w:p>
    <w:p w14:paraId="35357872" w14:textId="77777777" w:rsidR="00934DB6" w:rsidRDefault="00934DB6" w:rsidP="00934DB6">
      <w:pPr>
        <w:pStyle w:val="Heading4"/>
      </w:pPr>
      <w:r>
        <w:t>Clearly defined lead and support agencies</w:t>
      </w:r>
    </w:p>
    <w:p w14:paraId="60A900E3" w14:textId="3F7EDD2A" w:rsidR="00DD29D6" w:rsidRDefault="00DD29D6" w:rsidP="00DD29D6">
      <w:pPr>
        <w:rPr>
          <w:iCs/>
        </w:rPr>
      </w:pPr>
      <w:r w:rsidRPr="00DD29D6">
        <w:t xml:space="preserve">The national biosecurity system’s goal and objectives under the IGAB aim to minimise the harm that exotic pests and diseases can </w:t>
      </w:r>
      <w:r w:rsidR="005B3FA2">
        <w:t>do to</w:t>
      </w:r>
      <w:r w:rsidRPr="00DD29D6">
        <w:t xml:space="preserve"> the Australian economy, environment and community. While the IGAB is the fundamental agreement among governments for biosecurity, national cooperation is reinforced by other government agreements including the 1992 Intergovernmental Agreement on the Environment (I</w:t>
      </w:r>
      <w:r w:rsidR="007E2E84">
        <w:t>G</w:t>
      </w:r>
      <w:r w:rsidRPr="00DD29D6">
        <w:t xml:space="preserve">AE) and 1997 Heads of </w:t>
      </w:r>
      <w:r w:rsidR="00F744BB">
        <w:t>A</w:t>
      </w:r>
      <w:r w:rsidRPr="00DD29D6">
        <w:t xml:space="preserve">greement on Commonwealth and </w:t>
      </w:r>
      <w:r w:rsidR="00F744BB">
        <w:t>S</w:t>
      </w:r>
      <w:r w:rsidRPr="00DD29D6">
        <w:t xml:space="preserve">tate and </w:t>
      </w:r>
      <w:r w:rsidR="00F744BB">
        <w:t>T</w:t>
      </w:r>
      <w:r w:rsidRPr="00DD29D6">
        <w:t xml:space="preserve">erritory </w:t>
      </w:r>
      <w:r w:rsidR="00F744BB">
        <w:t>R</w:t>
      </w:r>
      <w:r w:rsidRPr="00DD29D6">
        <w:t xml:space="preserve">oles and </w:t>
      </w:r>
      <w:r w:rsidR="00F744BB">
        <w:t>R</w:t>
      </w:r>
      <w:r w:rsidRPr="00DD29D6">
        <w:t>esponsibilities for the Environment (</w:t>
      </w:r>
      <w:hyperlink w:anchor="COAG_1997" w:history="1">
        <w:r w:rsidRPr="00DD29D6">
          <w:rPr>
            <w:rStyle w:val="Hyperlink"/>
          </w:rPr>
          <w:t>COAG 1997</w:t>
        </w:r>
      </w:hyperlink>
      <w:r w:rsidRPr="00DD29D6">
        <w:t>), which respectively state:</w:t>
      </w:r>
    </w:p>
    <w:p w14:paraId="3011CE21" w14:textId="330FA803" w:rsidR="00870368" w:rsidRPr="00010BDE" w:rsidRDefault="00870368" w:rsidP="00870368">
      <w:pPr>
        <w:pStyle w:val="Quote"/>
      </w:pPr>
      <w:r>
        <w:t xml:space="preserve">The parties recognise the threat posed to both the natural environment and agricultural and </w:t>
      </w:r>
      <w:r w:rsidR="00015C1C">
        <w:t>maricultur</w:t>
      </w:r>
      <w:r w:rsidR="007E2E84">
        <w:t>al</w:t>
      </w:r>
      <w:r w:rsidR="00015C1C">
        <w:t xml:space="preserve"> </w:t>
      </w:r>
      <w:r>
        <w:t xml:space="preserve">production by pest species of introduced plants and animals and acknowledge that a cooperative national approach to their control has the potential to produce savings from a reduction of duplication of existing effort. The parties agree that the Commonwealth’s role should be one of facilitating the coordinated </w:t>
      </w:r>
      <w:r w:rsidR="00BC654B">
        <w:t>S</w:t>
      </w:r>
      <w:r>
        <w:t xml:space="preserve">tate efforts within this national approach. Due to the nature of the threat, coordination of a national approach should be undertaken through the Australian and New Zealand Environment and Conservation Council, the </w:t>
      </w:r>
      <w:r w:rsidRPr="00010BDE">
        <w:t xml:space="preserve">Australian Agricultural Council and </w:t>
      </w:r>
      <w:r w:rsidRPr="00010BDE">
        <w:lastRenderedPageBreak/>
        <w:t>the Australian Fisheries Council (1992 I</w:t>
      </w:r>
      <w:r w:rsidR="007E2E84">
        <w:t>G</w:t>
      </w:r>
      <w:r w:rsidRPr="00010BDE">
        <w:t>AE Schedule 9: Nature conservation)</w:t>
      </w:r>
    </w:p>
    <w:p w14:paraId="361D9DA2" w14:textId="77777777" w:rsidR="00870368" w:rsidRDefault="00870368" w:rsidP="00870368">
      <w:pPr>
        <w:pStyle w:val="Quote"/>
      </w:pPr>
      <w:r w:rsidRPr="00010BDE">
        <w:t>The Commonwealth interest involves co-operation with the States to avoid or minimise risks to the environment arising from the import and export of animal and plant material that could contain anything that could threaten Australia's native flora or fauna and their natural environment (1997 Heads of agreement: Attachment 1)</w:t>
      </w:r>
    </w:p>
    <w:p w14:paraId="29351AEE" w14:textId="2D8FBA8B" w:rsidR="00870368" w:rsidRDefault="00870368" w:rsidP="00870368">
      <w:r>
        <w:t>With the streamlining of C</w:t>
      </w:r>
      <w:r w:rsidR="00155F2B">
        <w:t xml:space="preserve">ouncil of </w:t>
      </w:r>
      <w:r>
        <w:t>A</w:t>
      </w:r>
      <w:r w:rsidR="00155F2B">
        <w:t xml:space="preserve">ustralian </w:t>
      </w:r>
      <w:r>
        <w:t>G</w:t>
      </w:r>
      <w:r w:rsidR="00155F2B">
        <w:t>overnments (COAG)</w:t>
      </w:r>
      <w:r>
        <w:t xml:space="preserve"> ministerial council arrangements in 2013</w:t>
      </w:r>
      <w:r w:rsidR="001D1204">
        <w:t>,</w:t>
      </w:r>
      <w:r>
        <w:t xml:space="preserve"> </w:t>
      </w:r>
      <w:r w:rsidR="00E3218C">
        <w:t xml:space="preserve">all Australian </w:t>
      </w:r>
      <w:r w:rsidR="005D0558">
        <w:t>g</w:t>
      </w:r>
      <w:r>
        <w:t xml:space="preserve">overnments jointly tasked the </w:t>
      </w:r>
      <w:r w:rsidRPr="000060EA">
        <w:t>Agriculture Ministers</w:t>
      </w:r>
      <w:r w:rsidR="0056569E" w:rsidRPr="000060EA">
        <w:t>’</w:t>
      </w:r>
      <w:r w:rsidRPr="000060EA">
        <w:t xml:space="preserve"> Forum</w:t>
      </w:r>
      <w:r>
        <w:t xml:space="preserve"> </w:t>
      </w:r>
      <w:r w:rsidR="000060EA">
        <w:t xml:space="preserve">(AGMIN) </w:t>
      </w:r>
      <w:r>
        <w:t xml:space="preserve">and its </w:t>
      </w:r>
      <w:r w:rsidR="00307000">
        <w:t>sub</w:t>
      </w:r>
      <w:r w:rsidR="000060EA">
        <w:t>committee, the NBC</w:t>
      </w:r>
      <w:r w:rsidR="005C22EC">
        <w:t>,</w:t>
      </w:r>
      <w:r>
        <w:t xml:space="preserve"> with national coordination of biosecurity. This effectively assigned agriculture portfolios with lead responsibility for biosecurity in each of the jurisdictions and, to a significant extent, appears to have let environment agencies ‘off the hook’. At the </w:t>
      </w:r>
      <w:r w:rsidR="00E3218C">
        <w:t>Commonwealth</w:t>
      </w:r>
      <w:r w:rsidR="00B2059B">
        <w:t xml:space="preserve"> and </w:t>
      </w:r>
      <w:r>
        <w:t xml:space="preserve">state and territory levels, there have been varied levels of engagement by environment agencies and a </w:t>
      </w:r>
      <w:r w:rsidR="00E3218C">
        <w:t xml:space="preserve">seeming </w:t>
      </w:r>
      <w:r>
        <w:t>willingness by them to let the agriculture</w:t>
      </w:r>
      <w:r w:rsidR="00B2059B">
        <w:t xml:space="preserve"> portfolio</w:t>
      </w:r>
      <w:r>
        <w:t xml:space="preserve"> have carriage </w:t>
      </w:r>
      <w:r w:rsidR="00317654">
        <w:t>of biosecurity.</w:t>
      </w:r>
    </w:p>
    <w:p w14:paraId="7556F672" w14:textId="7F640F7C" w:rsidR="00870368" w:rsidRDefault="00870368" w:rsidP="00870368">
      <w:r>
        <w:t>While current arrangements can and do deal with environmental biosecurity matters</w:t>
      </w:r>
      <w:r w:rsidR="005C22EC">
        <w:t>,</w:t>
      </w:r>
      <w:r>
        <w:t xml:space="preserve"> this does not occur on a systematic</w:t>
      </w:r>
      <w:r w:rsidR="006F6771">
        <w:t xml:space="preserve"> or transparent</w:t>
      </w:r>
      <w:r>
        <w:t xml:space="preserve"> basis. The </w:t>
      </w:r>
      <w:r w:rsidR="00155F2B">
        <w:t>p</w:t>
      </w:r>
      <w:r>
        <w:t>anel believes environment agencies and stakeholders must be more engaged in the formulation of national policy positions on biosecurity and provide agriculture agencies with the technical ex</w:t>
      </w:r>
      <w:r w:rsidR="003A39B7">
        <w:t>pertise on environmental risks</w:t>
      </w:r>
      <w:r w:rsidR="007F107A">
        <w:t>.</w:t>
      </w:r>
    </w:p>
    <w:p w14:paraId="411A8971" w14:textId="5F6D3303" w:rsidR="00DD29D6" w:rsidRPr="00DD29D6" w:rsidRDefault="00DD29D6" w:rsidP="00DD29D6">
      <w:r w:rsidRPr="00DD29D6">
        <w:t xml:space="preserve">The </w:t>
      </w:r>
      <w:r w:rsidR="00155F2B">
        <w:t>p</w:t>
      </w:r>
      <w:r w:rsidRPr="00DD29D6">
        <w:t xml:space="preserve">anel recommends that ‘lead’ biosecurity agencies (agriculture) should have formalised arrangements with their ‘support’ biosecurity agencies (environment, national parks, fisheries, regional development, defence et cetera). Some state agencies have formalised arrangements in place, but these are a minority. For example, the South Australian </w:t>
      </w:r>
      <w:r w:rsidR="0063006E">
        <w:t>D</w:t>
      </w:r>
      <w:r w:rsidRPr="00DD29D6">
        <w:t xml:space="preserve">epartment of Primary Industries and Regions South Australia (PIRSA) and </w:t>
      </w:r>
      <w:r w:rsidR="0063006E">
        <w:t xml:space="preserve">Department of </w:t>
      </w:r>
      <w:r w:rsidRPr="00DD29D6">
        <w:t xml:space="preserve">Environment, Water and Natural Resources have a memorandum of understanding (MoU) to facilitate resource and information sharing, including staff. For the Australian Government, MoUs have been signed between the then departments of </w:t>
      </w:r>
      <w:r w:rsidR="0063006E">
        <w:t>a</w:t>
      </w:r>
      <w:r w:rsidRPr="00DD29D6">
        <w:t xml:space="preserve">griculture and </w:t>
      </w:r>
      <w:r w:rsidR="0063006E">
        <w:t>h</w:t>
      </w:r>
      <w:r w:rsidRPr="00DD29D6">
        <w:t xml:space="preserve">ealth, and </w:t>
      </w:r>
      <w:r w:rsidR="000D59A6">
        <w:t>between the then department of a</w:t>
      </w:r>
      <w:r w:rsidRPr="00DD29D6">
        <w:t xml:space="preserve">griculture and </w:t>
      </w:r>
      <w:r w:rsidR="000D59A6">
        <w:t xml:space="preserve">the </w:t>
      </w:r>
      <w:r w:rsidRPr="00DD29D6">
        <w:t>Customs and Border Protection</w:t>
      </w:r>
      <w:r w:rsidR="000D59A6">
        <w:t xml:space="preserve"> Service</w:t>
      </w:r>
      <w:r w:rsidRPr="00DD29D6">
        <w:t xml:space="preserve">. However, no such MoU exists between the </w:t>
      </w:r>
      <w:r w:rsidR="00443248">
        <w:t>Australian Government</w:t>
      </w:r>
      <w:r w:rsidRPr="00DD29D6">
        <w:t xml:space="preserve"> agencies responsible for agriculture and the environment.</w:t>
      </w:r>
    </w:p>
    <w:p w14:paraId="54E5AC9D" w14:textId="6A8F0EC4" w:rsidR="00DD29D6" w:rsidRPr="00DD29D6" w:rsidRDefault="00DD29D6" w:rsidP="00DD29D6">
      <w:r w:rsidRPr="00DD29D6">
        <w:t>The Australian Government environment department has international and statutory responsibilities relevant to biosecurity, including:</w:t>
      </w:r>
    </w:p>
    <w:p w14:paraId="0A1BDF80" w14:textId="77777777" w:rsidR="00DD29D6" w:rsidRPr="00DD29D6" w:rsidRDefault="00DD29D6" w:rsidP="00104222">
      <w:pPr>
        <w:pStyle w:val="ListBullet"/>
      </w:pPr>
      <w:r w:rsidRPr="00DD29D6">
        <w:t>control of live animal and plant imports under the EPBC Act</w:t>
      </w:r>
    </w:p>
    <w:p w14:paraId="6A59EA85" w14:textId="7B4ADFEA" w:rsidR="00DD29D6" w:rsidRPr="00DD29D6" w:rsidRDefault="00DD29D6" w:rsidP="00104222">
      <w:pPr>
        <w:pStyle w:val="ListBullet"/>
      </w:pPr>
      <w:r w:rsidRPr="00DD29D6">
        <w:lastRenderedPageBreak/>
        <w:t>post-border control of exotic/invasive species through threat abatement plans and recovery plans under the EPBC Act</w:t>
      </w:r>
    </w:p>
    <w:p w14:paraId="1686D2ED" w14:textId="77777777" w:rsidR="00DD29D6" w:rsidRPr="00DD29D6" w:rsidRDefault="00DD29D6" w:rsidP="00104222">
      <w:pPr>
        <w:pStyle w:val="ListBullet"/>
      </w:pPr>
      <w:r w:rsidRPr="00DD29D6">
        <w:t xml:space="preserve">meeting Australia’s international obligations, including controlling alien species, under the Convention on Biological Diversity. </w:t>
      </w:r>
    </w:p>
    <w:p w14:paraId="5A871017" w14:textId="68FE9597" w:rsidR="00DD29D6" w:rsidRDefault="00DD29D6" w:rsidP="00870368">
      <w:r w:rsidRPr="00DD29D6">
        <w:t>A</w:t>
      </w:r>
      <w:r w:rsidR="004609B7">
        <w:t>n</w:t>
      </w:r>
      <w:r w:rsidRPr="00DD29D6">
        <w:t xml:space="preserve"> MoU between </w:t>
      </w:r>
      <w:r w:rsidR="004609B7">
        <w:t xml:space="preserve">the </w:t>
      </w:r>
      <w:r w:rsidRPr="00DD29D6">
        <w:t xml:space="preserve">agriculture and environment </w:t>
      </w:r>
      <w:r w:rsidR="004609B7">
        <w:t xml:space="preserve">agencies </w:t>
      </w:r>
      <w:r w:rsidRPr="00DD29D6">
        <w:t>should capture how biosecurity risks will be addressed through live import controls and threat abatement and recovery planning processes under the EPBC Act. It should also capture</w:t>
      </w:r>
      <w:r w:rsidR="00015C1C">
        <w:t>,</w:t>
      </w:r>
      <w:r w:rsidRPr="00DD29D6">
        <w:t xml:space="preserve"> where these overlap with</w:t>
      </w:r>
      <w:r w:rsidR="007F107A">
        <w:t xml:space="preserve"> the</w:t>
      </w:r>
      <w:r w:rsidRPr="00DD29D6">
        <w:t xml:space="preserve"> NEBRA or another response deed, how responsibilities are assigned.</w:t>
      </w:r>
    </w:p>
    <w:p w14:paraId="2C5E31EE" w14:textId="77777777" w:rsidR="00DD29D6" w:rsidRPr="00104222" w:rsidRDefault="00DD29D6" w:rsidP="00FB0BAB">
      <w:pPr>
        <w:pStyle w:val="BoxHeading"/>
        <w:shd w:val="clear" w:color="auto" w:fill="D9D9D9" w:themeFill="background1" w:themeFillShade="D9"/>
        <w:rPr>
          <w:sz w:val="22"/>
        </w:rPr>
      </w:pPr>
      <w:bookmarkStart w:id="80" w:name="_Ref482708950"/>
      <w:r w:rsidRPr="00104222">
        <w:rPr>
          <w:sz w:val="22"/>
        </w:rPr>
        <w:t xml:space="preserve">Recommendation </w:t>
      </w:r>
      <w:r w:rsidRPr="00104222">
        <w:rPr>
          <w:sz w:val="22"/>
        </w:rPr>
        <w:fldChar w:fldCharType="begin"/>
      </w:r>
      <w:r w:rsidRPr="00104222">
        <w:rPr>
          <w:sz w:val="22"/>
        </w:rPr>
        <w:instrText xml:space="preserve"> SEQ Recommendation \* ARABIC </w:instrText>
      </w:r>
      <w:r w:rsidRPr="00104222">
        <w:rPr>
          <w:sz w:val="22"/>
        </w:rPr>
        <w:fldChar w:fldCharType="separate"/>
      </w:r>
      <w:r w:rsidR="009F6923">
        <w:rPr>
          <w:noProof/>
          <w:sz w:val="22"/>
        </w:rPr>
        <w:t>7</w:t>
      </w:r>
      <w:r w:rsidRPr="00104222">
        <w:rPr>
          <w:sz w:val="22"/>
        </w:rPr>
        <w:fldChar w:fldCharType="end"/>
      </w:r>
      <w:bookmarkEnd w:id="80"/>
    </w:p>
    <w:p w14:paraId="6F38FF31" w14:textId="6A27D076" w:rsidR="00DD29D6" w:rsidRPr="00B45227" w:rsidRDefault="00DD29D6" w:rsidP="00FB0BAB">
      <w:pPr>
        <w:pStyle w:val="BoxText"/>
        <w:shd w:val="clear" w:color="auto" w:fill="D9D9D9" w:themeFill="background1" w:themeFillShade="D9"/>
        <w:rPr>
          <w:sz w:val="22"/>
          <w:highlight w:val="yellow"/>
        </w:rPr>
      </w:pPr>
      <w:r w:rsidRPr="00B45227">
        <w:rPr>
          <w:sz w:val="22"/>
        </w:rPr>
        <w:t>Jurisdictions should institute formal arrangements between agriculture and environment agencies, including through memoranda of understanding</w:t>
      </w:r>
      <w:r w:rsidR="004A0AEF">
        <w:rPr>
          <w:sz w:val="22"/>
        </w:rPr>
        <w:t>,</w:t>
      </w:r>
      <w:r w:rsidRPr="00B45227">
        <w:rPr>
          <w:sz w:val="22"/>
        </w:rPr>
        <w:t xml:space="preserve"> to define the objectives of cooperation, leading and support roles, information flo</w:t>
      </w:r>
      <w:r w:rsidR="00D53BE6">
        <w:rPr>
          <w:sz w:val="22"/>
        </w:rPr>
        <w:t>ws, resources and deliverables.</w:t>
      </w:r>
    </w:p>
    <w:p w14:paraId="119A2614" w14:textId="77777777" w:rsidR="00934DB6" w:rsidRDefault="00934DB6" w:rsidP="001D1204">
      <w:pPr>
        <w:pStyle w:val="Heading3"/>
      </w:pPr>
      <w:bookmarkStart w:id="81" w:name="_Toc486236043"/>
      <w:r>
        <w:t>Institutionalising environmental biosecurity</w:t>
      </w:r>
      <w:bookmarkEnd w:id="81"/>
    </w:p>
    <w:p w14:paraId="788CED26" w14:textId="38FDDA13" w:rsidR="00DD29D6" w:rsidRDefault="00DD29D6" w:rsidP="00DD29D6">
      <w:r>
        <w:t>Agricultural agencies consider that national arrangements under the IGAB and the NBC can and do address biosecurity risks to the environment</w:t>
      </w:r>
      <w:r w:rsidR="00FD447A">
        <w:t xml:space="preserve"> and community</w:t>
      </w:r>
      <w:r>
        <w:t xml:space="preserve"> (for example, RIFA), while environment groups and </w:t>
      </w:r>
      <w:r w:rsidRPr="00457DE1">
        <w:t xml:space="preserve">organisations have </w:t>
      </w:r>
      <w:r w:rsidR="00015C1C">
        <w:t>argued</w:t>
      </w:r>
      <w:r w:rsidR="00015C1C" w:rsidRPr="00457DE1">
        <w:t xml:space="preserve"> </w:t>
      </w:r>
      <w:r w:rsidRPr="00457DE1">
        <w:t>these arrangements</w:t>
      </w:r>
      <w:r>
        <w:t xml:space="preserve"> can skew the focus of the biosecurity system towards the production sector, where the cost</w:t>
      </w:r>
      <w:r w:rsidR="00452F79">
        <w:t>–</w:t>
      </w:r>
      <w:r>
        <w:t>benefit is clearer. Both of these perspectives are valid</w:t>
      </w:r>
      <w:r w:rsidR="006B656F">
        <w:t>—</w:t>
      </w:r>
      <w:r w:rsidR="00015C1C" w:rsidRPr="00015C1C">
        <w:t>expenditur</w:t>
      </w:r>
      <w:r w:rsidR="00C8718C">
        <w:t xml:space="preserve">e on responses over the last </w:t>
      </w:r>
      <w:r w:rsidR="006B656F">
        <w:t>fifteen</w:t>
      </w:r>
      <w:r w:rsidR="00C8718C">
        <w:t> </w:t>
      </w:r>
      <w:r w:rsidR="00015C1C" w:rsidRPr="00015C1C">
        <w:t>years has overwhelmingly been towards</w:t>
      </w:r>
      <w:r w:rsidR="007F107A">
        <w:t xml:space="preserve"> pests with</w:t>
      </w:r>
      <w:r w:rsidR="00015C1C" w:rsidRPr="00015C1C">
        <w:t xml:space="preserve"> environmental and social amenity </w:t>
      </w:r>
      <w:r w:rsidR="007F107A">
        <w:t>impacts</w:t>
      </w:r>
      <w:r w:rsidR="0035251B">
        <w:t>—</w:t>
      </w:r>
      <w:r w:rsidR="00015C1C" w:rsidRPr="00015C1C">
        <w:t xml:space="preserve">but </w:t>
      </w:r>
      <w:r>
        <w:t xml:space="preserve">evidence to date </w:t>
      </w:r>
      <w:r w:rsidR="00015C1C">
        <w:t xml:space="preserve">also </w:t>
      </w:r>
      <w:r>
        <w:t>indicates that environmental biosecurity risks are yet to be fully defined and prioritised, and preparedness, surveillance and response arrangements are not yet mature.</w:t>
      </w:r>
    </w:p>
    <w:p w14:paraId="61D42A31" w14:textId="1124F75A" w:rsidR="0000622D" w:rsidRPr="0000622D" w:rsidRDefault="0000622D" w:rsidP="0000622D">
      <w:r w:rsidRPr="0000622D">
        <w:t>These issues should be addressed through clearer commitments to environmental biosecurity within IGAB2</w:t>
      </w:r>
      <w:r w:rsidR="00731E88">
        <w:t xml:space="preserve"> and its priority reform areas.</w:t>
      </w:r>
    </w:p>
    <w:p w14:paraId="080959BE" w14:textId="77777777" w:rsidR="0000622D" w:rsidRPr="00B45227" w:rsidRDefault="0000622D" w:rsidP="004A0AEF">
      <w:pPr>
        <w:pStyle w:val="BoxHeading"/>
        <w:keepNext/>
        <w:shd w:val="clear" w:color="auto" w:fill="D9D9D9" w:themeFill="background1" w:themeFillShade="D9"/>
        <w:rPr>
          <w:sz w:val="22"/>
        </w:rPr>
      </w:pPr>
      <w:bookmarkStart w:id="82" w:name="_Ref482708972"/>
      <w:r w:rsidRPr="00B45227">
        <w:rPr>
          <w:sz w:val="22"/>
        </w:rPr>
        <w:lastRenderedPageBreak/>
        <w:t xml:space="preserve">Recommendation </w:t>
      </w:r>
      <w:r w:rsidR="00264490" w:rsidRPr="00B45227">
        <w:rPr>
          <w:sz w:val="22"/>
        </w:rPr>
        <w:fldChar w:fldCharType="begin"/>
      </w:r>
      <w:r w:rsidR="00264490" w:rsidRPr="00B45227">
        <w:rPr>
          <w:sz w:val="22"/>
        </w:rPr>
        <w:instrText xml:space="preserve"> SEQ Recommendation \* ARABIC </w:instrText>
      </w:r>
      <w:r w:rsidR="00264490" w:rsidRPr="00B45227">
        <w:rPr>
          <w:sz w:val="22"/>
        </w:rPr>
        <w:fldChar w:fldCharType="separate"/>
      </w:r>
      <w:r w:rsidR="009F6923">
        <w:rPr>
          <w:noProof/>
          <w:sz w:val="22"/>
        </w:rPr>
        <w:t>8</w:t>
      </w:r>
      <w:r w:rsidR="00264490" w:rsidRPr="00B45227">
        <w:rPr>
          <w:noProof/>
          <w:sz w:val="22"/>
        </w:rPr>
        <w:fldChar w:fldCharType="end"/>
      </w:r>
      <w:bookmarkEnd w:id="82"/>
    </w:p>
    <w:p w14:paraId="6DB636E4" w14:textId="4C067071" w:rsidR="0000622D" w:rsidRPr="00B45227" w:rsidRDefault="0000622D" w:rsidP="004A0AEF">
      <w:pPr>
        <w:pStyle w:val="BoxText"/>
        <w:keepNext/>
        <w:shd w:val="clear" w:color="auto" w:fill="D9D9D9" w:themeFill="background1" w:themeFillShade="D9"/>
        <w:rPr>
          <w:sz w:val="22"/>
        </w:rPr>
      </w:pPr>
      <w:r w:rsidRPr="00B45227">
        <w:rPr>
          <w:sz w:val="22"/>
        </w:rPr>
        <w:t>Jurisdictions should make clearer commitments to environmental biosecurity within IGAB2, including in relation to:</w:t>
      </w:r>
    </w:p>
    <w:p w14:paraId="42ACB983" w14:textId="318BD86B" w:rsidR="00FD447A" w:rsidRDefault="007F107A" w:rsidP="004A0AEF">
      <w:pPr>
        <w:pStyle w:val="BoxTextBullet"/>
        <w:keepNext/>
        <w:shd w:val="clear" w:color="auto" w:fill="D9D9D9" w:themeFill="background1" w:themeFillShade="D9"/>
        <w:rPr>
          <w:sz w:val="22"/>
        </w:rPr>
      </w:pPr>
      <w:r>
        <w:rPr>
          <w:sz w:val="22"/>
        </w:rPr>
        <w:t>a</w:t>
      </w:r>
      <w:r w:rsidR="00FD447A">
        <w:rPr>
          <w:sz w:val="22"/>
        </w:rPr>
        <w:t xml:space="preserve"> clear definition of environmental biosecurity such as that proposed by this </w:t>
      </w:r>
      <w:r w:rsidR="004F6BFF">
        <w:rPr>
          <w:sz w:val="22"/>
        </w:rPr>
        <w:t>r</w:t>
      </w:r>
      <w:r w:rsidR="00FD447A">
        <w:rPr>
          <w:sz w:val="22"/>
        </w:rPr>
        <w:t>eview</w:t>
      </w:r>
    </w:p>
    <w:p w14:paraId="0264BB2C" w14:textId="77777777" w:rsidR="0000622D" w:rsidRPr="00B45227" w:rsidRDefault="0000622D" w:rsidP="004A0AEF">
      <w:pPr>
        <w:pStyle w:val="BoxTextBullet"/>
        <w:keepNext/>
        <w:shd w:val="clear" w:color="auto" w:fill="D9D9D9" w:themeFill="background1" w:themeFillShade="D9"/>
        <w:rPr>
          <w:sz w:val="22"/>
        </w:rPr>
      </w:pPr>
      <w:r w:rsidRPr="00B45227">
        <w:rPr>
          <w:sz w:val="22"/>
        </w:rPr>
        <w:t>the principle of ecologically sustainable development</w:t>
      </w:r>
    </w:p>
    <w:p w14:paraId="6D6D41A7" w14:textId="77777777" w:rsidR="0000622D" w:rsidRPr="00B45227" w:rsidRDefault="0000622D" w:rsidP="005B2D95">
      <w:pPr>
        <w:pStyle w:val="BoxTextBullet"/>
        <w:shd w:val="clear" w:color="auto" w:fill="D9D9D9" w:themeFill="background1" w:themeFillShade="D9"/>
        <w:rPr>
          <w:sz w:val="22"/>
        </w:rPr>
      </w:pPr>
      <w:r w:rsidRPr="00B45227">
        <w:rPr>
          <w:sz w:val="22"/>
        </w:rPr>
        <w:t>acknowledgement of Australia’s international responsibilities under the Convention on Biological Diversity</w:t>
      </w:r>
    </w:p>
    <w:p w14:paraId="137C8621" w14:textId="643292CA" w:rsidR="0000622D" w:rsidRPr="00B45227" w:rsidRDefault="0000622D" w:rsidP="005B2D95">
      <w:pPr>
        <w:pStyle w:val="BoxTextBullet"/>
        <w:shd w:val="clear" w:color="auto" w:fill="D9D9D9" w:themeFill="background1" w:themeFillShade="D9"/>
        <w:rPr>
          <w:sz w:val="22"/>
        </w:rPr>
      </w:pPr>
      <w:r w:rsidRPr="00B45227">
        <w:rPr>
          <w:sz w:val="22"/>
        </w:rPr>
        <w:t xml:space="preserve">a program of work to determine, plan and prepare for national priority pests and diseases impacting </w:t>
      </w:r>
      <w:r w:rsidR="000A7B96">
        <w:rPr>
          <w:sz w:val="22"/>
        </w:rPr>
        <w:t xml:space="preserve">on </w:t>
      </w:r>
      <w:r w:rsidRPr="00B45227">
        <w:rPr>
          <w:sz w:val="22"/>
        </w:rPr>
        <w:t>the community, environment and native species</w:t>
      </w:r>
    </w:p>
    <w:p w14:paraId="2B325E1B" w14:textId="77777777" w:rsidR="0000622D" w:rsidRPr="00B45227" w:rsidRDefault="0000622D" w:rsidP="005B2D95">
      <w:pPr>
        <w:pStyle w:val="BoxTextBullet"/>
        <w:shd w:val="clear" w:color="auto" w:fill="D9D9D9" w:themeFill="background1" w:themeFillShade="D9"/>
        <w:rPr>
          <w:sz w:val="22"/>
        </w:rPr>
      </w:pPr>
      <w:r w:rsidRPr="00B45227">
        <w:rPr>
          <w:sz w:val="22"/>
        </w:rPr>
        <w:t>a focus on environment and community as well as industry partnerships</w:t>
      </w:r>
    </w:p>
    <w:p w14:paraId="4650FB8A" w14:textId="1CE345D5" w:rsidR="0000622D" w:rsidRPr="007F107A" w:rsidRDefault="0000622D" w:rsidP="005B2D95">
      <w:pPr>
        <w:pStyle w:val="BoxTextBullet"/>
        <w:shd w:val="clear" w:color="auto" w:fill="D9D9D9" w:themeFill="background1" w:themeFillShade="D9"/>
        <w:rPr>
          <w:sz w:val="22"/>
        </w:rPr>
      </w:pPr>
      <w:r w:rsidRPr="007F107A">
        <w:rPr>
          <w:sz w:val="22"/>
        </w:rPr>
        <w:t>disease transmitted to humans by invertebrates as well as vertebrates.</w:t>
      </w:r>
    </w:p>
    <w:p w14:paraId="14DBA9D5" w14:textId="7DA3DE5E" w:rsidR="0000622D" w:rsidRDefault="0000622D" w:rsidP="0000622D">
      <w:r>
        <w:t xml:space="preserve">The key environmental biosecurity deliverables under IGAB2 should comprise an agreed national list of </w:t>
      </w:r>
      <w:r w:rsidR="005D2378">
        <w:t xml:space="preserve">exotic </w:t>
      </w:r>
      <w:r>
        <w:t>priority pests and diseases likely to impact the environment and the community; and development and implementation of a systematic national approach to preparing for and responding to national priority environmental biosecurity risks (</w:t>
      </w:r>
      <w:hyperlink w:anchor="_Building_the_national" w:history="1">
        <w:r w:rsidRPr="003575C1">
          <w:rPr>
            <w:rStyle w:val="Hyperlink"/>
          </w:rPr>
          <w:t>Chapter 5</w:t>
        </w:r>
      </w:hyperlink>
      <w:r>
        <w:rPr>
          <w:rStyle w:val="Hyperlink"/>
        </w:rPr>
        <w:t>)</w:t>
      </w:r>
      <w:r w:rsidR="005D2378">
        <w:t>—</w:t>
      </w:r>
      <w:r>
        <w:t xml:space="preserve">enabled by establishing supporting NBC governance arrangements </w:t>
      </w:r>
      <w:r w:rsidR="005554F7" w:rsidRPr="005554F7">
        <w:t>and accessing expertise</w:t>
      </w:r>
      <w:r w:rsidR="007F107A">
        <w:t xml:space="preserve"> </w:t>
      </w:r>
      <w:r w:rsidR="005554F7" w:rsidRPr="005554F7">
        <w:t>across environment agencies.</w:t>
      </w:r>
    </w:p>
    <w:p w14:paraId="4A0F2007" w14:textId="634B5C61" w:rsidR="0000622D" w:rsidRDefault="0000622D" w:rsidP="0000622D">
      <w:r>
        <w:t xml:space="preserve">A more strategic and transparent approach to addressing national environmental biosecurity risks is unlikely to occur without dedicated senior leadership, resources and technical expertise. The </w:t>
      </w:r>
      <w:r w:rsidR="000A7B96">
        <w:t>p</w:t>
      </w:r>
      <w:r>
        <w:t xml:space="preserve">anel therefore recommends </w:t>
      </w:r>
      <w:r w:rsidR="000A7B96">
        <w:t xml:space="preserve">that </w:t>
      </w:r>
      <w:r>
        <w:t xml:space="preserve">the Australian Government establish the senior expert position of </w:t>
      </w:r>
      <w:r w:rsidRPr="00674F23">
        <w:t xml:space="preserve">Chief </w:t>
      </w:r>
      <w:r>
        <w:t xml:space="preserve">Community and </w:t>
      </w:r>
      <w:r w:rsidRPr="00674F23">
        <w:t>Environmental Biosecurity Officer</w:t>
      </w:r>
      <w:r w:rsidR="000A7B96">
        <w:t xml:space="preserve"> (CCEBO)</w:t>
      </w:r>
      <w:r>
        <w:t xml:space="preserve">, within the environment department, to perform a national policy leadership role similar to the Chief Veterinary Officer and Chief Plant Protection Officer in the national biosecurity system. The addition of the word </w:t>
      </w:r>
      <w:r w:rsidR="00AA193A">
        <w:t>‘</w:t>
      </w:r>
      <w:r>
        <w:t>community</w:t>
      </w:r>
      <w:r w:rsidR="00AA193A">
        <w:t>’</w:t>
      </w:r>
      <w:r>
        <w:t xml:space="preserve"> to the title is to convey that the responsibilities of this position relate to Australia’s citizens as well as the natural environment, for example, the impact of </w:t>
      </w:r>
      <w:r w:rsidR="00E3218C">
        <w:t>RIFA</w:t>
      </w:r>
      <w:r>
        <w:t>.</w:t>
      </w:r>
      <w:r w:rsidR="005554F7">
        <w:t xml:space="preserve"> </w:t>
      </w:r>
      <w:r w:rsidR="005554F7" w:rsidRPr="005554F7">
        <w:t>It is not intended to change or impact on human health arrangements in the</w:t>
      </w:r>
      <w:r w:rsidR="007F107A">
        <w:t xml:space="preserve"> health d</w:t>
      </w:r>
      <w:r w:rsidR="005554F7" w:rsidRPr="005554F7">
        <w:t xml:space="preserve">epartment or between the </w:t>
      </w:r>
      <w:r w:rsidR="007F107A">
        <w:t>d</w:t>
      </w:r>
      <w:r w:rsidR="005554F7" w:rsidRPr="005554F7">
        <w:t xml:space="preserve">epartments of </w:t>
      </w:r>
      <w:r w:rsidR="007F107A">
        <w:t>a</w:t>
      </w:r>
      <w:r w:rsidR="005554F7" w:rsidRPr="005554F7">
        <w:t xml:space="preserve">griculture and </w:t>
      </w:r>
      <w:r w:rsidR="007F107A">
        <w:t>h</w:t>
      </w:r>
      <w:r w:rsidR="005554F7" w:rsidRPr="005554F7">
        <w:t>ealth.</w:t>
      </w:r>
    </w:p>
    <w:p w14:paraId="406BB83C" w14:textId="61EFEFAA" w:rsidR="00444E96" w:rsidRDefault="0000622D" w:rsidP="0000622D">
      <w:r w:rsidRPr="0000622D">
        <w:t xml:space="preserve">The </w:t>
      </w:r>
      <w:r w:rsidR="00003191">
        <w:t>CCEBO</w:t>
      </w:r>
      <w:r w:rsidRPr="0000622D">
        <w:t xml:space="preserve"> would establish and chair a new Community and Environmental Biosecurity Committee (CEBC) to progress work on national priority pests and diseases (</w:t>
      </w:r>
      <w:r w:rsidR="005D2378" w:rsidRPr="00444E96">
        <w:fldChar w:fldCharType="begin"/>
      </w:r>
      <w:r w:rsidR="005D2378" w:rsidRPr="00444E96">
        <w:instrText xml:space="preserve"> REF _Ref482102448 \h </w:instrText>
      </w:r>
      <w:r w:rsidR="00444E96">
        <w:instrText xml:space="preserve"> \* MERGEFORMAT </w:instrText>
      </w:r>
      <w:r w:rsidR="005D2378" w:rsidRPr="00444E96">
        <w:fldChar w:fldCharType="separate"/>
      </w:r>
      <w:r w:rsidR="009F6923" w:rsidRPr="009F6923">
        <w:t>Box 7</w:t>
      </w:r>
      <w:r w:rsidR="005D2378" w:rsidRPr="00444E96">
        <w:fldChar w:fldCharType="end"/>
      </w:r>
      <w:r w:rsidRPr="00444E96">
        <w:t>)</w:t>
      </w:r>
      <w:r w:rsidRPr="0000622D">
        <w:t xml:space="preserve">. Membership of this committee would comprise government and external </w:t>
      </w:r>
      <w:r w:rsidR="002D3D52">
        <w:t xml:space="preserve">community </w:t>
      </w:r>
      <w:r w:rsidR="002D3D52">
        <w:lastRenderedPageBreak/>
        <w:t xml:space="preserve">and </w:t>
      </w:r>
      <w:r w:rsidRPr="0000622D">
        <w:t>environment</w:t>
      </w:r>
      <w:r w:rsidR="002D3D52">
        <w:t>al</w:t>
      </w:r>
      <w:r w:rsidRPr="0000622D">
        <w:t xml:space="preserve"> biosecurity experts </w:t>
      </w:r>
      <w:r w:rsidR="00444E96">
        <w:t>(n</w:t>
      </w:r>
      <w:r w:rsidRPr="0000622D">
        <w:t>ot representatives from environmental lobbying organisations</w:t>
      </w:r>
      <w:r w:rsidR="00444E96">
        <w:t>)</w:t>
      </w:r>
      <w:r w:rsidRPr="0000622D">
        <w:t xml:space="preserve"> and include appropriate </w:t>
      </w:r>
      <w:r w:rsidR="00444E96">
        <w:t>expertise</w:t>
      </w:r>
      <w:r w:rsidRPr="0000622D">
        <w:t xml:space="preserve"> from both the animal and plant sectoral committees of the NBC. </w:t>
      </w:r>
      <w:r w:rsidR="00A669BD">
        <w:t>T</w:t>
      </w:r>
      <w:r w:rsidR="00A669BD" w:rsidRPr="00A669BD">
        <w:t xml:space="preserve">he </w:t>
      </w:r>
      <w:r w:rsidR="00003191">
        <w:t>p</w:t>
      </w:r>
      <w:r w:rsidR="00A669BD" w:rsidRPr="00A669BD">
        <w:t xml:space="preserve">anel has proposed a new </w:t>
      </w:r>
      <w:r w:rsidR="00A669BD">
        <w:t xml:space="preserve">industry and community committee, on which </w:t>
      </w:r>
      <w:r w:rsidR="002D3D52">
        <w:t>e</w:t>
      </w:r>
      <w:r w:rsidR="00444E96">
        <w:t xml:space="preserve">nvironmental </w:t>
      </w:r>
      <w:r w:rsidR="00003191">
        <w:t>non-government organisations (</w:t>
      </w:r>
      <w:r w:rsidR="00444E96">
        <w:t>NGOs</w:t>
      </w:r>
      <w:r w:rsidR="00003191">
        <w:t>)</w:t>
      </w:r>
      <w:r w:rsidR="00444E96">
        <w:t xml:space="preserve"> </w:t>
      </w:r>
      <w:r w:rsidR="00A669BD">
        <w:t xml:space="preserve">would </w:t>
      </w:r>
      <w:r w:rsidR="00444E96">
        <w:t>have the opportunity to represent their interests</w:t>
      </w:r>
      <w:r w:rsidR="00A669BD" w:rsidRPr="00A669BD">
        <w:t xml:space="preserve"> </w:t>
      </w:r>
      <w:r w:rsidR="00A669BD">
        <w:t>(</w:t>
      </w:r>
      <w:hyperlink w:anchor="_Strengthening_Governance" w:history="1">
        <w:r w:rsidR="00A669BD" w:rsidRPr="00DE6C31">
          <w:rPr>
            <w:rStyle w:val="Hyperlink"/>
          </w:rPr>
          <w:t>Chapter 7</w:t>
        </w:r>
      </w:hyperlink>
      <w:r w:rsidR="00A669BD">
        <w:t>)</w:t>
      </w:r>
      <w:r w:rsidR="00731E88">
        <w:t>.</w:t>
      </w:r>
    </w:p>
    <w:p w14:paraId="455C1788" w14:textId="77777777" w:rsidR="00AC6788" w:rsidRPr="00985E53" w:rsidRDefault="00AC6788" w:rsidP="00AC6788">
      <w:pPr>
        <w:pStyle w:val="BoxHeading"/>
        <w:keepNext/>
        <w:keepLines/>
      </w:pPr>
      <w:bookmarkStart w:id="83" w:name="_Ref482102448"/>
      <w:r w:rsidRPr="00985E53">
        <w:rPr>
          <w:bCs/>
        </w:rPr>
        <w:t xml:space="preserve">Box </w:t>
      </w:r>
      <w:r w:rsidRPr="00985E53">
        <w:rPr>
          <w:bCs/>
        </w:rPr>
        <w:fldChar w:fldCharType="begin"/>
      </w:r>
      <w:r w:rsidRPr="00985E53">
        <w:rPr>
          <w:bCs/>
        </w:rPr>
        <w:instrText xml:space="preserve"> SEQ Box \* ARABIC </w:instrText>
      </w:r>
      <w:r w:rsidRPr="00985E53">
        <w:rPr>
          <w:bCs/>
        </w:rPr>
        <w:fldChar w:fldCharType="separate"/>
      </w:r>
      <w:r>
        <w:rPr>
          <w:bCs/>
          <w:noProof/>
        </w:rPr>
        <w:t>7</w:t>
      </w:r>
      <w:r w:rsidRPr="00985E53">
        <w:fldChar w:fldCharType="end"/>
      </w:r>
      <w:bookmarkEnd w:id="83"/>
      <w:r w:rsidRPr="00985E53">
        <w:t xml:space="preserve"> A new Chief </w:t>
      </w:r>
      <w:r w:rsidRPr="00104222">
        <w:t>Community</w:t>
      </w:r>
      <w:r w:rsidRPr="00985E53">
        <w:t xml:space="preserve"> and Environmental Biosecurity Officer</w:t>
      </w:r>
    </w:p>
    <w:p w14:paraId="78FFA47A" w14:textId="77777777" w:rsidR="00AC6788" w:rsidRPr="002862E6" w:rsidRDefault="00AC6788" w:rsidP="00AC6788">
      <w:pPr>
        <w:pStyle w:val="BoxText"/>
        <w:keepNext/>
        <w:keepLines/>
        <w:rPr>
          <w:b/>
        </w:rPr>
      </w:pPr>
      <w:r w:rsidRPr="002862E6">
        <w:rPr>
          <w:b/>
        </w:rPr>
        <w:t>Establishment</w:t>
      </w:r>
    </w:p>
    <w:p w14:paraId="0255E7FE" w14:textId="77777777" w:rsidR="00AC6788" w:rsidRPr="00104222" w:rsidRDefault="00AC6788" w:rsidP="00AC6788">
      <w:pPr>
        <w:pStyle w:val="BoxText"/>
        <w:keepNext/>
        <w:keepLines/>
      </w:pPr>
      <w:r w:rsidRPr="00985E53">
        <w:t xml:space="preserve">The Chief Community and Environmental Biosecurity Officer (CCEBO) should be a senior, expert scientific </w:t>
      </w:r>
      <w:r w:rsidRPr="00104222">
        <w:t>position located within the Australian Government environment department. The CCEBO should be appointed by the Environment Secretary following consultation with the Director of Biosecurity (Agriculture Secretary).</w:t>
      </w:r>
    </w:p>
    <w:p w14:paraId="34B19E91" w14:textId="77777777" w:rsidR="00AC6788" w:rsidRPr="002862E6" w:rsidRDefault="00AC6788" w:rsidP="00AC6788">
      <w:pPr>
        <w:pStyle w:val="BoxText"/>
        <w:keepNext/>
        <w:keepLines/>
        <w:rPr>
          <w:b/>
        </w:rPr>
      </w:pPr>
      <w:r w:rsidRPr="002862E6">
        <w:rPr>
          <w:b/>
        </w:rPr>
        <w:t>Role</w:t>
      </w:r>
    </w:p>
    <w:p w14:paraId="1D1CE95C" w14:textId="77777777" w:rsidR="00AC6788" w:rsidRPr="00104222" w:rsidRDefault="00AC6788" w:rsidP="00AC6788">
      <w:pPr>
        <w:pStyle w:val="BoxText"/>
        <w:keepNext/>
        <w:keepLines/>
      </w:pPr>
      <w:r w:rsidRPr="00104222">
        <w:t xml:space="preserve">Under the direction of NBC, develop and implement a more strategic and transparent approach to national environmental biosecurity investments and </w:t>
      </w:r>
      <w:r w:rsidRPr="00F23678">
        <w:t>efforts</w:t>
      </w:r>
      <w:r w:rsidRPr="00104222">
        <w:t>.</w:t>
      </w:r>
    </w:p>
    <w:p w14:paraId="7931403E" w14:textId="77777777" w:rsidR="00AC6788" w:rsidRPr="002D7FC5" w:rsidRDefault="00AC6788" w:rsidP="00AC6788">
      <w:pPr>
        <w:pStyle w:val="BoxText"/>
        <w:keepNext/>
        <w:keepLines/>
      </w:pPr>
      <w:r w:rsidRPr="002862E6">
        <w:rPr>
          <w:b/>
        </w:rPr>
        <w:t>Responsibilities</w:t>
      </w:r>
    </w:p>
    <w:p w14:paraId="717A71D9" w14:textId="77777777" w:rsidR="00AC6788" w:rsidRPr="00985E53" w:rsidRDefault="00AC6788" w:rsidP="00AC6788">
      <w:pPr>
        <w:pStyle w:val="BoxTextBullet"/>
        <w:keepNext/>
        <w:keepLines/>
      </w:pPr>
      <w:r w:rsidRPr="00985E53">
        <w:t xml:space="preserve">Lead work to prioritise and plan for national biosecurity risks impacting </w:t>
      </w:r>
      <w:r>
        <w:t xml:space="preserve">on </w:t>
      </w:r>
      <w:r w:rsidRPr="00985E53">
        <w:t>the environment (terrestrial, aquatic</w:t>
      </w:r>
      <w:r>
        <w:t xml:space="preserve"> and</w:t>
      </w:r>
      <w:r w:rsidRPr="00985E53">
        <w:t xml:space="preserve"> aerial) and social amenity (</w:t>
      </w:r>
      <w:hyperlink w:anchor="_Building_the_national" w:history="1">
        <w:r w:rsidRPr="00985E53">
          <w:rPr>
            <w:color w:val="165788"/>
            <w:u w:val="single"/>
          </w:rPr>
          <w:t>Chapter 5</w:t>
        </w:r>
      </w:hyperlink>
      <w:r>
        <w:t>).</w:t>
      </w:r>
    </w:p>
    <w:p w14:paraId="016E7E42" w14:textId="77777777" w:rsidR="00AC6788" w:rsidRPr="00985E53" w:rsidRDefault="00AC6788" w:rsidP="00AC6788">
      <w:pPr>
        <w:pStyle w:val="BoxTextBullet"/>
        <w:keepNext/>
        <w:keepLines/>
      </w:pPr>
      <w:r w:rsidRPr="00985E53">
        <w:t xml:space="preserve">Establish and </w:t>
      </w:r>
      <w:r>
        <w:t>c</w:t>
      </w:r>
      <w:r w:rsidRPr="00985E53">
        <w:t xml:space="preserve">hair a new Community and Environmental Biosecurity Committee </w:t>
      </w:r>
      <w:r>
        <w:t>under the NBC.</w:t>
      </w:r>
    </w:p>
    <w:p w14:paraId="06EE572A" w14:textId="77777777" w:rsidR="00AC6788" w:rsidRPr="00985E53" w:rsidRDefault="00AC6788" w:rsidP="00AC6788">
      <w:pPr>
        <w:pStyle w:val="BoxTextBullet"/>
        <w:keepNext/>
        <w:keepLines/>
      </w:pPr>
      <w:r w:rsidRPr="00985E53">
        <w:t>Contribute to the work of the A</w:t>
      </w:r>
      <w:r>
        <w:t xml:space="preserve">nimal </w:t>
      </w:r>
      <w:r w:rsidRPr="00985E53">
        <w:t>H</w:t>
      </w:r>
      <w:r>
        <w:t xml:space="preserve">ealth </w:t>
      </w:r>
      <w:r w:rsidRPr="00985E53">
        <w:t>C</w:t>
      </w:r>
      <w:r>
        <w:t>ommittee</w:t>
      </w:r>
      <w:r w:rsidRPr="00985E53">
        <w:t xml:space="preserve"> and P</w:t>
      </w:r>
      <w:r>
        <w:t xml:space="preserve">lant </w:t>
      </w:r>
      <w:r w:rsidRPr="00985E53">
        <w:t>H</w:t>
      </w:r>
      <w:r>
        <w:t xml:space="preserve">ealth </w:t>
      </w:r>
      <w:r w:rsidRPr="00985E53">
        <w:t>C</w:t>
      </w:r>
      <w:r>
        <w:t>ommittee</w:t>
      </w:r>
      <w:r w:rsidRPr="00985E53">
        <w:t>, as appropriate</w:t>
      </w:r>
      <w:r>
        <w:t>.</w:t>
      </w:r>
    </w:p>
    <w:p w14:paraId="009287AE" w14:textId="77777777" w:rsidR="00AC6788" w:rsidRPr="00985E53" w:rsidRDefault="00AC6788" w:rsidP="00AC6788">
      <w:pPr>
        <w:pStyle w:val="BoxTextBullet"/>
        <w:keepNext/>
        <w:keepLines/>
      </w:pPr>
      <w:r w:rsidRPr="00985E53">
        <w:t>Lead consultation with environmental and other biosecurity stakeholders, including through an annual E</w:t>
      </w:r>
      <w:r>
        <w:t>nvironmental Biosecurity Forum.</w:t>
      </w:r>
    </w:p>
    <w:p w14:paraId="106BDDA4" w14:textId="77777777" w:rsidR="00AC6788" w:rsidRPr="00985E53" w:rsidRDefault="00AC6788" w:rsidP="00AC6788">
      <w:pPr>
        <w:pStyle w:val="BoxTextBullet"/>
        <w:keepNext/>
        <w:keepLines/>
      </w:pPr>
      <w:r w:rsidRPr="00985E53">
        <w:t>Report on progress of the above at meetings of the NBC.</w:t>
      </w:r>
    </w:p>
    <w:p w14:paraId="4EE20E75" w14:textId="0248CC7B" w:rsidR="0000622D" w:rsidRPr="0000622D" w:rsidRDefault="0000622D" w:rsidP="0000622D">
      <w:r w:rsidRPr="0000622D">
        <w:t>Once</w:t>
      </w:r>
      <w:r w:rsidR="00444E96">
        <w:t xml:space="preserve"> the CEBC’s</w:t>
      </w:r>
      <w:r w:rsidRPr="0000622D">
        <w:t xml:space="preserve"> work on national priority pests and diseases is completed, the future role of the </w:t>
      </w:r>
      <w:r w:rsidR="00003191">
        <w:t>c</w:t>
      </w:r>
      <w:r w:rsidRPr="0000622D">
        <w:t xml:space="preserve">ommittee could then be reviewed. Replicating the </w:t>
      </w:r>
      <w:r w:rsidR="000A7B96">
        <w:t>CCEBO</w:t>
      </w:r>
      <w:r w:rsidRPr="0000622D">
        <w:t xml:space="preserve"> at the state/territory level is not regarded as necessary under these new arrangements.</w:t>
      </w:r>
    </w:p>
    <w:p w14:paraId="31AD6FB4" w14:textId="542C65CE" w:rsidR="0000622D" w:rsidRPr="0000622D" w:rsidRDefault="0000622D" w:rsidP="0000622D">
      <w:r w:rsidRPr="0000622D">
        <w:t xml:space="preserve">The establishment of new arrangements for environmental biosecurity under the NBC structure has been a </w:t>
      </w:r>
      <w:r w:rsidR="00E3218C">
        <w:t>high</w:t>
      </w:r>
      <w:r w:rsidR="00FF623E">
        <w:t>ly</w:t>
      </w:r>
      <w:r w:rsidR="00E3218C" w:rsidRPr="0000622D">
        <w:t xml:space="preserve"> </w:t>
      </w:r>
      <w:r w:rsidRPr="0000622D">
        <w:t>debated</w:t>
      </w:r>
      <w:r w:rsidR="00E3218C">
        <w:t xml:space="preserve"> and contentious</w:t>
      </w:r>
      <w:r w:rsidRPr="0000622D">
        <w:t xml:space="preserve"> area throughout the </w:t>
      </w:r>
      <w:r w:rsidR="00003191">
        <w:t>r</w:t>
      </w:r>
      <w:r w:rsidRPr="0000622D">
        <w:t xml:space="preserve">eview consultation process. However, the </w:t>
      </w:r>
      <w:r w:rsidR="00003191">
        <w:t>p</w:t>
      </w:r>
      <w:r w:rsidRPr="0000622D">
        <w:t>anel considers the recommended arrangements</w:t>
      </w:r>
      <w:r w:rsidR="00E3218C">
        <w:t xml:space="preserve"> are</w:t>
      </w:r>
      <w:r w:rsidRPr="0000622D">
        <w:t xml:space="preserve"> workable</w:t>
      </w:r>
      <w:r w:rsidR="00E3218C">
        <w:t>,</w:t>
      </w:r>
      <w:r w:rsidRPr="0000622D">
        <w:t xml:space="preserve"> and </w:t>
      </w:r>
      <w:r w:rsidR="00E3218C">
        <w:t xml:space="preserve">are </w:t>
      </w:r>
      <w:r w:rsidRPr="0000622D">
        <w:t xml:space="preserve">necessary given the current and </w:t>
      </w:r>
      <w:r w:rsidR="00731E88">
        <w:t>forecast operating environment.</w:t>
      </w:r>
    </w:p>
    <w:p w14:paraId="65A326D4" w14:textId="05579A8D" w:rsidR="0000622D" w:rsidRPr="0000622D" w:rsidRDefault="0000622D" w:rsidP="0000622D">
      <w:r w:rsidRPr="0000622D">
        <w:t xml:space="preserve">While the </w:t>
      </w:r>
      <w:r w:rsidR="003C2A51">
        <w:t xml:space="preserve">Australian Government </w:t>
      </w:r>
      <w:r w:rsidRPr="0000622D">
        <w:t xml:space="preserve">agriculture department manages biosecurity risks arising through the movement of people, goods and conveyances, it needs the expertise </w:t>
      </w:r>
      <w:r w:rsidRPr="0000622D">
        <w:lastRenderedPageBreak/>
        <w:t xml:space="preserve">of the environment department in environmental risk identification and management, including for the environmental outcomes of ‘natural pathway’ environmental pest introductions (for example, things that ‘blow in’). The </w:t>
      </w:r>
      <w:r w:rsidR="00575D71">
        <w:t>p</w:t>
      </w:r>
      <w:r w:rsidRPr="0000622D">
        <w:t xml:space="preserve">anel acknowledges </w:t>
      </w:r>
      <w:r w:rsidR="00575D71">
        <w:t xml:space="preserve">that </w:t>
      </w:r>
      <w:r w:rsidRPr="0000622D">
        <w:t>the environment department has significant resourcing pressures and will not be ‘expert’ in many areas, but it does have ‘expertise’ in many areas</w:t>
      </w:r>
      <w:r w:rsidR="00575D71">
        <w:t>. It</w:t>
      </w:r>
      <w:r w:rsidRPr="0000622D">
        <w:t xml:space="preserve"> has well-developed networks of ‘experts’ and </w:t>
      </w:r>
      <w:r w:rsidR="005554F7">
        <w:t xml:space="preserve">is </w:t>
      </w:r>
      <w:r w:rsidRPr="0000622D">
        <w:t>more able than</w:t>
      </w:r>
      <w:r w:rsidR="005E5747">
        <w:t xml:space="preserve"> the </w:t>
      </w:r>
      <w:r w:rsidRPr="0000622D">
        <w:t>agriculture</w:t>
      </w:r>
      <w:r w:rsidR="005E5747">
        <w:t xml:space="preserve"> department</w:t>
      </w:r>
      <w:r w:rsidRPr="0000622D">
        <w:t xml:space="preserve"> to identify and marshal these when needed. Additionally, </w:t>
      </w:r>
      <w:r w:rsidR="00575D71">
        <w:t xml:space="preserve">it may be necessary to involve </w:t>
      </w:r>
      <w:r w:rsidRPr="0000622D">
        <w:t>external experts to cover areas of impact on social amenity.</w:t>
      </w:r>
    </w:p>
    <w:p w14:paraId="611EB53E" w14:textId="2E3030F0" w:rsidR="0000622D" w:rsidRPr="0000622D" w:rsidRDefault="0000622D" w:rsidP="0000622D">
      <w:r w:rsidRPr="0000622D">
        <w:t>Further, while the Commonwealth’s</w:t>
      </w:r>
      <w:r w:rsidR="002D3D52">
        <w:t xml:space="preserve"> current</w:t>
      </w:r>
      <w:r w:rsidRPr="0000622D">
        <w:t xml:space="preserve"> Administrative Arrangements Orders (AAOs) assign general responsibility for animal and plant biosecurity to the </w:t>
      </w:r>
      <w:r w:rsidR="00D86B5C">
        <w:t>Department of Agriculture and Water Resources</w:t>
      </w:r>
      <w:r w:rsidRPr="0000622D">
        <w:t xml:space="preserve">, the AAO’s would not capture the </w:t>
      </w:r>
      <w:r w:rsidR="00D86B5C">
        <w:t>Department of the E</w:t>
      </w:r>
      <w:r w:rsidRPr="0000622D">
        <w:t xml:space="preserve">nvironment </w:t>
      </w:r>
      <w:r w:rsidR="00D86B5C">
        <w:t>and Energy’s</w:t>
      </w:r>
      <w:r w:rsidRPr="0000622D">
        <w:t xml:space="preserve"> international or statutory responsibilities relevant to biosecurity (</w:t>
      </w:r>
      <w:hyperlink w:anchor="_Governing_for_environmental" w:history="1">
        <w:r w:rsidRPr="00223E7E">
          <w:rPr>
            <w:rStyle w:val="Hyperlink"/>
          </w:rPr>
          <w:t>section 4.3</w:t>
        </w:r>
      </w:hyperlink>
      <w:r w:rsidRPr="0000622D">
        <w:t xml:space="preserve"> above). In the </w:t>
      </w:r>
      <w:r w:rsidR="00D86B5C">
        <w:t>p</w:t>
      </w:r>
      <w:r w:rsidRPr="0000622D">
        <w:t xml:space="preserve">anel’s view, the environment department should not ‘outsource’ key environmental biosecurity activities to </w:t>
      </w:r>
      <w:r w:rsidR="00D86B5C">
        <w:t xml:space="preserve">the </w:t>
      </w:r>
      <w:r w:rsidRPr="0000622D">
        <w:t>agriculture</w:t>
      </w:r>
      <w:r w:rsidR="00D86B5C">
        <w:t xml:space="preserve"> department</w:t>
      </w:r>
      <w:r w:rsidRPr="0000622D">
        <w:t xml:space="preserve">. The </w:t>
      </w:r>
      <w:r w:rsidR="00D86B5C">
        <w:t>p</w:t>
      </w:r>
      <w:r w:rsidRPr="0000622D">
        <w:t>anel notes that building support for ‘shared responsibility’ among environment stakeholders will require environment departments to also be exemplars of this principle. Accordingly, a far less</w:t>
      </w:r>
      <w:r w:rsidR="00D86B5C">
        <w:t xml:space="preserve"> </w:t>
      </w:r>
      <w:r w:rsidRPr="0000622D">
        <w:t xml:space="preserve">preferred alternative is for the </w:t>
      </w:r>
      <w:r w:rsidR="00D86B5C">
        <w:t>CCEBO</w:t>
      </w:r>
      <w:r w:rsidRPr="0000622D">
        <w:t xml:space="preserve"> to be located within the agriculture department, but the potential risk in doing this is that the environment </w:t>
      </w:r>
      <w:r w:rsidR="00D86B5C">
        <w:t>department</w:t>
      </w:r>
      <w:r w:rsidR="00D86B5C" w:rsidRPr="0000622D">
        <w:t xml:space="preserve"> </w:t>
      </w:r>
      <w:r w:rsidRPr="0000622D">
        <w:t xml:space="preserve">may retreat even further from its responsibilities </w:t>
      </w:r>
      <w:r w:rsidR="005554F7">
        <w:t xml:space="preserve">for </w:t>
      </w:r>
      <w:r w:rsidRPr="0000622D">
        <w:t>protecting the environment from exotic pest and disease incursions. As the Invasive Species Council observes</w:t>
      </w:r>
      <w:r w:rsidR="00835B66">
        <w:t>:</w:t>
      </w:r>
    </w:p>
    <w:p w14:paraId="721BECB4" w14:textId="3B86B9D2" w:rsidR="0000622D" w:rsidRPr="0000622D" w:rsidRDefault="0000622D" w:rsidP="0000622D">
      <w:pPr>
        <w:pStyle w:val="Quote"/>
      </w:pPr>
      <w:r w:rsidRPr="0000622D">
        <w:t>The Chief Medical Officer is housed in the Health Department while the agriculture department has biosecurity lead responsibilities (sub. DR95)</w:t>
      </w:r>
    </w:p>
    <w:p w14:paraId="3454A5C9" w14:textId="49B7A5F8" w:rsidR="0000622D" w:rsidRPr="0000622D" w:rsidRDefault="0000622D" w:rsidP="0000622D">
      <w:r w:rsidRPr="0000622D">
        <w:t xml:space="preserve">In a positive move since the release of the </w:t>
      </w:r>
      <w:r w:rsidR="00481D56">
        <w:t xml:space="preserve">IGAB </w:t>
      </w:r>
      <w:r w:rsidR="00D86B5C">
        <w:t>r</w:t>
      </w:r>
      <w:r w:rsidR="00481D56">
        <w:t xml:space="preserve">eview </w:t>
      </w:r>
      <w:r w:rsidR="00D86B5C">
        <w:t>d</w:t>
      </w:r>
      <w:r w:rsidRPr="0000622D">
        <w:t>raft</w:t>
      </w:r>
      <w:r w:rsidR="00481D56">
        <w:t xml:space="preserve"> </w:t>
      </w:r>
      <w:r w:rsidR="00D86B5C">
        <w:t>r</w:t>
      </w:r>
      <w:r w:rsidRPr="0000622D">
        <w:t xml:space="preserve">eport, the </w:t>
      </w:r>
      <w:r w:rsidR="003C2A51">
        <w:t xml:space="preserve">Australian Government </w:t>
      </w:r>
      <w:r w:rsidR="00C0384A">
        <w:t>agriculture department</w:t>
      </w:r>
      <w:r w:rsidRPr="0000622D">
        <w:t xml:space="preserve"> has initiated work on a stocktake of environmental biosecurity activities and </w:t>
      </w:r>
      <w:r w:rsidR="00835B66">
        <w:t xml:space="preserve">has </w:t>
      </w:r>
      <w:r w:rsidRPr="0000622D">
        <w:t>established an Environmental Biosecurity Forum. However, this is work that would be best carried forward by the</w:t>
      </w:r>
      <w:r w:rsidR="00835B66">
        <w:t xml:space="preserve"> Australian Government’s</w:t>
      </w:r>
      <w:r w:rsidRPr="0000622D">
        <w:t xml:space="preserve"> environment department’s </w:t>
      </w:r>
      <w:r w:rsidR="00074C3B">
        <w:t>CCEBO</w:t>
      </w:r>
      <w:r w:rsidR="00835B66">
        <w:t xml:space="preserve"> (Recommendation </w:t>
      </w:r>
      <w:r w:rsidR="002B13EF">
        <w:t>9</w:t>
      </w:r>
      <w:r w:rsidR="00835B66">
        <w:t>)</w:t>
      </w:r>
      <w:r w:rsidRPr="0000622D">
        <w:t>. In the longer term,</w:t>
      </w:r>
      <w:r w:rsidR="002B13EF">
        <w:t xml:space="preserve"> the</w:t>
      </w:r>
      <w:r w:rsidRPr="0000622D">
        <w:t xml:space="preserve"> </w:t>
      </w:r>
      <w:r w:rsidR="005554F7">
        <w:t xml:space="preserve">government </w:t>
      </w:r>
      <w:r w:rsidRPr="0000622D">
        <w:t>should consider</w:t>
      </w:r>
      <w:r w:rsidR="005554F7">
        <w:t>,</w:t>
      </w:r>
      <w:r w:rsidR="005554F7" w:rsidRPr="005554F7">
        <w:t xml:space="preserve"> perhaps through a future IGAB review, whether the environment department should</w:t>
      </w:r>
      <w:r w:rsidRPr="0000622D">
        <w:t xml:space="preserve"> </w:t>
      </w:r>
      <w:r w:rsidR="00835B66">
        <w:t>be</w:t>
      </w:r>
      <w:r w:rsidR="00835B66" w:rsidRPr="0000622D">
        <w:t xml:space="preserve"> </w:t>
      </w:r>
      <w:r w:rsidRPr="0000622D">
        <w:t>the NEBRA custodian.</w:t>
      </w:r>
    </w:p>
    <w:p w14:paraId="71281352" w14:textId="77777777" w:rsidR="0000622D" w:rsidRPr="00B45227" w:rsidRDefault="0000622D" w:rsidP="0000622D">
      <w:pPr>
        <w:pStyle w:val="BoxHeading"/>
        <w:shd w:val="clear" w:color="auto" w:fill="D9D9D9" w:themeFill="background1" w:themeFillShade="D9"/>
        <w:rPr>
          <w:bCs/>
          <w:sz w:val="22"/>
        </w:rPr>
      </w:pPr>
      <w:bookmarkStart w:id="84" w:name="_Ref482709810"/>
      <w:bookmarkStart w:id="85" w:name="_Toc467231862"/>
      <w:r w:rsidRPr="00B45227">
        <w:rPr>
          <w:bCs/>
          <w:sz w:val="22"/>
        </w:rPr>
        <w:t xml:space="preserve">Recommendation </w:t>
      </w:r>
      <w:r w:rsidRPr="00B45227">
        <w:rPr>
          <w:bCs/>
          <w:sz w:val="22"/>
        </w:rPr>
        <w:fldChar w:fldCharType="begin"/>
      </w:r>
      <w:r w:rsidRPr="00B45227">
        <w:rPr>
          <w:bCs/>
          <w:sz w:val="22"/>
        </w:rPr>
        <w:instrText xml:space="preserve"> SEQ Recommendation \* ARABIC </w:instrText>
      </w:r>
      <w:r w:rsidRPr="00B45227">
        <w:rPr>
          <w:bCs/>
          <w:sz w:val="22"/>
        </w:rPr>
        <w:fldChar w:fldCharType="separate"/>
      </w:r>
      <w:r w:rsidR="009F6923">
        <w:rPr>
          <w:bCs/>
          <w:noProof/>
          <w:sz w:val="22"/>
        </w:rPr>
        <w:t>9</w:t>
      </w:r>
      <w:r w:rsidRPr="00B45227">
        <w:rPr>
          <w:sz w:val="22"/>
        </w:rPr>
        <w:fldChar w:fldCharType="end"/>
      </w:r>
      <w:bookmarkEnd w:id="84"/>
    </w:p>
    <w:p w14:paraId="2D4852EE" w14:textId="52E7204F" w:rsidR="00B45227" w:rsidRDefault="0000622D" w:rsidP="00B45227">
      <w:pPr>
        <w:pStyle w:val="BoxText"/>
        <w:shd w:val="clear" w:color="auto" w:fill="D9D9D9" w:themeFill="background1" w:themeFillShade="D9"/>
        <w:rPr>
          <w:sz w:val="22"/>
        </w:rPr>
      </w:pPr>
      <w:r w:rsidRPr="00B45227">
        <w:rPr>
          <w:sz w:val="22"/>
        </w:rPr>
        <w:t>The Australian Government should establish the senior, expert position of</w:t>
      </w:r>
      <w:r w:rsidRPr="00B45227">
        <w:rPr>
          <w:i/>
          <w:sz w:val="22"/>
        </w:rPr>
        <w:t xml:space="preserve"> </w:t>
      </w:r>
      <w:r w:rsidRPr="00B45227">
        <w:rPr>
          <w:sz w:val="22"/>
        </w:rPr>
        <w:t>Chief Community and Environmental Biosecurity Officer within the environment department. A far less</w:t>
      </w:r>
      <w:r w:rsidR="007A47B2">
        <w:rPr>
          <w:sz w:val="22"/>
        </w:rPr>
        <w:t xml:space="preserve"> </w:t>
      </w:r>
      <w:r w:rsidRPr="00B45227">
        <w:rPr>
          <w:sz w:val="22"/>
        </w:rPr>
        <w:t>preferred alternative is to house the position in the agriculture department.</w:t>
      </w:r>
      <w:bookmarkEnd w:id="85"/>
    </w:p>
    <w:p w14:paraId="5B24FB42" w14:textId="4AA230A1" w:rsidR="0000622D" w:rsidRPr="00B45227" w:rsidRDefault="0000622D" w:rsidP="00C724E4">
      <w:pPr>
        <w:pStyle w:val="BoxHeading"/>
        <w:keepNext/>
        <w:shd w:val="clear" w:color="auto" w:fill="D9D9D9" w:themeFill="background1" w:themeFillShade="D9"/>
        <w:rPr>
          <w:sz w:val="22"/>
        </w:rPr>
      </w:pPr>
      <w:bookmarkStart w:id="86" w:name="_Ref482709819"/>
      <w:r w:rsidRPr="00B45227">
        <w:rPr>
          <w:sz w:val="22"/>
        </w:rPr>
        <w:lastRenderedPageBreak/>
        <w:t xml:space="preserve">Recommendation </w:t>
      </w:r>
      <w:r w:rsidR="00264490" w:rsidRPr="00B45227">
        <w:rPr>
          <w:sz w:val="22"/>
        </w:rPr>
        <w:fldChar w:fldCharType="begin"/>
      </w:r>
      <w:r w:rsidR="00264490" w:rsidRPr="00B45227">
        <w:rPr>
          <w:sz w:val="22"/>
        </w:rPr>
        <w:instrText xml:space="preserve"> SEQ Recommendation \* ARABIC </w:instrText>
      </w:r>
      <w:r w:rsidR="00264490" w:rsidRPr="00B45227">
        <w:rPr>
          <w:sz w:val="22"/>
        </w:rPr>
        <w:fldChar w:fldCharType="separate"/>
      </w:r>
      <w:r w:rsidR="009F6923">
        <w:rPr>
          <w:noProof/>
          <w:sz w:val="22"/>
        </w:rPr>
        <w:t>10</w:t>
      </w:r>
      <w:r w:rsidR="00264490" w:rsidRPr="00B45227">
        <w:rPr>
          <w:noProof/>
          <w:sz w:val="22"/>
        </w:rPr>
        <w:fldChar w:fldCharType="end"/>
      </w:r>
      <w:bookmarkEnd w:id="86"/>
    </w:p>
    <w:p w14:paraId="51B7437C" w14:textId="369F57D3" w:rsidR="0000622D" w:rsidRPr="00B45227" w:rsidRDefault="0000622D" w:rsidP="00B45227">
      <w:pPr>
        <w:pStyle w:val="BoxText"/>
        <w:shd w:val="clear" w:color="auto" w:fill="D9D9D9" w:themeFill="background1" w:themeFillShade="D9"/>
        <w:rPr>
          <w:sz w:val="22"/>
        </w:rPr>
      </w:pPr>
      <w:r w:rsidRPr="00B45227">
        <w:rPr>
          <w:sz w:val="22"/>
        </w:rPr>
        <w:t xml:space="preserve">The NBC should establish a new Community and Environmental Biosecurity Committee (CEBC) </w:t>
      </w:r>
      <w:r w:rsidR="008C50B7" w:rsidRPr="00B45227">
        <w:rPr>
          <w:sz w:val="22"/>
        </w:rPr>
        <w:t>to support the role of the Chief Community and Environmental Biosecurity Officer</w:t>
      </w:r>
      <w:r w:rsidR="008C50B7">
        <w:rPr>
          <w:sz w:val="22"/>
        </w:rPr>
        <w:t>. The CEBC should</w:t>
      </w:r>
      <w:r w:rsidR="008C50B7" w:rsidRPr="00B45227">
        <w:rPr>
          <w:sz w:val="22"/>
        </w:rPr>
        <w:t xml:space="preserve"> </w:t>
      </w:r>
      <w:r w:rsidRPr="00B45227">
        <w:rPr>
          <w:sz w:val="22"/>
        </w:rPr>
        <w:t>compris</w:t>
      </w:r>
      <w:r w:rsidR="008C50B7">
        <w:rPr>
          <w:sz w:val="22"/>
        </w:rPr>
        <w:t>e</w:t>
      </w:r>
      <w:r w:rsidRPr="00B45227">
        <w:rPr>
          <w:sz w:val="22"/>
        </w:rPr>
        <w:t xml:space="preserve"> government and external </w:t>
      </w:r>
      <w:r w:rsidR="002D3D52">
        <w:rPr>
          <w:sz w:val="22"/>
        </w:rPr>
        <w:t xml:space="preserve">community and </w:t>
      </w:r>
      <w:r w:rsidRPr="00B45227">
        <w:rPr>
          <w:sz w:val="22"/>
        </w:rPr>
        <w:t>environment</w:t>
      </w:r>
      <w:r w:rsidR="002D3D52">
        <w:rPr>
          <w:sz w:val="22"/>
        </w:rPr>
        <w:t>al</w:t>
      </w:r>
      <w:r w:rsidRPr="00B45227">
        <w:rPr>
          <w:sz w:val="22"/>
        </w:rPr>
        <w:t xml:space="preserve"> </w:t>
      </w:r>
      <w:r w:rsidR="002D3D52">
        <w:rPr>
          <w:sz w:val="22"/>
        </w:rPr>
        <w:t>b</w:t>
      </w:r>
      <w:r w:rsidRPr="00B45227">
        <w:rPr>
          <w:sz w:val="22"/>
        </w:rPr>
        <w:t xml:space="preserve">iosecurity experts and representatives from both the animal and plant sectoral committees of the NBC. The role of the CEBC should be reviewed following its work to prioritise national biosecurity risks </w:t>
      </w:r>
      <w:r w:rsidR="00444E96" w:rsidRPr="00B45227">
        <w:rPr>
          <w:sz w:val="22"/>
        </w:rPr>
        <w:t>i</w:t>
      </w:r>
      <w:r w:rsidRPr="00B45227">
        <w:rPr>
          <w:sz w:val="22"/>
        </w:rPr>
        <w:t xml:space="preserve">mpacting </w:t>
      </w:r>
      <w:r w:rsidR="00517435">
        <w:rPr>
          <w:sz w:val="22"/>
        </w:rPr>
        <w:t xml:space="preserve">on </w:t>
      </w:r>
      <w:r w:rsidRPr="00B45227">
        <w:rPr>
          <w:sz w:val="22"/>
        </w:rPr>
        <w:t>the environment</w:t>
      </w:r>
      <w:r w:rsidR="00543E17">
        <w:rPr>
          <w:sz w:val="22"/>
        </w:rPr>
        <w:t xml:space="preserve"> </w:t>
      </w:r>
      <w:r w:rsidR="007B75FF">
        <w:rPr>
          <w:sz w:val="22"/>
        </w:rPr>
        <w:t xml:space="preserve">and social amenity </w:t>
      </w:r>
      <w:r w:rsidR="00543E17">
        <w:rPr>
          <w:sz w:val="22"/>
        </w:rPr>
        <w:t>(Recommendation 1</w:t>
      </w:r>
      <w:r w:rsidR="002D3D52">
        <w:rPr>
          <w:sz w:val="22"/>
        </w:rPr>
        <w:t>1</w:t>
      </w:r>
      <w:r w:rsidR="00543E17">
        <w:rPr>
          <w:sz w:val="22"/>
        </w:rPr>
        <w:t>)</w:t>
      </w:r>
      <w:r w:rsidRPr="00B45227">
        <w:rPr>
          <w:sz w:val="22"/>
        </w:rPr>
        <w:t>.</w:t>
      </w:r>
    </w:p>
    <w:p w14:paraId="0C30A3EF" w14:textId="35AA2FF0" w:rsidR="006D6745" w:rsidRDefault="006D6745" w:rsidP="006D6745">
      <w:r>
        <w:t>Consideration also needs to be given to how conservation and other community groups (</w:t>
      </w:r>
      <w:r w:rsidR="005D0558">
        <w:t>for example,</w:t>
      </w:r>
      <w:r>
        <w:t xml:space="preserve"> natural resource management and expert non-government representation) might best input to this work. In its submission, </w:t>
      </w:r>
      <w:r w:rsidR="0028518A">
        <w:t xml:space="preserve">the </w:t>
      </w:r>
      <w:r w:rsidR="00233CE3" w:rsidRPr="00233CE3">
        <w:t>Wildlife Preservation Society of Queensland</w:t>
      </w:r>
      <w:r>
        <w:t xml:space="preserve"> rightly points out that community organisations, while resource poor, </w:t>
      </w:r>
      <w:r w:rsidR="00517435">
        <w:t>would be</w:t>
      </w:r>
      <w:r>
        <w:t xml:space="preserve"> willing agents of environmental biosecurity if given such a role</w:t>
      </w:r>
      <w:r w:rsidR="00233CE3">
        <w:t xml:space="preserve"> </w:t>
      </w:r>
      <w:r w:rsidR="00C919D5">
        <w:t>(</w:t>
      </w:r>
      <w:r w:rsidR="00C919D5" w:rsidRPr="00985E53">
        <w:t>sub. DP54)</w:t>
      </w:r>
      <w:r w:rsidRPr="00985E53">
        <w:t>.</w:t>
      </w:r>
      <w:r>
        <w:t xml:space="preserve"> While conservation </w:t>
      </w:r>
      <w:r w:rsidR="00362ABC" w:rsidRPr="00D87ED9">
        <w:t>N</w:t>
      </w:r>
      <w:r w:rsidRPr="00D87ED9">
        <w:t>GOs are many and varied, there are a number</w:t>
      </w:r>
      <w:r w:rsidR="00BC654B" w:rsidRPr="00D87ED9">
        <w:t xml:space="preserve"> of</w:t>
      </w:r>
      <w:r w:rsidRPr="00D87ED9">
        <w:t xml:space="preserve"> umbrella organisations (</w:t>
      </w:r>
      <w:r w:rsidR="00667008" w:rsidRPr="00D87ED9">
        <w:t>for example,</w:t>
      </w:r>
      <w:r w:rsidRPr="00D87ED9">
        <w:t xml:space="preserve"> signatories to the Invasive Species</w:t>
      </w:r>
      <w:r>
        <w:t xml:space="preserve"> Council submission) that could lend knowledge and expertise. </w:t>
      </w:r>
      <w:r w:rsidR="00835B66">
        <w:t>WHA</w:t>
      </w:r>
      <w:r>
        <w:t xml:space="preserve"> appears to be a good model where the government and community through donations contribute to its work.</w:t>
      </w:r>
      <w:r w:rsidR="002B13EF">
        <w:t xml:space="preserve"> The </w:t>
      </w:r>
      <w:r w:rsidR="00517435">
        <w:t>r</w:t>
      </w:r>
      <w:r w:rsidR="002B13EF">
        <w:t>eview is</w:t>
      </w:r>
      <w:r>
        <w:t xml:space="preserve"> </w:t>
      </w:r>
      <w:r w:rsidR="0081413B">
        <w:t>propos</w:t>
      </w:r>
      <w:r w:rsidR="002B13EF">
        <w:t>ing</w:t>
      </w:r>
      <w:r w:rsidR="0081413B">
        <w:t xml:space="preserve"> a new NBC b</w:t>
      </w:r>
      <w:r w:rsidR="00674F23">
        <w:t>iosecurity s</w:t>
      </w:r>
      <w:r>
        <w:t xml:space="preserve">takeholder </w:t>
      </w:r>
      <w:r w:rsidR="00674F23">
        <w:t>c</w:t>
      </w:r>
      <w:r>
        <w:t>ommittee</w:t>
      </w:r>
      <w:r w:rsidR="00674F23">
        <w:t xml:space="preserve">, </w:t>
      </w:r>
      <w:r w:rsidR="002B13EF">
        <w:t>which</w:t>
      </w:r>
      <w:r w:rsidR="00674F23">
        <w:t xml:space="preserve"> </w:t>
      </w:r>
      <w:r w:rsidR="00517435">
        <w:t xml:space="preserve">would </w:t>
      </w:r>
      <w:r w:rsidR="00674F23">
        <w:t>include</w:t>
      </w:r>
      <w:r>
        <w:t xml:space="preserve"> environment </w:t>
      </w:r>
      <w:r w:rsidR="00A10B5E">
        <w:t xml:space="preserve">and </w:t>
      </w:r>
      <w:r>
        <w:t>community representatives</w:t>
      </w:r>
      <w:r w:rsidR="002B13EF">
        <w:t xml:space="preserve"> </w:t>
      </w:r>
      <w:r w:rsidR="002B13EF" w:rsidRPr="002B13EF">
        <w:t>(</w:t>
      </w:r>
      <w:hyperlink w:anchor="_Bringing_others_into" w:history="1">
        <w:r w:rsidR="00B26612">
          <w:rPr>
            <w:rStyle w:val="Hyperlink"/>
          </w:rPr>
          <w:t>section 7.3</w:t>
        </w:r>
      </w:hyperlink>
      <w:r w:rsidR="002B13EF">
        <w:t>)</w:t>
      </w:r>
      <w:r w:rsidR="00731E88">
        <w:t>.</w:t>
      </w:r>
    </w:p>
    <w:p w14:paraId="491E1D68" w14:textId="57684417" w:rsidR="00985E53" w:rsidRPr="00985E53" w:rsidRDefault="00985E53" w:rsidP="00985E53">
      <w:r w:rsidRPr="00985E53">
        <w:t xml:space="preserve">AHA and PHA, as national coordinators of the government-industry partnerships for animal and plant biosecurity, also carry some responsibility for environment issues where production-based pests and diseases also impact </w:t>
      </w:r>
      <w:r w:rsidR="00517435">
        <w:t xml:space="preserve">on </w:t>
      </w:r>
      <w:r w:rsidRPr="00985E53">
        <w:t xml:space="preserve">the environment and native species. The </w:t>
      </w:r>
      <w:r w:rsidR="00517435">
        <w:t>p</w:t>
      </w:r>
      <w:r w:rsidRPr="00985E53">
        <w:t>anel notes there is scope to build board and company expertise in environmental issues, including through the recruitment of appropriate staff and member organisations</w:t>
      </w:r>
      <w:r w:rsidR="00206626">
        <w:t>:</w:t>
      </w:r>
      <w:r w:rsidRPr="00985E53">
        <w:t xml:space="preserve"> of </w:t>
      </w:r>
      <w:r w:rsidRPr="00DA1F72">
        <w:t xml:space="preserve">AHA’s </w:t>
      </w:r>
      <w:r w:rsidR="00517435">
        <w:t>thirty-two</w:t>
      </w:r>
      <w:r w:rsidRPr="00985E53">
        <w:t xml:space="preserve"> members, </w:t>
      </w:r>
      <w:r w:rsidRPr="00DA1F72">
        <w:t>only two associate member organisations (</w:t>
      </w:r>
      <w:r w:rsidR="00835B66" w:rsidRPr="00DA1F72">
        <w:t>WHA</w:t>
      </w:r>
      <w:r w:rsidRPr="00DA1F72">
        <w:t xml:space="preserve"> and Zoo and Aquarium Association) have environmental affiliations</w:t>
      </w:r>
      <w:r w:rsidR="00206626">
        <w:t>;</w:t>
      </w:r>
      <w:r w:rsidRPr="00DA1F72">
        <w:t xml:space="preserve"> </w:t>
      </w:r>
      <w:r w:rsidR="00206626">
        <w:t>o</w:t>
      </w:r>
      <w:r w:rsidRPr="00DA1F72">
        <w:t xml:space="preserve">f PHA’s </w:t>
      </w:r>
      <w:r w:rsidR="00517435">
        <w:t>fifty-nine</w:t>
      </w:r>
      <w:r w:rsidRPr="00DA1F72">
        <w:t xml:space="preserve"> members, there are none with environmental biosecurity expertise.</w:t>
      </w:r>
    </w:p>
    <w:p w14:paraId="6E979AE4" w14:textId="38A0C5EB" w:rsidR="00985E53" w:rsidRDefault="00985E53" w:rsidP="006D6745">
      <w:r w:rsidRPr="00985E53">
        <w:t xml:space="preserve">To provide clearer evidence of the IGAB’s commitment to environmental biosecurity, the inclusion of the precautionary principle in the IGAB was suggested in submissions. This issue—the application of the precautionary principle, as spelt out in the EPBC Act, when considering biosecurity risks—was also reviewed by the 2008 Beale </w:t>
      </w:r>
      <w:r w:rsidR="00517435">
        <w:t>r</w:t>
      </w:r>
      <w:r w:rsidRPr="00985E53">
        <w:t>eview</w:t>
      </w:r>
      <w:r w:rsidR="00835B66">
        <w:t xml:space="preserve"> (</w:t>
      </w:r>
      <w:hyperlink w:anchor="Beale_et_al_2008" w:history="1">
        <w:r w:rsidR="00835B66" w:rsidRPr="00835B66">
          <w:rPr>
            <w:rStyle w:val="Hyperlink"/>
          </w:rPr>
          <w:t>Beale et al</w:t>
        </w:r>
        <w:r w:rsidR="002B13EF">
          <w:rPr>
            <w:rStyle w:val="Hyperlink"/>
          </w:rPr>
          <w:t>.</w:t>
        </w:r>
        <w:r w:rsidR="00835B66" w:rsidRPr="00835B66">
          <w:rPr>
            <w:rStyle w:val="Hyperlink"/>
          </w:rPr>
          <w:t xml:space="preserve"> 2008</w:t>
        </w:r>
      </w:hyperlink>
      <w:r w:rsidR="00835B66">
        <w:t>)</w:t>
      </w:r>
      <w:r w:rsidRPr="00985E53">
        <w:t xml:space="preserve">. The Beale </w:t>
      </w:r>
      <w:r w:rsidR="00517435">
        <w:t>r</w:t>
      </w:r>
      <w:r w:rsidRPr="00985E53">
        <w:t xml:space="preserve">eview </w:t>
      </w:r>
      <w:r w:rsidR="00517435">
        <w:t>p</w:t>
      </w:r>
      <w:r w:rsidRPr="00985E53">
        <w:t xml:space="preserve">anel concluded that, while it was sympathetic to the idea, the precautionary principle, as </w:t>
      </w:r>
      <w:r w:rsidR="00AA193A">
        <w:t>spelt out in the EPBC Act, was ‘</w:t>
      </w:r>
      <w:r w:rsidRPr="00985E53">
        <w:t>unlikely to be consistent with the requirements of the SPS Agreement</w:t>
      </w:r>
      <w:r w:rsidR="00AA193A">
        <w:t>’</w:t>
      </w:r>
      <w:r w:rsidR="00517435">
        <w:t>,</w:t>
      </w:r>
      <w:r w:rsidRPr="00985E53">
        <w:t xml:space="preserve"> and its application might lead to Australia being in breach of its obligations under the </w:t>
      </w:r>
      <w:r w:rsidR="00517435">
        <w:t>a</w:t>
      </w:r>
      <w:r w:rsidRPr="00985E53">
        <w:t xml:space="preserve">greement, leaving Australia </w:t>
      </w:r>
      <w:r w:rsidRPr="00985E53">
        <w:lastRenderedPageBreak/>
        <w:t>open to challenge under the W</w:t>
      </w:r>
      <w:r w:rsidR="00517435">
        <w:t xml:space="preserve">orld </w:t>
      </w:r>
      <w:r w:rsidRPr="00985E53">
        <w:t>T</w:t>
      </w:r>
      <w:r w:rsidR="00517435">
        <w:t xml:space="preserve">rade </w:t>
      </w:r>
      <w:r w:rsidRPr="00985E53">
        <w:t>O</w:t>
      </w:r>
      <w:r w:rsidR="00517435">
        <w:t>rganization (WTO)</w:t>
      </w:r>
      <w:r w:rsidRPr="00985E53">
        <w:t xml:space="preserve"> dispute settlement procedures. This </w:t>
      </w:r>
      <w:r w:rsidR="00517435">
        <w:t>p</w:t>
      </w:r>
      <w:r w:rsidRPr="00985E53">
        <w:t xml:space="preserve">anel agrees with </w:t>
      </w:r>
      <w:r w:rsidR="00517435">
        <w:t xml:space="preserve">the </w:t>
      </w:r>
      <w:r w:rsidRPr="00985E53">
        <w:t>Beale</w:t>
      </w:r>
      <w:r w:rsidR="00517435">
        <w:t xml:space="preserve"> review</w:t>
      </w:r>
      <w:r w:rsidRPr="00985E53">
        <w:t xml:space="preserve">’s assessment but </w:t>
      </w:r>
      <w:r w:rsidR="00C627F4">
        <w:t>considers</w:t>
      </w:r>
      <w:r w:rsidRPr="00985E53">
        <w:t xml:space="preserve"> the Australian Government </w:t>
      </w:r>
      <w:r w:rsidR="00C627F4">
        <w:t xml:space="preserve">should </w:t>
      </w:r>
      <w:r w:rsidRPr="00985E53">
        <w:t>review this matter, with a view to finding a resolution to, or developing guidelines to deal with</w:t>
      </w:r>
      <w:r w:rsidR="00517435">
        <w:t>,</w:t>
      </w:r>
      <w:r w:rsidRPr="00985E53">
        <w:t xml:space="preserve"> the apparent inconsistency between the precaut</w:t>
      </w:r>
      <w:r w:rsidR="00D53BE6">
        <w:t>ionary principle and WTO rules.</w:t>
      </w:r>
    </w:p>
    <w:p w14:paraId="52B20B59" w14:textId="0AD593D4" w:rsidR="00561771" w:rsidRPr="007668BC" w:rsidRDefault="00561771" w:rsidP="00561771">
      <w:pPr>
        <w:pStyle w:val="Heading2"/>
      </w:pPr>
      <w:bookmarkStart w:id="87" w:name="_Building_the_national"/>
      <w:bookmarkStart w:id="88" w:name="_Ref486235604"/>
      <w:bookmarkStart w:id="89" w:name="_Toc486236044"/>
      <w:bookmarkEnd w:id="87"/>
      <w:r w:rsidRPr="007668BC">
        <w:lastRenderedPageBreak/>
        <w:t>Building the national system: pest by pest</w:t>
      </w:r>
      <w:r w:rsidR="00E80030">
        <w:t>;</w:t>
      </w:r>
      <w:r w:rsidRPr="007668BC">
        <w:t xml:space="preserve"> disease by disease</w:t>
      </w:r>
      <w:bookmarkEnd w:id="88"/>
      <w:bookmarkEnd w:id="89"/>
    </w:p>
    <w:p w14:paraId="136A388A" w14:textId="3E94DC1F" w:rsidR="00934DB6" w:rsidRPr="00F73F00" w:rsidRDefault="00934DB6" w:rsidP="00934DB6">
      <w:pPr>
        <w:pStyle w:val="BoxHeading"/>
        <w:rPr>
          <w:sz w:val="22"/>
          <w:lang w:eastAsia="ja-JP"/>
        </w:rPr>
      </w:pPr>
      <w:r w:rsidRPr="00F73F00">
        <w:rPr>
          <w:sz w:val="22"/>
          <w:lang w:eastAsia="ja-JP"/>
        </w:rPr>
        <w:t xml:space="preserve">Key </w:t>
      </w:r>
      <w:r w:rsidR="00E80030">
        <w:rPr>
          <w:sz w:val="22"/>
          <w:lang w:eastAsia="ja-JP"/>
        </w:rPr>
        <w:t>p</w:t>
      </w:r>
      <w:r w:rsidRPr="00F73F00">
        <w:rPr>
          <w:sz w:val="22"/>
          <w:lang w:eastAsia="ja-JP"/>
        </w:rPr>
        <w:t>oints</w:t>
      </w:r>
    </w:p>
    <w:p w14:paraId="008995C8" w14:textId="6FCD5C43" w:rsidR="00C724E4" w:rsidRPr="00C724E4" w:rsidRDefault="00C724E4" w:rsidP="00C724E4">
      <w:pPr>
        <w:pStyle w:val="BoxTextBullet"/>
        <w:rPr>
          <w:sz w:val="22"/>
          <w:lang w:eastAsia="ja-JP"/>
        </w:rPr>
      </w:pPr>
      <w:r w:rsidRPr="00C724E4">
        <w:rPr>
          <w:sz w:val="22"/>
          <w:lang w:eastAsia="ja-JP"/>
        </w:rPr>
        <w:t>In an environment of constrained and finite resources</w:t>
      </w:r>
      <w:r w:rsidR="00E80030">
        <w:rPr>
          <w:sz w:val="22"/>
          <w:lang w:eastAsia="ja-JP"/>
        </w:rPr>
        <w:t>,</w:t>
      </w:r>
      <w:r w:rsidRPr="00C724E4">
        <w:rPr>
          <w:sz w:val="22"/>
          <w:lang w:eastAsia="ja-JP"/>
        </w:rPr>
        <w:t xml:space="preserve"> there is a fundamental need to ensure </w:t>
      </w:r>
      <w:r w:rsidR="00E80030">
        <w:rPr>
          <w:sz w:val="22"/>
          <w:lang w:eastAsia="ja-JP"/>
        </w:rPr>
        <w:t xml:space="preserve">that </w:t>
      </w:r>
      <w:r w:rsidRPr="00C724E4">
        <w:rPr>
          <w:sz w:val="22"/>
          <w:lang w:eastAsia="ja-JP"/>
        </w:rPr>
        <w:t>investment in biosecurity targets national priority risks with appropriate actions</w:t>
      </w:r>
      <w:r w:rsidR="00E80030">
        <w:rPr>
          <w:sz w:val="22"/>
          <w:lang w:eastAsia="ja-JP"/>
        </w:rPr>
        <w:t xml:space="preserve"> in order</w:t>
      </w:r>
      <w:r w:rsidRPr="00C724E4">
        <w:rPr>
          <w:sz w:val="22"/>
          <w:lang w:eastAsia="ja-JP"/>
        </w:rPr>
        <w:t xml:space="preserve"> to yield the greatest return possible.</w:t>
      </w:r>
    </w:p>
    <w:p w14:paraId="3943BA07" w14:textId="77777777" w:rsidR="00C724E4" w:rsidRPr="00C724E4" w:rsidRDefault="00C724E4" w:rsidP="00C724E4">
      <w:pPr>
        <w:pStyle w:val="BoxTextBullet"/>
        <w:rPr>
          <w:sz w:val="22"/>
          <w:lang w:eastAsia="ja-JP"/>
        </w:rPr>
      </w:pPr>
      <w:r w:rsidRPr="00C724E4">
        <w:rPr>
          <w:sz w:val="22"/>
          <w:lang w:eastAsia="ja-JP"/>
        </w:rPr>
        <w:t>Biosecurity risk identification and assessment requires ongoing attention.</w:t>
      </w:r>
    </w:p>
    <w:p w14:paraId="76446400" w14:textId="3B79AA16" w:rsidR="00C724E4" w:rsidRPr="00C724E4" w:rsidRDefault="00C724E4" w:rsidP="00C724E4">
      <w:pPr>
        <w:pStyle w:val="BoxTextBullet"/>
        <w:rPr>
          <w:sz w:val="22"/>
          <w:lang w:eastAsia="ja-JP"/>
        </w:rPr>
      </w:pPr>
      <w:r w:rsidRPr="00C724E4">
        <w:rPr>
          <w:sz w:val="22"/>
          <w:lang w:eastAsia="ja-JP"/>
        </w:rPr>
        <w:t>Some biosecurity risks and pathways are well known</w:t>
      </w:r>
      <w:r w:rsidR="00E80030">
        <w:rPr>
          <w:sz w:val="22"/>
          <w:lang w:eastAsia="ja-JP"/>
        </w:rPr>
        <w:t>,</w:t>
      </w:r>
      <w:r w:rsidRPr="00C724E4">
        <w:rPr>
          <w:sz w:val="22"/>
          <w:lang w:eastAsia="ja-JP"/>
        </w:rPr>
        <w:t xml:space="preserve"> but there are significant knowledge gaps, especially for non-traditional risks and pathways.</w:t>
      </w:r>
    </w:p>
    <w:p w14:paraId="0B0E6E7D" w14:textId="40B7B130" w:rsidR="00AE3D59" w:rsidRPr="00C724E4" w:rsidRDefault="00C724E4" w:rsidP="00C724E4">
      <w:pPr>
        <w:pStyle w:val="BoxTextBullet"/>
        <w:rPr>
          <w:sz w:val="22"/>
          <w:lang w:eastAsia="ja-JP"/>
        </w:rPr>
      </w:pPr>
      <w:r w:rsidRPr="00C724E4">
        <w:rPr>
          <w:sz w:val="22"/>
          <w:lang w:eastAsia="ja-JP"/>
        </w:rPr>
        <w:t>Australia has a mixture of biosecurity strategies and policies that have been tailor-made for each jurisdiction, taxon and/or agency. There should be an agreed national approach for prioritising exotic pest and disease risks—across the taxa—to guide governments</w:t>
      </w:r>
      <w:r w:rsidR="00790644">
        <w:rPr>
          <w:sz w:val="22"/>
          <w:lang w:eastAsia="ja-JP"/>
        </w:rPr>
        <w:t>’</w:t>
      </w:r>
      <w:r w:rsidRPr="00C724E4">
        <w:rPr>
          <w:sz w:val="22"/>
          <w:lang w:eastAsia="ja-JP"/>
        </w:rPr>
        <w:t xml:space="preserve"> investments.</w:t>
      </w:r>
    </w:p>
    <w:p w14:paraId="29069E21" w14:textId="77D10CCF" w:rsidR="002C0479" w:rsidRPr="002C0479" w:rsidRDefault="002C0479" w:rsidP="002C0479">
      <w:pPr>
        <w:rPr>
          <w:rFonts w:eastAsia="Calibri" w:cs="Times New Roman"/>
          <w:lang w:eastAsia="ja-JP"/>
        </w:rPr>
      </w:pPr>
      <w:r w:rsidRPr="002C0479">
        <w:rPr>
          <w:rFonts w:eastAsia="Calibri" w:cs="Times New Roman"/>
          <w:lang w:eastAsia="ja-JP"/>
        </w:rPr>
        <w:t>Managing biosecurity risks to Australia is a substantial and complex task involving multiple governments, a diverse range of industries and the general community. The complexity of the national biosecurity system is unlikely to lessen over time if parties continue to devise strategies, plans and other guiding documents that do not have a common foundation. For the national system to be effective</w:t>
      </w:r>
      <w:r w:rsidR="00B7584B">
        <w:rPr>
          <w:rFonts w:eastAsia="Calibri" w:cs="Times New Roman"/>
          <w:lang w:eastAsia="ja-JP"/>
        </w:rPr>
        <w:t>,</w:t>
      </w:r>
      <w:r w:rsidRPr="002C0479">
        <w:rPr>
          <w:rFonts w:eastAsia="Calibri" w:cs="Times New Roman"/>
          <w:lang w:eastAsia="ja-JP"/>
        </w:rPr>
        <w:t xml:space="preserve"> there needs to be a common set of objectives that every system participant knows,</w:t>
      </w:r>
      <w:r w:rsidR="00731E88">
        <w:rPr>
          <w:rFonts w:eastAsia="Calibri" w:cs="Times New Roman"/>
          <w:lang w:eastAsia="ja-JP"/>
        </w:rPr>
        <w:t xml:space="preserve"> understands and works towards.</w:t>
      </w:r>
    </w:p>
    <w:p w14:paraId="7DED2ED4" w14:textId="77777777" w:rsidR="002C0479" w:rsidRPr="002C0479" w:rsidRDefault="002C0479" w:rsidP="002C0479">
      <w:pPr>
        <w:rPr>
          <w:rFonts w:eastAsia="Calibri" w:cs="Times New Roman"/>
          <w:lang w:eastAsia="ja-JP"/>
        </w:rPr>
      </w:pPr>
      <w:r w:rsidRPr="002C0479">
        <w:rPr>
          <w:rFonts w:eastAsia="Calibri" w:cs="Times New Roman"/>
          <w:lang w:eastAsia="ja-JP"/>
        </w:rPr>
        <w:t>The IGAB is an articulation by Australian governments of how they see the task and how they will work together to deliver an effective national biosecurity system. It contains a number of provisions that point to the need to establish national priorities in order to deliver an effective national system. Of particular relevance are:</w:t>
      </w:r>
    </w:p>
    <w:p w14:paraId="0F2A68DD" w14:textId="77777777" w:rsidR="002C0479" w:rsidRPr="002C0479" w:rsidRDefault="002C0479" w:rsidP="002C0479">
      <w:pPr>
        <w:spacing w:after="120" w:line="240" w:lineRule="auto"/>
        <w:rPr>
          <w:rFonts w:eastAsia="Calibri" w:cs="Times New Roman"/>
          <w:lang w:eastAsia="ja-JP"/>
        </w:rPr>
      </w:pPr>
      <w:r w:rsidRPr="002C0479">
        <w:rPr>
          <w:rFonts w:eastAsia="Calibri" w:cs="Times New Roman"/>
          <w:lang w:eastAsia="ja-JP"/>
        </w:rPr>
        <w:t>Clause 4.1(v):</w:t>
      </w:r>
    </w:p>
    <w:p w14:paraId="6905A4D9" w14:textId="77777777" w:rsidR="002C0479" w:rsidRPr="002C0479" w:rsidRDefault="002C0479" w:rsidP="007B3082">
      <w:pPr>
        <w:ind w:left="720"/>
      </w:pPr>
      <w:r w:rsidRPr="002C0479">
        <w:t>Activity is undertaken and investment is allocated according to a cost-effective, science-based and risk-management approach, prioritising the allocation of resources to the areas of greatest return.</w:t>
      </w:r>
    </w:p>
    <w:p w14:paraId="18920C60" w14:textId="77777777" w:rsidR="002C0479" w:rsidRPr="002C0479" w:rsidRDefault="002C0479" w:rsidP="002C0479">
      <w:pPr>
        <w:spacing w:after="120" w:line="240" w:lineRule="auto"/>
        <w:rPr>
          <w:rFonts w:eastAsia="Calibri" w:cs="Times New Roman"/>
          <w:lang w:eastAsia="ja-JP"/>
        </w:rPr>
      </w:pPr>
      <w:r w:rsidRPr="002C0479">
        <w:rPr>
          <w:rFonts w:eastAsia="Calibri" w:cs="Times New Roman"/>
          <w:lang w:eastAsia="ja-JP"/>
        </w:rPr>
        <w:t>Clause 5.3(i):</w:t>
      </w:r>
    </w:p>
    <w:p w14:paraId="35F175CC" w14:textId="77777777" w:rsidR="002C0479" w:rsidRPr="002C0479" w:rsidRDefault="002C0479" w:rsidP="002C0479">
      <w:pPr>
        <w:tabs>
          <w:tab w:val="num" w:pos="567"/>
          <w:tab w:val="num" w:pos="1276"/>
        </w:tabs>
        <w:spacing w:after="120" w:line="240" w:lineRule="auto"/>
        <w:ind w:left="720"/>
        <w:rPr>
          <w:rFonts w:eastAsia="Calibri" w:cs="Times New Roman"/>
        </w:rPr>
      </w:pPr>
      <w:r w:rsidRPr="002C0479">
        <w:rPr>
          <w:rFonts w:eastAsia="Calibri" w:cs="Times New Roman"/>
        </w:rPr>
        <w:t>Decisions and investments across these components will be supported by:</w:t>
      </w:r>
    </w:p>
    <w:p w14:paraId="0B40F26C" w14:textId="77777777" w:rsidR="002C0479" w:rsidRPr="002C0479" w:rsidRDefault="002C0479" w:rsidP="008B4496">
      <w:pPr>
        <w:numPr>
          <w:ilvl w:val="2"/>
          <w:numId w:val="16"/>
        </w:numPr>
        <w:tabs>
          <w:tab w:val="num" w:pos="1440"/>
        </w:tabs>
        <w:spacing w:after="120" w:line="240" w:lineRule="auto"/>
        <w:ind w:left="1441" w:hanging="590"/>
        <w:rPr>
          <w:rFonts w:eastAsia="Calibri" w:cs="Times New Roman"/>
          <w:b/>
        </w:rPr>
      </w:pPr>
      <w:r w:rsidRPr="002C0479">
        <w:rPr>
          <w:rFonts w:eastAsia="Calibri" w:cs="Times New Roman"/>
        </w:rPr>
        <w:lastRenderedPageBreak/>
        <w:t>A</w:t>
      </w:r>
      <w:r w:rsidRPr="002C0479">
        <w:rPr>
          <w:rFonts w:eastAsia="Calibri" w:cs="Times New Roman"/>
          <w:b/>
        </w:rPr>
        <w:t xml:space="preserve"> </w:t>
      </w:r>
      <w:r w:rsidRPr="002C0479">
        <w:rPr>
          <w:rFonts w:eastAsia="Calibri" w:cs="Times New Roman"/>
        </w:rPr>
        <w:t>national risk-based decision-making and investment framework that:</w:t>
      </w:r>
    </w:p>
    <w:p w14:paraId="55A0CE82" w14:textId="77777777" w:rsidR="002C0479" w:rsidRPr="002C0479" w:rsidRDefault="002C0479" w:rsidP="008B4496">
      <w:pPr>
        <w:numPr>
          <w:ilvl w:val="3"/>
          <w:numId w:val="16"/>
        </w:numPr>
        <w:spacing w:after="120" w:line="240" w:lineRule="auto"/>
        <w:rPr>
          <w:rFonts w:eastAsia="Calibri" w:cs="Times New Roman"/>
        </w:rPr>
      </w:pPr>
      <w:r w:rsidRPr="002C0479">
        <w:rPr>
          <w:rFonts w:eastAsia="Calibri" w:cs="Times New Roman"/>
        </w:rPr>
        <w:t>applies principles that target biosecurity resources to those areas of greatest return from a risk management perspective;</w:t>
      </w:r>
    </w:p>
    <w:p w14:paraId="151F30B0" w14:textId="179A2B70" w:rsidR="002C0479" w:rsidRPr="002C0479" w:rsidRDefault="002C0479" w:rsidP="008B4496">
      <w:pPr>
        <w:numPr>
          <w:ilvl w:val="3"/>
          <w:numId w:val="16"/>
        </w:numPr>
        <w:spacing w:after="120" w:line="240" w:lineRule="auto"/>
        <w:rPr>
          <w:rFonts w:eastAsia="Calibri" w:cs="Times New Roman"/>
          <w:b/>
        </w:rPr>
      </w:pPr>
      <w:r w:rsidRPr="002C0479">
        <w:rPr>
          <w:rFonts w:eastAsia="Calibri" w:cs="Times New Roman"/>
        </w:rPr>
        <w:t>establishes transparent and objective decision-making procedures and guides the efficient allocation of biosecurity resources by eac</w:t>
      </w:r>
      <w:r w:rsidR="00F06EF3">
        <w:rPr>
          <w:rFonts w:eastAsia="Calibri" w:cs="Times New Roman"/>
        </w:rPr>
        <w:t xml:space="preserve">h government and for nationally </w:t>
      </w:r>
      <w:r w:rsidRPr="002C0479">
        <w:rPr>
          <w:rFonts w:eastAsia="Calibri" w:cs="Times New Roman"/>
        </w:rPr>
        <w:t>managed programs; and</w:t>
      </w:r>
    </w:p>
    <w:p w14:paraId="689B9325" w14:textId="77777777" w:rsidR="002C0479" w:rsidRPr="002C0479" w:rsidRDefault="002C0479" w:rsidP="008B4496">
      <w:pPr>
        <w:numPr>
          <w:ilvl w:val="3"/>
          <w:numId w:val="16"/>
        </w:numPr>
        <w:spacing w:after="120" w:line="300" w:lineRule="atLeast"/>
        <w:rPr>
          <w:rFonts w:eastAsia="Calibri" w:cs="Times New Roman"/>
          <w:b/>
        </w:rPr>
      </w:pPr>
      <w:r w:rsidRPr="002C0479">
        <w:rPr>
          <w:rFonts w:eastAsia="Calibri" w:cs="Times New Roman"/>
        </w:rPr>
        <w:t>governs joint decisions on national priorities for co-investment.</w:t>
      </w:r>
    </w:p>
    <w:p w14:paraId="3368F006" w14:textId="00FDA7A9" w:rsidR="002C0479" w:rsidRPr="002C0479" w:rsidRDefault="002C0479" w:rsidP="002C0479">
      <w:pPr>
        <w:rPr>
          <w:rFonts w:eastAsia="Calibri" w:cs="Times New Roman"/>
          <w:lang w:eastAsia="ja-JP"/>
        </w:rPr>
      </w:pPr>
      <w:r w:rsidRPr="002C0479">
        <w:rPr>
          <w:rFonts w:eastAsia="Calibri" w:cs="Times New Roman"/>
          <w:lang w:eastAsia="ja-JP"/>
        </w:rPr>
        <w:t xml:space="preserve">These principles remain sound, so </w:t>
      </w:r>
      <w:r w:rsidR="00B7584B">
        <w:rPr>
          <w:rFonts w:eastAsia="Calibri" w:cs="Times New Roman"/>
          <w:lang w:eastAsia="ja-JP"/>
        </w:rPr>
        <w:t xml:space="preserve">they </w:t>
      </w:r>
      <w:r w:rsidRPr="002C0479">
        <w:rPr>
          <w:rFonts w:eastAsia="Calibri" w:cs="Times New Roman"/>
          <w:lang w:eastAsia="ja-JP"/>
        </w:rPr>
        <w:t xml:space="preserve">are retained in the revised IGAB proposed by this </w:t>
      </w:r>
      <w:r w:rsidR="00B7584B">
        <w:rPr>
          <w:rFonts w:eastAsia="Calibri" w:cs="Times New Roman"/>
          <w:lang w:eastAsia="ja-JP"/>
        </w:rPr>
        <w:t>r</w:t>
      </w:r>
      <w:r w:rsidRPr="002C0479">
        <w:rPr>
          <w:rFonts w:eastAsia="Calibri" w:cs="Times New Roman"/>
          <w:lang w:eastAsia="ja-JP"/>
        </w:rPr>
        <w:t>eview (</w:t>
      </w:r>
      <w:hyperlink w:anchor="_A_future_system," w:history="1">
        <w:r w:rsidRPr="00B45227">
          <w:rPr>
            <w:rStyle w:val="Hyperlink"/>
            <w:rFonts w:eastAsia="Calibri" w:cs="Times New Roman"/>
            <w:lang w:eastAsia="ja-JP"/>
          </w:rPr>
          <w:t>Chapter</w:t>
        </w:r>
        <w:r w:rsidR="00B45227" w:rsidRPr="00B45227">
          <w:rPr>
            <w:rStyle w:val="Hyperlink"/>
            <w:rFonts w:eastAsia="Calibri" w:cs="Times New Roman"/>
            <w:lang w:eastAsia="ja-JP"/>
          </w:rPr>
          <w:t xml:space="preserve"> 10</w:t>
        </w:r>
      </w:hyperlink>
      <w:r w:rsidRPr="002C0479">
        <w:rPr>
          <w:rFonts w:eastAsia="Calibri" w:cs="Times New Roman"/>
          <w:lang w:eastAsia="ja-JP"/>
        </w:rPr>
        <w:t xml:space="preserve">). But in order to implement these principles it is clear that there has to be a nationally consistent, logical and transparent mechanism in which to determine where the greatest return on investment can be achieved. It follows that once a list of returns for investment has been determined it can be ordered from greatest return to least return and biosecurity investments </w:t>
      </w:r>
      <w:r w:rsidR="00B7584B">
        <w:rPr>
          <w:rFonts w:eastAsia="Calibri" w:cs="Times New Roman"/>
          <w:lang w:eastAsia="ja-JP"/>
        </w:rPr>
        <w:t xml:space="preserve">can be </w:t>
      </w:r>
      <w:r w:rsidRPr="002C0479">
        <w:rPr>
          <w:rFonts w:eastAsia="Calibri" w:cs="Times New Roman"/>
          <w:lang w:eastAsia="ja-JP"/>
        </w:rPr>
        <w:t>made accor</w:t>
      </w:r>
      <w:r w:rsidR="00B17031">
        <w:rPr>
          <w:rFonts w:eastAsia="Calibri" w:cs="Times New Roman"/>
          <w:lang w:eastAsia="ja-JP"/>
        </w:rPr>
        <w:t>dingly.</w:t>
      </w:r>
    </w:p>
    <w:p w14:paraId="5BCCDA23" w14:textId="000ADDBA" w:rsidR="002C0479" w:rsidRPr="002C0479" w:rsidRDefault="002C0479" w:rsidP="002C0479">
      <w:pPr>
        <w:rPr>
          <w:rFonts w:eastAsia="Calibri" w:cs="Times New Roman"/>
          <w:lang w:eastAsia="ja-JP"/>
        </w:rPr>
      </w:pPr>
      <w:r w:rsidRPr="002C0479">
        <w:rPr>
          <w:rFonts w:eastAsia="Calibri" w:cs="Times New Roman"/>
          <w:lang w:eastAsia="ja-JP"/>
        </w:rPr>
        <w:t xml:space="preserve">The IGAB </w:t>
      </w:r>
      <w:r w:rsidR="00B7584B">
        <w:rPr>
          <w:rFonts w:eastAsia="Calibri" w:cs="Times New Roman"/>
          <w:lang w:eastAsia="ja-JP"/>
        </w:rPr>
        <w:t>r</w:t>
      </w:r>
      <w:r w:rsidRPr="002C0479">
        <w:rPr>
          <w:rFonts w:eastAsia="Calibri" w:cs="Times New Roman"/>
          <w:lang w:eastAsia="ja-JP"/>
        </w:rPr>
        <w:t xml:space="preserve">eview </w:t>
      </w:r>
      <w:r w:rsidR="00B7584B">
        <w:rPr>
          <w:rFonts w:eastAsia="Calibri" w:cs="Times New Roman"/>
          <w:lang w:eastAsia="ja-JP"/>
        </w:rPr>
        <w:t>d</w:t>
      </w:r>
      <w:r w:rsidRPr="002C0479">
        <w:rPr>
          <w:rFonts w:eastAsia="Calibri" w:cs="Times New Roman"/>
          <w:lang w:eastAsia="ja-JP"/>
        </w:rPr>
        <w:t xml:space="preserve">raft </w:t>
      </w:r>
      <w:r w:rsidR="00B7584B">
        <w:rPr>
          <w:rFonts w:eastAsia="Calibri" w:cs="Times New Roman"/>
          <w:lang w:eastAsia="ja-JP"/>
        </w:rPr>
        <w:t>r</w:t>
      </w:r>
      <w:r w:rsidRPr="002C0479">
        <w:rPr>
          <w:rFonts w:eastAsia="Calibri" w:cs="Times New Roman"/>
          <w:lang w:eastAsia="ja-JP"/>
        </w:rPr>
        <w:t>eport recommended that three priority lists be developed to assist in the identification of the national</w:t>
      </w:r>
      <w:r w:rsidR="005554F7">
        <w:rPr>
          <w:rFonts w:eastAsia="Calibri" w:cs="Times New Roman"/>
          <w:lang w:eastAsia="ja-JP"/>
        </w:rPr>
        <w:t xml:space="preserve"> priorities</w:t>
      </w:r>
      <w:r w:rsidR="00B7584B">
        <w:rPr>
          <w:rFonts w:eastAsia="Calibri" w:cs="Times New Roman"/>
          <w:lang w:eastAsia="ja-JP"/>
        </w:rPr>
        <w:t>:</w:t>
      </w:r>
      <w:r w:rsidRPr="002C0479">
        <w:rPr>
          <w:rFonts w:eastAsia="Calibri" w:cs="Times New Roman"/>
          <w:lang w:eastAsia="ja-JP"/>
        </w:rPr>
        <w:t xml:space="preserve"> </w:t>
      </w:r>
      <w:r w:rsidR="00B7584B">
        <w:rPr>
          <w:rFonts w:eastAsia="Calibri" w:cs="Times New Roman"/>
          <w:lang w:eastAsia="ja-JP"/>
        </w:rPr>
        <w:t>o</w:t>
      </w:r>
      <w:r w:rsidRPr="002C0479">
        <w:rPr>
          <w:rFonts w:eastAsia="Calibri" w:cs="Times New Roman"/>
          <w:lang w:eastAsia="ja-JP"/>
        </w:rPr>
        <w:t xml:space="preserve">ne list for animal pests and diseases, one for plant pests and diseases and one for environmental pests and diseases. Submissions in response to this proposal were generally supportive of such an approach, some pointing out that this is already done in some instances—for example, the animal disease list generated by </w:t>
      </w:r>
      <w:r w:rsidR="005C725D">
        <w:rPr>
          <w:rFonts w:eastAsia="Calibri" w:cs="Times New Roman"/>
          <w:lang w:eastAsia="ja-JP"/>
        </w:rPr>
        <w:t xml:space="preserve">the </w:t>
      </w:r>
      <w:r w:rsidRPr="002C0479">
        <w:rPr>
          <w:rFonts w:eastAsia="Calibri" w:cs="Times New Roman"/>
          <w:lang w:eastAsia="ja-JP"/>
        </w:rPr>
        <w:t>A</w:t>
      </w:r>
      <w:r w:rsidR="005C725D">
        <w:rPr>
          <w:rFonts w:eastAsia="Calibri" w:cs="Times New Roman"/>
          <w:lang w:eastAsia="ja-JP"/>
        </w:rPr>
        <w:t xml:space="preserve">nimal </w:t>
      </w:r>
      <w:r w:rsidRPr="002C0479">
        <w:rPr>
          <w:rFonts w:eastAsia="Calibri" w:cs="Times New Roman"/>
          <w:lang w:eastAsia="ja-JP"/>
        </w:rPr>
        <w:t>H</w:t>
      </w:r>
      <w:r w:rsidR="005C725D">
        <w:rPr>
          <w:rFonts w:eastAsia="Calibri" w:cs="Times New Roman"/>
          <w:lang w:eastAsia="ja-JP"/>
        </w:rPr>
        <w:t xml:space="preserve">ealth </w:t>
      </w:r>
      <w:r w:rsidRPr="002C0479">
        <w:rPr>
          <w:rFonts w:eastAsia="Calibri" w:cs="Times New Roman"/>
          <w:lang w:eastAsia="ja-JP"/>
        </w:rPr>
        <w:t>C</w:t>
      </w:r>
      <w:r w:rsidR="005C725D">
        <w:rPr>
          <w:rFonts w:eastAsia="Calibri" w:cs="Times New Roman"/>
          <w:lang w:eastAsia="ja-JP"/>
        </w:rPr>
        <w:t>ommittee (AHC)</w:t>
      </w:r>
      <w:r w:rsidRPr="002C0479">
        <w:rPr>
          <w:rFonts w:eastAsia="Calibri" w:cs="Times New Roman"/>
          <w:lang w:eastAsia="ja-JP"/>
        </w:rPr>
        <w:t xml:space="preserve"> based on the list of diseases notifiable to the </w:t>
      </w:r>
      <w:r w:rsidR="005C725D">
        <w:rPr>
          <w:rFonts w:eastAsia="Calibri" w:cs="Times New Roman"/>
          <w:lang w:eastAsia="ja-JP"/>
        </w:rPr>
        <w:t>World Organi</w:t>
      </w:r>
      <w:r w:rsidR="00065BED">
        <w:rPr>
          <w:rFonts w:eastAsia="Calibri" w:cs="Times New Roman"/>
          <w:lang w:eastAsia="ja-JP"/>
        </w:rPr>
        <w:t>s</w:t>
      </w:r>
      <w:r w:rsidR="005C725D">
        <w:rPr>
          <w:rFonts w:eastAsia="Calibri" w:cs="Times New Roman"/>
          <w:lang w:eastAsia="ja-JP"/>
        </w:rPr>
        <w:t>ation for Animal Health (</w:t>
      </w:r>
      <w:r w:rsidRPr="002C0479">
        <w:rPr>
          <w:rFonts w:eastAsia="Calibri" w:cs="Times New Roman"/>
          <w:lang w:eastAsia="ja-JP"/>
        </w:rPr>
        <w:t>OIE</w:t>
      </w:r>
      <w:r w:rsidR="005C725D">
        <w:rPr>
          <w:rFonts w:eastAsia="Calibri" w:cs="Times New Roman"/>
          <w:lang w:eastAsia="ja-JP"/>
        </w:rPr>
        <w:t>)</w:t>
      </w:r>
      <w:r w:rsidR="00FC4372">
        <w:rPr>
          <w:rFonts w:eastAsia="Calibri" w:cs="Times New Roman"/>
          <w:lang w:eastAsia="ja-JP"/>
        </w:rPr>
        <w:t>—</w:t>
      </w:r>
      <w:r w:rsidRPr="002C0479">
        <w:rPr>
          <w:rFonts w:eastAsia="Calibri" w:cs="Times New Roman"/>
          <w:lang w:eastAsia="ja-JP"/>
        </w:rPr>
        <w:t>and others suggesting a focus on classes of pests and diseases rather than</w:t>
      </w:r>
      <w:r w:rsidR="005C725D">
        <w:rPr>
          <w:rFonts w:eastAsia="Calibri" w:cs="Times New Roman"/>
          <w:lang w:eastAsia="ja-JP"/>
        </w:rPr>
        <w:t xml:space="preserve"> on</w:t>
      </w:r>
      <w:r w:rsidRPr="002C0479">
        <w:rPr>
          <w:rFonts w:eastAsia="Calibri" w:cs="Times New Roman"/>
          <w:lang w:eastAsia="ja-JP"/>
        </w:rPr>
        <w:t xml:space="preserve"> individuals. The Australian Government went further, suggesting that:</w:t>
      </w:r>
    </w:p>
    <w:p w14:paraId="5CD96740" w14:textId="720C6A3A" w:rsidR="002C0479" w:rsidRPr="002C0479" w:rsidRDefault="002C0479" w:rsidP="00736085">
      <w:pPr>
        <w:pStyle w:val="Quote"/>
        <w:rPr>
          <w:lang w:eastAsia="ja-JP"/>
        </w:rPr>
      </w:pPr>
      <w:r w:rsidRPr="002C0479">
        <w:rPr>
          <w:lang w:eastAsia="ja-JP"/>
        </w:rPr>
        <w:t>The Panel may also wish to consider the benefits of a single list of priority pests and diseases covering all sectors</w:t>
      </w:r>
      <w:r w:rsidR="005E5747">
        <w:rPr>
          <w:lang w:eastAsia="ja-JP"/>
        </w:rPr>
        <w:t xml:space="preserve"> </w:t>
      </w:r>
      <w:r w:rsidRPr="002C0479">
        <w:rPr>
          <w:lang w:eastAsia="ja-JP"/>
        </w:rPr>
        <w:t>…</w:t>
      </w:r>
      <w:r w:rsidR="005E5747">
        <w:rPr>
          <w:lang w:eastAsia="ja-JP"/>
        </w:rPr>
        <w:t xml:space="preserve"> </w:t>
      </w:r>
      <w:r w:rsidRPr="002C0479">
        <w:rPr>
          <w:lang w:eastAsia="ja-JP"/>
        </w:rPr>
        <w:t>As an alternative, it may be sufficient that all existing priority lists are consolidated in a centralised location to ensure greater accessibility. This may also make it easier to identify any gaps and make connections between pests and diseases in different sectors (sub. DR115).</w:t>
      </w:r>
    </w:p>
    <w:p w14:paraId="1B5AE9BB" w14:textId="51C85161" w:rsidR="002C0479" w:rsidRPr="002C0479" w:rsidRDefault="002C0479" w:rsidP="002C0479">
      <w:pPr>
        <w:rPr>
          <w:rFonts w:eastAsia="Calibri" w:cs="Times New Roman"/>
          <w:lang w:eastAsia="ja-JP"/>
        </w:rPr>
      </w:pPr>
      <w:r w:rsidRPr="002C0479">
        <w:rPr>
          <w:rFonts w:eastAsia="Calibri" w:cs="Times New Roman"/>
          <w:lang w:eastAsia="ja-JP"/>
        </w:rPr>
        <w:t xml:space="preserve">Given the comments received on the proposal contained in the </w:t>
      </w:r>
      <w:r w:rsidR="005C725D">
        <w:rPr>
          <w:rFonts w:eastAsia="Calibri" w:cs="Times New Roman"/>
          <w:lang w:eastAsia="ja-JP"/>
        </w:rPr>
        <w:t>d</w:t>
      </w:r>
      <w:r w:rsidRPr="002C0479">
        <w:rPr>
          <w:rFonts w:eastAsia="Calibri" w:cs="Times New Roman"/>
          <w:lang w:eastAsia="ja-JP"/>
        </w:rPr>
        <w:t xml:space="preserve">raft </w:t>
      </w:r>
      <w:r w:rsidR="005C725D">
        <w:rPr>
          <w:rFonts w:eastAsia="Calibri" w:cs="Times New Roman"/>
          <w:lang w:eastAsia="ja-JP"/>
        </w:rPr>
        <w:t>r</w:t>
      </w:r>
      <w:r w:rsidRPr="002C0479">
        <w:rPr>
          <w:rFonts w:eastAsia="Calibri" w:cs="Times New Roman"/>
          <w:lang w:eastAsia="ja-JP"/>
        </w:rPr>
        <w:t xml:space="preserve">eport, the </w:t>
      </w:r>
      <w:r w:rsidR="005C725D">
        <w:rPr>
          <w:rFonts w:eastAsia="Calibri" w:cs="Times New Roman"/>
          <w:lang w:eastAsia="ja-JP"/>
        </w:rPr>
        <w:t>p</w:t>
      </w:r>
      <w:r w:rsidRPr="002C0479">
        <w:rPr>
          <w:rFonts w:eastAsia="Calibri" w:cs="Times New Roman"/>
          <w:lang w:eastAsia="ja-JP"/>
        </w:rPr>
        <w:t>anel remains of the view that a set of national priorities needs to be deve</w:t>
      </w:r>
      <w:r w:rsidR="00D53BE6">
        <w:rPr>
          <w:rFonts w:eastAsia="Calibri" w:cs="Times New Roman"/>
          <w:lang w:eastAsia="ja-JP"/>
        </w:rPr>
        <w:t>loped and publicly articulated.</w:t>
      </w:r>
    </w:p>
    <w:p w14:paraId="0C1DBE25" w14:textId="52C94F31" w:rsidR="004B03F2" w:rsidRDefault="00C648D2" w:rsidP="004B03F2">
      <w:pPr>
        <w:pStyle w:val="Heading3"/>
        <w:rPr>
          <w:lang w:eastAsia="ja-JP"/>
        </w:rPr>
      </w:pPr>
      <w:bookmarkStart w:id="90" w:name="_Toc486236045"/>
      <w:r>
        <w:rPr>
          <w:lang w:eastAsia="ja-JP"/>
        </w:rPr>
        <w:t>Determining n</w:t>
      </w:r>
      <w:r w:rsidR="004B03F2">
        <w:rPr>
          <w:lang w:eastAsia="ja-JP"/>
        </w:rPr>
        <w:t xml:space="preserve">ational </w:t>
      </w:r>
      <w:r>
        <w:rPr>
          <w:lang w:eastAsia="ja-JP"/>
        </w:rPr>
        <w:t>p</w:t>
      </w:r>
      <w:r w:rsidR="004B03F2">
        <w:rPr>
          <w:lang w:eastAsia="ja-JP"/>
        </w:rPr>
        <w:t>riorities</w:t>
      </w:r>
      <w:bookmarkEnd w:id="90"/>
    </w:p>
    <w:p w14:paraId="72A86B02" w14:textId="30B3D156" w:rsidR="002C0479" w:rsidRPr="002C0479" w:rsidRDefault="002C0479" w:rsidP="002C0479">
      <w:pPr>
        <w:rPr>
          <w:rFonts w:eastAsia="Calibri" w:cs="Times New Roman"/>
          <w:lang w:eastAsia="ja-JP"/>
        </w:rPr>
      </w:pPr>
      <w:r w:rsidRPr="002C0479">
        <w:rPr>
          <w:rFonts w:eastAsia="Calibri" w:cs="Times New Roman"/>
          <w:lang w:eastAsia="ja-JP"/>
        </w:rPr>
        <w:t xml:space="preserve">Determining national priority pests and diseases is not a new idea. The Beale </w:t>
      </w:r>
      <w:r w:rsidR="005C725D">
        <w:rPr>
          <w:rFonts w:eastAsia="Calibri" w:cs="Times New Roman"/>
          <w:lang w:eastAsia="ja-JP"/>
        </w:rPr>
        <w:t>r</w:t>
      </w:r>
      <w:r w:rsidRPr="002C0479">
        <w:rPr>
          <w:rFonts w:eastAsia="Calibri" w:cs="Times New Roman"/>
          <w:lang w:eastAsia="ja-JP"/>
        </w:rPr>
        <w:t>eview (</w:t>
      </w:r>
      <w:hyperlink w:anchor="Beale_et_al_2008" w:history="1">
        <w:r w:rsidRPr="002C0479">
          <w:rPr>
            <w:rFonts w:eastAsia="Calibri" w:cs="Times New Roman"/>
            <w:color w:val="165788"/>
            <w:u w:val="single"/>
            <w:lang w:eastAsia="ja-JP"/>
          </w:rPr>
          <w:t>Beale et al. 2008</w:t>
        </w:r>
      </w:hyperlink>
      <w:r w:rsidRPr="002C0479">
        <w:rPr>
          <w:rFonts w:eastAsia="Calibri" w:cs="Times New Roman"/>
          <w:lang w:eastAsia="ja-JP"/>
        </w:rPr>
        <w:t xml:space="preserve">) identified the need for the development of a list of national priority </w:t>
      </w:r>
      <w:r w:rsidRPr="002C0479">
        <w:rPr>
          <w:rFonts w:eastAsia="Calibri" w:cs="Times New Roman"/>
          <w:lang w:eastAsia="ja-JP"/>
        </w:rPr>
        <w:lastRenderedPageBreak/>
        <w:t xml:space="preserve">exotic pests and diseases, with their respective pathways, on the basis of the likelihood of incursion and the pest and disease impacts (Beale Recommendation 45). The United States Government has a list of around </w:t>
      </w:r>
      <w:r w:rsidR="005C725D">
        <w:rPr>
          <w:rFonts w:eastAsia="Calibri" w:cs="Times New Roman"/>
          <w:lang w:eastAsia="ja-JP"/>
        </w:rPr>
        <w:t>fifty</w:t>
      </w:r>
      <w:r w:rsidRPr="002C0479">
        <w:rPr>
          <w:rFonts w:eastAsia="Calibri" w:cs="Times New Roman"/>
          <w:lang w:eastAsia="ja-JP"/>
        </w:rPr>
        <w:t xml:space="preserve"> to </w:t>
      </w:r>
      <w:r w:rsidR="005C725D">
        <w:rPr>
          <w:rFonts w:eastAsia="Calibri" w:cs="Times New Roman"/>
          <w:lang w:eastAsia="ja-JP"/>
        </w:rPr>
        <w:t>sixty</w:t>
      </w:r>
      <w:r w:rsidRPr="002C0479">
        <w:rPr>
          <w:rFonts w:eastAsia="Calibri" w:cs="Times New Roman"/>
          <w:lang w:eastAsia="ja-JP"/>
        </w:rPr>
        <w:t xml:space="preserve"> high-priority exotic plant pests and diseases identified as threats to domestic agriculture and/or the environment</w:t>
      </w:r>
      <w:r w:rsidRPr="002C0479" w:rsidDel="00681EE5">
        <w:rPr>
          <w:rFonts w:eastAsia="Calibri" w:cs="Times New Roman"/>
          <w:lang w:eastAsia="ja-JP"/>
        </w:rPr>
        <w:t xml:space="preserve"> </w:t>
      </w:r>
      <w:r w:rsidRPr="002C0479">
        <w:rPr>
          <w:rFonts w:eastAsia="Calibri" w:cs="Times New Roman"/>
          <w:lang w:eastAsia="ja-JP"/>
        </w:rPr>
        <w:t>(</w:t>
      </w:r>
      <w:hyperlink w:anchor="RSC_2015" w:history="1">
        <w:r w:rsidRPr="002C0479">
          <w:rPr>
            <w:rFonts w:eastAsia="Calibri" w:cs="Times New Roman"/>
            <w:color w:val="165788"/>
            <w:u w:val="single"/>
            <w:lang w:eastAsia="ja-JP"/>
          </w:rPr>
          <w:t>RSC 2015</w:t>
        </w:r>
      </w:hyperlink>
      <w:r w:rsidRPr="002C0479">
        <w:rPr>
          <w:rFonts w:eastAsia="Calibri" w:cs="Times New Roman"/>
          <w:lang w:eastAsia="ja-JP"/>
        </w:rPr>
        <w:t>), which forms the basis of its Cooperative Agricultural Pest Survey (CAPS) program, and the E</w:t>
      </w:r>
      <w:r w:rsidR="005C725D">
        <w:rPr>
          <w:rFonts w:eastAsia="Calibri" w:cs="Times New Roman"/>
          <w:lang w:eastAsia="ja-JP"/>
        </w:rPr>
        <w:t xml:space="preserve">uropean </w:t>
      </w:r>
      <w:r w:rsidRPr="002C0479">
        <w:rPr>
          <w:rFonts w:eastAsia="Calibri" w:cs="Times New Roman"/>
          <w:lang w:eastAsia="ja-JP"/>
        </w:rPr>
        <w:t>U</w:t>
      </w:r>
      <w:r w:rsidR="005C725D">
        <w:rPr>
          <w:rFonts w:eastAsia="Calibri" w:cs="Times New Roman"/>
          <w:lang w:eastAsia="ja-JP"/>
        </w:rPr>
        <w:t>nion (EU)</w:t>
      </w:r>
      <w:r w:rsidRPr="002C0479">
        <w:rPr>
          <w:rFonts w:eastAsia="Calibri" w:cs="Times New Roman"/>
          <w:lang w:eastAsia="ja-JP"/>
        </w:rPr>
        <w:t xml:space="preserve"> has a list of invasive alien species of concern (</w:t>
      </w:r>
      <w:r w:rsidRPr="00F54EE9">
        <w:rPr>
          <w:rFonts w:eastAsia="Calibri" w:cs="Times New Roman"/>
          <w:lang w:eastAsia="ja-JP"/>
        </w:rPr>
        <w:t>EU Implementing Regulation 2016</w:t>
      </w:r>
      <w:r w:rsidR="005C725D">
        <w:rPr>
          <w:rFonts w:eastAsia="Calibri" w:cs="Times New Roman"/>
          <w:lang w:eastAsia="ja-JP"/>
        </w:rPr>
        <w:t>–</w:t>
      </w:r>
      <w:r w:rsidRPr="00F54EE9">
        <w:rPr>
          <w:rFonts w:eastAsia="Calibri" w:cs="Times New Roman"/>
          <w:lang w:eastAsia="ja-JP"/>
        </w:rPr>
        <w:t>1141</w:t>
      </w:r>
      <w:r w:rsidRPr="002C0479">
        <w:rPr>
          <w:rFonts w:eastAsia="Calibri" w:cs="Times New Roman"/>
          <w:lang w:eastAsia="ja-JP"/>
        </w:rPr>
        <w:t>).</w:t>
      </w:r>
    </w:p>
    <w:p w14:paraId="421E1DB1" w14:textId="7278A9E3" w:rsidR="002C0479" w:rsidRPr="002C0479" w:rsidRDefault="002C0479" w:rsidP="002C0479">
      <w:pPr>
        <w:rPr>
          <w:rFonts w:eastAsia="Calibri" w:cs="Times New Roman"/>
          <w:lang w:eastAsia="ja-JP"/>
        </w:rPr>
      </w:pPr>
      <w:r w:rsidRPr="002C0479">
        <w:rPr>
          <w:rFonts w:eastAsia="Calibri" w:cs="Times New Roman"/>
          <w:lang w:eastAsia="ja-JP"/>
        </w:rPr>
        <w:t>While the concept of a national priority list is simple, its development would be far from simple. There are a myriad of factors to consider (for example, economic, environmental and social), many of which are not easily subject to quantification or comparison. Several submissions noted the difficulty in evaluating environmental values, for example. However, the Austra</w:t>
      </w:r>
      <w:r w:rsidR="00AA193A">
        <w:rPr>
          <w:rFonts w:eastAsia="Calibri" w:cs="Times New Roman"/>
          <w:lang w:eastAsia="ja-JP"/>
        </w:rPr>
        <w:t>lian Government concluded that ‘this is not insurmountable’</w:t>
      </w:r>
      <w:r w:rsidRPr="002C0479">
        <w:rPr>
          <w:rFonts w:eastAsia="Calibri" w:cs="Times New Roman"/>
          <w:lang w:eastAsia="ja-JP"/>
        </w:rPr>
        <w:t xml:space="preserve"> (sub. DR115).</w:t>
      </w:r>
    </w:p>
    <w:p w14:paraId="1865F3C8" w14:textId="79B52038" w:rsidR="002C0479" w:rsidRPr="002C0479" w:rsidRDefault="002C0479" w:rsidP="002C0479">
      <w:pPr>
        <w:rPr>
          <w:rFonts w:eastAsia="Calibri" w:cs="Times New Roman"/>
          <w:lang w:eastAsia="ja-JP"/>
        </w:rPr>
      </w:pPr>
      <w:r w:rsidRPr="002C0479">
        <w:rPr>
          <w:rFonts w:eastAsia="Calibri" w:cs="Times New Roman"/>
          <w:lang w:eastAsia="ja-JP"/>
        </w:rPr>
        <w:t xml:space="preserve">Some submissions also expressed concern that trade priorities would dominate such a list. The </w:t>
      </w:r>
      <w:r w:rsidR="00A35CE6">
        <w:rPr>
          <w:rFonts w:eastAsia="Calibri" w:cs="Times New Roman"/>
          <w:lang w:eastAsia="ja-JP"/>
        </w:rPr>
        <w:t>p</w:t>
      </w:r>
      <w:r w:rsidRPr="002C0479">
        <w:rPr>
          <w:rFonts w:eastAsia="Calibri" w:cs="Times New Roman"/>
          <w:lang w:eastAsia="ja-JP"/>
        </w:rPr>
        <w:t xml:space="preserve">anel recognises that it is often easier to evaluate returns where there is substantial trade, and there is a risk that trade priorities may be seen as having too great a weight in generating the national priority lists. However, the principles in the IGAB (as outlined above) are clear that the investments should be directed to where the greatest return to Australia can be achieved, not where the greatest trade return can be achieved. The </w:t>
      </w:r>
      <w:r w:rsidR="00A35CE6">
        <w:rPr>
          <w:rFonts w:eastAsia="Calibri" w:cs="Times New Roman"/>
          <w:lang w:eastAsia="ja-JP"/>
        </w:rPr>
        <w:t>p</w:t>
      </w:r>
      <w:r w:rsidRPr="002C0479">
        <w:rPr>
          <w:rFonts w:eastAsia="Calibri" w:cs="Times New Roman"/>
          <w:lang w:eastAsia="ja-JP"/>
        </w:rPr>
        <w:t xml:space="preserve">anel is confident that </w:t>
      </w:r>
      <w:r w:rsidR="003C2A51">
        <w:rPr>
          <w:rFonts w:eastAsia="Calibri" w:cs="Times New Roman"/>
          <w:lang w:eastAsia="ja-JP"/>
        </w:rPr>
        <w:t xml:space="preserve">the </w:t>
      </w:r>
      <w:r w:rsidRPr="002C0479">
        <w:rPr>
          <w:rFonts w:eastAsia="Calibri" w:cs="Times New Roman"/>
          <w:lang w:eastAsia="ja-JP"/>
        </w:rPr>
        <w:t>N</w:t>
      </w:r>
      <w:r w:rsidR="00A35CE6">
        <w:rPr>
          <w:rFonts w:eastAsia="Calibri" w:cs="Times New Roman"/>
          <w:lang w:eastAsia="ja-JP"/>
        </w:rPr>
        <w:t xml:space="preserve">ational </w:t>
      </w:r>
      <w:r w:rsidRPr="002C0479">
        <w:rPr>
          <w:rFonts w:eastAsia="Calibri" w:cs="Times New Roman"/>
          <w:lang w:eastAsia="ja-JP"/>
        </w:rPr>
        <w:t>B</w:t>
      </w:r>
      <w:r w:rsidR="00A35CE6">
        <w:rPr>
          <w:rFonts w:eastAsia="Calibri" w:cs="Times New Roman"/>
          <w:lang w:eastAsia="ja-JP"/>
        </w:rPr>
        <w:t xml:space="preserve">iosecurity </w:t>
      </w:r>
      <w:r w:rsidRPr="002C0479">
        <w:rPr>
          <w:rFonts w:eastAsia="Calibri" w:cs="Times New Roman"/>
          <w:lang w:eastAsia="ja-JP"/>
        </w:rPr>
        <w:t>C</w:t>
      </w:r>
      <w:r w:rsidR="00A35CE6">
        <w:rPr>
          <w:rFonts w:eastAsia="Calibri" w:cs="Times New Roman"/>
          <w:lang w:eastAsia="ja-JP"/>
        </w:rPr>
        <w:t>ommittee (NBC)</w:t>
      </w:r>
      <w:r w:rsidRPr="002C0479">
        <w:rPr>
          <w:rFonts w:eastAsia="Calibri" w:cs="Times New Roman"/>
          <w:lang w:eastAsia="ja-JP"/>
        </w:rPr>
        <w:t xml:space="preserve"> would focus on all relevant factors, not just trade alone</w:t>
      </w:r>
      <w:r w:rsidR="00A35CE6">
        <w:rPr>
          <w:rFonts w:eastAsia="Calibri" w:cs="Times New Roman"/>
          <w:lang w:eastAsia="ja-JP"/>
        </w:rPr>
        <w:t>—</w:t>
      </w:r>
      <w:r w:rsidRPr="002C0479">
        <w:rPr>
          <w:rFonts w:eastAsia="Calibri" w:cs="Times New Roman"/>
          <w:lang w:eastAsia="ja-JP"/>
        </w:rPr>
        <w:t>recognising</w:t>
      </w:r>
      <w:r w:rsidR="00A35CE6">
        <w:rPr>
          <w:rFonts w:eastAsia="Calibri" w:cs="Times New Roman"/>
          <w:lang w:eastAsia="ja-JP"/>
        </w:rPr>
        <w:t>,</w:t>
      </w:r>
      <w:r w:rsidRPr="002C0479">
        <w:rPr>
          <w:rFonts w:eastAsia="Calibri" w:cs="Times New Roman"/>
          <w:lang w:eastAsia="ja-JP"/>
        </w:rPr>
        <w:t xml:space="preserve"> of course</w:t>
      </w:r>
      <w:r w:rsidR="00A35CE6">
        <w:rPr>
          <w:rFonts w:eastAsia="Calibri" w:cs="Times New Roman"/>
          <w:lang w:eastAsia="ja-JP"/>
        </w:rPr>
        <w:t>,</w:t>
      </w:r>
      <w:r w:rsidRPr="002C0479">
        <w:rPr>
          <w:rFonts w:eastAsia="Calibri" w:cs="Times New Roman"/>
          <w:lang w:eastAsia="ja-JP"/>
        </w:rPr>
        <w:t xml:space="preserve"> that trade will be a significant component in any consideration.</w:t>
      </w:r>
    </w:p>
    <w:p w14:paraId="433A56E7" w14:textId="448FD7E3" w:rsidR="00E21B4F" w:rsidRPr="00E21B4F" w:rsidRDefault="00E21B4F" w:rsidP="00E21B4F">
      <w:pPr>
        <w:rPr>
          <w:rFonts w:eastAsia="Calibri" w:cs="Times New Roman"/>
          <w:lang w:eastAsia="ja-JP"/>
        </w:rPr>
      </w:pPr>
      <w:r w:rsidRPr="00E21B4F">
        <w:rPr>
          <w:rFonts w:eastAsia="Calibri" w:cs="Times New Roman"/>
          <w:lang w:eastAsia="ja-JP"/>
        </w:rPr>
        <w:t xml:space="preserve">The </w:t>
      </w:r>
      <w:r w:rsidR="00A35CE6">
        <w:rPr>
          <w:rFonts w:eastAsia="Calibri" w:cs="Times New Roman"/>
          <w:lang w:eastAsia="ja-JP"/>
        </w:rPr>
        <w:t>p</w:t>
      </w:r>
      <w:r w:rsidRPr="00E21B4F">
        <w:rPr>
          <w:rFonts w:eastAsia="Calibri" w:cs="Times New Roman"/>
          <w:lang w:eastAsia="ja-JP"/>
        </w:rPr>
        <w:t>anel acknowledges that a number of priority lists have been generated in different sectors</w:t>
      </w:r>
      <w:r w:rsidR="00A35CE6">
        <w:rPr>
          <w:rFonts w:eastAsia="Calibri" w:cs="Times New Roman"/>
          <w:lang w:eastAsia="ja-JP"/>
        </w:rPr>
        <w:t>:</w:t>
      </w:r>
    </w:p>
    <w:p w14:paraId="7BC2588E" w14:textId="729C6167" w:rsidR="00E21B4F" w:rsidRPr="00E21B4F" w:rsidRDefault="00206626" w:rsidP="00E21B4F">
      <w:pPr>
        <w:pStyle w:val="ListBullet"/>
        <w:rPr>
          <w:lang w:eastAsia="ja-JP"/>
        </w:rPr>
      </w:pPr>
      <w:r>
        <w:rPr>
          <w:lang w:eastAsia="ja-JP"/>
        </w:rPr>
        <w:t>T</w:t>
      </w:r>
      <w:r w:rsidR="00E21B4F" w:rsidRPr="00E21B4F">
        <w:rPr>
          <w:lang w:eastAsia="ja-JP"/>
        </w:rPr>
        <w:t xml:space="preserve">he AHC has agreed to a national list of notifiable animal diseases, based on the list of diseases notifiable to the OIE. A </w:t>
      </w:r>
      <w:hyperlink r:id="rId36" w:history="1">
        <w:r w:rsidR="00E21B4F" w:rsidRPr="00D53EEC">
          <w:rPr>
            <w:rStyle w:val="Hyperlink"/>
            <w:lang w:eastAsia="ja-JP"/>
          </w:rPr>
          <w:t>national list of reportable diseases of aquatic animals</w:t>
        </w:r>
      </w:hyperlink>
      <w:r w:rsidR="00E21B4F" w:rsidRPr="00E21B4F">
        <w:rPr>
          <w:lang w:eastAsia="ja-JP"/>
        </w:rPr>
        <w:t xml:space="preserve"> (</w:t>
      </w:r>
      <w:r w:rsidR="00A35CE6">
        <w:rPr>
          <w:lang w:eastAsia="ja-JP"/>
        </w:rPr>
        <w:t>fifty</w:t>
      </w:r>
      <w:r w:rsidR="00E21B4F" w:rsidRPr="00E21B4F">
        <w:rPr>
          <w:lang w:eastAsia="ja-JP"/>
        </w:rPr>
        <w:t xml:space="preserve"> as at April 2016) has also been agreed by the AHC</w:t>
      </w:r>
      <w:r w:rsidR="00E21B4F" w:rsidRPr="007E2E84">
        <w:rPr>
          <w:lang w:eastAsia="ja-JP"/>
        </w:rPr>
        <w:t>.</w:t>
      </w:r>
    </w:p>
    <w:p w14:paraId="2F9F0ECE" w14:textId="77777777" w:rsidR="00206626" w:rsidRPr="000C4167" w:rsidRDefault="00206626" w:rsidP="00206626">
      <w:pPr>
        <w:pStyle w:val="ListBullet"/>
        <w:rPr>
          <w:lang w:eastAsia="ja-JP"/>
        </w:rPr>
      </w:pPr>
      <w:r w:rsidRPr="000C4167">
        <w:rPr>
          <w:lang w:eastAsia="ja-JP"/>
        </w:rPr>
        <w:t>T</w:t>
      </w:r>
      <w:r w:rsidRPr="003666CA">
        <w:rPr>
          <w:lang w:eastAsia="ja-JP"/>
        </w:rPr>
        <w:t>he P</w:t>
      </w:r>
      <w:r>
        <w:rPr>
          <w:lang w:eastAsia="ja-JP"/>
        </w:rPr>
        <w:t xml:space="preserve">lant </w:t>
      </w:r>
      <w:r w:rsidRPr="003666CA">
        <w:rPr>
          <w:lang w:eastAsia="ja-JP"/>
        </w:rPr>
        <w:t>H</w:t>
      </w:r>
      <w:r>
        <w:rPr>
          <w:lang w:eastAsia="ja-JP"/>
        </w:rPr>
        <w:t xml:space="preserve">ealth </w:t>
      </w:r>
      <w:r w:rsidRPr="003666CA">
        <w:rPr>
          <w:lang w:eastAsia="ja-JP"/>
        </w:rPr>
        <w:t>C</w:t>
      </w:r>
      <w:r>
        <w:rPr>
          <w:lang w:eastAsia="ja-JP"/>
        </w:rPr>
        <w:t xml:space="preserve">ommittee (PHC) </w:t>
      </w:r>
      <w:r w:rsidRPr="003666CA">
        <w:rPr>
          <w:lang w:eastAsia="ja-JP"/>
        </w:rPr>
        <w:t>recently agreed its national ‘top 40’ priority plant pests and diseases</w:t>
      </w:r>
      <w:r>
        <w:rPr>
          <w:lang w:eastAsia="ja-JP"/>
        </w:rPr>
        <w:t>—</w:t>
      </w:r>
      <w:r w:rsidRPr="003666CA">
        <w:rPr>
          <w:lang w:eastAsia="ja-JP"/>
        </w:rPr>
        <w:t>a list endorsed by PHC members through a national elicitation process based on the best available information. The process focused on plant pests and diseases with predominantly agricultural impacts</w:t>
      </w:r>
      <w:r>
        <w:rPr>
          <w:lang w:eastAsia="ja-JP"/>
        </w:rPr>
        <w:t>;</w:t>
      </w:r>
      <w:r w:rsidRPr="003666CA">
        <w:rPr>
          <w:lang w:eastAsia="ja-JP"/>
        </w:rPr>
        <w:t xml:space="preserve"> however, some pests and diseases with environmental</w:t>
      </w:r>
      <w:r>
        <w:rPr>
          <w:lang w:eastAsia="ja-JP"/>
        </w:rPr>
        <w:t>/social amenity</w:t>
      </w:r>
      <w:r w:rsidRPr="003666CA">
        <w:rPr>
          <w:lang w:eastAsia="ja-JP"/>
        </w:rPr>
        <w:t xml:space="preserve"> impacts are included (for example, tramp ants and phytophthora</w:t>
      </w:r>
      <w:r w:rsidRPr="000C4167">
        <w:rPr>
          <w:lang w:eastAsia="ja-JP"/>
        </w:rPr>
        <w:t xml:space="preserve">). The </w:t>
      </w:r>
      <w:r>
        <w:rPr>
          <w:lang w:eastAsia="ja-JP"/>
        </w:rPr>
        <w:t>p</w:t>
      </w:r>
      <w:r w:rsidRPr="000C4167">
        <w:rPr>
          <w:lang w:eastAsia="ja-JP"/>
        </w:rPr>
        <w:t>anel also notes research being funded by the Plant Biosecurity C</w:t>
      </w:r>
      <w:r>
        <w:rPr>
          <w:lang w:eastAsia="ja-JP"/>
        </w:rPr>
        <w:t xml:space="preserve">ooperative </w:t>
      </w:r>
      <w:r w:rsidRPr="000C4167">
        <w:rPr>
          <w:lang w:eastAsia="ja-JP"/>
        </w:rPr>
        <w:t>R</w:t>
      </w:r>
      <w:r>
        <w:rPr>
          <w:lang w:eastAsia="ja-JP"/>
        </w:rPr>
        <w:t xml:space="preserve">esearch </w:t>
      </w:r>
      <w:r w:rsidRPr="000C4167">
        <w:rPr>
          <w:lang w:eastAsia="ja-JP"/>
        </w:rPr>
        <w:t>C</w:t>
      </w:r>
      <w:r>
        <w:rPr>
          <w:lang w:eastAsia="ja-JP"/>
        </w:rPr>
        <w:t>entre</w:t>
      </w:r>
      <w:r w:rsidRPr="000C4167">
        <w:rPr>
          <w:lang w:eastAsia="ja-JP"/>
        </w:rPr>
        <w:t xml:space="preserve"> to develop a Pathways and Risk Assessment Framework for High Impact [Plant] Species (PRAFHIS; </w:t>
      </w:r>
      <w:hyperlink r:id="rId37" w:history="1">
        <w:r w:rsidRPr="000C4167">
          <w:rPr>
            <w:color w:val="165788"/>
            <w:u w:val="single"/>
            <w:lang w:eastAsia="ja-JP"/>
          </w:rPr>
          <w:t>project 1109</w:t>
        </w:r>
      </w:hyperlink>
      <w:r>
        <w:rPr>
          <w:lang w:eastAsia="ja-JP"/>
        </w:rPr>
        <w:t>).</w:t>
      </w:r>
    </w:p>
    <w:p w14:paraId="69CC38BE" w14:textId="3CC2CD42" w:rsidR="00E21B4F" w:rsidRPr="00E21B4F" w:rsidRDefault="00E21B4F" w:rsidP="00E21B4F">
      <w:pPr>
        <w:pStyle w:val="ListBullet"/>
      </w:pPr>
      <w:r w:rsidRPr="00E21B4F">
        <w:rPr>
          <w:lang w:eastAsia="ja-JP"/>
        </w:rPr>
        <w:lastRenderedPageBreak/>
        <w:t xml:space="preserve">For environmental pests and diseases, work to determine national priorities cannot be readily located. The </w:t>
      </w:r>
      <w:r w:rsidR="00A35CE6">
        <w:rPr>
          <w:lang w:eastAsia="ja-JP"/>
        </w:rPr>
        <w:t>p</w:t>
      </w:r>
      <w:r w:rsidRPr="00E21B4F">
        <w:rPr>
          <w:lang w:eastAsia="ja-JP"/>
        </w:rPr>
        <w:t xml:space="preserve">anel is aware that work to determine priority marine pests and diseases is underway and that a number of biosecurity key threatening processes have been identified under the </w:t>
      </w:r>
      <w:r w:rsidRPr="00A35CE6">
        <w:rPr>
          <w:i/>
          <w:lang w:eastAsia="ja-JP"/>
        </w:rPr>
        <w:t>E</w:t>
      </w:r>
      <w:r w:rsidR="00A35CE6" w:rsidRPr="00A35CE6">
        <w:rPr>
          <w:i/>
          <w:lang w:eastAsia="ja-JP"/>
        </w:rPr>
        <w:t xml:space="preserve">nvironment </w:t>
      </w:r>
      <w:r w:rsidRPr="00A35CE6">
        <w:rPr>
          <w:i/>
          <w:lang w:eastAsia="ja-JP"/>
        </w:rPr>
        <w:t>P</w:t>
      </w:r>
      <w:r w:rsidR="00A35CE6" w:rsidRPr="00A35CE6">
        <w:rPr>
          <w:i/>
          <w:lang w:eastAsia="ja-JP"/>
        </w:rPr>
        <w:t xml:space="preserve">rotection and </w:t>
      </w:r>
      <w:r w:rsidRPr="00A35CE6">
        <w:rPr>
          <w:i/>
          <w:lang w:eastAsia="ja-JP"/>
        </w:rPr>
        <w:t>B</w:t>
      </w:r>
      <w:r w:rsidR="00A35CE6" w:rsidRPr="00A35CE6">
        <w:rPr>
          <w:i/>
          <w:lang w:eastAsia="ja-JP"/>
        </w:rPr>
        <w:t>iodiversity Conservation Act 1999</w:t>
      </w:r>
      <w:r w:rsidR="00A35CE6">
        <w:rPr>
          <w:lang w:eastAsia="ja-JP"/>
        </w:rPr>
        <w:t xml:space="preserve"> (Cwlth)</w:t>
      </w:r>
      <w:r w:rsidRPr="00E21B4F">
        <w:rPr>
          <w:lang w:eastAsia="ja-JP"/>
        </w:rPr>
        <w:t xml:space="preserve">. However, systematic prioritisation of risks to other ecosystems (freshwater, estuarine and terrestrial environments) is yet to be completed. The </w:t>
      </w:r>
      <w:r w:rsidR="00A35CE6">
        <w:rPr>
          <w:lang w:eastAsia="ja-JP"/>
        </w:rPr>
        <w:t>p</w:t>
      </w:r>
      <w:r w:rsidRPr="00E21B4F">
        <w:rPr>
          <w:lang w:eastAsia="ja-JP"/>
        </w:rPr>
        <w:t xml:space="preserve">anel notes that </w:t>
      </w:r>
      <w:r w:rsidR="00A35CE6">
        <w:rPr>
          <w:lang w:eastAsia="ja-JP"/>
        </w:rPr>
        <w:t xml:space="preserve">the </w:t>
      </w:r>
      <w:r w:rsidRPr="00E21B4F">
        <w:rPr>
          <w:lang w:eastAsia="ja-JP"/>
        </w:rPr>
        <w:t>A</w:t>
      </w:r>
      <w:r w:rsidR="00A35CE6">
        <w:rPr>
          <w:lang w:eastAsia="ja-JP"/>
        </w:rPr>
        <w:t xml:space="preserve">ustralian </w:t>
      </w:r>
      <w:r w:rsidRPr="00E21B4F">
        <w:rPr>
          <w:lang w:eastAsia="ja-JP"/>
        </w:rPr>
        <w:t>B</w:t>
      </w:r>
      <w:r w:rsidR="00A35CE6">
        <w:rPr>
          <w:lang w:eastAsia="ja-JP"/>
        </w:rPr>
        <w:t xml:space="preserve">ureau of </w:t>
      </w:r>
      <w:r w:rsidRPr="00E21B4F">
        <w:rPr>
          <w:lang w:eastAsia="ja-JP"/>
        </w:rPr>
        <w:t>A</w:t>
      </w:r>
      <w:r w:rsidR="00A35CE6">
        <w:rPr>
          <w:lang w:eastAsia="ja-JP"/>
        </w:rPr>
        <w:t xml:space="preserve">gricultural and </w:t>
      </w:r>
      <w:r w:rsidRPr="00E21B4F">
        <w:rPr>
          <w:lang w:eastAsia="ja-JP"/>
        </w:rPr>
        <w:t>R</w:t>
      </w:r>
      <w:r w:rsidR="00A35CE6">
        <w:rPr>
          <w:lang w:eastAsia="ja-JP"/>
        </w:rPr>
        <w:t xml:space="preserve">esources </w:t>
      </w:r>
      <w:r w:rsidRPr="00E21B4F">
        <w:rPr>
          <w:lang w:eastAsia="ja-JP"/>
        </w:rPr>
        <w:t>E</w:t>
      </w:r>
      <w:r w:rsidR="00A35CE6">
        <w:rPr>
          <w:lang w:eastAsia="ja-JP"/>
        </w:rPr>
        <w:t xml:space="preserve">conomics and </w:t>
      </w:r>
      <w:r w:rsidRPr="00E21B4F">
        <w:rPr>
          <w:lang w:eastAsia="ja-JP"/>
        </w:rPr>
        <w:t>S</w:t>
      </w:r>
      <w:r w:rsidR="00A35CE6">
        <w:rPr>
          <w:lang w:eastAsia="ja-JP"/>
        </w:rPr>
        <w:t>ciences (ABARES)</w:t>
      </w:r>
      <w:r w:rsidRPr="00E21B4F">
        <w:rPr>
          <w:lang w:eastAsia="ja-JP"/>
        </w:rPr>
        <w:t xml:space="preserve"> has commenced a project to identify potential exotic invasive species with predominantly environmental impacts, expected for publication in 2017. In addition, the </w:t>
      </w:r>
      <w:r w:rsidRPr="00E21B4F">
        <w:t>Invasive Species Council and Monash University have commenced a project to develop a national priority list of potential insect and plant disease invaders that could harm the natural environment and identify their likely pathways of arrival and impacts.</w:t>
      </w:r>
    </w:p>
    <w:p w14:paraId="3E28C2A0" w14:textId="15282467" w:rsidR="00E21B4F" w:rsidRPr="00F54EE9" w:rsidRDefault="00E21B4F" w:rsidP="00E21B4F">
      <w:pPr>
        <w:pStyle w:val="ListBullet"/>
        <w:rPr>
          <w:lang w:eastAsia="ja-JP"/>
        </w:rPr>
      </w:pPr>
      <w:r w:rsidRPr="00E21B4F">
        <w:rPr>
          <w:lang w:eastAsia="ja-JP"/>
        </w:rPr>
        <w:t xml:space="preserve">For exotic weeds, the </w:t>
      </w:r>
      <w:r w:rsidR="009B34A3">
        <w:rPr>
          <w:lang w:eastAsia="ja-JP"/>
        </w:rPr>
        <w:t>p</w:t>
      </w:r>
      <w:r w:rsidRPr="00E21B4F">
        <w:rPr>
          <w:lang w:eastAsia="ja-JP"/>
        </w:rPr>
        <w:t xml:space="preserve">anel notes that ABARES has commenced a weed threat assessment and categorisation process to identify priority threats and segment them between environment and production, expected for publication in 2017. The </w:t>
      </w:r>
      <w:r w:rsidR="009B34A3">
        <w:rPr>
          <w:lang w:eastAsia="ja-JP"/>
        </w:rPr>
        <w:t>p</w:t>
      </w:r>
      <w:r w:rsidRPr="00E21B4F">
        <w:rPr>
          <w:lang w:eastAsia="ja-JP"/>
        </w:rPr>
        <w:t xml:space="preserve">anel also notes the wide adoption of the Australian Weed Risk Assessment process in Australia since the late 1990s and its key role in determining the weed potential of plants proposed for import into </w:t>
      </w:r>
      <w:r w:rsidRPr="00F54EE9">
        <w:rPr>
          <w:lang w:eastAsia="ja-JP"/>
        </w:rPr>
        <w:t>Australia (</w:t>
      </w:r>
      <w:hyperlink w:anchor="Pheloung_et_al_2015" w:history="1">
        <w:r w:rsidRPr="00F54EE9">
          <w:rPr>
            <w:rStyle w:val="Hyperlink"/>
            <w:lang w:eastAsia="ja-JP"/>
          </w:rPr>
          <w:t>Pheloung et al. 1999</w:t>
        </w:r>
      </w:hyperlink>
      <w:r w:rsidRPr="00F54EE9">
        <w:rPr>
          <w:lang w:eastAsia="ja-JP"/>
        </w:rPr>
        <w:t>).</w:t>
      </w:r>
    </w:p>
    <w:p w14:paraId="3CBF4160" w14:textId="5E68097F" w:rsidR="00E21B4F" w:rsidRPr="00E21B4F" w:rsidRDefault="00E46700" w:rsidP="00E21B4F">
      <w:pPr>
        <w:pStyle w:val="ListBullet"/>
        <w:rPr>
          <w:lang w:eastAsia="ja-JP"/>
        </w:rPr>
      </w:pPr>
      <w:r w:rsidRPr="00F54EE9">
        <w:rPr>
          <w:lang w:eastAsia="ja-JP"/>
        </w:rPr>
        <w:t>The</w:t>
      </w:r>
      <w:r>
        <w:rPr>
          <w:lang w:eastAsia="ja-JP"/>
        </w:rPr>
        <w:t xml:space="preserve"> Australian Government</w:t>
      </w:r>
      <w:r w:rsidR="00EB3728">
        <w:rPr>
          <w:lang w:eastAsia="ja-JP"/>
        </w:rPr>
        <w:t xml:space="preserve"> agriculture department</w:t>
      </w:r>
      <w:r>
        <w:rPr>
          <w:lang w:eastAsia="ja-JP"/>
        </w:rPr>
        <w:t>’s R</w:t>
      </w:r>
      <w:r w:rsidR="00F0391A">
        <w:rPr>
          <w:lang w:eastAsia="ja-JP"/>
        </w:rPr>
        <w:t xml:space="preserve">isk </w:t>
      </w:r>
      <w:r>
        <w:rPr>
          <w:lang w:eastAsia="ja-JP"/>
        </w:rPr>
        <w:t>R</w:t>
      </w:r>
      <w:r w:rsidR="00F0391A">
        <w:rPr>
          <w:lang w:eastAsia="ja-JP"/>
        </w:rPr>
        <w:t xml:space="preserve">eturn </w:t>
      </w:r>
      <w:r>
        <w:rPr>
          <w:lang w:eastAsia="ja-JP"/>
        </w:rPr>
        <w:t>R</w:t>
      </w:r>
      <w:r w:rsidR="00F0391A">
        <w:rPr>
          <w:lang w:eastAsia="ja-JP"/>
        </w:rPr>
        <w:t xml:space="preserve">esource </w:t>
      </w:r>
      <w:r>
        <w:rPr>
          <w:lang w:eastAsia="ja-JP"/>
        </w:rPr>
        <w:t>A</w:t>
      </w:r>
      <w:r w:rsidR="00F0391A">
        <w:rPr>
          <w:lang w:eastAsia="ja-JP"/>
        </w:rPr>
        <w:t>llocation (RRRA)</w:t>
      </w:r>
      <w:r w:rsidR="00E21B4F" w:rsidRPr="00F54EE9">
        <w:rPr>
          <w:lang w:eastAsia="ja-JP"/>
        </w:rPr>
        <w:t xml:space="preserve"> model</w:t>
      </w:r>
      <w:r>
        <w:rPr>
          <w:lang w:eastAsia="ja-JP"/>
        </w:rPr>
        <w:t xml:space="preserve"> (</w:t>
      </w:r>
      <w:hyperlink w:anchor="_Appendix_E:_Risk" w:history="1">
        <w:r w:rsidR="002762F6" w:rsidRPr="002762F6">
          <w:rPr>
            <w:rStyle w:val="Hyperlink"/>
            <w:lang w:eastAsia="ja-JP"/>
          </w:rPr>
          <w:t>Appendix D</w:t>
        </w:r>
      </w:hyperlink>
      <w:r w:rsidRPr="000C4167">
        <w:rPr>
          <w:lang w:eastAsia="ja-JP"/>
        </w:rPr>
        <w:t>)</w:t>
      </w:r>
      <w:r w:rsidR="00E21B4F" w:rsidRPr="000C4167">
        <w:rPr>
          <w:lang w:eastAsia="ja-JP"/>
        </w:rPr>
        <w:t xml:space="preserve"> also</w:t>
      </w:r>
      <w:r w:rsidR="00E21B4F" w:rsidRPr="00F54EE9">
        <w:rPr>
          <w:lang w:eastAsia="ja-JP"/>
        </w:rPr>
        <w:t xml:space="preserve"> contains a matrix</w:t>
      </w:r>
      <w:r w:rsidR="00E21B4F" w:rsidRPr="00E21B4F">
        <w:rPr>
          <w:lang w:eastAsia="ja-JP"/>
        </w:rPr>
        <w:t xml:space="preserve"> of high-priority pests and diseases by pathway.</w:t>
      </w:r>
    </w:p>
    <w:p w14:paraId="103BE422" w14:textId="3669FB18" w:rsidR="00E21B4F" w:rsidRPr="00E21B4F" w:rsidRDefault="00E21B4F" w:rsidP="00E21B4F">
      <w:pPr>
        <w:rPr>
          <w:rFonts w:eastAsia="Calibri" w:cs="Times New Roman"/>
          <w:lang w:eastAsia="ja-JP"/>
        </w:rPr>
      </w:pPr>
      <w:r w:rsidRPr="00E21B4F">
        <w:rPr>
          <w:rFonts w:eastAsia="Calibri" w:cs="Times New Roman"/>
          <w:lang w:eastAsia="ja-JP"/>
        </w:rPr>
        <w:t xml:space="preserve">These lists are a good starting point but lack the consistency of approach to enable comparison or placement into a single, consolidated national list. They also do not contain the level of detail that the </w:t>
      </w:r>
      <w:r w:rsidR="00C13498">
        <w:rPr>
          <w:rFonts w:eastAsia="Calibri" w:cs="Times New Roman"/>
          <w:lang w:eastAsia="ja-JP"/>
        </w:rPr>
        <w:t>p</w:t>
      </w:r>
      <w:r w:rsidRPr="00E21B4F">
        <w:rPr>
          <w:rFonts w:eastAsia="Calibri" w:cs="Times New Roman"/>
          <w:lang w:eastAsia="ja-JP"/>
        </w:rPr>
        <w:t>anel envisages or the level of transparency desired. If investment decisions are to be made based on where the greatest return can be achieved</w:t>
      </w:r>
      <w:r w:rsidR="00C13498">
        <w:rPr>
          <w:rFonts w:eastAsia="Calibri" w:cs="Times New Roman"/>
          <w:lang w:eastAsia="ja-JP"/>
        </w:rPr>
        <w:t xml:space="preserve"> </w:t>
      </w:r>
      <w:r w:rsidRPr="00E21B4F">
        <w:rPr>
          <w:rFonts w:eastAsia="Calibri" w:cs="Times New Roman"/>
          <w:lang w:eastAsia="ja-JP"/>
        </w:rPr>
        <w:t>then it is essential that a consistent national approach is applied across all sectors so that an ‘apples with apples’ comparison is possible.</w:t>
      </w:r>
    </w:p>
    <w:p w14:paraId="64ABA12D" w14:textId="2DA9203E" w:rsidR="00E21B4F" w:rsidRPr="00E21B4F" w:rsidRDefault="00E21B4F" w:rsidP="00E21B4F">
      <w:pPr>
        <w:rPr>
          <w:rFonts w:eastAsia="Calibri" w:cs="Times New Roman"/>
          <w:lang w:eastAsia="ja-JP"/>
        </w:rPr>
      </w:pPr>
      <w:r w:rsidRPr="00E21B4F">
        <w:rPr>
          <w:rFonts w:eastAsia="Calibri" w:cs="Times New Roman"/>
          <w:lang w:eastAsia="ja-JP"/>
        </w:rPr>
        <w:t xml:space="preserve">As noted above, the Australian Government submitted that the </w:t>
      </w:r>
      <w:r w:rsidR="00C13498">
        <w:rPr>
          <w:rFonts w:eastAsia="Calibri" w:cs="Times New Roman"/>
          <w:lang w:eastAsia="ja-JP"/>
        </w:rPr>
        <w:t>p</w:t>
      </w:r>
      <w:r w:rsidRPr="00E21B4F">
        <w:rPr>
          <w:rFonts w:eastAsia="Calibri" w:cs="Times New Roman"/>
          <w:lang w:eastAsia="ja-JP"/>
        </w:rPr>
        <w:t xml:space="preserve">anel should consider the benefits of a single list instead of three lists as proposed in the IGAB </w:t>
      </w:r>
      <w:r w:rsidR="00C13498">
        <w:rPr>
          <w:rFonts w:eastAsia="Calibri" w:cs="Times New Roman"/>
          <w:lang w:eastAsia="ja-JP"/>
        </w:rPr>
        <w:t>r</w:t>
      </w:r>
      <w:r w:rsidRPr="00E21B4F">
        <w:rPr>
          <w:rFonts w:eastAsia="Calibri" w:cs="Times New Roman"/>
          <w:lang w:eastAsia="ja-JP"/>
        </w:rPr>
        <w:t xml:space="preserve">eview </w:t>
      </w:r>
      <w:r w:rsidR="00C13498">
        <w:rPr>
          <w:rFonts w:eastAsia="Calibri" w:cs="Times New Roman"/>
          <w:lang w:eastAsia="ja-JP"/>
        </w:rPr>
        <w:t>d</w:t>
      </w:r>
      <w:r w:rsidRPr="00E21B4F">
        <w:rPr>
          <w:rFonts w:eastAsia="Calibri" w:cs="Times New Roman"/>
          <w:lang w:eastAsia="ja-JP"/>
        </w:rPr>
        <w:t xml:space="preserve">raft </w:t>
      </w:r>
      <w:r w:rsidR="00C13498">
        <w:rPr>
          <w:rFonts w:eastAsia="Calibri" w:cs="Times New Roman"/>
          <w:lang w:eastAsia="ja-JP"/>
        </w:rPr>
        <w:t>r</w:t>
      </w:r>
      <w:r w:rsidRPr="00E21B4F">
        <w:rPr>
          <w:rFonts w:eastAsia="Calibri" w:cs="Times New Roman"/>
          <w:lang w:eastAsia="ja-JP"/>
        </w:rPr>
        <w:t xml:space="preserve">eport. There is merit in this suggestion given the IGAB’s requirement to invest where the greatest returns can be achieved. A single list could help facilitate this and could be a long-term objective. The </w:t>
      </w:r>
      <w:r w:rsidR="00C13498">
        <w:rPr>
          <w:rFonts w:eastAsia="Calibri" w:cs="Times New Roman"/>
          <w:lang w:eastAsia="ja-JP"/>
        </w:rPr>
        <w:t>p</w:t>
      </w:r>
      <w:r w:rsidRPr="00E21B4F">
        <w:rPr>
          <w:rFonts w:eastAsia="Calibri" w:cs="Times New Roman"/>
          <w:lang w:eastAsia="ja-JP"/>
        </w:rPr>
        <w:t>anel is aware of the existence of various ‘taxa blind’ risk assessment frameworks and protocols that could facilitate the move to a single list—including full risk assessment protocols (considering impact and likelihood of introduction and spread) such as Harmonia</w:t>
      </w:r>
      <w:r w:rsidRPr="00CB04F0">
        <w:rPr>
          <w:rFonts w:eastAsia="Calibri" w:cs="Times New Roman"/>
          <w:vertAlign w:val="superscript"/>
          <w:lang w:eastAsia="ja-JP"/>
        </w:rPr>
        <w:t xml:space="preserve">+ </w:t>
      </w:r>
      <w:r w:rsidRPr="00BD64B6">
        <w:rPr>
          <w:rFonts w:eastAsia="Calibri" w:cs="Times New Roman"/>
          <w:lang w:eastAsia="ja-JP"/>
        </w:rPr>
        <w:t>(</w:t>
      </w:r>
      <w:hyperlink w:anchor="Dhondt_et_al_2015" w:history="1">
        <w:r w:rsidRPr="00BD64B6">
          <w:rPr>
            <w:rStyle w:val="Hyperlink"/>
            <w:rFonts w:eastAsia="Calibri" w:cs="Times New Roman"/>
            <w:lang w:eastAsia="ja-JP"/>
          </w:rPr>
          <w:t>D’hondt</w:t>
        </w:r>
        <w:r w:rsidR="00CB04F0">
          <w:rPr>
            <w:rStyle w:val="Hyperlink"/>
            <w:rFonts w:eastAsia="Calibri" w:cs="Times New Roman"/>
            <w:lang w:eastAsia="ja-JP"/>
          </w:rPr>
          <w:t> </w:t>
        </w:r>
        <w:r w:rsidRPr="00BD64B6">
          <w:rPr>
            <w:rStyle w:val="Hyperlink"/>
            <w:rFonts w:eastAsia="Calibri" w:cs="Times New Roman"/>
            <w:lang w:eastAsia="ja-JP"/>
          </w:rPr>
          <w:t>et</w:t>
        </w:r>
        <w:r w:rsidR="00CB04F0">
          <w:rPr>
            <w:rStyle w:val="Hyperlink"/>
            <w:rFonts w:eastAsia="Calibri" w:cs="Times New Roman"/>
            <w:lang w:eastAsia="ja-JP"/>
          </w:rPr>
          <w:t> </w:t>
        </w:r>
        <w:r w:rsidRPr="00BD64B6">
          <w:rPr>
            <w:rStyle w:val="Hyperlink"/>
            <w:rFonts w:eastAsia="Calibri" w:cs="Times New Roman"/>
            <w:lang w:eastAsia="ja-JP"/>
          </w:rPr>
          <w:t>al. 2015</w:t>
        </w:r>
      </w:hyperlink>
      <w:r w:rsidRPr="00BD64B6">
        <w:rPr>
          <w:rFonts w:eastAsia="Calibri" w:cs="Times New Roman"/>
          <w:lang w:eastAsia="ja-JP"/>
        </w:rPr>
        <w:t xml:space="preserve">), and impact-only protocols </w:t>
      </w:r>
      <w:r w:rsidRPr="00BD64B6">
        <w:rPr>
          <w:rFonts w:eastAsia="Calibri" w:cs="Times New Roman"/>
          <w:lang w:eastAsia="ja-JP"/>
        </w:rPr>
        <w:lastRenderedPageBreak/>
        <w:t>such as the Generic Impact Scoring System (GISS) (</w:t>
      </w:r>
      <w:hyperlink w:anchor="Nentwig_et_al_2016" w:history="1">
        <w:r w:rsidRPr="00BD64B6">
          <w:rPr>
            <w:rStyle w:val="Hyperlink"/>
            <w:rFonts w:eastAsia="Calibri" w:cs="Times New Roman"/>
            <w:lang w:eastAsia="ja-JP"/>
          </w:rPr>
          <w:t>Nentwig</w:t>
        </w:r>
        <w:r w:rsidR="00CB04F0">
          <w:rPr>
            <w:rStyle w:val="Hyperlink"/>
            <w:rFonts w:eastAsia="Calibri" w:cs="Times New Roman"/>
            <w:lang w:eastAsia="ja-JP"/>
          </w:rPr>
          <w:t> </w:t>
        </w:r>
        <w:r w:rsidRPr="00BD64B6">
          <w:rPr>
            <w:rStyle w:val="Hyperlink"/>
            <w:rFonts w:eastAsia="Calibri" w:cs="Times New Roman"/>
            <w:lang w:eastAsia="ja-JP"/>
          </w:rPr>
          <w:t>et al. 2016</w:t>
        </w:r>
      </w:hyperlink>
      <w:r w:rsidRPr="00BD64B6">
        <w:rPr>
          <w:rFonts w:eastAsia="Calibri" w:cs="Times New Roman"/>
          <w:lang w:eastAsia="ja-JP"/>
        </w:rPr>
        <w:t>)—and encourages the NBC to examine the applicability such tools. That said, the</w:t>
      </w:r>
      <w:r w:rsidRPr="00E21B4F">
        <w:rPr>
          <w:rFonts w:eastAsia="Calibri" w:cs="Times New Roman"/>
          <w:lang w:eastAsia="ja-JP"/>
        </w:rPr>
        <w:t xml:space="preserve"> </w:t>
      </w:r>
      <w:r w:rsidR="00C13498">
        <w:rPr>
          <w:rFonts w:eastAsia="Calibri" w:cs="Times New Roman"/>
          <w:lang w:eastAsia="ja-JP"/>
        </w:rPr>
        <w:t>p</w:t>
      </w:r>
      <w:r w:rsidRPr="00E21B4F">
        <w:rPr>
          <w:rFonts w:eastAsia="Calibri" w:cs="Times New Roman"/>
          <w:lang w:eastAsia="ja-JP"/>
        </w:rPr>
        <w:t xml:space="preserve">anel remains of the view that </w:t>
      </w:r>
      <w:r w:rsidR="00C13498">
        <w:rPr>
          <w:rFonts w:eastAsia="Calibri" w:cs="Times New Roman"/>
          <w:lang w:eastAsia="ja-JP"/>
        </w:rPr>
        <w:t>it</w:t>
      </w:r>
      <w:r w:rsidRPr="00E21B4F">
        <w:rPr>
          <w:rFonts w:eastAsia="Calibri" w:cs="Times New Roman"/>
          <w:lang w:eastAsia="ja-JP"/>
        </w:rPr>
        <w:t xml:space="preserve"> is more practical in the short term</w:t>
      </w:r>
      <w:r w:rsidR="00C13498">
        <w:rPr>
          <w:rFonts w:eastAsia="Calibri" w:cs="Times New Roman"/>
          <w:lang w:eastAsia="ja-JP"/>
        </w:rPr>
        <w:t xml:space="preserve"> to have three lists</w:t>
      </w:r>
      <w:r w:rsidRPr="00E21B4F">
        <w:rPr>
          <w:rFonts w:eastAsia="Calibri" w:cs="Times New Roman"/>
          <w:lang w:eastAsia="ja-JP"/>
        </w:rPr>
        <w:t xml:space="preserve"> given the strong views and differences between the sectors. Creating three lists from the disparate lists that already exist, or are under preparation, will be challenging enough within the proposed timeframe without the complication of trying to consolidate animal, plant and environment lists into one list.</w:t>
      </w:r>
    </w:p>
    <w:p w14:paraId="2753175D" w14:textId="2601E426" w:rsidR="00E21B4F" w:rsidRPr="00E21B4F" w:rsidRDefault="00E21B4F" w:rsidP="00E21B4F">
      <w:pPr>
        <w:rPr>
          <w:rFonts w:eastAsia="Calibri" w:cs="Times New Roman"/>
          <w:lang w:eastAsia="ja-JP"/>
        </w:rPr>
      </w:pPr>
      <w:r w:rsidRPr="00E21B4F">
        <w:rPr>
          <w:rFonts w:eastAsia="Calibri" w:cs="Times New Roman"/>
          <w:lang w:eastAsia="ja-JP"/>
        </w:rPr>
        <w:t xml:space="preserve">The </w:t>
      </w:r>
      <w:r w:rsidR="00C13498">
        <w:rPr>
          <w:rFonts w:eastAsia="Calibri" w:cs="Times New Roman"/>
          <w:lang w:eastAsia="ja-JP"/>
        </w:rPr>
        <w:t>p</w:t>
      </w:r>
      <w:r w:rsidRPr="00E21B4F">
        <w:rPr>
          <w:rFonts w:eastAsia="Calibri" w:cs="Times New Roman"/>
          <w:lang w:eastAsia="ja-JP"/>
        </w:rPr>
        <w:t>anel has also considered the option of using pathways rather than pests and diseases as the first step in the prioritisation process. For border operations</w:t>
      </w:r>
      <w:r w:rsidR="00C13498">
        <w:rPr>
          <w:rFonts w:eastAsia="Calibri" w:cs="Times New Roman"/>
          <w:lang w:eastAsia="ja-JP"/>
        </w:rPr>
        <w:t>,</w:t>
      </w:r>
      <w:r w:rsidRPr="00E21B4F">
        <w:rPr>
          <w:rFonts w:eastAsia="Calibri" w:cs="Times New Roman"/>
          <w:lang w:eastAsia="ja-JP"/>
        </w:rPr>
        <w:t xml:space="preserve"> a pathway first approach has merit. If the pathways are well controlled then the risk of any pest or disease getting through is reduced. However, the </w:t>
      </w:r>
      <w:r w:rsidR="00C13498">
        <w:rPr>
          <w:rFonts w:eastAsia="Calibri" w:cs="Times New Roman"/>
          <w:lang w:eastAsia="ja-JP"/>
        </w:rPr>
        <w:t>p</w:t>
      </w:r>
      <w:r w:rsidRPr="00E21B4F">
        <w:rPr>
          <w:rFonts w:eastAsia="Calibri" w:cs="Times New Roman"/>
          <w:lang w:eastAsia="ja-JP"/>
        </w:rPr>
        <w:t>anel is not convinced that a pathway first approach suits all situations.</w:t>
      </w:r>
    </w:p>
    <w:p w14:paraId="50089041" w14:textId="247F4DE1" w:rsidR="004C6C20" w:rsidRPr="004C6C20" w:rsidRDefault="004C6C20" w:rsidP="004C6C20">
      <w:pPr>
        <w:rPr>
          <w:rFonts w:eastAsia="Calibri" w:cs="Times New Roman"/>
          <w:lang w:eastAsia="ja-JP"/>
        </w:rPr>
      </w:pPr>
      <w:r w:rsidRPr="004C6C20">
        <w:rPr>
          <w:rFonts w:eastAsia="Calibri" w:cs="Times New Roman"/>
          <w:lang w:eastAsia="ja-JP"/>
        </w:rPr>
        <w:t xml:space="preserve">The </w:t>
      </w:r>
      <w:r w:rsidR="00C13498">
        <w:rPr>
          <w:rFonts w:eastAsia="Calibri" w:cs="Times New Roman"/>
          <w:lang w:eastAsia="ja-JP"/>
        </w:rPr>
        <w:t>p</w:t>
      </w:r>
      <w:r w:rsidRPr="004C6C20">
        <w:rPr>
          <w:rFonts w:eastAsia="Calibri" w:cs="Times New Roman"/>
          <w:lang w:eastAsia="ja-JP"/>
        </w:rPr>
        <w:t>anel has concluded that the outcome will likely be the same</w:t>
      </w:r>
      <w:r w:rsidR="00C13498">
        <w:rPr>
          <w:rFonts w:eastAsia="Calibri" w:cs="Times New Roman"/>
          <w:lang w:eastAsia="ja-JP"/>
        </w:rPr>
        <w:t xml:space="preserve"> regardless of</w:t>
      </w:r>
      <w:r w:rsidRPr="004C6C20">
        <w:rPr>
          <w:rFonts w:eastAsia="Calibri" w:cs="Times New Roman"/>
          <w:lang w:eastAsia="ja-JP"/>
        </w:rPr>
        <w:t xml:space="preserve"> the approach taken.</w:t>
      </w:r>
      <w:r w:rsidR="005554F7" w:rsidRPr="005554F7">
        <w:rPr>
          <w:rFonts w:eastAsia="Calibri" w:cs="Times New Roman"/>
          <w:lang w:eastAsia="ja-JP"/>
        </w:rPr>
        <w:t xml:space="preserve"> It will also be the case that the pests and diseases lists will interact and certain actions and measures, such as inspection, fumigation or surveillance, will mitigate risk for multiple pests or diseases.</w:t>
      </w:r>
      <w:r w:rsidR="005554F7">
        <w:rPr>
          <w:rFonts w:eastAsia="Calibri" w:cs="Times New Roman"/>
          <w:lang w:eastAsia="ja-JP"/>
        </w:rPr>
        <w:t xml:space="preserve"> </w:t>
      </w:r>
      <w:r w:rsidRPr="004C6C20">
        <w:rPr>
          <w:rFonts w:eastAsia="Calibri" w:cs="Times New Roman"/>
          <w:lang w:eastAsia="ja-JP"/>
        </w:rPr>
        <w:t>As part of process to determine national priority pests and diseases, pathways will be identified (</w:t>
      </w:r>
      <w:hyperlink w:anchor="_Identifying_national_priority" w:history="1">
        <w:r w:rsidRPr="000C4167">
          <w:rPr>
            <w:rStyle w:val="Hyperlink"/>
            <w:rFonts w:eastAsia="Calibri" w:cs="Times New Roman"/>
            <w:lang w:eastAsia="ja-JP"/>
          </w:rPr>
          <w:t>section</w:t>
        </w:r>
        <w:r w:rsidR="000C4167" w:rsidRPr="000C4167">
          <w:rPr>
            <w:rStyle w:val="Hyperlink"/>
            <w:rFonts w:eastAsia="Calibri" w:cs="Times New Roman"/>
            <w:lang w:eastAsia="ja-JP"/>
          </w:rPr>
          <w:t xml:space="preserve"> 5.1.1</w:t>
        </w:r>
      </w:hyperlink>
      <w:r w:rsidRPr="000C4167">
        <w:rPr>
          <w:rFonts w:eastAsia="Calibri" w:cs="Times New Roman"/>
          <w:lang w:eastAsia="ja-JP"/>
        </w:rPr>
        <w:t>).</w:t>
      </w:r>
      <w:r w:rsidRPr="004C6C20">
        <w:rPr>
          <w:rFonts w:eastAsia="Calibri" w:cs="Times New Roman"/>
          <w:lang w:eastAsia="ja-JP"/>
        </w:rPr>
        <w:t xml:space="preserve"> When the full lists are compiled and compared</w:t>
      </w:r>
      <w:r w:rsidR="00C13498">
        <w:rPr>
          <w:rFonts w:eastAsia="Calibri" w:cs="Times New Roman"/>
          <w:lang w:eastAsia="ja-JP"/>
        </w:rPr>
        <w:t>,</w:t>
      </w:r>
      <w:r w:rsidRPr="004C6C20">
        <w:rPr>
          <w:rFonts w:eastAsia="Calibri" w:cs="Times New Roman"/>
          <w:lang w:eastAsia="ja-JP"/>
        </w:rPr>
        <w:t xml:space="preserve"> the common pathways will be clear. If pathways are considered first then the pests and diseases possible on that pathway will be identified, and when all the information is compiled it will be clear what pathways share common pests and/or diseases. This is not surprising</w:t>
      </w:r>
      <w:r w:rsidR="00C13498">
        <w:rPr>
          <w:rFonts w:eastAsia="Calibri" w:cs="Times New Roman"/>
          <w:lang w:eastAsia="ja-JP"/>
        </w:rPr>
        <w:t>,</w:t>
      </w:r>
      <w:r w:rsidRPr="004C6C20">
        <w:rPr>
          <w:rFonts w:eastAsia="Calibri" w:cs="Times New Roman"/>
          <w:lang w:eastAsia="ja-JP"/>
        </w:rPr>
        <w:t xml:space="preserve"> and the RRRA model’s pathway by pest/disease matrix is a good example of what the end result may well look like, </w:t>
      </w:r>
      <w:r w:rsidR="00C13498">
        <w:rPr>
          <w:rFonts w:eastAsia="Calibri" w:cs="Times New Roman"/>
          <w:lang w:eastAsia="ja-JP"/>
        </w:rPr>
        <w:t>al</w:t>
      </w:r>
      <w:r w:rsidRPr="004C6C20">
        <w:rPr>
          <w:rFonts w:eastAsia="Calibri" w:cs="Times New Roman"/>
          <w:lang w:eastAsia="ja-JP"/>
        </w:rPr>
        <w:t xml:space="preserve">though this matrix is not publicly available. The </w:t>
      </w:r>
      <w:r w:rsidR="00C13498">
        <w:rPr>
          <w:rFonts w:eastAsia="Calibri" w:cs="Times New Roman"/>
          <w:lang w:eastAsia="ja-JP"/>
        </w:rPr>
        <w:t>p</w:t>
      </w:r>
      <w:r w:rsidRPr="004C6C20">
        <w:rPr>
          <w:rFonts w:eastAsia="Calibri" w:cs="Times New Roman"/>
          <w:lang w:eastAsia="ja-JP"/>
        </w:rPr>
        <w:t>anel also considers that priority species lists will be more ‘user friendly’ for industry and community stakeholders</w:t>
      </w:r>
      <w:r w:rsidR="00C13498">
        <w:rPr>
          <w:rFonts w:eastAsia="Calibri" w:cs="Times New Roman"/>
          <w:lang w:eastAsia="ja-JP"/>
        </w:rPr>
        <w:t>,</w:t>
      </w:r>
      <w:r w:rsidRPr="004C6C20">
        <w:rPr>
          <w:rFonts w:eastAsia="Calibri" w:cs="Times New Roman"/>
          <w:lang w:eastAsia="ja-JP"/>
        </w:rPr>
        <w:t xml:space="preserve"> whereas governments may prefer to sort the final lists based on common or high-risk pathways, or by classes of pests and diseases.</w:t>
      </w:r>
    </w:p>
    <w:p w14:paraId="497E9E64" w14:textId="42DB7CCA" w:rsidR="00E21B4F" w:rsidRPr="00E21B4F" w:rsidRDefault="00E21B4F" w:rsidP="00E21B4F">
      <w:pPr>
        <w:rPr>
          <w:rFonts w:eastAsia="Calibri" w:cs="Times New Roman"/>
          <w:lang w:eastAsia="ja-JP"/>
        </w:rPr>
      </w:pPr>
      <w:r w:rsidRPr="00E21B4F">
        <w:rPr>
          <w:rFonts w:eastAsia="Calibri" w:cs="Times New Roman"/>
          <w:lang w:eastAsia="ja-JP"/>
        </w:rPr>
        <w:t xml:space="preserve">On balance, the </w:t>
      </w:r>
      <w:r w:rsidR="00C13498">
        <w:rPr>
          <w:rFonts w:eastAsia="Calibri" w:cs="Times New Roman"/>
          <w:lang w:eastAsia="ja-JP"/>
        </w:rPr>
        <w:t>p</w:t>
      </w:r>
      <w:r w:rsidRPr="00E21B4F">
        <w:rPr>
          <w:rFonts w:eastAsia="Calibri" w:cs="Times New Roman"/>
          <w:lang w:eastAsia="ja-JP"/>
        </w:rPr>
        <w:t>anel considers that the pest and disease first approach is preferable to the pathway first approach at this time.</w:t>
      </w:r>
    </w:p>
    <w:p w14:paraId="198F3B6C" w14:textId="24F3950B" w:rsidR="00E21B4F" w:rsidRPr="00E21B4F" w:rsidRDefault="00E21B4F" w:rsidP="00E21B4F">
      <w:pPr>
        <w:rPr>
          <w:rFonts w:eastAsia="Calibri" w:cs="Times New Roman"/>
          <w:lang w:eastAsia="ja-JP"/>
        </w:rPr>
      </w:pPr>
      <w:r w:rsidRPr="00E21B4F">
        <w:rPr>
          <w:rFonts w:eastAsia="Calibri" w:cs="Times New Roman"/>
          <w:lang w:eastAsia="ja-JP"/>
        </w:rPr>
        <w:t>For the national priority lists to have broad support and effective implementation</w:t>
      </w:r>
      <w:r w:rsidR="00C13498">
        <w:rPr>
          <w:rFonts w:eastAsia="Calibri" w:cs="Times New Roman"/>
          <w:lang w:eastAsia="ja-JP"/>
        </w:rPr>
        <w:t>,</w:t>
      </w:r>
      <w:r w:rsidRPr="00E21B4F">
        <w:rPr>
          <w:rFonts w:eastAsia="Calibri" w:cs="Times New Roman"/>
          <w:lang w:eastAsia="ja-JP"/>
        </w:rPr>
        <w:t xml:space="preserve"> two further requirements are needed. First, the lists need to be developed in consultation with industry and the community so that they reflect their concerns. Second, the lists need to be transparent so the priorities are clear to all system participants and to enable participants to establish how they can contribute to t</w:t>
      </w:r>
      <w:r w:rsidR="00B17031">
        <w:rPr>
          <w:rFonts w:eastAsia="Calibri" w:cs="Times New Roman"/>
          <w:lang w:eastAsia="ja-JP"/>
        </w:rPr>
        <w:t>he work.</w:t>
      </w:r>
    </w:p>
    <w:p w14:paraId="6638D752" w14:textId="71DCEB41" w:rsidR="00E21B4F" w:rsidRDefault="00E21B4F" w:rsidP="00693D00">
      <w:pPr>
        <w:rPr>
          <w:rFonts w:eastAsia="Calibri" w:cs="Times New Roman"/>
          <w:lang w:eastAsia="ja-JP"/>
        </w:rPr>
      </w:pPr>
      <w:r w:rsidRPr="00E21B4F">
        <w:rPr>
          <w:rFonts w:eastAsia="Calibri" w:cs="Times New Roman"/>
          <w:lang w:eastAsia="ja-JP"/>
        </w:rPr>
        <w:t xml:space="preserve">While transparency may lead to disagreements between sectors on the prioritisation process and outcomes, and/or whether a sector is getting its share of investments, a </w:t>
      </w:r>
      <w:r w:rsidRPr="00E21B4F">
        <w:rPr>
          <w:rFonts w:eastAsia="Calibri" w:cs="Times New Roman"/>
          <w:lang w:eastAsia="ja-JP"/>
        </w:rPr>
        <w:lastRenderedPageBreak/>
        <w:t xml:space="preserve">lack of transparency may lead to even more disquiet due to concerns that a sector’s priorities may have been omitted. The </w:t>
      </w:r>
      <w:r w:rsidR="00C13498">
        <w:rPr>
          <w:rFonts w:eastAsia="Calibri" w:cs="Times New Roman"/>
          <w:lang w:eastAsia="ja-JP"/>
        </w:rPr>
        <w:t>p</w:t>
      </w:r>
      <w:r w:rsidRPr="00E21B4F">
        <w:rPr>
          <w:rFonts w:eastAsia="Calibri" w:cs="Times New Roman"/>
          <w:lang w:eastAsia="ja-JP"/>
        </w:rPr>
        <w:t xml:space="preserve">anel also acknowledges that there is a chance that trading partners may seek to use the lists to their advantage but considers the benefits of transparency outweigh the costs. </w:t>
      </w:r>
      <w:r w:rsidR="00511C93" w:rsidRPr="00511C93">
        <w:rPr>
          <w:rFonts w:eastAsia="Calibri" w:cs="Times New Roman"/>
          <w:lang w:eastAsia="ja-JP"/>
        </w:rPr>
        <w:t>It is not intended that the lists impact on Australia’s trade obligations or override actions to consider priorities of countries wishing to export to Australia and where risk analysis will examine a range of potential pests and diseases.</w:t>
      </w:r>
    </w:p>
    <w:p w14:paraId="52A02ABF" w14:textId="454DACEB" w:rsidR="004B03F2" w:rsidRDefault="00B03462" w:rsidP="00223E7E">
      <w:pPr>
        <w:pStyle w:val="Heading4"/>
        <w:keepNext/>
        <w:rPr>
          <w:lang w:eastAsia="ja-JP"/>
        </w:rPr>
      </w:pPr>
      <w:bookmarkStart w:id="91" w:name="_Identifying_national_priority"/>
      <w:bookmarkEnd w:id="91"/>
      <w:r>
        <w:rPr>
          <w:lang w:eastAsia="ja-JP"/>
        </w:rPr>
        <w:t xml:space="preserve">Stage 1: </w:t>
      </w:r>
      <w:r w:rsidR="004C6C20">
        <w:rPr>
          <w:lang w:eastAsia="ja-JP"/>
        </w:rPr>
        <w:t>Identifying national priority pests and diseases</w:t>
      </w:r>
    </w:p>
    <w:p w14:paraId="032F47AE" w14:textId="35914950" w:rsidR="00E46700" w:rsidRDefault="00CB04F0" w:rsidP="00223E7E">
      <w:pPr>
        <w:keepNext/>
        <w:rPr>
          <w:lang w:eastAsia="ja-JP"/>
        </w:rPr>
      </w:pPr>
      <w:r>
        <w:rPr>
          <w:lang w:eastAsia="ja-JP"/>
        </w:rPr>
        <w:t>The following process should be used to determine priority pests and diseases:</w:t>
      </w:r>
    </w:p>
    <w:p w14:paraId="03878609" w14:textId="433A1194" w:rsidR="004C6C20" w:rsidRPr="004C6C20" w:rsidRDefault="004C6C20" w:rsidP="00F52E7F">
      <w:pPr>
        <w:pStyle w:val="ListNumber"/>
        <w:rPr>
          <w:rStyle w:val="Strong"/>
          <w:b w:val="0"/>
        </w:rPr>
      </w:pPr>
      <w:r w:rsidRPr="00736085">
        <w:rPr>
          <w:rStyle w:val="Strong"/>
        </w:rPr>
        <w:t>Identify pests and diseases of concern</w:t>
      </w:r>
      <w:r w:rsidRPr="004C6C20">
        <w:rPr>
          <w:rStyle w:val="Strong"/>
        </w:rPr>
        <w:t xml:space="preserve">: </w:t>
      </w:r>
      <w:r w:rsidRPr="00736085">
        <w:rPr>
          <w:rStyle w:val="Strong"/>
          <w:b w:val="0"/>
          <w:bCs w:val="0"/>
        </w:rPr>
        <w:t>The</w:t>
      </w:r>
      <w:r w:rsidRPr="004C6C20">
        <w:rPr>
          <w:rStyle w:val="Strong"/>
          <w:b w:val="0"/>
        </w:rPr>
        <w:t xml:space="preserve"> relevant NBC sectoral committee should identify all exotic pests and diseases of concern (animal, plant and environmental), incorporating advice from industry or community members (as relevant), experts and other key system partners.</w:t>
      </w:r>
    </w:p>
    <w:p w14:paraId="012DAA91" w14:textId="18A57F29" w:rsidR="004C6C20" w:rsidRPr="004C6C20" w:rsidRDefault="004C6C20" w:rsidP="00736085">
      <w:pPr>
        <w:pStyle w:val="ListNumber"/>
        <w:rPr>
          <w:rStyle w:val="Strong"/>
          <w:b w:val="0"/>
        </w:rPr>
      </w:pPr>
      <w:r w:rsidRPr="004C6C20">
        <w:rPr>
          <w:rStyle w:val="Strong"/>
          <w:bCs w:val="0"/>
        </w:rPr>
        <w:t>Conduct preliminary risk assessment</w:t>
      </w:r>
      <w:r w:rsidRPr="004C6C20">
        <w:rPr>
          <w:rStyle w:val="Strong"/>
        </w:rPr>
        <w:t xml:space="preserve">: </w:t>
      </w:r>
      <w:r w:rsidRPr="004C6C20">
        <w:rPr>
          <w:rStyle w:val="Strong"/>
          <w:b w:val="0"/>
        </w:rPr>
        <w:t>To be considered a national priority, the compiled list must be assessed against thresholds or criteria. This would include that they are limited to pests and diseases with national impact (economic (including trade), environmental or social); have a pathway of introduction; have the potential to spread or establish in Australia; and there is a clear benefit from national effort and/or response. This process, which would serve as a preliminary risk assessment, should involve subject matter experts and expertise beyond the relevant sectoral committee. Thematic thinking o</w:t>
      </w:r>
      <w:r w:rsidR="006C36B1">
        <w:rPr>
          <w:rStyle w:val="Strong"/>
          <w:b w:val="0"/>
        </w:rPr>
        <w:t>n</w:t>
      </w:r>
      <w:r w:rsidRPr="004C6C20">
        <w:rPr>
          <w:rStyle w:val="Strong"/>
          <w:b w:val="0"/>
        </w:rPr>
        <w:t xml:space="preserve"> targeting pests and pathways should also be incorporated in the assessment process.</w:t>
      </w:r>
    </w:p>
    <w:p w14:paraId="4FF51EFE" w14:textId="77777777" w:rsidR="004C6C20" w:rsidRPr="004C6C20" w:rsidRDefault="004C6C20" w:rsidP="004C6C20">
      <w:pPr>
        <w:pStyle w:val="ListNumber"/>
        <w:numPr>
          <w:ilvl w:val="0"/>
          <w:numId w:val="0"/>
        </w:numPr>
        <w:ind w:left="567"/>
        <w:rPr>
          <w:rStyle w:val="Strong"/>
          <w:b w:val="0"/>
        </w:rPr>
      </w:pPr>
      <w:r w:rsidRPr="004C6C20">
        <w:rPr>
          <w:rStyle w:val="Strong"/>
          <w:b w:val="0"/>
        </w:rPr>
        <w:t>Pests and diseases that do not meet the national thresholds or criteria could continue to be managed appropriately by jurisdictions and/or the relevant industry or industries.</w:t>
      </w:r>
    </w:p>
    <w:p w14:paraId="09B2D776" w14:textId="77777777" w:rsidR="004C6C20" w:rsidRPr="004C6C20" w:rsidRDefault="004C6C20" w:rsidP="00736085">
      <w:pPr>
        <w:pStyle w:val="ListNumber"/>
        <w:rPr>
          <w:rStyle w:val="Strong"/>
          <w:b w:val="0"/>
        </w:rPr>
      </w:pPr>
      <w:r w:rsidRPr="004C6C20">
        <w:rPr>
          <w:rStyle w:val="Strong"/>
          <w:bCs w:val="0"/>
        </w:rPr>
        <w:t>Establish a priority list</w:t>
      </w:r>
      <w:r w:rsidRPr="004C6C20">
        <w:rPr>
          <w:rStyle w:val="Strong"/>
        </w:rPr>
        <w:t xml:space="preserve">: </w:t>
      </w:r>
      <w:r w:rsidRPr="004C6C20">
        <w:rPr>
          <w:rStyle w:val="Strong"/>
          <w:b w:val="0"/>
        </w:rPr>
        <w:t>The relevant NBC sectoral committee agrees and publishes the national lists for priority animal, plant and environmental pests and diseases.</w:t>
      </w:r>
    </w:p>
    <w:p w14:paraId="2D007900" w14:textId="0918A1C5" w:rsidR="004C6C20" w:rsidRPr="004C6C20" w:rsidRDefault="004C6C20" w:rsidP="004C6C20">
      <w:pPr>
        <w:rPr>
          <w:rFonts w:eastAsia="Calibri" w:cs="Times New Roman"/>
          <w:lang w:eastAsia="ja-JP"/>
        </w:rPr>
      </w:pPr>
      <w:r w:rsidRPr="004C6C20">
        <w:rPr>
          <w:rFonts w:eastAsia="Calibri" w:cs="Times New Roman"/>
          <w:lang w:eastAsia="ja-JP"/>
        </w:rPr>
        <w:t>The priority lists will not be static. It should be expected that new and unanticipated risks will arise from time to time, and attention will need to be given to their inclusion. The U</w:t>
      </w:r>
      <w:r w:rsidR="00810DCF">
        <w:rPr>
          <w:rFonts w:eastAsia="Calibri" w:cs="Times New Roman"/>
          <w:lang w:eastAsia="ja-JP"/>
        </w:rPr>
        <w:t>nited States</w:t>
      </w:r>
      <w:r w:rsidRPr="004C6C20">
        <w:rPr>
          <w:rFonts w:eastAsia="Calibri" w:cs="Times New Roman"/>
          <w:lang w:eastAsia="ja-JP"/>
        </w:rPr>
        <w:t xml:space="preserve"> Government reviews its prioritised exotic plant pests and diseases list every two years (</w:t>
      </w:r>
      <w:hyperlink w:anchor="RSC_2015" w:history="1">
        <w:r w:rsidRPr="004C6C20">
          <w:rPr>
            <w:rFonts w:eastAsia="Calibri" w:cs="Times New Roman"/>
            <w:color w:val="165788"/>
            <w:u w:val="single"/>
            <w:lang w:eastAsia="ja-JP"/>
          </w:rPr>
          <w:t>RSC 2015</w:t>
        </w:r>
      </w:hyperlink>
      <w:r w:rsidRPr="004C6C20">
        <w:rPr>
          <w:rFonts w:eastAsia="Calibri" w:cs="Times New Roman"/>
          <w:lang w:eastAsia="ja-JP"/>
        </w:rPr>
        <w:t xml:space="preserve">), and the </w:t>
      </w:r>
      <w:r w:rsidR="00810DCF" w:rsidRPr="004C6C20">
        <w:rPr>
          <w:rFonts w:eastAsia="Calibri" w:cs="Times New Roman"/>
          <w:lang w:eastAsia="ja-JP"/>
        </w:rPr>
        <w:t>E</w:t>
      </w:r>
      <w:r w:rsidR="00810DCF">
        <w:rPr>
          <w:rFonts w:eastAsia="Calibri" w:cs="Times New Roman"/>
          <w:lang w:eastAsia="ja-JP"/>
        </w:rPr>
        <w:t xml:space="preserve">uropean </w:t>
      </w:r>
      <w:r w:rsidRPr="004C6C20">
        <w:rPr>
          <w:rFonts w:eastAsia="Calibri" w:cs="Times New Roman"/>
          <w:lang w:eastAsia="ja-JP"/>
        </w:rPr>
        <w:t>U</w:t>
      </w:r>
      <w:r w:rsidR="00810DCF">
        <w:rPr>
          <w:rFonts w:eastAsia="Calibri" w:cs="Times New Roman"/>
          <w:lang w:eastAsia="ja-JP"/>
        </w:rPr>
        <w:t>nion</w:t>
      </w:r>
      <w:r w:rsidRPr="004C6C20">
        <w:rPr>
          <w:rFonts w:eastAsia="Calibri" w:cs="Times New Roman"/>
          <w:lang w:eastAsia="ja-JP"/>
        </w:rPr>
        <w:t xml:space="preserve"> reviews its list every six years. Given the resources that are likely required to complete the initial Australian lists, and their biosecurity requirements, a review at least every five years seems appropriate.</w:t>
      </w:r>
    </w:p>
    <w:p w14:paraId="69D66DAC" w14:textId="7C9BB5DA" w:rsidR="004B03F2" w:rsidRDefault="00B03462" w:rsidP="00BB1185">
      <w:pPr>
        <w:pStyle w:val="Heading4"/>
        <w:rPr>
          <w:lang w:eastAsia="ja-JP"/>
        </w:rPr>
      </w:pPr>
      <w:bookmarkStart w:id="92" w:name="_Filling_out_the"/>
      <w:bookmarkEnd w:id="92"/>
      <w:r>
        <w:rPr>
          <w:lang w:eastAsia="ja-JP"/>
        </w:rPr>
        <w:t xml:space="preserve">Stage 2: </w:t>
      </w:r>
      <w:r w:rsidR="00BB1185">
        <w:rPr>
          <w:lang w:eastAsia="ja-JP"/>
        </w:rPr>
        <w:t>Completing the</w:t>
      </w:r>
      <w:r w:rsidR="004B03F2">
        <w:rPr>
          <w:lang w:eastAsia="ja-JP"/>
        </w:rPr>
        <w:t xml:space="preserve"> picture—</w:t>
      </w:r>
      <w:r w:rsidR="004D13BF">
        <w:rPr>
          <w:lang w:eastAsia="ja-JP"/>
        </w:rPr>
        <w:t>p</w:t>
      </w:r>
      <w:r w:rsidR="004B03F2">
        <w:rPr>
          <w:lang w:eastAsia="ja-JP"/>
        </w:rPr>
        <w:t>est and disease acti</w:t>
      </w:r>
      <w:r w:rsidR="00BB1185">
        <w:rPr>
          <w:lang w:eastAsia="ja-JP"/>
        </w:rPr>
        <w:t>on</w:t>
      </w:r>
      <w:r w:rsidR="004B03F2">
        <w:rPr>
          <w:lang w:eastAsia="ja-JP"/>
        </w:rPr>
        <w:t xml:space="preserve"> plan</w:t>
      </w:r>
      <w:r w:rsidR="00BB1185">
        <w:rPr>
          <w:lang w:eastAsia="ja-JP"/>
        </w:rPr>
        <w:t>s</w:t>
      </w:r>
    </w:p>
    <w:p w14:paraId="0EFDD0AE" w14:textId="35F2673C" w:rsidR="00BB1185" w:rsidRDefault="00693D00" w:rsidP="00DE19DC">
      <w:pPr>
        <w:keepNext/>
        <w:rPr>
          <w:lang w:eastAsia="ja-JP"/>
        </w:rPr>
      </w:pPr>
      <w:r>
        <w:rPr>
          <w:lang w:eastAsia="ja-JP"/>
        </w:rPr>
        <w:lastRenderedPageBreak/>
        <w:t>Once a national priority list has been agreed, the relevant</w:t>
      </w:r>
      <w:r w:rsidR="004D13BF">
        <w:rPr>
          <w:lang w:eastAsia="ja-JP"/>
        </w:rPr>
        <w:t xml:space="preserve"> NBC</w:t>
      </w:r>
      <w:r>
        <w:rPr>
          <w:lang w:eastAsia="ja-JP"/>
        </w:rPr>
        <w:t xml:space="preserve"> sectoral committee, with involvement of relevant system participants, </w:t>
      </w:r>
      <w:r w:rsidR="00BB1185" w:rsidRPr="00BB1185">
        <w:rPr>
          <w:rFonts w:eastAsia="Calibri" w:cs="Times New Roman"/>
          <w:lang w:eastAsia="ja-JP"/>
        </w:rPr>
        <w:t>should determine the planning activities required for each national priority pest and disease. This should include:</w:t>
      </w:r>
    </w:p>
    <w:p w14:paraId="7413F901" w14:textId="5C17462A" w:rsidR="00693D00" w:rsidRPr="00BA0BB6" w:rsidRDefault="00BB1185" w:rsidP="008B4496">
      <w:pPr>
        <w:pStyle w:val="ListNumber"/>
        <w:numPr>
          <w:ilvl w:val="0"/>
          <w:numId w:val="11"/>
        </w:numPr>
      </w:pPr>
      <w:r>
        <w:rPr>
          <w:rStyle w:val="Strong"/>
        </w:rPr>
        <w:t>Detailed r</w:t>
      </w:r>
      <w:r w:rsidR="00693D00" w:rsidRPr="00453187">
        <w:rPr>
          <w:rStyle w:val="Strong"/>
        </w:rPr>
        <w:t xml:space="preserve">isk </w:t>
      </w:r>
      <w:r w:rsidR="009F7A04" w:rsidRPr="00453187">
        <w:rPr>
          <w:rStyle w:val="Strong"/>
        </w:rPr>
        <w:t>assessment</w:t>
      </w:r>
      <w:r w:rsidR="00693D00" w:rsidRPr="006E4589">
        <w:rPr>
          <w:b/>
        </w:rPr>
        <w:t>:</w:t>
      </w:r>
      <w:r w:rsidR="009F7A04" w:rsidRPr="00BA0BB6">
        <w:t xml:space="preserve"> </w:t>
      </w:r>
      <w:r w:rsidR="006C4FFA">
        <w:t xml:space="preserve">Complete </w:t>
      </w:r>
      <w:r w:rsidR="009F7A04" w:rsidRPr="00BA0BB6">
        <w:t>a comprehensive risk assessment, building on the preliminary work (above), to determine the pathways and likelihood of entry (pre-border, at the border and post-border), intervention points and potential impacts on the various sectors and hosts.</w:t>
      </w:r>
    </w:p>
    <w:p w14:paraId="3D448DC7" w14:textId="1102BE4A" w:rsidR="009F7A04" w:rsidRPr="00BA0BB6" w:rsidRDefault="009F7A04" w:rsidP="008B4496">
      <w:pPr>
        <w:pStyle w:val="ListNumber"/>
        <w:numPr>
          <w:ilvl w:val="0"/>
          <w:numId w:val="11"/>
        </w:numPr>
        <w:rPr>
          <w:rStyle w:val="Strong"/>
          <w:b w:val="0"/>
          <w:bCs w:val="0"/>
        </w:rPr>
      </w:pPr>
      <w:r w:rsidRPr="00453187">
        <w:rPr>
          <w:rStyle w:val="Strong"/>
        </w:rPr>
        <w:t>Risk management measures</w:t>
      </w:r>
      <w:r w:rsidRPr="006E4589">
        <w:rPr>
          <w:rStyle w:val="Strong"/>
          <w:bCs w:val="0"/>
        </w:rPr>
        <w:t>:</w:t>
      </w:r>
      <w:r w:rsidRPr="00BA0BB6">
        <w:rPr>
          <w:rStyle w:val="Strong"/>
          <w:b w:val="0"/>
          <w:bCs w:val="0"/>
        </w:rPr>
        <w:t xml:space="preserve"> </w:t>
      </w:r>
      <w:r w:rsidR="006C4FFA">
        <w:rPr>
          <w:rStyle w:val="Strong"/>
          <w:b w:val="0"/>
          <w:bCs w:val="0"/>
        </w:rPr>
        <w:t>D</w:t>
      </w:r>
      <w:r w:rsidRPr="00BA0BB6">
        <w:rPr>
          <w:rStyle w:val="Strong"/>
          <w:b w:val="0"/>
          <w:bCs w:val="0"/>
        </w:rPr>
        <w:t xml:space="preserve">etermine </w:t>
      </w:r>
      <w:r w:rsidR="006C4FFA">
        <w:rPr>
          <w:rStyle w:val="Strong"/>
          <w:b w:val="0"/>
          <w:bCs w:val="0"/>
        </w:rPr>
        <w:t xml:space="preserve">the </w:t>
      </w:r>
      <w:r w:rsidRPr="00BA0BB6">
        <w:rPr>
          <w:rStyle w:val="Strong"/>
          <w:b w:val="0"/>
          <w:bCs w:val="0"/>
        </w:rPr>
        <w:t>measures available to reduce the risk of entry, spread or establishment (that is, prevention).</w:t>
      </w:r>
    </w:p>
    <w:p w14:paraId="09FFF339" w14:textId="314AC771" w:rsidR="00693D00" w:rsidRPr="00BA0BB6" w:rsidRDefault="00693D00" w:rsidP="008B4496">
      <w:pPr>
        <w:pStyle w:val="ListNumber"/>
        <w:numPr>
          <w:ilvl w:val="0"/>
          <w:numId w:val="11"/>
        </w:numPr>
      </w:pPr>
      <w:r w:rsidRPr="00453187">
        <w:rPr>
          <w:rStyle w:val="Strong"/>
        </w:rPr>
        <w:t>Surveillance measures</w:t>
      </w:r>
      <w:r w:rsidRPr="006E4589">
        <w:rPr>
          <w:b/>
        </w:rPr>
        <w:t>:</w:t>
      </w:r>
      <w:r w:rsidRPr="00BA0BB6">
        <w:t xml:space="preserve"> </w:t>
      </w:r>
      <w:r w:rsidR="006C4FFA">
        <w:t>D</w:t>
      </w:r>
      <w:r w:rsidRPr="00BA0BB6">
        <w:t xml:space="preserve">etermine </w:t>
      </w:r>
      <w:r w:rsidR="006C4FFA">
        <w:t xml:space="preserve">the </w:t>
      </w:r>
      <w:r w:rsidRPr="00BA0BB6">
        <w:t>measures (capability and/or programs) required to ensure adequate surveillance (pre-border, at the border, and post-border)</w:t>
      </w:r>
      <w:r w:rsidR="00D53BE6">
        <w:t>.</w:t>
      </w:r>
    </w:p>
    <w:p w14:paraId="3B2282B6" w14:textId="1CD21A7C" w:rsidR="00693D00" w:rsidRPr="00BA0BB6" w:rsidRDefault="00693D00" w:rsidP="008B4496">
      <w:pPr>
        <w:pStyle w:val="ListNumber"/>
        <w:numPr>
          <w:ilvl w:val="0"/>
          <w:numId w:val="11"/>
        </w:numPr>
      </w:pPr>
      <w:r w:rsidRPr="00453187">
        <w:rPr>
          <w:rStyle w:val="Strong"/>
        </w:rPr>
        <w:t>Diagnostic capability</w:t>
      </w:r>
      <w:r w:rsidRPr="006E4589">
        <w:rPr>
          <w:b/>
        </w:rPr>
        <w:t>:</w:t>
      </w:r>
      <w:r w:rsidRPr="00BA0BB6">
        <w:t xml:space="preserve"> </w:t>
      </w:r>
      <w:r w:rsidR="006C4FFA">
        <w:t>D</w:t>
      </w:r>
      <w:r w:rsidRPr="00BA0BB6">
        <w:t xml:space="preserve">etermine </w:t>
      </w:r>
      <w:r w:rsidR="006C4FFA">
        <w:t xml:space="preserve">the </w:t>
      </w:r>
      <w:r w:rsidRPr="00BA0BB6">
        <w:t>measures required to ensure adequate diagnostic capacity, including likely future diagnostic capability.</w:t>
      </w:r>
    </w:p>
    <w:p w14:paraId="35FD5204" w14:textId="434ED81F" w:rsidR="00693D00" w:rsidRPr="00BA0BB6" w:rsidRDefault="00693D00" w:rsidP="008B4496">
      <w:pPr>
        <w:pStyle w:val="ListNumber"/>
        <w:numPr>
          <w:ilvl w:val="0"/>
          <w:numId w:val="11"/>
        </w:numPr>
      </w:pPr>
      <w:r w:rsidRPr="00453187">
        <w:rPr>
          <w:rStyle w:val="Strong"/>
        </w:rPr>
        <w:t>Response planning</w:t>
      </w:r>
      <w:r w:rsidRPr="006E4589">
        <w:rPr>
          <w:b/>
        </w:rPr>
        <w:t>:</w:t>
      </w:r>
      <w:r w:rsidRPr="00BA0BB6">
        <w:t xml:space="preserve"> </w:t>
      </w:r>
      <w:r w:rsidR="006C4FFA">
        <w:t>D</w:t>
      </w:r>
      <w:r w:rsidRPr="00BA0BB6">
        <w:t xml:space="preserve">etermine </w:t>
      </w:r>
      <w:r w:rsidR="006C4FFA">
        <w:t xml:space="preserve">the </w:t>
      </w:r>
      <w:r w:rsidRPr="00BA0BB6">
        <w:t>measures for responding to or managing an incursion, including contingency measures and measures to support trade and exports.</w:t>
      </w:r>
    </w:p>
    <w:p w14:paraId="52402B62" w14:textId="42C5E545" w:rsidR="00693D00" w:rsidRPr="00BA0BB6" w:rsidRDefault="00693D00" w:rsidP="008B4496">
      <w:pPr>
        <w:pStyle w:val="ListNumber"/>
        <w:numPr>
          <w:ilvl w:val="0"/>
          <w:numId w:val="11"/>
        </w:numPr>
      </w:pPr>
      <w:r w:rsidRPr="00453187">
        <w:rPr>
          <w:rStyle w:val="Strong"/>
        </w:rPr>
        <w:t>Participation</w:t>
      </w:r>
      <w:r w:rsidRPr="006E4589">
        <w:rPr>
          <w:b/>
        </w:rPr>
        <w:t>:</w:t>
      </w:r>
      <w:r w:rsidRPr="00BA0BB6">
        <w:t xml:space="preserve"> </w:t>
      </w:r>
      <w:r w:rsidR="006C4FFA">
        <w:t>D</w:t>
      </w:r>
      <w:r w:rsidRPr="00BA0BB6">
        <w:t>etermine those (from across the system—government, industry and community) involved in management of the national priority pest</w:t>
      </w:r>
      <w:r w:rsidR="006C4FFA">
        <w:t>s</w:t>
      </w:r>
      <w:r w:rsidRPr="00BA0BB6">
        <w:t xml:space="preserve"> and disease</w:t>
      </w:r>
      <w:r w:rsidR="006C4FFA">
        <w:t>s</w:t>
      </w:r>
      <w:r w:rsidRPr="00BA0BB6">
        <w:t xml:space="preserve"> based on agreed roles and responsibilities.</w:t>
      </w:r>
    </w:p>
    <w:p w14:paraId="0B865B1E" w14:textId="3CF950E6" w:rsidR="00BB1185" w:rsidRPr="00F52E7F" w:rsidRDefault="00BB1185" w:rsidP="00F52E7F">
      <w:pPr>
        <w:pStyle w:val="ListNumber"/>
        <w:numPr>
          <w:ilvl w:val="0"/>
          <w:numId w:val="11"/>
        </w:numPr>
        <w:rPr>
          <w:rStyle w:val="Strong"/>
          <w:b w:val="0"/>
          <w:bCs w:val="0"/>
        </w:rPr>
      </w:pPr>
      <w:r w:rsidRPr="00F52E7F">
        <w:rPr>
          <w:rStyle w:val="Strong"/>
          <w:bCs w:val="0"/>
        </w:rPr>
        <w:t>Research</w:t>
      </w:r>
      <w:r w:rsidRPr="006E4589">
        <w:rPr>
          <w:rStyle w:val="Strong"/>
          <w:bCs w:val="0"/>
        </w:rPr>
        <w:t>:</w:t>
      </w:r>
      <w:r w:rsidRPr="00F52E7F">
        <w:rPr>
          <w:rStyle w:val="Strong"/>
          <w:b w:val="0"/>
          <w:bCs w:val="0"/>
        </w:rPr>
        <w:t xml:space="preserve"> </w:t>
      </w:r>
      <w:r w:rsidR="006C4FFA">
        <w:rPr>
          <w:rStyle w:val="Strong"/>
          <w:b w:val="0"/>
          <w:bCs w:val="0"/>
        </w:rPr>
        <w:t>D</w:t>
      </w:r>
      <w:r w:rsidRPr="00F52E7F">
        <w:rPr>
          <w:rStyle w:val="Strong"/>
          <w:b w:val="0"/>
          <w:bCs w:val="0"/>
        </w:rPr>
        <w:t>etermine the research gaps in managing the risks, including where research may fill a gap from any of the above areas.</w:t>
      </w:r>
    </w:p>
    <w:p w14:paraId="02CD36D5" w14:textId="43A1504F" w:rsidR="009F7A04" w:rsidRPr="00BA0BB6" w:rsidRDefault="009F7A04" w:rsidP="008B4496">
      <w:pPr>
        <w:pStyle w:val="ListNumber"/>
        <w:numPr>
          <w:ilvl w:val="0"/>
          <w:numId w:val="11"/>
        </w:numPr>
      </w:pPr>
      <w:r w:rsidRPr="00453187">
        <w:rPr>
          <w:rStyle w:val="Strong"/>
        </w:rPr>
        <w:t>Communication</w:t>
      </w:r>
      <w:r w:rsidRPr="006E4589">
        <w:rPr>
          <w:b/>
        </w:rPr>
        <w:t>:</w:t>
      </w:r>
      <w:r w:rsidRPr="00BA0BB6">
        <w:t xml:space="preserve"> </w:t>
      </w:r>
      <w:r w:rsidR="006C4FFA">
        <w:t>D</w:t>
      </w:r>
      <w:r w:rsidRPr="00BA0BB6">
        <w:t>etermine the communication needs for the national priority pests and disease</w:t>
      </w:r>
      <w:r w:rsidR="006C4FFA">
        <w:t>s</w:t>
      </w:r>
      <w:r w:rsidRPr="00BA0BB6">
        <w:t>, including avenues for awareness raising.</w:t>
      </w:r>
    </w:p>
    <w:p w14:paraId="15BD2FE5" w14:textId="0116471C" w:rsidR="00693D00" w:rsidRPr="00BA0BB6" w:rsidRDefault="00693D00" w:rsidP="008B4496">
      <w:pPr>
        <w:pStyle w:val="ListNumber"/>
        <w:numPr>
          <w:ilvl w:val="0"/>
          <w:numId w:val="11"/>
        </w:numPr>
      </w:pPr>
      <w:r w:rsidRPr="00453187">
        <w:rPr>
          <w:rStyle w:val="Strong"/>
        </w:rPr>
        <w:t>Funding</w:t>
      </w:r>
      <w:r w:rsidRPr="006E4589">
        <w:rPr>
          <w:b/>
        </w:rPr>
        <w:t>:</w:t>
      </w:r>
      <w:r w:rsidRPr="00BA0BB6">
        <w:t xml:space="preserve"> </w:t>
      </w:r>
      <w:r w:rsidR="006C4FFA">
        <w:t>D</w:t>
      </w:r>
      <w:r w:rsidRPr="00BA0BB6">
        <w:t>etermin</w:t>
      </w:r>
      <w:r w:rsidR="0041638B">
        <w:t>e</w:t>
      </w:r>
      <w:r w:rsidRPr="00BA0BB6">
        <w:t xml:space="preserve"> the funding required for all activities, including identifying funders and develop cost</w:t>
      </w:r>
      <w:r w:rsidR="006C4FFA">
        <w:t>-</w:t>
      </w:r>
      <w:r w:rsidRPr="00BA0BB6">
        <w:t>sharing arrangements, as appropriate</w:t>
      </w:r>
      <w:r w:rsidR="00BB1185">
        <w:t>, reflecting the respective public and private good components of the activities</w:t>
      </w:r>
      <w:r w:rsidRPr="00BA0BB6">
        <w:t>.</w:t>
      </w:r>
    </w:p>
    <w:p w14:paraId="15E3259C" w14:textId="3524A507" w:rsidR="00693D00" w:rsidRPr="00BA0BB6" w:rsidRDefault="00693D00" w:rsidP="008B4496">
      <w:pPr>
        <w:pStyle w:val="ListNumber"/>
        <w:numPr>
          <w:ilvl w:val="0"/>
          <w:numId w:val="11"/>
        </w:numPr>
      </w:pPr>
      <w:r w:rsidRPr="00453187">
        <w:rPr>
          <w:rStyle w:val="Strong"/>
        </w:rPr>
        <w:t>Develop acti</w:t>
      </w:r>
      <w:r w:rsidR="00BB1185">
        <w:rPr>
          <w:rStyle w:val="Strong"/>
        </w:rPr>
        <w:t>on</w:t>
      </w:r>
      <w:r w:rsidRPr="00453187">
        <w:rPr>
          <w:rStyle w:val="Strong"/>
        </w:rPr>
        <w:t xml:space="preserve"> plans</w:t>
      </w:r>
      <w:r w:rsidRPr="006E4589">
        <w:rPr>
          <w:b/>
        </w:rPr>
        <w:t>:</w:t>
      </w:r>
      <w:r w:rsidRPr="00BA0BB6">
        <w:t xml:space="preserve"> </w:t>
      </w:r>
      <w:r w:rsidR="006C4FFA">
        <w:t>D</w:t>
      </w:r>
      <w:r w:rsidRPr="00BA0BB6">
        <w:t>evelop plans outlining arrangements and expectations for the national priority pest or disease</w:t>
      </w:r>
      <w:r w:rsidR="009F7A04" w:rsidRPr="00BA0BB6">
        <w:t>. A plan would include the range of measures from prevention to incursion response and would</w:t>
      </w:r>
      <w:r w:rsidRPr="00BA0BB6">
        <w:t xml:space="preserve"> includ</w:t>
      </w:r>
      <w:r w:rsidR="009F7A04" w:rsidRPr="00BA0BB6">
        <w:t>e</w:t>
      </w:r>
      <w:r w:rsidRPr="00BA0BB6">
        <w:t xml:space="preserve"> responsibilities and cost</w:t>
      </w:r>
      <w:r w:rsidR="006C4FFA">
        <w:t>-</w:t>
      </w:r>
      <w:r w:rsidRPr="00BA0BB6">
        <w:t>sharing for all relevant participants.</w:t>
      </w:r>
    </w:p>
    <w:p w14:paraId="0A1DC5C3" w14:textId="5E6D441B" w:rsidR="008D1872" w:rsidRDefault="008D1872" w:rsidP="00693D00">
      <w:pPr>
        <w:rPr>
          <w:lang w:eastAsia="ja-JP"/>
        </w:rPr>
      </w:pPr>
      <w:r>
        <w:rPr>
          <w:lang w:eastAsia="ja-JP"/>
        </w:rPr>
        <w:t xml:space="preserve">This process is illustrated </w:t>
      </w:r>
      <w:r w:rsidR="00246359">
        <w:rPr>
          <w:lang w:eastAsia="ja-JP"/>
        </w:rPr>
        <w:t xml:space="preserve">in </w:t>
      </w:r>
      <w:r>
        <w:rPr>
          <w:lang w:eastAsia="ja-JP"/>
        </w:rPr>
        <w:fldChar w:fldCharType="begin"/>
      </w:r>
      <w:r>
        <w:rPr>
          <w:lang w:eastAsia="ja-JP"/>
        </w:rPr>
        <w:instrText xml:space="preserve"> REF _Ref467500561 \h </w:instrText>
      </w:r>
      <w:r>
        <w:rPr>
          <w:lang w:eastAsia="ja-JP"/>
        </w:rPr>
      </w:r>
      <w:r>
        <w:rPr>
          <w:lang w:eastAsia="ja-JP"/>
        </w:rPr>
        <w:fldChar w:fldCharType="separate"/>
      </w:r>
      <w:r w:rsidR="009F6923" w:rsidRPr="00375F10">
        <w:t xml:space="preserve">Figure </w:t>
      </w:r>
      <w:r w:rsidR="009F6923">
        <w:rPr>
          <w:noProof/>
        </w:rPr>
        <w:t>3</w:t>
      </w:r>
      <w:r>
        <w:rPr>
          <w:lang w:eastAsia="ja-JP"/>
        </w:rPr>
        <w:fldChar w:fldCharType="end"/>
      </w:r>
      <w:r w:rsidR="00BB1185">
        <w:rPr>
          <w:lang w:eastAsia="ja-JP"/>
        </w:rPr>
        <w:t xml:space="preserve"> </w:t>
      </w:r>
      <w:r w:rsidR="00E4439E">
        <w:rPr>
          <w:lang w:eastAsia="ja-JP"/>
        </w:rPr>
        <w:t>an</w:t>
      </w:r>
      <w:r w:rsidR="00BB1185" w:rsidRPr="00BB1185">
        <w:rPr>
          <w:rFonts w:eastAsia="Calibri" w:cs="Times New Roman"/>
          <w:lang w:eastAsia="ja-JP"/>
        </w:rPr>
        <w:t xml:space="preserve">d shows </w:t>
      </w:r>
      <w:r w:rsidR="00BB1185" w:rsidRPr="00BB1185">
        <w:rPr>
          <w:rFonts w:eastAsia="Calibri" w:cs="Times New Roman"/>
        </w:rPr>
        <w:t>the potential to undertake some planning activities concurrently, or in varying sequences, depending on the nature of the biosecurity risk and prevailing circumstances at the time</w:t>
      </w:r>
      <w:r w:rsidR="00E4439E">
        <w:rPr>
          <w:rFonts w:eastAsia="Calibri" w:cs="Times New Roman"/>
        </w:rPr>
        <w:t>.</w:t>
      </w:r>
    </w:p>
    <w:p w14:paraId="4FCBC918" w14:textId="20DA9C7F" w:rsidR="00667008" w:rsidRDefault="00693D00" w:rsidP="00693D00">
      <w:pPr>
        <w:rPr>
          <w:lang w:eastAsia="ja-JP"/>
        </w:rPr>
      </w:pPr>
      <w:r>
        <w:rPr>
          <w:lang w:eastAsia="ja-JP"/>
        </w:rPr>
        <w:lastRenderedPageBreak/>
        <w:t>It is highly likely there will be common elements to the acti</w:t>
      </w:r>
      <w:r w:rsidR="007B75FF">
        <w:rPr>
          <w:lang w:eastAsia="ja-JP"/>
        </w:rPr>
        <w:t>on</w:t>
      </w:r>
      <w:r>
        <w:rPr>
          <w:lang w:eastAsia="ja-JP"/>
        </w:rPr>
        <w:t xml:space="preserve"> plans developed for the agreed priority pests and diseases, which the </w:t>
      </w:r>
      <w:r w:rsidR="00246359">
        <w:rPr>
          <w:lang w:eastAsia="ja-JP"/>
        </w:rPr>
        <w:t>p</w:t>
      </w:r>
      <w:r>
        <w:rPr>
          <w:lang w:eastAsia="ja-JP"/>
        </w:rPr>
        <w:t>anel anticipates will reduce the overall effort required. In almost all cases, there will be existing activities underway to manage the identified risk; any gaps in activities must be a priority for action.</w:t>
      </w:r>
    </w:p>
    <w:p w14:paraId="661DFF32" w14:textId="7DB2820F" w:rsidR="00E4439E" w:rsidRDefault="00E4439E" w:rsidP="00E4439E">
      <w:pPr>
        <w:rPr>
          <w:rFonts w:eastAsia="Calibri" w:cs="Times New Roman"/>
          <w:lang w:eastAsia="ja-JP"/>
        </w:rPr>
      </w:pPr>
      <w:r w:rsidRPr="00E4439E">
        <w:rPr>
          <w:rFonts w:eastAsia="Calibri" w:cs="Times New Roman"/>
          <w:lang w:eastAsia="ja-JP"/>
        </w:rPr>
        <w:t xml:space="preserve">There may also be opportunities for cross-committee collaboration and efficiencies once the initial sectoral work has been completed. The </w:t>
      </w:r>
      <w:r w:rsidR="00246359">
        <w:rPr>
          <w:rFonts w:eastAsia="Calibri" w:cs="Times New Roman"/>
          <w:lang w:eastAsia="ja-JP"/>
        </w:rPr>
        <w:t>p</w:t>
      </w:r>
      <w:r w:rsidRPr="00E4439E">
        <w:rPr>
          <w:rFonts w:eastAsia="Calibri" w:cs="Times New Roman"/>
          <w:lang w:eastAsia="ja-JP"/>
        </w:rPr>
        <w:t>anel believes there will need to be technical input from across the NBC’s sectoral committees to assist the finalisation of the plans for national priority environmental pests and diseases.</w:t>
      </w:r>
    </w:p>
    <w:p w14:paraId="494D43CD" w14:textId="4434760E" w:rsidR="00E4439E" w:rsidRPr="00E4439E" w:rsidRDefault="00E4439E" w:rsidP="00E4439E">
      <w:pPr>
        <w:rPr>
          <w:rFonts w:eastAsia="Calibri" w:cs="Times New Roman"/>
          <w:lang w:eastAsia="ja-JP"/>
        </w:rPr>
      </w:pPr>
      <w:r w:rsidRPr="00E4439E">
        <w:rPr>
          <w:rFonts w:eastAsia="Calibri" w:cs="Times New Roman"/>
          <w:lang w:eastAsia="ja-JP"/>
        </w:rPr>
        <w:t xml:space="preserve">The </w:t>
      </w:r>
      <w:r w:rsidR="00246359">
        <w:rPr>
          <w:rFonts w:eastAsia="Calibri" w:cs="Times New Roman"/>
          <w:lang w:eastAsia="ja-JP"/>
        </w:rPr>
        <w:t>p</w:t>
      </w:r>
      <w:r w:rsidRPr="00E4439E">
        <w:rPr>
          <w:rFonts w:eastAsia="Calibri" w:cs="Times New Roman"/>
          <w:lang w:eastAsia="ja-JP"/>
        </w:rPr>
        <w:t>anel is aware that self-interested groups may seek to use the process described above to create non-tariff barriers to trade by demanding excessive risk management measures. It is confident, though, that NBC will ensure that any risk management measures implemented will be appropriate and consistent with Australia’s international trade obligations.</w:t>
      </w:r>
    </w:p>
    <w:p w14:paraId="53A0F37A" w14:textId="21B95528" w:rsidR="0081371F" w:rsidRDefault="00E4439E" w:rsidP="0081371F">
      <w:pPr>
        <w:rPr>
          <w:rFonts w:eastAsia="Calibri" w:cs="Times New Roman"/>
        </w:rPr>
      </w:pPr>
      <w:r w:rsidRPr="00E4439E">
        <w:rPr>
          <w:rFonts w:eastAsia="Calibri" w:cs="Times New Roman"/>
          <w:lang w:eastAsia="ja-JP"/>
        </w:rPr>
        <w:t xml:space="preserve">The </w:t>
      </w:r>
      <w:r w:rsidR="00246359">
        <w:rPr>
          <w:rFonts w:eastAsia="Calibri" w:cs="Times New Roman"/>
          <w:lang w:eastAsia="ja-JP"/>
        </w:rPr>
        <w:t>p</w:t>
      </w:r>
      <w:r w:rsidRPr="00E4439E">
        <w:rPr>
          <w:rFonts w:eastAsia="Calibri" w:cs="Times New Roman"/>
          <w:lang w:eastAsia="ja-JP"/>
        </w:rPr>
        <w:t xml:space="preserve">anel stresses that the creation of national priority lists in no way limits </w:t>
      </w:r>
      <w:r w:rsidR="00246359">
        <w:rPr>
          <w:rFonts w:eastAsia="Calibri" w:cs="Times New Roman"/>
          <w:lang w:eastAsia="ja-JP"/>
        </w:rPr>
        <w:t xml:space="preserve">the ability of </w:t>
      </w:r>
      <w:r w:rsidRPr="00E4439E">
        <w:rPr>
          <w:rFonts w:eastAsia="Calibri" w:cs="Times New Roman"/>
          <w:lang w:eastAsia="ja-JP"/>
        </w:rPr>
        <w:t xml:space="preserve">states, territories or industry </w:t>
      </w:r>
      <w:r w:rsidR="00246359">
        <w:rPr>
          <w:rFonts w:eastAsia="Calibri" w:cs="Times New Roman"/>
          <w:lang w:eastAsia="ja-JP"/>
        </w:rPr>
        <w:t>to take</w:t>
      </w:r>
      <w:r w:rsidRPr="00E4439E">
        <w:rPr>
          <w:rFonts w:eastAsia="Calibri" w:cs="Times New Roman"/>
          <w:lang w:eastAsia="ja-JP"/>
        </w:rPr>
        <w:t xml:space="preserve"> actions to manage pests or diseases that are not on the national lists. There may well be reasons particular to a state</w:t>
      </w:r>
      <w:r w:rsidR="00370A51">
        <w:rPr>
          <w:rFonts w:eastAsia="Calibri" w:cs="Times New Roman"/>
          <w:lang w:eastAsia="ja-JP"/>
        </w:rPr>
        <w:t>, territory</w:t>
      </w:r>
      <w:r w:rsidRPr="00E4439E">
        <w:rPr>
          <w:rFonts w:eastAsia="Calibri" w:cs="Times New Roman"/>
          <w:lang w:eastAsia="ja-JP"/>
        </w:rPr>
        <w:t xml:space="preserve"> or industry </w:t>
      </w:r>
      <w:r w:rsidR="00246359">
        <w:rPr>
          <w:rFonts w:eastAsia="Calibri" w:cs="Times New Roman"/>
          <w:lang w:eastAsia="ja-JP"/>
        </w:rPr>
        <w:t>for taking</w:t>
      </w:r>
      <w:r w:rsidRPr="00E4439E">
        <w:rPr>
          <w:rFonts w:eastAsia="Calibri" w:cs="Times New Roman"/>
          <w:lang w:eastAsia="ja-JP"/>
        </w:rPr>
        <w:t xml:space="preserve"> action on a pest or disease or environmental concern but not at the national level. The </w:t>
      </w:r>
      <w:r w:rsidR="00246359">
        <w:rPr>
          <w:rFonts w:eastAsia="Calibri" w:cs="Times New Roman"/>
          <w:lang w:eastAsia="ja-JP"/>
        </w:rPr>
        <w:t>p</w:t>
      </w:r>
      <w:r w:rsidRPr="00E4439E">
        <w:rPr>
          <w:rFonts w:eastAsia="Calibri" w:cs="Times New Roman"/>
          <w:lang w:eastAsia="ja-JP"/>
        </w:rPr>
        <w:t>anel is not suggesting that states, territories or industry be limited to actioning only those items on the national lists and notes there would likely b</w:t>
      </w:r>
      <w:r w:rsidR="00246359">
        <w:rPr>
          <w:rFonts w:eastAsia="Calibri" w:cs="Times New Roman"/>
          <w:lang w:eastAsia="ja-JP"/>
        </w:rPr>
        <w:t>e</w:t>
      </w:r>
      <w:r w:rsidRPr="00E4439E">
        <w:rPr>
          <w:rFonts w:eastAsia="Calibri" w:cs="Times New Roman"/>
          <w:lang w:eastAsia="ja-JP"/>
        </w:rPr>
        <w:t xml:space="preserve"> </w:t>
      </w:r>
      <w:r w:rsidRPr="00E4439E">
        <w:rPr>
          <w:rFonts w:eastAsia="Calibri" w:cs="Times New Roman"/>
        </w:rPr>
        <w:t>efficiencies created in ‘bundling’ the work required on relevant</w:t>
      </w:r>
      <w:r>
        <w:rPr>
          <w:rFonts w:eastAsia="Calibri" w:cs="Times New Roman"/>
        </w:rPr>
        <w:t xml:space="preserve"> national and state priority pests and diseases.</w:t>
      </w:r>
    </w:p>
    <w:p w14:paraId="5E39DB4E" w14:textId="6B938B20" w:rsidR="0081371F" w:rsidRDefault="0081371F" w:rsidP="0081371F">
      <w:pPr>
        <w:pStyle w:val="Caption"/>
        <w:keepLines/>
        <w:rPr>
          <w:lang w:eastAsia="ja-JP"/>
        </w:rPr>
      </w:pPr>
      <w:bookmarkStart w:id="93" w:name="_Ref467500561"/>
      <w:bookmarkStart w:id="94" w:name="_Toc468176739"/>
      <w:r w:rsidRPr="00375F10">
        <w:rPr>
          <w:szCs w:val="22"/>
        </w:rPr>
        <w:lastRenderedPageBreak/>
        <w:t xml:space="preserve">Figure </w:t>
      </w:r>
      <w:r w:rsidRPr="00375F10">
        <w:rPr>
          <w:szCs w:val="22"/>
        </w:rPr>
        <w:fldChar w:fldCharType="begin"/>
      </w:r>
      <w:r w:rsidRPr="00375F10">
        <w:rPr>
          <w:szCs w:val="22"/>
        </w:rPr>
        <w:instrText xml:space="preserve"> SEQ Figure \* ARABIC </w:instrText>
      </w:r>
      <w:r w:rsidRPr="00375F10">
        <w:rPr>
          <w:szCs w:val="22"/>
        </w:rPr>
        <w:fldChar w:fldCharType="separate"/>
      </w:r>
      <w:r w:rsidR="009F6923">
        <w:rPr>
          <w:noProof/>
          <w:szCs w:val="22"/>
        </w:rPr>
        <w:t>3</w:t>
      </w:r>
      <w:r w:rsidRPr="00375F10">
        <w:rPr>
          <w:noProof/>
          <w:szCs w:val="22"/>
        </w:rPr>
        <w:fldChar w:fldCharType="end"/>
      </w:r>
      <w:bookmarkEnd w:id="93"/>
      <w:r w:rsidRPr="00375F10">
        <w:rPr>
          <w:szCs w:val="22"/>
        </w:rPr>
        <w:t xml:space="preserve"> Determining national </w:t>
      </w:r>
      <w:r w:rsidR="00BE16A9">
        <w:rPr>
          <w:szCs w:val="22"/>
        </w:rPr>
        <w:t xml:space="preserve">priority </w:t>
      </w:r>
      <w:r w:rsidRPr="00375F10">
        <w:rPr>
          <w:szCs w:val="22"/>
        </w:rPr>
        <w:t>plant, animal and environmental pests and diseases</w:t>
      </w:r>
      <w:bookmarkEnd w:id="94"/>
    </w:p>
    <w:p w14:paraId="74635531" w14:textId="2472979E" w:rsidR="004B03F2" w:rsidRDefault="00B03462" w:rsidP="00D87ED9">
      <w:pPr>
        <w:pStyle w:val="Picture"/>
        <w:rPr>
          <w:lang w:eastAsia="ja-JP"/>
        </w:rPr>
      </w:pPr>
      <w:r>
        <w:drawing>
          <wp:inline distT="0" distB="0" distL="0" distR="0" wp14:anchorId="1E0EBDFB" wp14:editId="59141FAD">
            <wp:extent cx="5730240" cy="7132320"/>
            <wp:effectExtent l="0" t="0" r="3810" b="0"/>
            <wp:docPr id="19" name="Picture 19" descr="Shows the exotic pest and disease prioritisation process as described in Chaper 5 of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0240" cy="7132320"/>
                    </a:xfrm>
                    <a:prstGeom prst="rect">
                      <a:avLst/>
                    </a:prstGeom>
                    <a:noFill/>
                  </pic:spPr>
                </pic:pic>
              </a:graphicData>
            </a:graphic>
          </wp:inline>
        </w:drawing>
      </w:r>
    </w:p>
    <w:p w14:paraId="72EE8CBE" w14:textId="2EA76A7F" w:rsidR="00E4439E" w:rsidRPr="00E4439E" w:rsidRDefault="00E4439E" w:rsidP="00E4439E">
      <w:pPr>
        <w:rPr>
          <w:rFonts w:eastAsia="Calibri" w:cs="Times New Roman"/>
          <w:lang w:eastAsia="ja-JP"/>
        </w:rPr>
      </w:pPr>
      <w:r w:rsidRPr="00E4439E">
        <w:rPr>
          <w:rFonts w:eastAsia="Calibri" w:cs="Times New Roman"/>
          <w:lang w:eastAsia="ja-JP"/>
        </w:rPr>
        <w:t xml:space="preserve">The </w:t>
      </w:r>
      <w:r w:rsidR="00DE2F22">
        <w:rPr>
          <w:rFonts w:eastAsia="Calibri" w:cs="Times New Roman"/>
          <w:lang w:eastAsia="ja-JP"/>
        </w:rPr>
        <w:t>p</w:t>
      </w:r>
      <w:r w:rsidRPr="00E4439E">
        <w:rPr>
          <w:rFonts w:eastAsia="Calibri" w:cs="Times New Roman"/>
          <w:lang w:eastAsia="ja-JP"/>
        </w:rPr>
        <w:t>anel notes at least three highly d</w:t>
      </w:r>
      <w:r w:rsidR="00F06EF3">
        <w:rPr>
          <w:rFonts w:eastAsia="Calibri" w:cs="Times New Roman"/>
          <w:lang w:eastAsia="ja-JP"/>
        </w:rPr>
        <w:t>estructive pests and diseases—</w:t>
      </w:r>
      <w:r w:rsidRPr="00E4439E">
        <w:rPr>
          <w:rFonts w:eastAsia="Calibri" w:cs="Times New Roman"/>
        </w:rPr>
        <w:t>white spot disease, tomato potato psyllid</w:t>
      </w:r>
      <w:r w:rsidRPr="00E4439E">
        <w:rPr>
          <w:rFonts w:eastAsia="Calibri" w:cs="Times New Roman"/>
          <w:lang w:eastAsia="ja-JP"/>
        </w:rPr>
        <w:t xml:space="preserve"> and Russian wheat aphid</w:t>
      </w:r>
      <w:r w:rsidR="00F06EF3">
        <w:rPr>
          <w:rFonts w:eastAsia="Calibri" w:cs="Times New Roman"/>
          <w:lang w:eastAsia="ja-JP"/>
        </w:rPr>
        <w:t>—</w:t>
      </w:r>
      <w:r w:rsidR="00511C93">
        <w:rPr>
          <w:rFonts w:eastAsia="Calibri" w:cs="Times New Roman"/>
          <w:lang w:eastAsia="ja-JP"/>
        </w:rPr>
        <w:t>were detected in Australia</w:t>
      </w:r>
      <w:r w:rsidRPr="00E4439E">
        <w:rPr>
          <w:rFonts w:eastAsia="Calibri" w:cs="Times New Roman"/>
          <w:lang w:eastAsia="ja-JP"/>
        </w:rPr>
        <w:t xml:space="preserve"> in the last </w:t>
      </w:r>
      <w:r w:rsidR="00DE2F22">
        <w:rPr>
          <w:rFonts w:eastAsia="Calibri" w:cs="Times New Roman"/>
          <w:lang w:eastAsia="ja-JP"/>
        </w:rPr>
        <w:t>twelve</w:t>
      </w:r>
      <w:r w:rsidR="00112DDC">
        <w:rPr>
          <w:rFonts w:eastAsia="Calibri" w:cs="Times New Roman"/>
          <w:lang w:eastAsia="ja-JP"/>
        </w:rPr>
        <w:t> </w:t>
      </w:r>
      <w:r w:rsidRPr="00E4439E">
        <w:rPr>
          <w:rFonts w:eastAsia="Calibri" w:cs="Times New Roman"/>
          <w:lang w:eastAsia="ja-JP"/>
        </w:rPr>
        <w:t xml:space="preserve">months, despite being on the ‘national radar’ of priority pests and diseases </w:t>
      </w:r>
      <w:r w:rsidRPr="001A4508">
        <w:lastRenderedPageBreak/>
        <w:t>(</w:t>
      </w:r>
      <w:r w:rsidR="001A4508" w:rsidRPr="001A4508">
        <w:fldChar w:fldCharType="begin"/>
      </w:r>
      <w:r w:rsidR="001A4508" w:rsidRPr="001A4508">
        <w:instrText xml:space="preserve"> REF _Ref482955705 \h  \* MERGEFORMAT </w:instrText>
      </w:r>
      <w:r w:rsidR="001A4508" w:rsidRPr="001A4508">
        <w:fldChar w:fldCharType="separate"/>
      </w:r>
      <w:r w:rsidR="009F6923" w:rsidRPr="009F6923">
        <w:t>Box 8</w:t>
      </w:r>
      <w:r w:rsidR="001A4508" w:rsidRPr="001A4508">
        <w:fldChar w:fldCharType="end"/>
      </w:r>
      <w:r w:rsidRPr="001A4508">
        <w:t>).</w:t>
      </w:r>
      <w:r w:rsidRPr="00E4439E">
        <w:rPr>
          <w:rFonts w:eastAsia="Calibri" w:cs="Times New Roman"/>
          <w:lang w:eastAsia="ja-JP"/>
        </w:rPr>
        <w:t xml:space="preserve"> </w:t>
      </w:r>
      <w:r w:rsidRPr="00E4439E">
        <w:rPr>
          <w:rFonts w:eastAsia="Calibri" w:cs="Times New Roman"/>
        </w:rPr>
        <w:t xml:space="preserve">While the exact pathway for these incursions may never be known, it underscores the need for constant vigilance (including by primary producers) and for </w:t>
      </w:r>
      <w:r w:rsidR="00ED3382" w:rsidRPr="00E4439E">
        <w:rPr>
          <w:rFonts w:eastAsia="Calibri" w:cs="Times New Roman"/>
        </w:rPr>
        <w:t xml:space="preserve">robust action plans </w:t>
      </w:r>
      <w:r w:rsidR="00ED3382">
        <w:rPr>
          <w:rFonts w:eastAsia="Calibri" w:cs="Times New Roman"/>
        </w:rPr>
        <w:t xml:space="preserve">to be </w:t>
      </w:r>
      <w:r w:rsidR="00ED3382" w:rsidRPr="00E4439E">
        <w:rPr>
          <w:rFonts w:eastAsia="Calibri" w:cs="Times New Roman"/>
        </w:rPr>
        <w:t xml:space="preserve">developed and in place </w:t>
      </w:r>
      <w:r w:rsidR="00ED3382">
        <w:rPr>
          <w:rFonts w:eastAsia="Calibri" w:cs="Times New Roman"/>
        </w:rPr>
        <w:t xml:space="preserve">for </w:t>
      </w:r>
      <w:r w:rsidRPr="00E4439E">
        <w:rPr>
          <w:rFonts w:eastAsia="Calibri" w:cs="Times New Roman"/>
        </w:rPr>
        <w:t>high</w:t>
      </w:r>
      <w:r w:rsidR="007B75FF">
        <w:rPr>
          <w:rFonts w:eastAsia="Calibri" w:cs="Times New Roman"/>
        </w:rPr>
        <w:t>-</w:t>
      </w:r>
      <w:r w:rsidR="00434CF9">
        <w:rPr>
          <w:rFonts w:eastAsia="Calibri" w:cs="Times New Roman"/>
        </w:rPr>
        <w:t>priority</w:t>
      </w:r>
      <w:r w:rsidRPr="00E4439E">
        <w:rPr>
          <w:rFonts w:eastAsia="Calibri" w:cs="Times New Roman"/>
        </w:rPr>
        <w:t xml:space="preserve"> pests and diseases.</w:t>
      </w:r>
    </w:p>
    <w:p w14:paraId="7EAA7B3C" w14:textId="32E568E3" w:rsidR="00E4439E" w:rsidRDefault="00E4439E" w:rsidP="00E4439E">
      <w:pPr>
        <w:rPr>
          <w:rFonts w:eastAsia="Calibri" w:cs="Times New Roman"/>
          <w:lang w:eastAsia="ja-JP"/>
        </w:rPr>
      </w:pPr>
      <w:r w:rsidRPr="00E4439E">
        <w:rPr>
          <w:rFonts w:eastAsia="Calibri" w:cs="Times New Roman"/>
          <w:lang w:eastAsia="ja-JP"/>
        </w:rPr>
        <w:t xml:space="preserve">The planned review by the Inspector-General of Biosecurity to </w:t>
      </w:r>
      <w:r w:rsidRPr="00E4439E">
        <w:rPr>
          <w:rFonts w:eastAsia="Calibri" w:cs="Times New Roman"/>
        </w:rPr>
        <w:t xml:space="preserve">examine lessons learned from the analysis of recent pest and disease incursions </w:t>
      </w:r>
      <w:r w:rsidRPr="00E4439E">
        <w:rPr>
          <w:rFonts w:eastAsia="Calibri" w:cs="Times New Roman"/>
          <w:lang w:eastAsia="ja-JP"/>
        </w:rPr>
        <w:t>(</w:t>
      </w:r>
      <w:hyperlink w:anchor="_An_evolving_system" w:history="1">
        <w:r w:rsidRPr="001A4508">
          <w:rPr>
            <w:rStyle w:val="Hyperlink"/>
            <w:rFonts w:eastAsia="Calibri" w:cs="Times New Roman"/>
            <w:lang w:eastAsia="ja-JP"/>
          </w:rPr>
          <w:t>section 1.2</w:t>
        </w:r>
      </w:hyperlink>
      <w:r w:rsidRPr="00E4439E">
        <w:rPr>
          <w:rFonts w:eastAsia="Calibri" w:cs="Times New Roman"/>
          <w:lang w:eastAsia="ja-JP"/>
        </w:rPr>
        <w:t>) should provide valuable insights into biosecurity preparedness and will be of high interest to a broad range of stakeholders.</w:t>
      </w:r>
    </w:p>
    <w:p w14:paraId="77A7C804" w14:textId="3467452E" w:rsidR="001A4508" w:rsidRDefault="001A4508" w:rsidP="001A4508">
      <w:pPr>
        <w:pStyle w:val="BoxHeading"/>
      </w:pPr>
      <w:bookmarkStart w:id="95" w:name="_Ref482955705"/>
      <w:r w:rsidRPr="001A4508">
        <w:rPr>
          <w:bCs/>
        </w:rPr>
        <w:t xml:space="preserve">Box </w:t>
      </w:r>
      <w:r w:rsidRPr="001A4508">
        <w:rPr>
          <w:bCs/>
        </w:rPr>
        <w:fldChar w:fldCharType="begin"/>
      </w:r>
      <w:r w:rsidRPr="001A4508">
        <w:rPr>
          <w:bCs/>
        </w:rPr>
        <w:instrText xml:space="preserve"> SEQ Box \* ARABIC </w:instrText>
      </w:r>
      <w:r w:rsidRPr="001A4508">
        <w:rPr>
          <w:bCs/>
        </w:rPr>
        <w:fldChar w:fldCharType="separate"/>
      </w:r>
      <w:r w:rsidR="009F6923">
        <w:rPr>
          <w:bCs/>
          <w:noProof/>
        </w:rPr>
        <w:t>8</w:t>
      </w:r>
      <w:r w:rsidRPr="001A4508">
        <w:fldChar w:fldCharType="end"/>
      </w:r>
      <w:bookmarkEnd w:id="95"/>
      <w:r>
        <w:t xml:space="preserve"> Slipping under the radar (2016–17)</w:t>
      </w:r>
    </w:p>
    <w:p w14:paraId="7AB13EE1" w14:textId="77777777" w:rsidR="001A4508" w:rsidRDefault="001A4508" w:rsidP="001A4508">
      <w:pPr>
        <w:pStyle w:val="BoxHeading"/>
      </w:pPr>
      <w:r>
        <w:t>White spot disease</w:t>
      </w:r>
    </w:p>
    <w:p w14:paraId="7CC640A2" w14:textId="7F8E3A42" w:rsidR="001A4508" w:rsidRDefault="001A4508" w:rsidP="001A4508">
      <w:pPr>
        <w:pStyle w:val="BoxText"/>
      </w:pPr>
      <w:r>
        <w:t>White spot disease</w:t>
      </w:r>
      <w:r w:rsidRPr="004426C4">
        <w:t xml:space="preserve"> is </w:t>
      </w:r>
      <w:r>
        <w:t xml:space="preserve">caused by the </w:t>
      </w:r>
      <w:r w:rsidRPr="004426C4">
        <w:t xml:space="preserve">highly contagious </w:t>
      </w:r>
      <w:r w:rsidRPr="00675950">
        <w:t xml:space="preserve">white spot syndrome virus </w:t>
      </w:r>
      <w:r>
        <w:t>affecting crustaceans</w:t>
      </w:r>
      <w:r w:rsidR="00BE41C1">
        <w:t xml:space="preserve">. It is </w:t>
      </w:r>
      <w:r>
        <w:t xml:space="preserve">capable of causing </w:t>
      </w:r>
      <w:r w:rsidRPr="0099390C">
        <w:t xml:space="preserve">major </w:t>
      </w:r>
      <w:r>
        <w:t xml:space="preserve">production </w:t>
      </w:r>
      <w:r w:rsidRPr="0099390C">
        <w:t>losses.</w:t>
      </w:r>
      <w:r>
        <w:t xml:space="preserve"> Testing in December 2016 confirmed the presence of the exotic disease in the Logan River, Queensland—a total of </w:t>
      </w:r>
      <w:r w:rsidRPr="00675950">
        <w:t>seven prawn farms</w:t>
      </w:r>
      <w:r>
        <w:t xml:space="preserve"> have been </w:t>
      </w:r>
      <w:r w:rsidR="00BE41C1">
        <w:t>affected</w:t>
      </w:r>
      <w:r>
        <w:t>. As at May 2017, the Queensland Government is managing the incursion, including establishing a m</w:t>
      </w:r>
      <w:r w:rsidRPr="00675950">
        <w:t xml:space="preserve">ovement </w:t>
      </w:r>
      <w:r>
        <w:t>c</w:t>
      </w:r>
      <w:r w:rsidRPr="00675950">
        <w:t xml:space="preserve">ontrol </w:t>
      </w:r>
      <w:r>
        <w:t>o</w:t>
      </w:r>
      <w:r w:rsidRPr="00675950">
        <w:t>rde</w:t>
      </w:r>
      <w:r>
        <w:t>r, and implementing d</w:t>
      </w:r>
      <w:r w:rsidRPr="00675950">
        <w:t>isease control activities</w:t>
      </w:r>
      <w:r>
        <w:t xml:space="preserve"> with a view to disease eradication.</w:t>
      </w:r>
    </w:p>
    <w:p w14:paraId="5CAA93A4" w14:textId="74519B75" w:rsidR="001A4508" w:rsidRDefault="00206626" w:rsidP="001A4508">
      <w:pPr>
        <w:pStyle w:val="BoxText"/>
      </w:pPr>
      <w:r>
        <w:t xml:space="preserve">White spot disease </w:t>
      </w:r>
      <w:r w:rsidR="00F0105F">
        <w:t>is included</w:t>
      </w:r>
      <w:r>
        <w:t xml:space="preserve"> on Australia’s National List of Reportable Diseases of Aquatic Animals, which was endorsed by the Animal Health Committee in April 2016. </w:t>
      </w:r>
      <w:r w:rsidR="001A4508">
        <w:t xml:space="preserve">The gross value of production (2014–15) for prawn aquaculture in Australia was $86 million; the production value of wild-caught prawns was $272 million. </w:t>
      </w:r>
    </w:p>
    <w:p w14:paraId="16EEE01C" w14:textId="77777777" w:rsidR="001A4508" w:rsidRDefault="001A4508" w:rsidP="001A4508">
      <w:pPr>
        <w:pStyle w:val="BoxHeading"/>
      </w:pPr>
      <w:r>
        <w:t>Tomato potato psyllid</w:t>
      </w:r>
    </w:p>
    <w:p w14:paraId="65184A5E" w14:textId="79C5DF32" w:rsidR="001A4508" w:rsidRDefault="001A4508" w:rsidP="001A4508">
      <w:pPr>
        <w:pStyle w:val="BoxText"/>
      </w:pPr>
      <w:r>
        <w:t xml:space="preserve">The tomato potato psyllid is an exotic plant pest that attacks a range of plants, </w:t>
      </w:r>
      <w:r w:rsidRPr="00DA46DC">
        <w:t>includ</w:t>
      </w:r>
      <w:r w:rsidR="00D41ABA">
        <w:t>ing</w:t>
      </w:r>
      <w:r w:rsidRPr="00DA46DC">
        <w:t xml:space="preserve"> potato, tomato, egg</w:t>
      </w:r>
      <w:r>
        <w:t>plant, capsicum, chilli, and</w:t>
      </w:r>
      <w:r w:rsidRPr="00DA46DC">
        <w:t xml:space="preserve"> sweet potato.</w:t>
      </w:r>
      <w:r>
        <w:t xml:space="preserve"> The exotic pest was first </w:t>
      </w:r>
      <w:r w:rsidRPr="00FF35DE">
        <w:t xml:space="preserve">detected </w:t>
      </w:r>
      <w:r>
        <w:t>i</w:t>
      </w:r>
      <w:r w:rsidRPr="00FF35DE">
        <w:t xml:space="preserve">n </w:t>
      </w:r>
      <w:r>
        <w:t xml:space="preserve">Australia in February 2017, having been found </w:t>
      </w:r>
      <w:r w:rsidRPr="00FF35DE">
        <w:t xml:space="preserve">in a range of </w:t>
      </w:r>
      <w:r>
        <w:t>crops (</w:t>
      </w:r>
      <w:r w:rsidRPr="00FF35DE">
        <w:t>commercial and backyard</w:t>
      </w:r>
      <w:r>
        <w:t>)</w:t>
      </w:r>
      <w:r w:rsidRPr="00FF35DE">
        <w:t xml:space="preserve"> across the Perth metropolitan area</w:t>
      </w:r>
      <w:r>
        <w:t>. The psyllid is of particular concern given it is capable of carrying the bacterium associated with the devastating Zebra chip disease</w:t>
      </w:r>
      <w:r w:rsidR="00D41ABA">
        <w:t>. T</w:t>
      </w:r>
      <w:r>
        <w:t>he bacterium has not been found in Western Australia.</w:t>
      </w:r>
    </w:p>
    <w:p w14:paraId="6FE9DAD4" w14:textId="6E15D598" w:rsidR="001A4508" w:rsidRDefault="001A4508" w:rsidP="001A4508">
      <w:pPr>
        <w:pStyle w:val="BoxText"/>
      </w:pPr>
      <w:r>
        <w:t>The N</w:t>
      </w:r>
      <w:r w:rsidR="00D41ABA">
        <w:t xml:space="preserve">ational </w:t>
      </w:r>
      <w:r>
        <w:t>M</w:t>
      </w:r>
      <w:r w:rsidR="00D41ABA">
        <w:t xml:space="preserve">anagement </w:t>
      </w:r>
      <w:r>
        <w:t>G</w:t>
      </w:r>
      <w:r w:rsidR="00D41ABA">
        <w:t>roup (NMG)</w:t>
      </w:r>
      <w:r>
        <w:t xml:space="preserve"> has agreed that the psyllid is not technically feasible to </w:t>
      </w:r>
      <w:r w:rsidR="00D41ABA">
        <w:t>eradicate. Management</w:t>
      </w:r>
      <w:r>
        <w:t xml:space="preserve"> plans and a control zone </w:t>
      </w:r>
      <w:r w:rsidR="00D41ABA">
        <w:t xml:space="preserve">are </w:t>
      </w:r>
      <w:r>
        <w:t>in place to limit further spread and to monitor and test for the presence of the bacterium. As at May 2017, some restrictions have been imposed on the movement of host plants into other states and territories.</w:t>
      </w:r>
    </w:p>
    <w:p w14:paraId="797CD952" w14:textId="37107F92" w:rsidR="001A4508" w:rsidRDefault="00206626" w:rsidP="001A4508">
      <w:pPr>
        <w:pStyle w:val="BoxText"/>
      </w:pPr>
      <w:r>
        <w:t xml:space="preserve">The tomato potato psyllid and Zebra chip disease are included on Australia’s </w:t>
      </w:r>
      <w:r w:rsidR="00F0105F">
        <w:t xml:space="preserve">list of </w:t>
      </w:r>
      <w:r>
        <w:t>National Priority Plant Pests 2016, endorse</w:t>
      </w:r>
      <w:r w:rsidR="00F0105F">
        <w:t>d</w:t>
      </w:r>
      <w:r>
        <w:t xml:space="preserve"> by the Plant Health Committee (PHC) in June 2016. </w:t>
      </w:r>
      <w:r w:rsidR="001A4508">
        <w:t xml:space="preserve">The approximate gross values of production in 2014–15 for some commodities potentially </w:t>
      </w:r>
      <w:r w:rsidR="00D41ABA">
        <w:t xml:space="preserve">affected </w:t>
      </w:r>
      <w:r w:rsidR="001A4508">
        <w:t>by the psyllid were potatoes ($618 million), tomatoes ($311 million) and capsicum ($115 million).</w:t>
      </w:r>
    </w:p>
    <w:p w14:paraId="45AA049E" w14:textId="77777777" w:rsidR="001A4508" w:rsidRDefault="001A4508" w:rsidP="001A4508">
      <w:pPr>
        <w:pStyle w:val="BoxHeading"/>
      </w:pPr>
      <w:r>
        <w:t>Russian w</w:t>
      </w:r>
      <w:r w:rsidRPr="00757103">
        <w:t xml:space="preserve">heat </w:t>
      </w:r>
      <w:r>
        <w:t>a</w:t>
      </w:r>
      <w:r w:rsidRPr="00757103">
        <w:t>phid</w:t>
      </w:r>
    </w:p>
    <w:p w14:paraId="267FF58B" w14:textId="62F3826F" w:rsidR="001A4508" w:rsidRDefault="001A4508" w:rsidP="001A4508">
      <w:pPr>
        <w:pStyle w:val="BoxText"/>
      </w:pPr>
      <w:r>
        <w:lastRenderedPageBreak/>
        <w:t>Russian w</w:t>
      </w:r>
      <w:r w:rsidRPr="00757103">
        <w:t xml:space="preserve">heat </w:t>
      </w:r>
      <w:r>
        <w:t>a</w:t>
      </w:r>
      <w:r w:rsidRPr="00757103">
        <w:t>phid</w:t>
      </w:r>
      <w:r>
        <w:t xml:space="preserve"> </w:t>
      </w:r>
      <w:r w:rsidRPr="00511CE4">
        <w:t>is a significant exotic pest that attacks all cereal crops</w:t>
      </w:r>
      <w:r w:rsidR="00D41ABA">
        <w:t>,</w:t>
      </w:r>
      <w:r w:rsidRPr="00511CE4">
        <w:t xml:space="preserve"> including wheat, barley and oats</w:t>
      </w:r>
      <w:r w:rsidR="00D41ABA">
        <w:t>,</w:t>
      </w:r>
      <w:r>
        <w:t xml:space="preserve"> by inhibiting growth—crop losses of up to 75</w:t>
      </w:r>
      <w:r w:rsidR="00A8440A">
        <w:t> </w:t>
      </w:r>
      <w:r>
        <w:t>per</w:t>
      </w:r>
      <w:r w:rsidR="00A8440A">
        <w:t> </w:t>
      </w:r>
      <w:r>
        <w:t xml:space="preserve">cent can occur and heavy infestations can kill plants. Since its initial detection in South Australia in May 2016, the aphid has been detected in areas of Victoria, New South Wales and Tasmania. In June 2016, the NMG agreed that </w:t>
      </w:r>
      <w:r w:rsidR="00D41ABA">
        <w:t xml:space="preserve">it </w:t>
      </w:r>
      <w:r>
        <w:t xml:space="preserve">is not technically feasible to eradicate </w:t>
      </w:r>
      <w:r w:rsidR="00D41ABA">
        <w:t xml:space="preserve">the pest </w:t>
      </w:r>
      <w:r>
        <w:t xml:space="preserve">from Australia. As at May 2017, efforts are focused on helping farmers </w:t>
      </w:r>
      <w:r w:rsidR="00D41ABA">
        <w:t xml:space="preserve">to </w:t>
      </w:r>
      <w:r>
        <w:t xml:space="preserve">prepare for and manage the aphid, including </w:t>
      </w:r>
      <w:r w:rsidR="00D41ABA">
        <w:t xml:space="preserve">by </w:t>
      </w:r>
      <w:r>
        <w:t>develop</w:t>
      </w:r>
      <w:r w:rsidR="00D41ABA">
        <w:t xml:space="preserve">ing </w:t>
      </w:r>
      <w:r>
        <w:t>management plans and longer-term control options.</w:t>
      </w:r>
    </w:p>
    <w:p w14:paraId="15FBAEAA" w14:textId="0EFAC801" w:rsidR="001A4508" w:rsidRDefault="00206626" w:rsidP="001A4508">
      <w:pPr>
        <w:pStyle w:val="BoxText"/>
      </w:pPr>
      <w:r>
        <w:t xml:space="preserve">Russian wheat aphid </w:t>
      </w:r>
      <w:r w:rsidR="00F0105F">
        <w:t xml:space="preserve">is included </w:t>
      </w:r>
      <w:r>
        <w:t xml:space="preserve"> on the PHC-endorsed </w:t>
      </w:r>
      <w:r w:rsidR="00F0105F">
        <w:t xml:space="preserve">list of </w:t>
      </w:r>
      <w:r>
        <w:t>National Priority Plant Pests</w:t>
      </w:r>
      <w:r w:rsidR="00F0105F">
        <w:t xml:space="preserve"> 2016</w:t>
      </w:r>
      <w:r>
        <w:t xml:space="preserve">. </w:t>
      </w:r>
      <w:r w:rsidR="001A4508">
        <w:t xml:space="preserve">The gross values of production in 2014–15 for some commodities potentially </w:t>
      </w:r>
      <w:r w:rsidR="00D41ABA">
        <w:t xml:space="preserve">affected </w:t>
      </w:r>
      <w:r w:rsidR="001A4508">
        <w:t>by the aphid were wheat ($7.1 billion), barley ($2.4 billion), sorghum ($666 million), and oats ($300 million).</w:t>
      </w:r>
    </w:p>
    <w:p w14:paraId="73686913" w14:textId="4E89B654" w:rsidR="001A4508" w:rsidRDefault="001A4508" w:rsidP="001A4508">
      <w:pPr>
        <w:pStyle w:val="BoxSource"/>
      </w:pPr>
      <w:r>
        <w:t xml:space="preserve">Source: </w:t>
      </w:r>
      <w:r w:rsidR="00241085">
        <w:t xml:space="preserve">The </w:t>
      </w:r>
      <w:hyperlink r:id="rId39" w:history="1">
        <w:r w:rsidR="00241085" w:rsidRPr="00241085">
          <w:rPr>
            <w:rStyle w:val="Hyperlink"/>
          </w:rPr>
          <w:t>National pest and disease outbreaks</w:t>
        </w:r>
      </w:hyperlink>
      <w:r w:rsidR="00241085">
        <w:t xml:space="preserve"> website </w:t>
      </w:r>
      <w:r>
        <w:t>(as at May 2017)</w:t>
      </w:r>
      <w:r w:rsidR="00D41ABA">
        <w:t>;</w:t>
      </w:r>
      <w:r>
        <w:t xml:space="preserve"> ABS Cat</w:t>
      </w:r>
      <w:r w:rsidR="00241085">
        <w:t>. No.</w:t>
      </w:r>
      <w:r>
        <w:t xml:space="preserve"> </w:t>
      </w:r>
      <w:r w:rsidRPr="00A042CF">
        <w:t>7503.0</w:t>
      </w:r>
      <w:r>
        <w:t>.</w:t>
      </w:r>
    </w:p>
    <w:p w14:paraId="21610362" w14:textId="77777777" w:rsidR="00E4439E" w:rsidRPr="00E4439E" w:rsidRDefault="00E4439E" w:rsidP="00E4439E">
      <w:pPr>
        <w:keepNext/>
        <w:numPr>
          <w:ilvl w:val="2"/>
          <w:numId w:val="8"/>
        </w:numPr>
        <w:spacing w:after="0" w:line="240" w:lineRule="auto"/>
        <w:outlineLvl w:val="3"/>
        <w:rPr>
          <w:rFonts w:ascii="Calibri" w:eastAsia="Times New Roman" w:hAnsi="Calibri" w:cs="Times New Roman"/>
          <w:b/>
          <w:bCs/>
          <w:sz w:val="28"/>
          <w:szCs w:val="24"/>
        </w:rPr>
      </w:pPr>
      <w:r w:rsidRPr="00E4439E">
        <w:rPr>
          <w:rFonts w:ascii="Calibri" w:eastAsia="Times New Roman" w:hAnsi="Calibri" w:cs="Times New Roman"/>
          <w:b/>
          <w:bCs/>
          <w:sz w:val="28"/>
          <w:szCs w:val="24"/>
        </w:rPr>
        <w:t>Timing</w:t>
      </w:r>
    </w:p>
    <w:p w14:paraId="21CB93EE" w14:textId="4951026A" w:rsidR="00E4439E" w:rsidRPr="00E4439E" w:rsidRDefault="00E4439E" w:rsidP="00E4439E">
      <w:pPr>
        <w:rPr>
          <w:rFonts w:eastAsia="Calibri" w:cs="Times New Roman"/>
        </w:rPr>
      </w:pPr>
      <w:r w:rsidRPr="00E4439E">
        <w:rPr>
          <w:rFonts w:eastAsia="Calibri" w:cs="Times New Roman"/>
        </w:rPr>
        <w:t>The work to prepare the three national priority lists as described above is substantial and will take some time to complete. However, their development should not be allowed to drag on</w:t>
      </w:r>
      <w:r w:rsidR="00CC487A">
        <w:rPr>
          <w:rFonts w:eastAsia="Calibri" w:cs="Times New Roman"/>
        </w:rPr>
        <w:t>,</w:t>
      </w:r>
      <w:r w:rsidRPr="00E4439E">
        <w:rPr>
          <w:rFonts w:eastAsia="Calibri" w:cs="Times New Roman"/>
        </w:rPr>
        <w:t xml:space="preserve"> so the </w:t>
      </w:r>
      <w:r w:rsidR="0053703D">
        <w:rPr>
          <w:rFonts w:eastAsia="Calibri" w:cs="Times New Roman"/>
        </w:rPr>
        <w:t>p</w:t>
      </w:r>
      <w:r w:rsidRPr="00E4439E">
        <w:rPr>
          <w:rFonts w:eastAsia="Calibri" w:cs="Times New Roman"/>
        </w:rPr>
        <w:t xml:space="preserve">anel believes a target should be set for their completion. The </w:t>
      </w:r>
      <w:r w:rsidR="00E36479">
        <w:rPr>
          <w:rFonts w:eastAsia="Calibri" w:cs="Times New Roman"/>
        </w:rPr>
        <w:t>p</w:t>
      </w:r>
      <w:r w:rsidR="00E36479" w:rsidRPr="00E4439E">
        <w:rPr>
          <w:rFonts w:eastAsia="Calibri" w:cs="Times New Roman"/>
        </w:rPr>
        <w:t xml:space="preserve">anel </w:t>
      </w:r>
      <w:r w:rsidRPr="00E4439E">
        <w:rPr>
          <w:rFonts w:eastAsia="Calibri" w:cs="Times New Roman"/>
        </w:rPr>
        <w:t>notes that the Aichi Biological Diversity Targets under the Convention on Biological Diversity, to which Australia is a signatory, requires at Target 9 that:</w:t>
      </w:r>
    </w:p>
    <w:p w14:paraId="19F6D653" w14:textId="77777777" w:rsidR="00E4439E" w:rsidRPr="00E4439E" w:rsidRDefault="00E4439E" w:rsidP="00223E7E">
      <w:pPr>
        <w:pStyle w:val="Quote"/>
      </w:pPr>
      <w:r w:rsidRPr="00E4439E">
        <w:t>By 2020, invasive alien species and pathways are identified and prioritized, priority species are controlled or eradicated and measures are in place to manage pathways to prevent their introduction and establishment.</w:t>
      </w:r>
    </w:p>
    <w:p w14:paraId="2D88DEDB" w14:textId="43D66869" w:rsidR="00E4439E" w:rsidRPr="00E4439E" w:rsidRDefault="00E4439E" w:rsidP="00E4439E">
      <w:pPr>
        <w:rPr>
          <w:rFonts w:eastAsia="Calibri" w:cs="Times New Roman"/>
        </w:rPr>
      </w:pPr>
      <w:r w:rsidRPr="00E4439E">
        <w:rPr>
          <w:rFonts w:eastAsia="Calibri" w:cs="Times New Roman"/>
        </w:rPr>
        <w:t>Since Australia is obligated to identify and prioritise invasive alien species for its environmental commitments</w:t>
      </w:r>
      <w:r w:rsidR="00CC487A">
        <w:rPr>
          <w:rFonts w:eastAsia="Calibri" w:cs="Times New Roman"/>
        </w:rPr>
        <w:t>,</w:t>
      </w:r>
      <w:r w:rsidRPr="00E4439E">
        <w:rPr>
          <w:rFonts w:eastAsia="Calibri" w:cs="Times New Roman"/>
        </w:rPr>
        <w:t xml:space="preserve"> it makes sense that this is done in tandem with the animal and plant lists. The </w:t>
      </w:r>
      <w:r w:rsidR="00CC487A">
        <w:rPr>
          <w:rFonts w:eastAsia="Calibri" w:cs="Times New Roman"/>
        </w:rPr>
        <w:t>p</w:t>
      </w:r>
      <w:r w:rsidRPr="00E4439E">
        <w:rPr>
          <w:rFonts w:eastAsia="Calibri" w:cs="Times New Roman"/>
        </w:rPr>
        <w:t>anel considers, therefore, that 2020 should also be the timeframe for the completion of all three lists.</w:t>
      </w:r>
    </w:p>
    <w:p w14:paraId="62DC8E84" w14:textId="77777777" w:rsidR="004B03F2" w:rsidRDefault="004B03F2" w:rsidP="00375F10">
      <w:pPr>
        <w:pStyle w:val="Heading4"/>
        <w:keepNext/>
      </w:pPr>
      <w:r>
        <w:t>Ongoing work</w:t>
      </w:r>
    </w:p>
    <w:p w14:paraId="14076076" w14:textId="77777777" w:rsidR="00E4439E" w:rsidRPr="00E4439E" w:rsidRDefault="00E4439E" w:rsidP="00E4439E">
      <w:pPr>
        <w:rPr>
          <w:rFonts w:eastAsia="Calibri" w:cs="Times New Roman"/>
        </w:rPr>
      </w:pPr>
      <w:r w:rsidRPr="00E4439E">
        <w:rPr>
          <w:rFonts w:eastAsia="Calibri" w:cs="Times New Roman"/>
        </w:rPr>
        <w:t>Determining national priority biosecurity risks is not a one-off process. Ongoing risk identification and assessment is critical. Future and emerging global trends will significantly change, and increase, the complexity of the biosecurity risks facing Australia.</w:t>
      </w:r>
    </w:p>
    <w:p w14:paraId="7A0C4C28" w14:textId="44385400" w:rsidR="00E4439E" w:rsidRPr="00E4439E" w:rsidRDefault="00E4439E" w:rsidP="00E4439E">
      <w:pPr>
        <w:rPr>
          <w:rFonts w:eastAsia="Calibri" w:cs="Times New Roman"/>
        </w:rPr>
      </w:pPr>
      <w:r w:rsidRPr="00E4439E">
        <w:rPr>
          <w:rFonts w:eastAsia="Calibri" w:cs="Times New Roman"/>
        </w:rPr>
        <w:t xml:space="preserve">To this end, national priority animal, plant and environmental pests and diseases should be revised in light of intelligence and foresighting work on present or emerging risks on an ongoing basis. The </w:t>
      </w:r>
      <w:r w:rsidR="00CC487A">
        <w:rPr>
          <w:rFonts w:eastAsia="Calibri" w:cs="Times New Roman"/>
        </w:rPr>
        <w:t>p</w:t>
      </w:r>
      <w:r w:rsidRPr="00E4439E">
        <w:rPr>
          <w:rFonts w:eastAsia="Calibri" w:cs="Times New Roman"/>
        </w:rPr>
        <w:t xml:space="preserve">anel recommends that the priority pest and disease lists be formally reviewed </w:t>
      </w:r>
      <w:r w:rsidR="00CC487A">
        <w:rPr>
          <w:rFonts w:eastAsia="Calibri" w:cs="Times New Roman"/>
        </w:rPr>
        <w:t xml:space="preserve">at least </w:t>
      </w:r>
      <w:r w:rsidRPr="00E4439E">
        <w:rPr>
          <w:rFonts w:eastAsia="Calibri" w:cs="Times New Roman"/>
        </w:rPr>
        <w:t xml:space="preserve">every five years, noting that there may be reasons to </w:t>
      </w:r>
      <w:r w:rsidRPr="00E4439E">
        <w:rPr>
          <w:rFonts w:eastAsia="Calibri" w:cs="Times New Roman"/>
        </w:rPr>
        <w:lastRenderedPageBreak/>
        <w:t>review these lists earlier (for example, identification of new pathways, beh</w:t>
      </w:r>
      <w:r w:rsidR="00133956">
        <w:rPr>
          <w:rFonts w:eastAsia="Calibri" w:cs="Times New Roman"/>
        </w:rPr>
        <w:t>aviours, hosts and treatments).</w:t>
      </w:r>
    </w:p>
    <w:p w14:paraId="44D28AB3" w14:textId="3FFB65C8" w:rsidR="00E4439E" w:rsidRPr="00E4439E" w:rsidRDefault="00E4439E" w:rsidP="00E4439E">
      <w:pPr>
        <w:rPr>
          <w:rFonts w:eastAsia="Calibri" w:cs="Times New Roman"/>
        </w:rPr>
      </w:pPr>
      <w:r w:rsidRPr="00E4439E">
        <w:rPr>
          <w:rFonts w:eastAsia="Calibri" w:cs="Times New Roman"/>
        </w:rPr>
        <w:t>The NBC’s sectoral committees should oversee this process, including through joint meetings and public consultation, to allow discussion of pests and diseases or pathways with cross-sys</w:t>
      </w:r>
      <w:r w:rsidR="00307000">
        <w:rPr>
          <w:rFonts w:eastAsia="Calibri" w:cs="Times New Roman"/>
        </w:rPr>
        <w:t>tem impacts and guidance to sub</w:t>
      </w:r>
      <w:r w:rsidRPr="00E4439E">
        <w:rPr>
          <w:rFonts w:eastAsia="Calibri" w:cs="Times New Roman"/>
        </w:rPr>
        <w:t xml:space="preserve">committees on cross-system efficiencies. The sectoral committees should report their progress to the NBC; progress reporting to </w:t>
      </w:r>
      <w:r w:rsidR="00CC487A">
        <w:rPr>
          <w:rFonts w:eastAsia="Calibri" w:cs="Times New Roman"/>
        </w:rPr>
        <w:t xml:space="preserve">the </w:t>
      </w:r>
      <w:r w:rsidRPr="00E4439E">
        <w:rPr>
          <w:rFonts w:eastAsia="Calibri" w:cs="Times New Roman"/>
        </w:rPr>
        <w:t>A</w:t>
      </w:r>
      <w:r w:rsidR="00CC487A">
        <w:rPr>
          <w:rFonts w:eastAsia="Calibri" w:cs="Times New Roman"/>
        </w:rPr>
        <w:t xml:space="preserve">griculture </w:t>
      </w:r>
      <w:r w:rsidRPr="00E4439E">
        <w:rPr>
          <w:rFonts w:eastAsia="Calibri" w:cs="Times New Roman"/>
        </w:rPr>
        <w:t>S</w:t>
      </w:r>
      <w:r w:rsidR="00CC487A">
        <w:rPr>
          <w:rFonts w:eastAsia="Calibri" w:cs="Times New Roman"/>
        </w:rPr>
        <w:t xml:space="preserve">enior </w:t>
      </w:r>
      <w:r w:rsidRPr="00E4439E">
        <w:rPr>
          <w:rFonts w:eastAsia="Calibri" w:cs="Times New Roman"/>
        </w:rPr>
        <w:t>O</w:t>
      </w:r>
      <w:r w:rsidR="00CC487A">
        <w:rPr>
          <w:rFonts w:eastAsia="Calibri" w:cs="Times New Roman"/>
        </w:rPr>
        <w:t xml:space="preserve">fficials </w:t>
      </w:r>
      <w:r w:rsidRPr="00E4439E">
        <w:rPr>
          <w:rFonts w:eastAsia="Calibri" w:cs="Times New Roman"/>
        </w:rPr>
        <w:t>C</w:t>
      </w:r>
      <w:r w:rsidR="00CC487A">
        <w:rPr>
          <w:rFonts w:eastAsia="Calibri" w:cs="Times New Roman"/>
        </w:rPr>
        <w:t>ommittee</w:t>
      </w:r>
      <w:r w:rsidRPr="00E4439E">
        <w:rPr>
          <w:rFonts w:eastAsia="Calibri" w:cs="Times New Roman"/>
        </w:rPr>
        <w:t xml:space="preserve"> </w:t>
      </w:r>
      <w:r w:rsidR="00CC487A">
        <w:rPr>
          <w:rFonts w:eastAsia="Calibri" w:cs="Times New Roman"/>
        </w:rPr>
        <w:t xml:space="preserve">(AGSOC) </w:t>
      </w:r>
      <w:r w:rsidRPr="00E4439E">
        <w:rPr>
          <w:rFonts w:eastAsia="Calibri" w:cs="Times New Roman"/>
        </w:rPr>
        <w:t xml:space="preserve">and </w:t>
      </w:r>
      <w:r w:rsidR="00CC487A">
        <w:rPr>
          <w:rFonts w:eastAsia="Calibri" w:cs="Times New Roman"/>
        </w:rPr>
        <w:t>the Agriculture Ministers’ Forum (</w:t>
      </w:r>
      <w:r w:rsidRPr="00E4439E">
        <w:rPr>
          <w:rFonts w:eastAsia="Calibri" w:cs="Times New Roman"/>
        </w:rPr>
        <w:t>AGMIN</w:t>
      </w:r>
      <w:r w:rsidR="00CC487A">
        <w:rPr>
          <w:rFonts w:eastAsia="Calibri" w:cs="Times New Roman"/>
        </w:rPr>
        <w:t>)</w:t>
      </w:r>
      <w:r w:rsidRPr="00E4439E">
        <w:rPr>
          <w:rFonts w:eastAsia="Calibri" w:cs="Times New Roman"/>
        </w:rPr>
        <w:t xml:space="preserve"> should be included in the NBC’s annual report to agriculture ministers.</w:t>
      </w:r>
    </w:p>
    <w:p w14:paraId="2EF15A8D" w14:textId="41343E4B" w:rsidR="005B2D95" w:rsidRDefault="00E4439E" w:rsidP="00F31744">
      <w:pPr>
        <w:rPr>
          <w:rFonts w:eastAsia="Calibri" w:cs="Times New Roman"/>
        </w:rPr>
      </w:pPr>
      <w:r w:rsidRPr="00E4439E">
        <w:rPr>
          <w:rFonts w:eastAsia="Calibri" w:cs="Times New Roman"/>
        </w:rPr>
        <w:t xml:space="preserve">The </w:t>
      </w:r>
      <w:r w:rsidR="00D861CE">
        <w:rPr>
          <w:rFonts w:eastAsia="Calibri" w:cs="Times New Roman"/>
        </w:rPr>
        <w:t>p</w:t>
      </w:r>
      <w:r w:rsidRPr="00E4439E">
        <w:rPr>
          <w:rFonts w:eastAsia="Calibri" w:cs="Times New Roman"/>
        </w:rPr>
        <w:t xml:space="preserve">anel also considers there is scope in the future for greater disclosure of the pests and diseases intercepted by the national biosecurity system (by both governments and industry). The successes of the national system should be highlighted, not just its failures. Regularly publishing a list of items intercepted, thereby highlighting the potential problems avoided, will help </w:t>
      </w:r>
      <w:r w:rsidR="00D861CE">
        <w:rPr>
          <w:rFonts w:eastAsia="Calibri" w:cs="Times New Roman"/>
        </w:rPr>
        <w:t xml:space="preserve">to </w:t>
      </w:r>
      <w:r w:rsidRPr="00E4439E">
        <w:rPr>
          <w:rFonts w:eastAsia="Calibri" w:cs="Times New Roman"/>
        </w:rPr>
        <w:t xml:space="preserve">build awareness of the value of the national system </w:t>
      </w:r>
      <w:r w:rsidR="00D861CE">
        <w:rPr>
          <w:rFonts w:eastAsia="Calibri" w:cs="Times New Roman"/>
        </w:rPr>
        <w:t xml:space="preserve">and </w:t>
      </w:r>
      <w:r w:rsidRPr="00E4439E">
        <w:rPr>
          <w:rFonts w:eastAsia="Calibri" w:cs="Times New Roman"/>
        </w:rPr>
        <w:t xml:space="preserve">the role it plays in </w:t>
      </w:r>
      <w:r w:rsidR="001A2B39">
        <w:rPr>
          <w:rFonts w:eastAsia="Calibri" w:cs="Times New Roman"/>
        </w:rPr>
        <w:t xml:space="preserve">the </w:t>
      </w:r>
      <w:r w:rsidRPr="00E4439E">
        <w:rPr>
          <w:rFonts w:eastAsia="Calibri" w:cs="Times New Roman"/>
        </w:rPr>
        <w:t>nation’s wellbeing</w:t>
      </w:r>
      <w:r w:rsidR="00D861CE">
        <w:rPr>
          <w:rFonts w:eastAsia="Calibri" w:cs="Times New Roman"/>
        </w:rPr>
        <w:t>;</w:t>
      </w:r>
      <w:r w:rsidRPr="00E4439E">
        <w:rPr>
          <w:rFonts w:eastAsia="Calibri" w:cs="Times New Roman"/>
        </w:rPr>
        <w:t xml:space="preserve"> and serve to alert all system participants to the need for added vigilance for the pest or disease via the pathway detected</w:t>
      </w:r>
      <w:r w:rsidR="00F31744">
        <w:rPr>
          <w:rFonts w:eastAsia="Calibri" w:cs="Times New Roman"/>
        </w:rPr>
        <w:t>.</w:t>
      </w:r>
    </w:p>
    <w:p w14:paraId="733AF353" w14:textId="71E51AA4" w:rsidR="00F31744" w:rsidRPr="00F52E7F" w:rsidRDefault="00F31744" w:rsidP="00F52E7F">
      <w:pPr>
        <w:pStyle w:val="BoxHeading"/>
        <w:shd w:val="clear" w:color="auto" w:fill="D9D9D9" w:themeFill="background1" w:themeFillShade="D9"/>
        <w:rPr>
          <w:sz w:val="22"/>
        </w:rPr>
      </w:pPr>
      <w:bookmarkStart w:id="96" w:name="_Ref482709854"/>
      <w:r w:rsidRPr="00F52E7F">
        <w:rPr>
          <w:sz w:val="22"/>
          <w:shd w:val="clear" w:color="auto" w:fill="D9D9D9" w:themeFill="background1" w:themeFillShade="D9"/>
        </w:rPr>
        <w:t xml:space="preserve">Recommendation </w:t>
      </w:r>
      <w:r w:rsidRPr="00F52E7F">
        <w:rPr>
          <w:sz w:val="22"/>
          <w:shd w:val="clear" w:color="auto" w:fill="D9D9D9" w:themeFill="background1" w:themeFillShade="D9"/>
        </w:rPr>
        <w:fldChar w:fldCharType="begin"/>
      </w:r>
      <w:r w:rsidRPr="00F52E7F">
        <w:rPr>
          <w:sz w:val="22"/>
          <w:shd w:val="clear" w:color="auto" w:fill="D9D9D9" w:themeFill="background1" w:themeFillShade="D9"/>
        </w:rPr>
        <w:instrText xml:space="preserve"> SEQ Recommendation \* ARABIC </w:instrText>
      </w:r>
      <w:r w:rsidRPr="00F52E7F">
        <w:rPr>
          <w:sz w:val="22"/>
          <w:shd w:val="clear" w:color="auto" w:fill="D9D9D9" w:themeFill="background1" w:themeFillShade="D9"/>
        </w:rPr>
        <w:fldChar w:fldCharType="separate"/>
      </w:r>
      <w:r w:rsidR="009F6923">
        <w:rPr>
          <w:noProof/>
          <w:sz w:val="22"/>
          <w:shd w:val="clear" w:color="auto" w:fill="D9D9D9" w:themeFill="background1" w:themeFillShade="D9"/>
        </w:rPr>
        <w:t>11</w:t>
      </w:r>
      <w:r w:rsidRPr="00F52E7F">
        <w:rPr>
          <w:sz w:val="22"/>
          <w:shd w:val="clear" w:color="auto" w:fill="D9D9D9" w:themeFill="background1" w:themeFillShade="D9"/>
        </w:rPr>
        <w:fldChar w:fldCharType="end"/>
      </w:r>
      <w:bookmarkEnd w:id="96"/>
    </w:p>
    <w:p w14:paraId="22749B1C" w14:textId="4756881C" w:rsidR="00E4439E" w:rsidRPr="00F52E7F" w:rsidRDefault="00E4439E" w:rsidP="00F52E7F">
      <w:pPr>
        <w:pStyle w:val="BoxText"/>
        <w:shd w:val="clear" w:color="auto" w:fill="D9D9D9" w:themeFill="background1" w:themeFillShade="D9"/>
        <w:rPr>
          <w:sz w:val="22"/>
        </w:rPr>
      </w:pPr>
      <w:r w:rsidRPr="00F52E7F">
        <w:rPr>
          <w:sz w:val="22"/>
        </w:rPr>
        <w:t>The NBC should adopt a systematic approach to determine and plan for nation</w:t>
      </w:r>
      <w:r w:rsidR="00133956" w:rsidRPr="00F52E7F">
        <w:rPr>
          <w:sz w:val="22"/>
        </w:rPr>
        <w:t>al priority pests and diseases</w:t>
      </w:r>
      <w:r w:rsidR="00D861CE">
        <w:rPr>
          <w:sz w:val="22"/>
        </w:rPr>
        <w:t>:</w:t>
      </w:r>
    </w:p>
    <w:p w14:paraId="15E25931" w14:textId="697D57C5" w:rsidR="00B03462" w:rsidRPr="00F52E7F" w:rsidRDefault="00B03462" w:rsidP="00F52E7F">
      <w:pPr>
        <w:pStyle w:val="BoxTextBullet"/>
        <w:shd w:val="clear" w:color="auto" w:fill="D9D9D9" w:themeFill="background1" w:themeFillShade="D9"/>
        <w:rPr>
          <w:sz w:val="22"/>
          <w:lang w:eastAsia="ja-JP"/>
        </w:rPr>
      </w:pPr>
      <w:r w:rsidRPr="00F52E7F">
        <w:rPr>
          <w:sz w:val="22"/>
          <w:lang w:eastAsia="ja-JP"/>
        </w:rPr>
        <w:t>T</w:t>
      </w:r>
      <w:r w:rsidR="00216755" w:rsidRPr="00F52E7F">
        <w:rPr>
          <w:sz w:val="22"/>
          <w:lang w:eastAsia="ja-JP"/>
        </w:rPr>
        <w:t>hree national priority lists—</w:t>
      </w:r>
      <w:r w:rsidR="00E4439E" w:rsidRPr="00F52E7F">
        <w:rPr>
          <w:sz w:val="22"/>
          <w:lang w:eastAsia="ja-JP"/>
        </w:rPr>
        <w:t>one each for animal, plant and e</w:t>
      </w:r>
      <w:r w:rsidR="00216755" w:rsidRPr="00F52E7F">
        <w:rPr>
          <w:sz w:val="22"/>
          <w:lang w:eastAsia="ja-JP"/>
        </w:rPr>
        <w:t>nvironmental pests and diseases—</w:t>
      </w:r>
      <w:r w:rsidR="00E4439E" w:rsidRPr="00F52E7F">
        <w:rPr>
          <w:sz w:val="22"/>
          <w:lang w:eastAsia="ja-JP"/>
        </w:rPr>
        <w:t>should be developed in partnership with system participants</w:t>
      </w:r>
      <w:r w:rsidR="00D861CE">
        <w:rPr>
          <w:sz w:val="22"/>
          <w:lang w:eastAsia="ja-JP"/>
        </w:rPr>
        <w:t>.</w:t>
      </w:r>
    </w:p>
    <w:p w14:paraId="3D82931D" w14:textId="089D1B14" w:rsidR="00E4439E" w:rsidRPr="00F52E7F" w:rsidRDefault="00E4439E" w:rsidP="00F52E7F">
      <w:pPr>
        <w:pStyle w:val="BoxTextBullet"/>
        <w:shd w:val="clear" w:color="auto" w:fill="D9D9D9" w:themeFill="background1" w:themeFillShade="D9"/>
        <w:rPr>
          <w:sz w:val="22"/>
        </w:rPr>
      </w:pPr>
      <w:r w:rsidRPr="00F52E7F">
        <w:rPr>
          <w:sz w:val="22"/>
          <w:lang w:eastAsia="ja-JP"/>
        </w:rPr>
        <w:t>The three national lists should be completed by 2020</w:t>
      </w:r>
      <w:r w:rsidR="00D861CE">
        <w:rPr>
          <w:sz w:val="22"/>
          <w:lang w:eastAsia="ja-JP"/>
        </w:rPr>
        <w:t>.</w:t>
      </w:r>
    </w:p>
    <w:p w14:paraId="32F11570" w14:textId="17F8FBC5" w:rsidR="00E4439E" w:rsidRPr="00F52E7F" w:rsidRDefault="00E4439E" w:rsidP="00F52E7F">
      <w:pPr>
        <w:pStyle w:val="BoxTextBullet"/>
        <w:shd w:val="clear" w:color="auto" w:fill="D9D9D9" w:themeFill="background1" w:themeFillShade="D9"/>
        <w:rPr>
          <w:sz w:val="22"/>
        </w:rPr>
      </w:pPr>
      <w:r w:rsidRPr="00F52E7F">
        <w:rPr>
          <w:sz w:val="22"/>
          <w:lang w:eastAsia="ja-JP"/>
        </w:rPr>
        <w:t>Thereafter</w:t>
      </w:r>
      <w:r w:rsidR="00D861CE">
        <w:rPr>
          <w:sz w:val="22"/>
          <w:lang w:eastAsia="ja-JP"/>
        </w:rPr>
        <w:t>,</w:t>
      </w:r>
      <w:r w:rsidRPr="00F52E7F">
        <w:rPr>
          <w:sz w:val="22"/>
          <w:lang w:eastAsia="ja-JP"/>
        </w:rPr>
        <w:t xml:space="preserve"> </w:t>
      </w:r>
      <w:r w:rsidR="006E3973">
        <w:rPr>
          <w:sz w:val="22"/>
          <w:lang w:eastAsia="ja-JP"/>
        </w:rPr>
        <w:t xml:space="preserve">the </w:t>
      </w:r>
      <w:r w:rsidRPr="00F52E7F">
        <w:rPr>
          <w:sz w:val="22"/>
          <w:lang w:eastAsia="ja-JP"/>
        </w:rPr>
        <w:t xml:space="preserve">NBC should lead reviews of the </w:t>
      </w:r>
      <w:r w:rsidR="006E3973">
        <w:rPr>
          <w:sz w:val="22"/>
          <w:lang w:eastAsia="ja-JP"/>
        </w:rPr>
        <w:t xml:space="preserve">national </w:t>
      </w:r>
      <w:r w:rsidRPr="00F52E7F">
        <w:rPr>
          <w:sz w:val="22"/>
          <w:lang w:eastAsia="ja-JP"/>
        </w:rPr>
        <w:t>priority lists at least every five years, reporting to AGSOC and AGMIN.</w:t>
      </w:r>
    </w:p>
    <w:p w14:paraId="4125EFB4" w14:textId="77777777" w:rsidR="004B03F2" w:rsidRDefault="004B03F2" w:rsidP="00E475B1">
      <w:pPr>
        <w:pStyle w:val="Heading3"/>
        <w:rPr>
          <w:lang w:eastAsia="ja-JP"/>
        </w:rPr>
      </w:pPr>
      <w:bookmarkStart w:id="97" w:name="_Toc486236046"/>
      <w:r>
        <w:rPr>
          <w:lang w:eastAsia="ja-JP"/>
        </w:rPr>
        <w:t>Benefits</w:t>
      </w:r>
      <w:r w:rsidR="00F61351">
        <w:rPr>
          <w:lang w:eastAsia="ja-JP"/>
        </w:rPr>
        <w:t xml:space="preserve"> and opportunities</w:t>
      </w:r>
      <w:bookmarkEnd w:id="97"/>
    </w:p>
    <w:p w14:paraId="6AC342B7" w14:textId="09C72D9A" w:rsidR="00584F3F" w:rsidRPr="00584F3F" w:rsidRDefault="00584F3F" w:rsidP="00E475B1">
      <w:pPr>
        <w:keepNext/>
        <w:rPr>
          <w:lang w:eastAsia="ja-JP"/>
        </w:rPr>
      </w:pPr>
      <w:r>
        <w:rPr>
          <w:lang w:eastAsia="ja-JP"/>
        </w:rPr>
        <w:t xml:space="preserve">There are significant benefits to </w:t>
      </w:r>
      <w:r w:rsidR="001A2B39">
        <w:rPr>
          <w:lang w:eastAsia="ja-JP"/>
        </w:rPr>
        <w:t xml:space="preserve">a </w:t>
      </w:r>
      <w:r>
        <w:rPr>
          <w:lang w:eastAsia="ja-JP"/>
        </w:rPr>
        <w:t>systematic approach to national pest and d</w:t>
      </w:r>
      <w:r w:rsidR="00B17031">
        <w:rPr>
          <w:lang w:eastAsia="ja-JP"/>
        </w:rPr>
        <w:t>isease prioritisation:</w:t>
      </w:r>
    </w:p>
    <w:p w14:paraId="051CCCF2" w14:textId="0C469958" w:rsidR="00E4439E" w:rsidRPr="00E4439E" w:rsidRDefault="00D861CE" w:rsidP="00E475B1">
      <w:pPr>
        <w:pStyle w:val="ListBullet"/>
        <w:keepNext/>
        <w:rPr>
          <w:lang w:eastAsia="ja-JP"/>
        </w:rPr>
      </w:pPr>
      <w:r w:rsidRPr="00D861CE">
        <w:rPr>
          <w:b/>
          <w:lang w:eastAsia="ja-JP"/>
        </w:rPr>
        <w:t>N</w:t>
      </w:r>
      <w:r w:rsidR="00E4439E" w:rsidRPr="00D861CE">
        <w:rPr>
          <w:b/>
          <w:lang w:eastAsia="ja-JP"/>
        </w:rPr>
        <w:t>ational clarity</w:t>
      </w:r>
      <w:r>
        <w:rPr>
          <w:b/>
          <w:lang w:eastAsia="ja-JP"/>
        </w:rPr>
        <w:t>:</w:t>
      </w:r>
      <w:r w:rsidR="00E4439E" w:rsidRPr="00E4439E">
        <w:rPr>
          <w:lang w:eastAsia="ja-JP"/>
        </w:rPr>
        <w:t xml:space="preserve"> All participants in the national biosecurity system</w:t>
      </w:r>
      <w:r>
        <w:rPr>
          <w:lang w:eastAsia="ja-JP"/>
        </w:rPr>
        <w:t>,</w:t>
      </w:r>
      <w:r w:rsidR="00E4439E" w:rsidRPr="00E4439E">
        <w:rPr>
          <w:lang w:eastAsia="ja-JP"/>
        </w:rPr>
        <w:t xml:space="preserve"> including the public</w:t>
      </w:r>
      <w:r>
        <w:rPr>
          <w:lang w:eastAsia="ja-JP"/>
        </w:rPr>
        <w:t>,</w:t>
      </w:r>
      <w:r w:rsidR="00E4439E" w:rsidRPr="00E4439E">
        <w:rPr>
          <w:lang w:eastAsia="ja-JP"/>
        </w:rPr>
        <w:t xml:space="preserve"> will have a clear understanding of what is important in the national system and a clearer understanding of the full suite of activities </w:t>
      </w:r>
      <w:r>
        <w:rPr>
          <w:lang w:eastAsia="ja-JP"/>
        </w:rPr>
        <w:t xml:space="preserve">that </w:t>
      </w:r>
      <w:r w:rsidR="00E4439E" w:rsidRPr="00E4439E">
        <w:rPr>
          <w:lang w:eastAsia="ja-JP"/>
        </w:rPr>
        <w:t xml:space="preserve">need to be funded under the national system. Perhaps less helpfully in some cases, Australia’s priorities </w:t>
      </w:r>
      <w:r w:rsidR="00E4439E" w:rsidRPr="00E4439E">
        <w:rPr>
          <w:lang w:eastAsia="ja-JP"/>
        </w:rPr>
        <w:lastRenderedPageBreak/>
        <w:t>will also be clear to our trading partners, which may use this information to their advantage</w:t>
      </w:r>
      <w:r>
        <w:rPr>
          <w:lang w:eastAsia="ja-JP"/>
        </w:rPr>
        <w:t>.</w:t>
      </w:r>
    </w:p>
    <w:p w14:paraId="3CEF08E6" w14:textId="0B756D22" w:rsidR="00E4439E" w:rsidRPr="00E4439E" w:rsidRDefault="00D861CE" w:rsidP="00E475B1">
      <w:pPr>
        <w:pStyle w:val="ListBullet"/>
        <w:keepNext/>
        <w:rPr>
          <w:lang w:eastAsia="ja-JP"/>
        </w:rPr>
      </w:pPr>
      <w:r w:rsidRPr="00D861CE">
        <w:rPr>
          <w:b/>
          <w:lang w:eastAsia="ja-JP"/>
        </w:rPr>
        <w:t>T</w:t>
      </w:r>
      <w:r w:rsidR="00E4439E" w:rsidRPr="00D861CE">
        <w:rPr>
          <w:b/>
          <w:lang w:eastAsia="ja-JP"/>
        </w:rPr>
        <w:t>he ‘sum’ of the national biosecurity system</w:t>
      </w:r>
      <w:r>
        <w:rPr>
          <w:b/>
          <w:lang w:eastAsia="ja-JP"/>
        </w:rPr>
        <w:t>:</w:t>
      </w:r>
      <w:r w:rsidR="00E4439E" w:rsidRPr="00E4439E">
        <w:rPr>
          <w:lang w:eastAsia="ja-JP"/>
        </w:rPr>
        <w:t xml:space="preserve"> The proposed approach will allow a ‘rolling-up’ of the system, made up of its various components, including a national perspective on system elements such </w:t>
      </w:r>
      <w:r>
        <w:rPr>
          <w:lang w:eastAsia="ja-JP"/>
        </w:rPr>
        <w:t xml:space="preserve">as </w:t>
      </w:r>
      <w:r w:rsidR="00E4439E" w:rsidRPr="00E4439E">
        <w:rPr>
          <w:lang w:eastAsia="ja-JP"/>
        </w:rPr>
        <w:t xml:space="preserve">surveillance, response, research and development needs and the total cost of these. While the nature of the task means that the financial commitment involved cannot be specified in advance of the prioritisation process, </w:t>
      </w:r>
      <w:r w:rsidR="00E4439E" w:rsidRPr="00E4439E">
        <w:rPr>
          <w:i/>
          <w:lang w:eastAsia="ja-JP"/>
        </w:rPr>
        <w:t>ad hoc</w:t>
      </w:r>
      <w:r w:rsidR="00E4439E" w:rsidRPr="00E4439E">
        <w:rPr>
          <w:lang w:eastAsia="ja-JP"/>
        </w:rPr>
        <w:t xml:space="preserve"> and unstructured funding needs should be minimised. Over time, this process will yield significant cross-system efficiencies, as well as provide the base-level knowledge and information necessary for development of, for example:</w:t>
      </w:r>
    </w:p>
    <w:p w14:paraId="3935471B" w14:textId="77777777" w:rsidR="00E4439E" w:rsidRPr="00E4439E" w:rsidRDefault="00E4439E" w:rsidP="00E4439E">
      <w:pPr>
        <w:pStyle w:val="ListBullet2"/>
        <w:tabs>
          <w:tab w:val="clear" w:pos="643"/>
          <w:tab w:val="num" w:pos="567"/>
        </w:tabs>
        <w:ind w:left="568" w:hanging="284"/>
        <w:rPr>
          <w:lang w:eastAsia="ja-JP"/>
        </w:rPr>
      </w:pPr>
      <w:r w:rsidRPr="00E4439E">
        <w:rPr>
          <w:lang w:eastAsia="ja-JP"/>
        </w:rPr>
        <w:t>national investment strategies (for example, for the NBC, individual jurisdictions, agricultural industries)</w:t>
      </w:r>
    </w:p>
    <w:p w14:paraId="4BF5B1B2" w14:textId="77777777" w:rsidR="00E4439E" w:rsidRPr="00E4439E" w:rsidRDefault="00E4439E" w:rsidP="00E4439E">
      <w:pPr>
        <w:pStyle w:val="ListBullet2"/>
        <w:tabs>
          <w:tab w:val="clear" w:pos="643"/>
          <w:tab w:val="num" w:pos="567"/>
        </w:tabs>
        <w:ind w:left="568" w:hanging="284"/>
        <w:rPr>
          <w:lang w:eastAsia="ja-JP"/>
        </w:rPr>
      </w:pPr>
      <w:r w:rsidRPr="00E4439E">
        <w:rPr>
          <w:lang w:eastAsia="ja-JP"/>
        </w:rPr>
        <w:t>national surveillance plans (for example, for animal, plant and environment; geographic regions; industry, community or government; or area freedom purposes)</w:t>
      </w:r>
    </w:p>
    <w:p w14:paraId="2BAEE02B" w14:textId="2B678C2F" w:rsidR="00E4439E" w:rsidRPr="00E4439E" w:rsidRDefault="00E4439E" w:rsidP="00E4439E">
      <w:pPr>
        <w:pStyle w:val="ListBullet2"/>
        <w:tabs>
          <w:tab w:val="clear" w:pos="643"/>
          <w:tab w:val="num" w:pos="567"/>
        </w:tabs>
        <w:ind w:left="568" w:hanging="284"/>
        <w:rPr>
          <w:lang w:eastAsia="ja-JP"/>
        </w:rPr>
      </w:pPr>
      <w:r w:rsidRPr="00E4439E">
        <w:rPr>
          <w:lang w:eastAsia="ja-JP"/>
        </w:rPr>
        <w:t xml:space="preserve">a national biosecurity </w:t>
      </w:r>
      <w:r w:rsidR="00D861CE">
        <w:rPr>
          <w:lang w:eastAsia="ja-JP"/>
        </w:rPr>
        <w:t>research and innovation (</w:t>
      </w:r>
      <w:r w:rsidRPr="00E4439E">
        <w:rPr>
          <w:lang w:eastAsia="ja-JP"/>
        </w:rPr>
        <w:t>R&amp;I</w:t>
      </w:r>
      <w:r w:rsidR="00D861CE">
        <w:rPr>
          <w:lang w:eastAsia="ja-JP"/>
        </w:rPr>
        <w:t>)</w:t>
      </w:r>
      <w:r w:rsidRPr="00E4439E">
        <w:rPr>
          <w:lang w:eastAsia="ja-JP"/>
        </w:rPr>
        <w:t xml:space="preserve"> plan</w:t>
      </w:r>
    </w:p>
    <w:p w14:paraId="6EDA97AD" w14:textId="71967DA0" w:rsidR="00E4439E" w:rsidRPr="00E4439E" w:rsidRDefault="00E4439E" w:rsidP="00E4439E">
      <w:pPr>
        <w:pStyle w:val="ListBullet2"/>
        <w:tabs>
          <w:tab w:val="clear" w:pos="643"/>
          <w:tab w:val="num" w:pos="567"/>
        </w:tabs>
        <w:ind w:left="568" w:hanging="284"/>
        <w:rPr>
          <w:lang w:eastAsia="ja-JP"/>
        </w:rPr>
      </w:pPr>
      <w:r w:rsidRPr="00E4439E">
        <w:rPr>
          <w:lang w:eastAsia="ja-JP"/>
        </w:rPr>
        <w:t>a national perspective on all pathways for exotic pests and diseases</w:t>
      </w:r>
      <w:r w:rsidR="00D861CE">
        <w:rPr>
          <w:lang w:eastAsia="ja-JP"/>
        </w:rPr>
        <w:t>.</w:t>
      </w:r>
    </w:p>
    <w:p w14:paraId="52F9C1AE" w14:textId="3D61DAC9" w:rsidR="00E4439E" w:rsidRPr="00E4439E" w:rsidRDefault="00D861CE" w:rsidP="00E4439E">
      <w:pPr>
        <w:pStyle w:val="ListBullet"/>
        <w:rPr>
          <w:lang w:eastAsia="ja-JP"/>
        </w:rPr>
      </w:pPr>
      <w:r w:rsidRPr="00D861CE">
        <w:rPr>
          <w:b/>
          <w:lang w:eastAsia="ja-JP"/>
        </w:rPr>
        <w:t>E</w:t>
      </w:r>
      <w:r w:rsidR="00E4439E" w:rsidRPr="00D861CE">
        <w:rPr>
          <w:b/>
          <w:lang w:eastAsia="ja-JP"/>
        </w:rPr>
        <w:t>nhance</w:t>
      </w:r>
      <w:r>
        <w:rPr>
          <w:b/>
          <w:lang w:eastAsia="ja-JP"/>
        </w:rPr>
        <w:t>d</w:t>
      </w:r>
      <w:r w:rsidR="00E4439E" w:rsidRPr="00D861CE">
        <w:rPr>
          <w:b/>
          <w:lang w:eastAsia="ja-JP"/>
        </w:rPr>
        <w:t xml:space="preserve"> market access work</w:t>
      </w:r>
      <w:r w:rsidRPr="00D861CE">
        <w:rPr>
          <w:b/>
          <w:lang w:eastAsia="ja-JP"/>
        </w:rPr>
        <w:t>:</w:t>
      </w:r>
      <w:r w:rsidR="00E4439E" w:rsidRPr="00E4439E">
        <w:rPr>
          <w:lang w:eastAsia="ja-JP"/>
        </w:rPr>
        <w:t xml:space="preserve"> Giving greater focus to national priority exotic pests and diseases (including those with significant adverse economic impacts) will help align activities such as surveillance with Australia’s trade and market access priorities—the national system will be better prepared to generate evidence to underpin Australia’s claims of absence and area freedom</w:t>
      </w:r>
      <w:r>
        <w:rPr>
          <w:lang w:eastAsia="ja-JP"/>
        </w:rPr>
        <w:t>.</w:t>
      </w:r>
    </w:p>
    <w:p w14:paraId="52881789" w14:textId="10B97788" w:rsidR="00E4439E" w:rsidRPr="00E4439E" w:rsidRDefault="00D861CE" w:rsidP="00E4439E">
      <w:pPr>
        <w:pStyle w:val="ListBullet"/>
        <w:rPr>
          <w:lang w:eastAsia="ja-JP"/>
        </w:rPr>
      </w:pPr>
      <w:r w:rsidRPr="00D861CE">
        <w:rPr>
          <w:b/>
          <w:lang w:eastAsia="ja-JP"/>
        </w:rPr>
        <w:t>R</w:t>
      </w:r>
      <w:r w:rsidR="00E4439E" w:rsidRPr="00D861CE">
        <w:rPr>
          <w:b/>
          <w:lang w:eastAsia="ja-JP"/>
        </w:rPr>
        <w:t>esource allocation</w:t>
      </w:r>
      <w:r w:rsidRPr="00D861CE">
        <w:rPr>
          <w:b/>
          <w:lang w:eastAsia="ja-JP"/>
        </w:rPr>
        <w:t>:</w:t>
      </w:r>
      <w:r w:rsidR="00E4439E" w:rsidRPr="00E4439E">
        <w:rPr>
          <w:lang w:eastAsia="ja-JP"/>
        </w:rPr>
        <w:t xml:space="preserve"> Consistent with the IGAB principles, the finite resources within the national system will give a greater return if focused on exotic pests and diseases that will negatively impact </w:t>
      </w:r>
      <w:r>
        <w:rPr>
          <w:lang w:eastAsia="ja-JP"/>
        </w:rPr>
        <w:t xml:space="preserve">on </w:t>
      </w:r>
      <w:r w:rsidR="00E4439E" w:rsidRPr="00E4439E">
        <w:rPr>
          <w:lang w:eastAsia="ja-JP"/>
        </w:rPr>
        <w:t>the national economy, national industries, the environment and social amenity</w:t>
      </w:r>
      <w:r>
        <w:rPr>
          <w:lang w:eastAsia="ja-JP"/>
        </w:rPr>
        <w:t>.</w:t>
      </w:r>
    </w:p>
    <w:p w14:paraId="49FBCF1E" w14:textId="4C8CF399" w:rsidR="00E4439E" w:rsidRPr="00E4439E" w:rsidRDefault="00D861CE" w:rsidP="00E4439E">
      <w:pPr>
        <w:pStyle w:val="ListBullet"/>
        <w:rPr>
          <w:lang w:eastAsia="ja-JP"/>
        </w:rPr>
      </w:pPr>
      <w:r w:rsidRPr="00D861CE">
        <w:rPr>
          <w:b/>
          <w:lang w:eastAsia="ja-JP"/>
        </w:rPr>
        <w:t>R</w:t>
      </w:r>
      <w:r w:rsidR="00E4439E" w:rsidRPr="00D861CE">
        <w:rPr>
          <w:b/>
          <w:lang w:eastAsia="ja-JP"/>
        </w:rPr>
        <w:t>esource sharing</w:t>
      </w:r>
      <w:r w:rsidRPr="00D861CE">
        <w:rPr>
          <w:b/>
          <w:lang w:eastAsia="ja-JP"/>
        </w:rPr>
        <w:t>:</w:t>
      </w:r>
      <w:r w:rsidR="00E4439E" w:rsidRPr="00E4439E">
        <w:rPr>
          <w:lang w:eastAsia="ja-JP"/>
        </w:rPr>
        <w:t xml:space="preserve"> There will be better identification of resource-sharing opportunities for managing national priority exotic pests and diseases. For example, resources, such as laboratories, used by the Australian Government’s Northern Australian Quarantine Strategy (NAQS) could be better shared with the governments of Queensland, Western Australia and the Northern Territory</w:t>
      </w:r>
      <w:r>
        <w:rPr>
          <w:lang w:eastAsia="ja-JP"/>
        </w:rPr>
        <w:t>.</w:t>
      </w:r>
    </w:p>
    <w:p w14:paraId="5C457E66" w14:textId="2DFC8BD3" w:rsidR="00E4439E" w:rsidRPr="00E4439E" w:rsidRDefault="00D861CE" w:rsidP="00E4439E">
      <w:pPr>
        <w:pStyle w:val="ListBullet"/>
        <w:rPr>
          <w:lang w:eastAsia="ja-JP"/>
        </w:rPr>
      </w:pPr>
      <w:r w:rsidRPr="00D861CE">
        <w:rPr>
          <w:b/>
          <w:lang w:eastAsia="ja-JP"/>
        </w:rPr>
        <w:t>J</w:t>
      </w:r>
      <w:r w:rsidR="00E4439E" w:rsidRPr="00D861CE">
        <w:rPr>
          <w:b/>
          <w:lang w:eastAsia="ja-JP"/>
        </w:rPr>
        <w:t>urisdictional collaboration</w:t>
      </w:r>
      <w:r w:rsidRPr="00D861CE">
        <w:rPr>
          <w:b/>
          <w:lang w:eastAsia="ja-JP"/>
        </w:rPr>
        <w:t>:</w:t>
      </w:r>
      <w:r w:rsidR="00E4439E" w:rsidRPr="00E4439E">
        <w:rPr>
          <w:lang w:eastAsia="ja-JP"/>
        </w:rPr>
        <w:t xml:space="preserve"> Addressing agreed national priority pest and disease risks will focus national effort across all jurisdictions, creating formal opportunities for collaboration and sharing of resources and expertise</w:t>
      </w:r>
      <w:r>
        <w:rPr>
          <w:lang w:eastAsia="ja-JP"/>
        </w:rPr>
        <w:t>.</w:t>
      </w:r>
    </w:p>
    <w:p w14:paraId="710EFA59" w14:textId="1A81D2E5" w:rsidR="00E4439E" w:rsidRPr="00E4439E" w:rsidRDefault="00D861CE" w:rsidP="00E4439E">
      <w:pPr>
        <w:pStyle w:val="ListBullet"/>
        <w:rPr>
          <w:lang w:eastAsia="ja-JP"/>
        </w:rPr>
      </w:pPr>
      <w:r w:rsidRPr="00D861CE">
        <w:rPr>
          <w:b/>
          <w:lang w:eastAsia="ja-JP"/>
        </w:rPr>
        <w:t>R</w:t>
      </w:r>
      <w:r w:rsidR="00E4439E" w:rsidRPr="00D861CE">
        <w:rPr>
          <w:b/>
          <w:lang w:eastAsia="ja-JP"/>
        </w:rPr>
        <w:t>esearch to address gaps</w:t>
      </w:r>
      <w:r w:rsidRPr="00D861CE">
        <w:rPr>
          <w:b/>
          <w:lang w:eastAsia="ja-JP"/>
        </w:rPr>
        <w:t>:</w:t>
      </w:r>
      <w:r w:rsidR="00E4439E" w:rsidRPr="00E4439E">
        <w:rPr>
          <w:lang w:eastAsia="ja-JP"/>
        </w:rPr>
        <w:t xml:space="preserve"> Gaps identified in managing national priority pests and diseases will receive significant focus above other competing areas of the national </w:t>
      </w:r>
      <w:r w:rsidR="00E4439E" w:rsidRPr="00E4439E">
        <w:rPr>
          <w:lang w:eastAsia="ja-JP"/>
        </w:rPr>
        <w:lastRenderedPageBreak/>
        <w:t xml:space="preserve">biosecurity system. Further, there will be a clear national system priority focus </w:t>
      </w:r>
      <w:r>
        <w:rPr>
          <w:lang w:eastAsia="ja-JP"/>
        </w:rPr>
        <w:t>on</w:t>
      </w:r>
      <w:r w:rsidR="00E4439E" w:rsidRPr="00E4439E">
        <w:rPr>
          <w:lang w:eastAsia="ja-JP"/>
        </w:rPr>
        <w:t xml:space="preserve"> research and opportunities for technological innovation to address and improve national system gaps and priorities; research and innovation is discussed </w:t>
      </w:r>
      <w:r w:rsidR="008B37D9">
        <w:rPr>
          <w:lang w:eastAsia="ja-JP"/>
        </w:rPr>
        <w:t>below (</w:t>
      </w:r>
      <w:hyperlink w:anchor="_Research_and_innovation" w:history="1">
        <w:r w:rsidR="00E4439E" w:rsidRPr="00E4439E">
          <w:rPr>
            <w:color w:val="165788"/>
            <w:u w:val="single"/>
            <w:lang w:eastAsia="ja-JP"/>
          </w:rPr>
          <w:t>Chapter 6</w:t>
        </w:r>
      </w:hyperlink>
      <w:r w:rsidR="008B37D9">
        <w:rPr>
          <w:color w:val="165788"/>
          <w:u w:val="single"/>
          <w:lang w:eastAsia="ja-JP"/>
        </w:rPr>
        <w:t>)</w:t>
      </w:r>
      <w:r>
        <w:rPr>
          <w:color w:val="165788"/>
          <w:u w:val="single"/>
          <w:lang w:eastAsia="ja-JP"/>
        </w:rPr>
        <w:t>.</w:t>
      </w:r>
    </w:p>
    <w:p w14:paraId="66A72CBA" w14:textId="23AB6F6E" w:rsidR="00E4439E" w:rsidRPr="00E4439E" w:rsidRDefault="00D861CE" w:rsidP="00E4439E">
      <w:pPr>
        <w:pStyle w:val="ListBullet"/>
        <w:rPr>
          <w:lang w:eastAsia="ja-JP"/>
        </w:rPr>
      </w:pPr>
      <w:r w:rsidRPr="00D861CE">
        <w:rPr>
          <w:b/>
          <w:lang w:eastAsia="ja-JP"/>
        </w:rPr>
        <w:t>Sharing responsibility:</w:t>
      </w:r>
      <w:r w:rsidR="00E4439E" w:rsidRPr="00E4439E">
        <w:rPr>
          <w:lang w:eastAsia="ja-JP"/>
        </w:rPr>
        <w:t xml:space="preserve"> Involving the relevant system participants in the development of these programs will achieve a clearer understanding of how the individual components of the national system can be better shared by its participants. Identifying a role for industry and community members will help give ‘shared responsibility’ a practical focus. Plans developed that outline responsibilities and costs should be based on a standard template</w:t>
      </w:r>
      <w:r w:rsidR="00420DF6">
        <w:rPr>
          <w:lang w:eastAsia="ja-JP"/>
        </w:rPr>
        <w:t>.</w:t>
      </w:r>
    </w:p>
    <w:p w14:paraId="13E65048" w14:textId="4D12790D" w:rsidR="00E4439E" w:rsidRDefault="00E4439E" w:rsidP="000268A4">
      <w:pPr>
        <w:rPr>
          <w:lang w:eastAsia="ja-JP"/>
        </w:rPr>
      </w:pPr>
      <w:r w:rsidRPr="00E4439E">
        <w:rPr>
          <w:lang w:eastAsia="ja-JP"/>
        </w:rPr>
        <w:t xml:space="preserve">The </w:t>
      </w:r>
      <w:r w:rsidR="00D861CE">
        <w:rPr>
          <w:lang w:eastAsia="ja-JP"/>
        </w:rPr>
        <w:t>p</w:t>
      </w:r>
      <w:r w:rsidRPr="00E4439E">
        <w:rPr>
          <w:lang w:eastAsia="ja-JP"/>
        </w:rPr>
        <w:t>anel has taken on board the many comments received concerning the fragmented nature of the national biosecurity system and its activities and around declining resources allocated to, and capability in, surveillance and diagnostics. The recommended national prioritisation process and acti</w:t>
      </w:r>
      <w:r w:rsidR="007B75FF">
        <w:rPr>
          <w:lang w:eastAsia="ja-JP"/>
        </w:rPr>
        <w:t>on</w:t>
      </w:r>
      <w:r w:rsidRPr="00E4439E">
        <w:rPr>
          <w:lang w:eastAsia="ja-JP"/>
        </w:rPr>
        <w:t xml:space="preserve"> planning approach provides the building blocks for comprehensively addressing these deficiencies.</w:t>
      </w:r>
    </w:p>
    <w:p w14:paraId="0BB59FAB" w14:textId="77777777" w:rsidR="00561771" w:rsidRDefault="00561771" w:rsidP="00561771">
      <w:pPr>
        <w:pStyle w:val="Heading2"/>
      </w:pPr>
      <w:bookmarkStart w:id="98" w:name="_Research_and_innovation"/>
      <w:bookmarkStart w:id="99" w:name="_Toc486236047"/>
      <w:bookmarkEnd w:id="98"/>
      <w:r>
        <w:lastRenderedPageBreak/>
        <w:t>Research and innovation</w:t>
      </w:r>
      <w:bookmarkEnd w:id="99"/>
    </w:p>
    <w:p w14:paraId="51BB073C" w14:textId="77777777" w:rsidR="004B03F2" w:rsidRPr="008E006E" w:rsidRDefault="004B03F2" w:rsidP="004B03F2">
      <w:pPr>
        <w:pStyle w:val="BoxHeading"/>
        <w:rPr>
          <w:sz w:val="22"/>
          <w:lang w:eastAsia="ja-JP"/>
        </w:rPr>
      </w:pPr>
      <w:r w:rsidRPr="008E006E">
        <w:rPr>
          <w:sz w:val="22"/>
          <w:lang w:eastAsia="ja-JP"/>
        </w:rPr>
        <w:t>Key points</w:t>
      </w:r>
    </w:p>
    <w:p w14:paraId="0F1177C5" w14:textId="5CFC9506" w:rsidR="00B34EB0" w:rsidRPr="008E006E" w:rsidRDefault="00B34EB0" w:rsidP="00B34EB0">
      <w:pPr>
        <w:pStyle w:val="BoxTextBullet"/>
        <w:rPr>
          <w:sz w:val="22"/>
          <w:lang w:eastAsia="ja-JP"/>
        </w:rPr>
      </w:pPr>
      <w:r w:rsidRPr="008E006E">
        <w:rPr>
          <w:sz w:val="22"/>
          <w:lang w:eastAsia="ja-JP"/>
        </w:rPr>
        <w:t>Research and innovation (R&amp;I) underpin Australia</w:t>
      </w:r>
      <w:r w:rsidR="00B444D3">
        <w:rPr>
          <w:sz w:val="22"/>
          <w:lang w:eastAsia="ja-JP"/>
        </w:rPr>
        <w:t>’</w:t>
      </w:r>
      <w:r w:rsidRPr="008E006E">
        <w:rPr>
          <w:sz w:val="22"/>
          <w:lang w:eastAsia="ja-JP"/>
        </w:rPr>
        <w:t>s science-based approach to biosecurity.</w:t>
      </w:r>
    </w:p>
    <w:p w14:paraId="2C2C746B" w14:textId="0E251F86" w:rsidR="00B34EB0" w:rsidRPr="008E006E" w:rsidRDefault="00B34EB0" w:rsidP="00B34EB0">
      <w:pPr>
        <w:pStyle w:val="BoxTextBullet"/>
        <w:rPr>
          <w:sz w:val="22"/>
          <w:lang w:eastAsia="ja-JP"/>
        </w:rPr>
      </w:pPr>
      <w:r w:rsidRPr="008E006E">
        <w:rPr>
          <w:sz w:val="22"/>
          <w:lang w:eastAsia="ja-JP"/>
        </w:rPr>
        <w:t>There is no lead agency</w:t>
      </w:r>
      <w:r w:rsidR="00B444D3">
        <w:rPr>
          <w:sz w:val="22"/>
          <w:lang w:eastAsia="ja-JP"/>
        </w:rPr>
        <w:t xml:space="preserve"> for</w:t>
      </w:r>
      <w:r w:rsidRPr="008E006E">
        <w:rPr>
          <w:sz w:val="22"/>
          <w:lang w:eastAsia="ja-JP"/>
        </w:rPr>
        <w:t xml:space="preserve">, national prioritisation process </w:t>
      </w:r>
      <w:r w:rsidR="00B43A4D">
        <w:rPr>
          <w:sz w:val="22"/>
          <w:lang w:eastAsia="ja-JP"/>
        </w:rPr>
        <w:t>for or</w:t>
      </w:r>
      <w:r w:rsidR="00B43A4D" w:rsidRPr="008E006E">
        <w:rPr>
          <w:sz w:val="22"/>
          <w:lang w:eastAsia="ja-JP"/>
        </w:rPr>
        <w:t xml:space="preserve"> </w:t>
      </w:r>
      <w:r w:rsidRPr="008E006E">
        <w:rPr>
          <w:sz w:val="22"/>
          <w:lang w:eastAsia="ja-JP"/>
        </w:rPr>
        <w:t xml:space="preserve">coordination </w:t>
      </w:r>
      <w:r w:rsidR="005E5747">
        <w:rPr>
          <w:sz w:val="22"/>
          <w:lang w:eastAsia="ja-JP"/>
        </w:rPr>
        <w:t>of</w:t>
      </w:r>
      <w:r w:rsidRPr="008E006E">
        <w:rPr>
          <w:sz w:val="22"/>
          <w:lang w:eastAsia="ja-JP"/>
        </w:rPr>
        <w:t xml:space="preserve"> biosecurity R&amp;I in Australia. Multiple funders and providers are involved in these activities, with the role of some players unclear.</w:t>
      </w:r>
    </w:p>
    <w:p w14:paraId="726EF6EB" w14:textId="1D70156B" w:rsidR="004C757E" w:rsidRDefault="004C757E" w:rsidP="004C757E">
      <w:pPr>
        <w:pStyle w:val="BoxTextBullet"/>
        <w:rPr>
          <w:sz w:val="22"/>
          <w:lang w:eastAsia="ja-JP"/>
        </w:rPr>
      </w:pPr>
      <w:r>
        <w:rPr>
          <w:sz w:val="22"/>
          <w:lang w:eastAsia="ja-JP"/>
        </w:rPr>
        <w:t>The current mix of</w:t>
      </w:r>
      <w:r w:rsidRPr="008E006E">
        <w:rPr>
          <w:sz w:val="22"/>
          <w:lang w:eastAsia="ja-JP"/>
        </w:rPr>
        <w:t xml:space="preserve"> national biosecurity </w:t>
      </w:r>
      <w:r w:rsidR="00B444D3">
        <w:rPr>
          <w:sz w:val="22"/>
          <w:lang w:eastAsia="ja-JP"/>
        </w:rPr>
        <w:t>research development and extension (</w:t>
      </w:r>
      <w:r w:rsidRPr="008E006E">
        <w:rPr>
          <w:sz w:val="22"/>
          <w:lang w:eastAsia="ja-JP"/>
        </w:rPr>
        <w:t>R</w:t>
      </w:r>
      <w:r>
        <w:rPr>
          <w:sz w:val="22"/>
          <w:lang w:eastAsia="ja-JP"/>
        </w:rPr>
        <w:t>D</w:t>
      </w:r>
      <w:r w:rsidRPr="008E006E">
        <w:rPr>
          <w:sz w:val="22"/>
          <w:lang w:eastAsia="ja-JP"/>
        </w:rPr>
        <w:t>&amp;</w:t>
      </w:r>
      <w:r>
        <w:rPr>
          <w:sz w:val="22"/>
          <w:lang w:eastAsia="ja-JP"/>
        </w:rPr>
        <w:t>E</w:t>
      </w:r>
      <w:r w:rsidR="00B444D3">
        <w:rPr>
          <w:sz w:val="22"/>
          <w:lang w:eastAsia="ja-JP"/>
        </w:rPr>
        <w:t>)</w:t>
      </w:r>
      <w:r w:rsidRPr="008E006E">
        <w:rPr>
          <w:sz w:val="22"/>
          <w:lang w:eastAsia="ja-JP"/>
        </w:rPr>
        <w:t xml:space="preserve"> strategies</w:t>
      </w:r>
      <w:r>
        <w:rPr>
          <w:sz w:val="22"/>
          <w:lang w:eastAsia="ja-JP"/>
        </w:rPr>
        <w:t xml:space="preserve"> do not </w:t>
      </w:r>
      <w:r w:rsidRPr="008E006E">
        <w:rPr>
          <w:sz w:val="22"/>
          <w:lang w:eastAsia="ja-JP"/>
        </w:rPr>
        <w:t>reflect the priority needs of the national biosecurity system.</w:t>
      </w:r>
    </w:p>
    <w:p w14:paraId="48FCD9F7" w14:textId="7170DD77" w:rsidR="00B34EB0" w:rsidRPr="008E006E" w:rsidRDefault="004C757E" w:rsidP="00B34EB0">
      <w:pPr>
        <w:pStyle w:val="BoxTextBullet"/>
        <w:rPr>
          <w:sz w:val="22"/>
          <w:lang w:eastAsia="ja-JP"/>
        </w:rPr>
      </w:pPr>
      <w:r w:rsidRPr="004C757E">
        <w:rPr>
          <w:sz w:val="22"/>
          <w:lang w:eastAsia="ja-JP"/>
        </w:rPr>
        <w:t>Cross</w:t>
      </w:r>
      <w:r w:rsidR="007E53BB">
        <w:rPr>
          <w:sz w:val="22"/>
          <w:lang w:eastAsia="ja-JP"/>
        </w:rPr>
        <w:t>-</w:t>
      </w:r>
      <w:r w:rsidRPr="004C757E">
        <w:rPr>
          <w:sz w:val="22"/>
          <w:lang w:eastAsia="ja-JP"/>
        </w:rPr>
        <w:t>sectoral and system-level R&amp;I</w:t>
      </w:r>
      <w:r>
        <w:rPr>
          <w:sz w:val="22"/>
          <w:lang w:eastAsia="ja-JP"/>
        </w:rPr>
        <w:t xml:space="preserve"> are</w:t>
      </w:r>
      <w:r w:rsidR="00B34EB0" w:rsidRPr="008E006E">
        <w:rPr>
          <w:sz w:val="22"/>
          <w:lang w:eastAsia="ja-JP"/>
        </w:rPr>
        <w:t xml:space="preserve"> significant research gap</w:t>
      </w:r>
      <w:r>
        <w:rPr>
          <w:sz w:val="22"/>
          <w:lang w:eastAsia="ja-JP"/>
        </w:rPr>
        <w:t>s</w:t>
      </w:r>
      <w:r w:rsidR="003E150D">
        <w:rPr>
          <w:sz w:val="22"/>
          <w:lang w:eastAsia="ja-JP"/>
        </w:rPr>
        <w:t>.</w:t>
      </w:r>
      <w:r w:rsidR="00B34EB0" w:rsidRPr="008E006E">
        <w:rPr>
          <w:sz w:val="22"/>
          <w:lang w:eastAsia="ja-JP"/>
        </w:rPr>
        <w:t xml:space="preserve"> </w:t>
      </w:r>
    </w:p>
    <w:p w14:paraId="2742A8D5" w14:textId="777771EA" w:rsidR="00B34EB0" w:rsidRPr="00920E20" w:rsidRDefault="004D10C7" w:rsidP="00B34EB0">
      <w:pPr>
        <w:pStyle w:val="BoxTextBullet"/>
        <w:rPr>
          <w:sz w:val="22"/>
          <w:lang w:eastAsia="ja-JP"/>
        </w:rPr>
      </w:pPr>
      <w:r w:rsidRPr="008E006E">
        <w:rPr>
          <w:sz w:val="22"/>
          <w:lang w:eastAsia="ja-JP"/>
        </w:rPr>
        <w:t xml:space="preserve">New national biosecurity R&amp;I priorities and </w:t>
      </w:r>
      <w:r w:rsidR="00B34EB0" w:rsidRPr="00920E20">
        <w:rPr>
          <w:sz w:val="22"/>
          <w:lang w:eastAsia="ja-JP"/>
        </w:rPr>
        <w:t xml:space="preserve">new </w:t>
      </w:r>
      <w:r w:rsidR="006B194D" w:rsidRPr="00920E20">
        <w:rPr>
          <w:sz w:val="22"/>
          <w:lang w:eastAsia="ja-JP"/>
        </w:rPr>
        <w:t xml:space="preserve">cross-sectoral </w:t>
      </w:r>
      <w:r w:rsidR="00B34EB0" w:rsidRPr="00920E20">
        <w:rPr>
          <w:sz w:val="22"/>
          <w:lang w:eastAsia="ja-JP"/>
        </w:rPr>
        <w:t>biosecurity R&amp;I</w:t>
      </w:r>
      <w:r w:rsidR="006B194D" w:rsidRPr="00920E20">
        <w:rPr>
          <w:sz w:val="22"/>
          <w:lang w:eastAsia="ja-JP"/>
        </w:rPr>
        <w:t xml:space="preserve"> </w:t>
      </w:r>
      <w:r w:rsidR="00920E20" w:rsidRPr="00920E20">
        <w:rPr>
          <w:sz w:val="22"/>
          <w:lang w:eastAsia="ja-JP"/>
        </w:rPr>
        <w:t>mechanisms</w:t>
      </w:r>
      <w:r w:rsidR="003A180F" w:rsidRPr="00920E20">
        <w:rPr>
          <w:sz w:val="22"/>
          <w:lang w:eastAsia="ja-JP"/>
        </w:rPr>
        <w:t xml:space="preserve"> are needed to better target investment and</w:t>
      </w:r>
      <w:r w:rsidR="00B34EB0" w:rsidRPr="00920E20">
        <w:rPr>
          <w:sz w:val="22"/>
          <w:lang w:eastAsia="ja-JP"/>
        </w:rPr>
        <w:t xml:space="preserve"> </w:t>
      </w:r>
      <w:r w:rsidR="004C757E" w:rsidRPr="00920E20">
        <w:rPr>
          <w:sz w:val="22"/>
          <w:lang w:eastAsia="ja-JP"/>
        </w:rPr>
        <w:t>enhance national research efforts</w:t>
      </w:r>
      <w:r w:rsidR="00B34EB0" w:rsidRPr="00920E20">
        <w:rPr>
          <w:sz w:val="22"/>
          <w:lang w:eastAsia="ja-JP"/>
        </w:rPr>
        <w:t>.</w:t>
      </w:r>
    </w:p>
    <w:p w14:paraId="4353AD86" w14:textId="77777777" w:rsidR="004B03F2" w:rsidRDefault="004B03F2" w:rsidP="008E13D2">
      <w:pPr>
        <w:pStyle w:val="Heading3"/>
        <w:rPr>
          <w:lang w:eastAsia="ja-JP"/>
        </w:rPr>
      </w:pPr>
      <w:bookmarkStart w:id="100" w:name="_Toc486236048"/>
      <w:r>
        <w:rPr>
          <w:lang w:eastAsia="ja-JP"/>
        </w:rPr>
        <w:t>The key role of biosecurity</w:t>
      </w:r>
      <w:r w:rsidR="00E73DA4">
        <w:rPr>
          <w:lang w:eastAsia="ja-JP"/>
        </w:rPr>
        <w:t xml:space="preserve"> R&amp;I</w:t>
      </w:r>
      <w:bookmarkEnd w:id="100"/>
    </w:p>
    <w:p w14:paraId="17554D13" w14:textId="69AD1F1F" w:rsidR="00D0157B" w:rsidRDefault="00D0157B" w:rsidP="00D0157B">
      <w:pPr>
        <w:rPr>
          <w:lang w:eastAsia="ja-JP"/>
        </w:rPr>
      </w:pPr>
      <w:r>
        <w:rPr>
          <w:lang w:eastAsia="ja-JP"/>
        </w:rPr>
        <w:t xml:space="preserve">Innovation driven by </w:t>
      </w:r>
      <w:r w:rsidR="00B444D3">
        <w:rPr>
          <w:lang w:eastAsia="ja-JP"/>
        </w:rPr>
        <w:t>RD&amp;E</w:t>
      </w:r>
      <w:r>
        <w:rPr>
          <w:lang w:eastAsia="ja-JP"/>
        </w:rPr>
        <w:t xml:space="preserve"> is vital to Australia’s scientific, risk-based approach to biosecurity. Research outcomes can: inform decisions of governments and industry; help to improve the efficiency of biosecurity operations; maintain Australia’s favourable pest and disease status through the ongoing development and application of science-based measures; and ensure an adequate scientific and technical capacity is maintained.</w:t>
      </w:r>
    </w:p>
    <w:p w14:paraId="0921AA26" w14:textId="764F2BFF" w:rsidR="00707AF6" w:rsidRDefault="00707AF6" w:rsidP="00D0157B">
      <w:pPr>
        <w:rPr>
          <w:lang w:eastAsia="ja-JP"/>
        </w:rPr>
      </w:pPr>
      <w:r w:rsidRPr="00920E20">
        <w:rPr>
          <w:lang w:eastAsia="ja-JP"/>
        </w:rPr>
        <w:t>The 2016 National Research Infrastructure Roadmap (</w:t>
      </w:r>
      <w:hyperlink w:anchor="NRIR_2016" w:history="1">
        <w:r w:rsidRPr="00920E20">
          <w:rPr>
            <w:rStyle w:val="Hyperlink"/>
            <w:lang w:eastAsia="ja-JP"/>
          </w:rPr>
          <w:t>NRIR 2016</w:t>
        </w:r>
      </w:hyperlink>
      <w:r w:rsidRPr="00920E20">
        <w:rPr>
          <w:lang w:eastAsia="ja-JP"/>
        </w:rPr>
        <w:t>), developed by Australia’s Chief Scientist and released in May 2017, identifies biosecurity as a critical function of Australia’s research infrastructure—which serves the national interest by enabling ‘transformational’ R&amp;I. Under the roadmap, biosecurity is one of nine focus areas that will underpin research in which Australia must excel over the coming decade to deliver long-term national benefit and foster international partnerships.</w:t>
      </w:r>
    </w:p>
    <w:p w14:paraId="3E7A9843" w14:textId="039C404E" w:rsidR="00D0157B" w:rsidRDefault="00D0157B" w:rsidP="00D0157B">
      <w:pPr>
        <w:rPr>
          <w:lang w:eastAsia="ja-JP"/>
        </w:rPr>
      </w:pPr>
      <w:r>
        <w:rPr>
          <w:lang w:eastAsia="ja-JP"/>
        </w:rPr>
        <w:t xml:space="preserve">The importance of R&amp;I to the national biosecurity system was </w:t>
      </w:r>
      <w:r w:rsidR="00C71142">
        <w:rPr>
          <w:lang w:eastAsia="ja-JP"/>
        </w:rPr>
        <w:t xml:space="preserve">also </w:t>
      </w:r>
      <w:r>
        <w:rPr>
          <w:lang w:eastAsia="ja-JP"/>
        </w:rPr>
        <w:t xml:space="preserve">highlighted by stakeholders throughout this </w:t>
      </w:r>
      <w:r w:rsidR="00B444D3">
        <w:rPr>
          <w:lang w:eastAsia="ja-JP"/>
        </w:rPr>
        <w:t>r</w:t>
      </w:r>
      <w:r>
        <w:rPr>
          <w:lang w:eastAsia="ja-JP"/>
        </w:rPr>
        <w:t xml:space="preserve">eview, with ongoing support needed for traditional science disciplines—such as animal and plant pathology, taxonomy, veterinary science, epidemiology and entomology—and the development of new technologies identified as </w:t>
      </w:r>
      <w:r>
        <w:rPr>
          <w:lang w:eastAsia="ja-JP"/>
        </w:rPr>
        <w:lastRenderedPageBreak/>
        <w:t>equally important components of an appropriate research capacity. Stakeholders identified detection and surveillance, environmental biosecurity, market access assurance and technology transfer as areas that would benefit from future investment in targeted R&amp;I.</w:t>
      </w:r>
    </w:p>
    <w:p w14:paraId="71337812" w14:textId="00832AA8" w:rsidR="00E73DA4" w:rsidRDefault="00D0157B" w:rsidP="00D0157B">
      <w:pPr>
        <w:rPr>
          <w:lang w:eastAsia="ja-JP"/>
        </w:rPr>
      </w:pPr>
      <w:r>
        <w:rPr>
          <w:lang w:eastAsia="ja-JP"/>
        </w:rPr>
        <w:t>Targeting investment to technological innovations has the potential to generate significant benefits for the national system, including helping to reduce the cost of typically high-cost activities such as surveillance and laboratory diagnostics (</w:t>
      </w:r>
      <w:r w:rsidR="003678B3">
        <w:rPr>
          <w:lang w:eastAsia="ja-JP"/>
        </w:rPr>
        <w:fldChar w:fldCharType="begin"/>
      </w:r>
      <w:r w:rsidR="003678B3">
        <w:rPr>
          <w:lang w:eastAsia="ja-JP"/>
        </w:rPr>
        <w:instrText xml:space="preserve"> REF _Ref467500964 \h </w:instrText>
      </w:r>
      <w:r w:rsidR="003678B3">
        <w:rPr>
          <w:lang w:eastAsia="ja-JP"/>
        </w:rPr>
      </w:r>
      <w:r w:rsidR="003678B3">
        <w:rPr>
          <w:lang w:eastAsia="ja-JP"/>
        </w:rPr>
        <w:fldChar w:fldCharType="separate"/>
      </w:r>
      <w:r w:rsidR="009F6923">
        <w:t xml:space="preserve">Box </w:t>
      </w:r>
      <w:r w:rsidR="009F6923">
        <w:rPr>
          <w:noProof/>
        </w:rPr>
        <w:t>9</w:t>
      </w:r>
      <w:r w:rsidR="003678B3">
        <w:rPr>
          <w:lang w:eastAsia="ja-JP"/>
        </w:rPr>
        <w:fldChar w:fldCharType="end"/>
      </w:r>
      <w:r>
        <w:rPr>
          <w:lang w:eastAsia="ja-JP"/>
        </w:rPr>
        <w:t>). New technologies can also improve early detection of exotic pests and diseases, leading to an increased likelihood of eradication, thereby avoiding the high costs associated with subsequent containment or management measures.</w:t>
      </w:r>
    </w:p>
    <w:p w14:paraId="54A3B2EC" w14:textId="1286B8FF" w:rsidR="00C1254B" w:rsidRDefault="008E13D2" w:rsidP="00BC28A1">
      <w:pPr>
        <w:pStyle w:val="BoxHeading"/>
        <w:keepNext/>
        <w:keepLines/>
      </w:pPr>
      <w:bookmarkStart w:id="101" w:name="_Ref467500964"/>
      <w:bookmarkStart w:id="102" w:name="_Toc468176750"/>
      <w:bookmarkStart w:id="103" w:name="_Toc468444399"/>
      <w:r>
        <w:t xml:space="preserve">Box </w:t>
      </w:r>
      <w:fldSimple w:instr=" SEQ Box \* ARABIC ">
        <w:r w:rsidR="009F6923">
          <w:rPr>
            <w:noProof/>
          </w:rPr>
          <w:t>9</w:t>
        </w:r>
      </w:fldSimple>
      <w:bookmarkEnd w:id="101"/>
      <w:r>
        <w:t xml:space="preserve"> </w:t>
      </w:r>
      <w:r w:rsidR="00C1254B">
        <w:t>Technological innovations for biosecurity</w:t>
      </w:r>
    </w:p>
    <w:p w14:paraId="5E924412" w14:textId="2713D79C" w:rsidR="008E13D2" w:rsidRDefault="008E13D2" w:rsidP="00BC28A1">
      <w:pPr>
        <w:pStyle w:val="BoxHeading"/>
        <w:keepNext/>
        <w:keepLines/>
        <w:rPr>
          <w:lang w:eastAsia="ja-JP"/>
        </w:rPr>
      </w:pPr>
      <w:r>
        <w:t xml:space="preserve">Environmental DNA (eDNA) water sampling for </w:t>
      </w:r>
      <w:r w:rsidR="00B444D3">
        <w:t>t</w:t>
      </w:r>
      <w:r>
        <w:t>ilapia species</w:t>
      </w:r>
      <w:bookmarkEnd w:id="102"/>
      <w:bookmarkEnd w:id="103"/>
    </w:p>
    <w:p w14:paraId="2C4A585B" w14:textId="4F0DCACA" w:rsidR="00E73DA4" w:rsidRPr="0079600F" w:rsidRDefault="00E73DA4" w:rsidP="00BC28A1">
      <w:pPr>
        <w:pStyle w:val="BoxText"/>
        <w:keepNext/>
        <w:keepLines/>
      </w:pPr>
      <w:r>
        <w:rPr>
          <w:lang w:eastAsia="ja-JP"/>
        </w:rPr>
        <w:t>Tilapia, a popular aquarium fish</w:t>
      </w:r>
      <w:r w:rsidR="00B43A4D">
        <w:rPr>
          <w:lang w:eastAsia="ja-JP"/>
        </w:rPr>
        <w:t xml:space="preserve"> species</w:t>
      </w:r>
      <w:r>
        <w:rPr>
          <w:lang w:eastAsia="ja-JP"/>
        </w:rPr>
        <w:t xml:space="preserve">, were illegally introduced into Australian waterways in the 1970s. Two species—Mozambique </w:t>
      </w:r>
      <w:r w:rsidR="002B0AFF">
        <w:rPr>
          <w:lang w:eastAsia="ja-JP"/>
        </w:rPr>
        <w:t>t</w:t>
      </w:r>
      <w:r>
        <w:rPr>
          <w:lang w:eastAsia="ja-JP"/>
        </w:rPr>
        <w:t>ilapia (</w:t>
      </w:r>
      <w:r w:rsidRPr="00E73DA4">
        <w:rPr>
          <w:i/>
          <w:lang w:eastAsia="ja-JP"/>
        </w:rPr>
        <w:t>Oreochromis mossambicus</w:t>
      </w:r>
      <w:r>
        <w:rPr>
          <w:lang w:eastAsia="ja-JP"/>
        </w:rPr>
        <w:t xml:space="preserve">) and </w:t>
      </w:r>
      <w:r w:rsidR="002B0AFF">
        <w:rPr>
          <w:lang w:eastAsia="ja-JP"/>
        </w:rPr>
        <w:t>s</w:t>
      </w:r>
      <w:r>
        <w:rPr>
          <w:lang w:eastAsia="ja-JP"/>
        </w:rPr>
        <w:t xml:space="preserve">potted </w:t>
      </w:r>
      <w:r w:rsidR="002B0AFF">
        <w:rPr>
          <w:lang w:eastAsia="ja-JP"/>
        </w:rPr>
        <w:t>t</w:t>
      </w:r>
      <w:r>
        <w:rPr>
          <w:lang w:eastAsia="ja-JP"/>
        </w:rPr>
        <w:t>ilapia (</w:t>
      </w:r>
      <w:r w:rsidRPr="00E73DA4">
        <w:rPr>
          <w:i/>
          <w:lang w:eastAsia="ja-JP"/>
        </w:rPr>
        <w:t>Tilapia mariae</w:t>
      </w:r>
      <w:r>
        <w:rPr>
          <w:lang w:eastAsia="ja-JP"/>
        </w:rPr>
        <w:t>)—have established populations in various sites in Queensla</w:t>
      </w:r>
      <w:r w:rsidR="00C40FF5">
        <w:rPr>
          <w:lang w:eastAsia="ja-JP"/>
        </w:rPr>
        <w:t>nd, Victoria, Western Australia</w:t>
      </w:r>
      <w:r>
        <w:rPr>
          <w:lang w:eastAsia="ja-JP"/>
        </w:rPr>
        <w:t xml:space="preserve"> and on the N</w:t>
      </w:r>
      <w:r w:rsidR="00F83170">
        <w:rPr>
          <w:lang w:eastAsia="ja-JP"/>
        </w:rPr>
        <w:t xml:space="preserve">ew </w:t>
      </w:r>
      <w:r>
        <w:rPr>
          <w:lang w:eastAsia="ja-JP"/>
        </w:rPr>
        <w:t>S</w:t>
      </w:r>
      <w:r w:rsidR="00F83170">
        <w:rPr>
          <w:lang w:eastAsia="ja-JP"/>
        </w:rPr>
        <w:t xml:space="preserve">outh </w:t>
      </w:r>
      <w:r>
        <w:rPr>
          <w:lang w:eastAsia="ja-JP"/>
        </w:rPr>
        <w:t>W</w:t>
      </w:r>
      <w:r w:rsidR="00F83170">
        <w:rPr>
          <w:lang w:eastAsia="ja-JP"/>
        </w:rPr>
        <w:t>ales</w:t>
      </w:r>
      <w:r>
        <w:rPr>
          <w:lang w:eastAsia="ja-JP"/>
        </w:rPr>
        <w:t xml:space="preserve"> far north coast. Populations of Mozambique </w:t>
      </w:r>
      <w:r w:rsidR="002B0AFF">
        <w:rPr>
          <w:lang w:eastAsia="ja-JP"/>
        </w:rPr>
        <w:t>t</w:t>
      </w:r>
      <w:r>
        <w:rPr>
          <w:lang w:eastAsia="ja-JP"/>
        </w:rPr>
        <w:t xml:space="preserve">ilapia in southern Queensland are as little as </w:t>
      </w:r>
      <w:r w:rsidR="00C23D98">
        <w:rPr>
          <w:lang w:eastAsia="ja-JP"/>
        </w:rPr>
        <w:t>three</w:t>
      </w:r>
      <w:r>
        <w:rPr>
          <w:lang w:eastAsia="ja-JP"/>
        </w:rPr>
        <w:t xml:space="preserve"> </w:t>
      </w:r>
      <w:r w:rsidR="00501B4A">
        <w:rPr>
          <w:lang w:eastAsia="ja-JP"/>
        </w:rPr>
        <w:t>kilometres</w:t>
      </w:r>
      <w:r>
        <w:rPr>
          <w:lang w:eastAsia="ja-JP"/>
        </w:rPr>
        <w:t xml:space="preserve"> from the Murray</w:t>
      </w:r>
      <w:r w:rsidR="002B0AFF">
        <w:rPr>
          <w:lang w:eastAsia="ja-JP"/>
        </w:rPr>
        <w:t>–</w:t>
      </w:r>
      <w:r>
        <w:rPr>
          <w:lang w:eastAsia="ja-JP"/>
        </w:rPr>
        <w:t xml:space="preserve">Darling Basin and pose a significant threat to the native fish of the </w:t>
      </w:r>
      <w:r w:rsidRPr="00680893">
        <w:rPr>
          <w:lang w:eastAsia="ja-JP"/>
        </w:rPr>
        <w:t>basin (</w:t>
      </w:r>
      <w:hyperlink w:anchor="Hutchison_et_al_2012" w:history="1">
        <w:r w:rsidRPr="00927D82">
          <w:rPr>
            <w:rStyle w:val="Hyperlink"/>
          </w:rPr>
          <w:t>Hutchison et al. 2012</w:t>
        </w:r>
      </w:hyperlink>
      <w:r w:rsidRPr="00680893">
        <w:rPr>
          <w:lang w:eastAsia="ja-JP"/>
        </w:rPr>
        <w:t>). The biological and behavioural characteristics of tilapia, including traits such as aggressive behaviour</w:t>
      </w:r>
      <w:r>
        <w:rPr>
          <w:lang w:eastAsia="ja-JP"/>
        </w:rPr>
        <w:t xml:space="preserve">, broad environmental tolerances and high fecundity, have aided the spread and subsequent establishment of new </w:t>
      </w:r>
      <w:r w:rsidRPr="0079600F">
        <w:t>populations.</w:t>
      </w:r>
    </w:p>
    <w:p w14:paraId="3B2C7187" w14:textId="0C4AFEC1" w:rsidR="00E73DA4" w:rsidRDefault="00E73DA4" w:rsidP="0079600F">
      <w:pPr>
        <w:pStyle w:val="BoxText"/>
        <w:rPr>
          <w:lang w:eastAsia="ja-JP"/>
        </w:rPr>
      </w:pPr>
      <w:r w:rsidRPr="0079600F">
        <w:t xml:space="preserve">Early detection is a key factor </w:t>
      </w:r>
      <w:r w:rsidR="002B0AFF">
        <w:t>in</w:t>
      </w:r>
      <w:r w:rsidRPr="0079600F">
        <w:t xml:space="preserve"> the success of eradicating an incursion by tilapia to a new regio</w:t>
      </w:r>
      <w:r w:rsidR="009D6AFF" w:rsidRPr="0079600F">
        <w:t>n</w:t>
      </w:r>
      <w:r w:rsidRPr="0079600F">
        <w:t xml:space="preserve">, as </w:t>
      </w:r>
      <w:r w:rsidR="0013645E">
        <w:t>they</w:t>
      </w:r>
      <w:r w:rsidRPr="0079600F">
        <w:t xml:space="preserve"> cannot be</w:t>
      </w:r>
      <w:r>
        <w:rPr>
          <w:lang w:eastAsia="ja-JP"/>
        </w:rPr>
        <w:t xml:space="preserve"> effectively removed by current methods once they become established. Traditional surveillance methods, involving periodic fish surveys using various methods such as electrofishing and netting, are resource intensive and may not detect the presence of tilapia in low numbers. Technological advances like eDNA, </w:t>
      </w:r>
      <w:r w:rsidR="00BC654B">
        <w:rPr>
          <w:lang w:eastAsia="ja-JP"/>
        </w:rPr>
        <w:t>cap</w:t>
      </w:r>
      <w:r>
        <w:rPr>
          <w:lang w:eastAsia="ja-JP"/>
        </w:rPr>
        <w:t>able of detecting the DNA of tilapia in a water sample, have proven to be an effective early detection tool and are likely to greatly enhance the capacity of future surveillance programs by providing rapid presence/absence data from a large number of sites.</w:t>
      </w:r>
    </w:p>
    <w:p w14:paraId="330C130C" w14:textId="297DE595" w:rsidR="008E13D2" w:rsidRDefault="008E13D2" w:rsidP="008E13D2">
      <w:pPr>
        <w:pStyle w:val="BoxSource"/>
      </w:pPr>
      <w:r w:rsidRPr="008E13D2">
        <w:t xml:space="preserve">Source: </w:t>
      </w:r>
      <w:r w:rsidR="00DA1F72">
        <w:t>T</w:t>
      </w:r>
      <w:r w:rsidR="00595669">
        <w:t>he NSW</w:t>
      </w:r>
      <w:r w:rsidR="00595669" w:rsidRPr="00595669">
        <w:t xml:space="preserve"> Government Department of Primary Industries </w:t>
      </w:r>
      <w:hyperlink r:id="rId40" w:history="1">
        <w:r w:rsidR="00595669">
          <w:rPr>
            <w:rStyle w:val="Hyperlink"/>
          </w:rPr>
          <w:t>Tilapia</w:t>
        </w:r>
      </w:hyperlink>
      <w:r w:rsidRPr="008E13D2">
        <w:t xml:space="preserve"> </w:t>
      </w:r>
      <w:r w:rsidR="00595669">
        <w:t>website</w:t>
      </w:r>
      <w:r w:rsidR="002B0AFF">
        <w:t>;</w:t>
      </w:r>
      <w:r w:rsidR="00794A10">
        <w:t xml:space="preserve"> </w:t>
      </w:r>
      <w:hyperlink w:anchor="Noble_et_al_2015" w:history="1">
        <w:r w:rsidRPr="00DE6C31">
          <w:rPr>
            <w:rStyle w:val="Hyperlink"/>
          </w:rPr>
          <w:t>Noble et al. 2015</w:t>
        </w:r>
      </w:hyperlink>
      <w:r w:rsidRPr="008E13D2">
        <w:t>.</w:t>
      </w:r>
    </w:p>
    <w:p w14:paraId="00424B45" w14:textId="77777777" w:rsidR="009425C9" w:rsidRDefault="009425C9" w:rsidP="009425C9">
      <w:pPr>
        <w:pStyle w:val="BoxHeading"/>
      </w:pPr>
      <w:r>
        <w:t>CYBERNOSE biosensor</w:t>
      </w:r>
    </w:p>
    <w:p w14:paraId="0A4E3DA2" w14:textId="38E6AD5E" w:rsidR="009425C9" w:rsidRDefault="009425C9" w:rsidP="009425C9">
      <w:pPr>
        <w:pStyle w:val="BoxText"/>
      </w:pPr>
      <w:r>
        <w:t xml:space="preserve">The </w:t>
      </w:r>
      <w:r w:rsidR="002B0AFF">
        <w:t xml:space="preserve">Commonwealth </w:t>
      </w:r>
      <w:r>
        <w:t>S</w:t>
      </w:r>
      <w:r w:rsidR="002B0AFF">
        <w:t xml:space="preserve">cientific and </w:t>
      </w:r>
      <w:r>
        <w:t>I</w:t>
      </w:r>
      <w:r w:rsidR="002B0AFF">
        <w:t xml:space="preserve">ndustrial </w:t>
      </w:r>
      <w:r>
        <w:t>R</w:t>
      </w:r>
      <w:r w:rsidR="002B0AFF">
        <w:t>esearch Organisation (CSIRO)</w:t>
      </w:r>
      <w:r>
        <w:t xml:space="preserve"> can now detect and measure odours and chemicals in a range of substances by mimicking the sophisticated smell receptors of nematode worms. Using DNA from nematode worms, the CSIRO has been able to make sensors in the lab and put them into an electronic device</w:t>
      </w:r>
      <w:r w:rsidR="002B0AFF">
        <w:t xml:space="preserve"> known as the CYBERNOSE sensor.</w:t>
      </w:r>
    </w:p>
    <w:p w14:paraId="769F1FBB" w14:textId="158E1A0A" w:rsidR="009425C9" w:rsidRDefault="009425C9" w:rsidP="009425C9">
      <w:pPr>
        <w:pStyle w:val="BoxText"/>
      </w:pPr>
      <w:r>
        <w:lastRenderedPageBreak/>
        <w:t>The receptors work by changing shape when an odour molecule binds to them. CSIRO scientists re-engineered these smell receptors so that they emit a mixture of blue and green light. When an odour binds to the sensor and it changes shape, the colour of the light changes, which is easy to see and measure. The detailed analysis of the light, using optical sensors, can indicate whether a particular substance is in the test sample. CSIRO is currently working to detect the smell of insect contamination in grain, while future projects will address the detection of other pests, we</w:t>
      </w:r>
      <w:r w:rsidR="00574E9B">
        <w:t>eds or diseases in commodities.</w:t>
      </w:r>
    </w:p>
    <w:p w14:paraId="2E538548" w14:textId="44382506" w:rsidR="00D0157B" w:rsidRDefault="009425C9" w:rsidP="008E13D2">
      <w:pPr>
        <w:pStyle w:val="BoxSource"/>
      </w:pPr>
      <w:r w:rsidRPr="009425C9">
        <w:t xml:space="preserve">Source: </w:t>
      </w:r>
      <w:r w:rsidR="00DA1F72">
        <w:t>T</w:t>
      </w:r>
      <w:r w:rsidRPr="009425C9">
        <w:t xml:space="preserve">he CSIRO’s </w:t>
      </w:r>
      <w:hyperlink r:id="rId41" w:history="1">
        <w:r w:rsidRPr="007174E0">
          <w:rPr>
            <w:rStyle w:val="Hyperlink"/>
          </w:rPr>
          <w:t>CYBERNOSE</w:t>
        </w:r>
      </w:hyperlink>
      <w:r w:rsidRPr="009425C9">
        <w:t xml:space="preserve"> website.</w:t>
      </w:r>
    </w:p>
    <w:p w14:paraId="1EFF1918" w14:textId="49580835" w:rsidR="00810335" w:rsidRDefault="00810335" w:rsidP="00810335">
      <w:r>
        <w:t>Emerging technologies with potential to improve the efficiency of biosecurity activities identified by stakeholders include autonomous and drone surveillance (</w:t>
      </w:r>
      <w:hyperlink w:anchor="Jurdak_et_al_2015" w:history="1">
        <w:r w:rsidRPr="00800861">
          <w:rPr>
            <w:rStyle w:val="Hyperlink"/>
          </w:rPr>
          <w:t>Jurdak et al. 2015</w:t>
        </w:r>
      </w:hyperlink>
      <w:r w:rsidRPr="00800861">
        <w:t>)</w:t>
      </w:r>
      <w:r w:rsidR="008E2FAF">
        <w:t>,</w:t>
      </w:r>
      <w:r w:rsidRPr="00800861">
        <w:t xml:space="preserve"> robotics and artificial intelligence (</w:t>
      </w:r>
      <w:hyperlink w:anchor="Mohanty_et_al_2016" w:history="1">
        <w:r w:rsidRPr="00800861">
          <w:rPr>
            <w:rStyle w:val="Hyperlink"/>
          </w:rPr>
          <w:t>Mohanty et al. 2016</w:t>
        </w:r>
      </w:hyperlink>
      <w:r w:rsidRPr="00800861">
        <w:t>)</w:t>
      </w:r>
      <w:r w:rsidR="008E2FAF">
        <w:t>,</w:t>
      </w:r>
      <w:r w:rsidRPr="00800861">
        <w:t xml:space="preserve"> ‘</w:t>
      </w:r>
      <w:r w:rsidR="00C045F8">
        <w:t>b</w:t>
      </w:r>
      <w:r w:rsidRPr="00800861">
        <w:t>ig data’ and analytics (</w:t>
      </w:r>
      <w:bookmarkStart w:id="104" w:name="Li_et_al_2015"/>
      <w:r w:rsidR="00800861" w:rsidRPr="00800861">
        <w:fldChar w:fldCharType="begin"/>
      </w:r>
      <w:r w:rsidR="00800861" w:rsidRPr="00800861">
        <w:instrText xml:space="preserve"> HYPERLINK  \l "Li_et_al_2015" </w:instrText>
      </w:r>
      <w:r w:rsidR="00800861" w:rsidRPr="00800861">
        <w:fldChar w:fldCharType="separate"/>
      </w:r>
      <w:r w:rsidRPr="00800861">
        <w:rPr>
          <w:rStyle w:val="Hyperlink"/>
        </w:rPr>
        <w:t>Li et al. 2015</w:t>
      </w:r>
      <w:bookmarkEnd w:id="104"/>
      <w:r w:rsidR="00800861" w:rsidRPr="00800861">
        <w:fldChar w:fldCharType="end"/>
      </w:r>
      <w:r>
        <w:t>)</w:t>
      </w:r>
      <w:r w:rsidR="008E2FAF">
        <w:t>,</w:t>
      </w:r>
      <w:r>
        <w:t xml:space="preserve"> ‘point of need’ field testing (</w:t>
      </w:r>
      <w:hyperlink w:anchor="Mumford_et_al_2016" w:history="1">
        <w:r w:rsidRPr="00800861">
          <w:rPr>
            <w:rStyle w:val="Hyperlink"/>
          </w:rPr>
          <w:t>Mumford et al. 2015</w:t>
        </w:r>
      </w:hyperlink>
      <w:r w:rsidRPr="00800861">
        <w:t xml:space="preserve">; </w:t>
      </w:r>
      <w:hyperlink w:anchor="Thomas_et_al_2017" w:history="1">
        <w:r w:rsidRPr="00800861">
          <w:rPr>
            <w:rStyle w:val="Hyperlink"/>
          </w:rPr>
          <w:t>Thomas et al. 2017</w:t>
        </w:r>
      </w:hyperlink>
      <w:r w:rsidRPr="00800861">
        <w:t>)</w:t>
      </w:r>
      <w:r w:rsidR="008E2FAF">
        <w:t>,</w:t>
      </w:r>
      <w:r w:rsidRPr="00800861">
        <w:t xml:space="preserve"> alternative treatment methods (for example, a replacement for methyl bromide) (</w:t>
      </w:r>
      <w:hyperlink w:anchor="Kim_et_al_2016" w:history="1">
        <w:r w:rsidRPr="00800861">
          <w:rPr>
            <w:rStyle w:val="Hyperlink"/>
          </w:rPr>
          <w:t>Kim et al. 2016</w:t>
        </w:r>
      </w:hyperlink>
      <w:r w:rsidRPr="00800861">
        <w:t xml:space="preserve">; </w:t>
      </w:r>
      <w:hyperlink w:anchor="Hallman_2017" w:history="1">
        <w:r w:rsidRPr="00800861">
          <w:rPr>
            <w:rStyle w:val="Hyperlink"/>
          </w:rPr>
          <w:t>Hallman 2017</w:t>
        </w:r>
      </w:hyperlink>
      <w:r w:rsidRPr="00800861">
        <w:t>)</w:t>
      </w:r>
      <w:r w:rsidR="008E2FAF">
        <w:t>,</w:t>
      </w:r>
      <w:r>
        <w:t xml:space="preserve"> and innovations from various fields of science (for example, next-generation sequencing, antimicrobial resistance and new biological controls).</w:t>
      </w:r>
    </w:p>
    <w:p w14:paraId="45810EF2" w14:textId="5C57891D" w:rsidR="00810335" w:rsidRDefault="00810335" w:rsidP="00810335">
      <w:r>
        <w:t>Research into new technologies must involve end</w:t>
      </w:r>
      <w:r w:rsidR="00C045F8">
        <w:t xml:space="preserve"> </w:t>
      </w:r>
      <w:r>
        <w:t>users to ensure research outputs can be feasibly adopted. Greater potential exists for R&amp;I that directly engage</w:t>
      </w:r>
      <w:r w:rsidR="003E3A4E">
        <w:t>s</w:t>
      </w:r>
      <w:r>
        <w:t xml:space="preserve"> industry and the community in biosecurity activities, particularly in areas such as surveillance and diagnostics. The </w:t>
      </w:r>
      <w:r w:rsidR="003E3A4E">
        <w:t>p</w:t>
      </w:r>
      <w:r>
        <w:t xml:space="preserve">anel suggests </w:t>
      </w:r>
      <w:r w:rsidR="003E3A4E">
        <w:t xml:space="preserve">that the research community further explore </w:t>
      </w:r>
      <w:r>
        <w:t>these opportunities as well as factors that limit the uptake of new biosecurity technologies</w:t>
      </w:r>
      <w:r w:rsidR="003E3A4E">
        <w:t>,</w:t>
      </w:r>
      <w:r>
        <w:t xml:space="preserve"> such as access to reliable internet services in rural and regional Australia (</w:t>
      </w:r>
      <w:hyperlink w:anchor="Commonwealth_of_Australia_2016" w:history="1">
        <w:r w:rsidRPr="00810335">
          <w:rPr>
            <w:rStyle w:val="Hyperlink"/>
          </w:rPr>
          <w:t>Commonwealth of Australia 2016</w:t>
        </w:r>
      </w:hyperlink>
      <w:r>
        <w:t>).</w:t>
      </w:r>
    </w:p>
    <w:p w14:paraId="6BBA3303" w14:textId="393B06FB" w:rsidR="008E13D2" w:rsidRDefault="00E73DA4" w:rsidP="008E13D2">
      <w:pPr>
        <w:pStyle w:val="Heading3"/>
      </w:pPr>
      <w:bookmarkStart w:id="105" w:name="_Toc486236049"/>
      <w:r>
        <w:t>C</w:t>
      </w:r>
      <w:r w:rsidR="008E13D2">
        <w:t>urrent state</w:t>
      </w:r>
      <w:bookmarkEnd w:id="105"/>
      <w:r w:rsidR="008E13D2">
        <w:t xml:space="preserve"> </w:t>
      </w:r>
    </w:p>
    <w:p w14:paraId="59D22E09" w14:textId="2533FC79" w:rsidR="00810335" w:rsidRDefault="00810335" w:rsidP="008E13D2">
      <w:r w:rsidRPr="00810335">
        <w:t>Australia’s biosecurity system has historically derived significant benefits from the current approach to R&amp;I. However, there are limitations</w:t>
      </w:r>
      <w:r w:rsidR="000B17F8">
        <w:t>,</w:t>
      </w:r>
      <w:r w:rsidRPr="00810335">
        <w:t xml:space="preserve"> and the system no longer has the required structure, focus or capacity to address existing and emerging national biosecurity challenges.</w:t>
      </w:r>
    </w:p>
    <w:p w14:paraId="426A3D92" w14:textId="77777777" w:rsidR="00867F12" w:rsidRDefault="00867F12" w:rsidP="007D0A38">
      <w:pPr>
        <w:pStyle w:val="Heading4"/>
        <w:keepNext/>
        <w:numPr>
          <w:ilvl w:val="2"/>
          <w:numId w:val="15"/>
        </w:numPr>
      </w:pPr>
      <w:r>
        <w:t>Many players but no captain</w:t>
      </w:r>
    </w:p>
    <w:p w14:paraId="00C8F424" w14:textId="4702192A" w:rsidR="00867F12" w:rsidRDefault="00867F12" w:rsidP="007D0A38">
      <w:pPr>
        <w:keepNext/>
      </w:pPr>
      <w:r>
        <w:t xml:space="preserve">Biosecurity R&amp;I in Australia is closely linked to the broader </w:t>
      </w:r>
      <w:r w:rsidR="001A4593">
        <w:t xml:space="preserve">national </w:t>
      </w:r>
      <w:r>
        <w:t xml:space="preserve">agricultural RD&amp;E system, which has evolved considerably over the last two </w:t>
      </w:r>
      <w:r w:rsidRPr="008E6DE2">
        <w:t>decades (</w:t>
      </w:r>
      <w:hyperlink w:anchor="PC_2011" w:history="1">
        <w:r w:rsidRPr="00927D82">
          <w:rPr>
            <w:rStyle w:val="Hyperlink"/>
          </w:rPr>
          <w:t>PC 2011</w:t>
        </w:r>
      </w:hyperlink>
      <w:r w:rsidRPr="008E6DE2">
        <w:t xml:space="preserve">; </w:t>
      </w:r>
      <w:hyperlink w:anchor="Hunt_et_al_2014" w:history="1">
        <w:r w:rsidRPr="00927D82">
          <w:rPr>
            <w:rStyle w:val="Hyperlink"/>
          </w:rPr>
          <w:t xml:space="preserve">Hunt et al. </w:t>
        </w:r>
        <w:r w:rsidRPr="00927D82">
          <w:rPr>
            <w:rStyle w:val="Hyperlink"/>
          </w:rPr>
          <w:lastRenderedPageBreak/>
          <w:t>2014</w:t>
        </w:r>
      </w:hyperlink>
      <w:r w:rsidRPr="008E6DE2">
        <w:t>). Multiple funders and providers are involved</w:t>
      </w:r>
      <w:r w:rsidR="00350ADC">
        <w:t>;</w:t>
      </w:r>
      <w:r w:rsidRPr="008E6DE2">
        <w:t xml:space="preserve"> however, there is no lead</w:t>
      </w:r>
      <w:r>
        <w:t xml:space="preserve"> agency</w:t>
      </w:r>
      <w:r w:rsidR="00350ADC">
        <w:t xml:space="preserve"> for</w:t>
      </w:r>
      <w:r>
        <w:t>, national prioritisation process</w:t>
      </w:r>
      <w:r w:rsidR="00350ADC">
        <w:t xml:space="preserve"> for</w:t>
      </w:r>
      <w:r>
        <w:t xml:space="preserve"> or coordination </w:t>
      </w:r>
      <w:r w:rsidR="00350ADC">
        <w:t>of</w:t>
      </w:r>
      <w:r>
        <w:t xml:space="preserve"> biosecurity R&amp;I in Australia.</w:t>
      </w:r>
    </w:p>
    <w:p w14:paraId="384AC459" w14:textId="1D577D83" w:rsidR="00867F12" w:rsidRDefault="00867F12" w:rsidP="00867F12">
      <w:r w:rsidRPr="00810335">
        <w:t xml:space="preserve">Biosecurity research activities are primarily funded by the </w:t>
      </w:r>
      <w:r w:rsidRPr="00512937">
        <w:t>Australian, state</w:t>
      </w:r>
      <w:r w:rsidRPr="00810335">
        <w:t xml:space="preserve"> and territory governments, the rural Research and Development Corporations (RDCs) and Cooperative Research Centres (CRCs). Both the RDCs and CRCs receive significant funding from industry and government sources. Key providers of biosecurity R&amp;I include the CSIRO, state and territory government agencies through their research and diagnostic facilities, and the university sector </w:t>
      </w:r>
      <w:r>
        <w:t>(</w:t>
      </w:r>
      <w:r>
        <w:fldChar w:fldCharType="begin"/>
      </w:r>
      <w:r>
        <w:instrText xml:space="preserve"> REF _Ref466972150 \h </w:instrText>
      </w:r>
      <w:r>
        <w:fldChar w:fldCharType="separate"/>
      </w:r>
      <w:r w:rsidR="009F6923" w:rsidRPr="00CD5E76">
        <w:t xml:space="preserve">Table </w:t>
      </w:r>
      <w:r w:rsidR="009F6923">
        <w:rPr>
          <w:noProof/>
        </w:rPr>
        <w:t>2</w:t>
      </w:r>
      <w:r>
        <w:fldChar w:fldCharType="end"/>
      </w:r>
      <w:r>
        <w:t>).</w:t>
      </w:r>
    </w:p>
    <w:p w14:paraId="275B57D0" w14:textId="52171028" w:rsidR="00867F12" w:rsidRPr="00CD5E76" w:rsidRDefault="00867F12" w:rsidP="00867F12">
      <w:pPr>
        <w:pStyle w:val="Caption"/>
        <w:rPr>
          <w:szCs w:val="22"/>
        </w:rPr>
      </w:pPr>
      <w:bookmarkStart w:id="106" w:name="_Ref466972150"/>
      <w:bookmarkStart w:id="107" w:name="_Toc468176726"/>
      <w:r w:rsidRPr="00CD5E76">
        <w:rPr>
          <w:szCs w:val="22"/>
        </w:rPr>
        <w:t xml:space="preserve">Table </w:t>
      </w:r>
      <w:r w:rsidRPr="00CD5E76">
        <w:rPr>
          <w:szCs w:val="22"/>
        </w:rPr>
        <w:fldChar w:fldCharType="begin"/>
      </w:r>
      <w:r w:rsidRPr="00CD5E76">
        <w:rPr>
          <w:szCs w:val="22"/>
        </w:rPr>
        <w:instrText xml:space="preserve"> SEQ Table \* ARABIC </w:instrText>
      </w:r>
      <w:r w:rsidRPr="00CD5E76">
        <w:rPr>
          <w:szCs w:val="22"/>
        </w:rPr>
        <w:fldChar w:fldCharType="separate"/>
      </w:r>
      <w:r w:rsidR="009F6923">
        <w:rPr>
          <w:noProof/>
          <w:szCs w:val="22"/>
        </w:rPr>
        <w:t>2</w:t>
      </w:r>
      <w:r w:rsidRPr="00CD5E76">
        <w:rPr>
          <w:noProof/>
          <w:szCs w:val="22"/>
        </w:rPr>
        <w:fldChar w:fldCharType="end"/>
      </w:r>
      <w:bookmarkEnd w:id="106"/>
      <w:r w:rsidRPr="00CD5E76">
        <w:rPr>
          <w:szCs w:val="22"/>
        </w:rPr>
        <w:t xml:space="preserve"> Key players in biosecurity R&amp;I in Australia</w:t>
      </w:r>
      <w:bookmarkEnd w:id="10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867F12" w:rsidRPr="00EC0C8F" w14:paraId="75B2C9A0" w14:textId="77777777" w:rsidTr="00045A32">
        <w:trPr>
          <w:tblHeader/>
        </w:trPr>
        <w:tc>
          <w:tcPr>
            <w:tcW w:w="3020" w:type="dxa"/>
          </w:tcPr>
          <w:p w14:paraId="76447E75" w14:textId="77777777" w:rsidR="00867F12" w:rsidRPr="00EC0C8F" w:rsidRDefault="00867F12" w:rsidP="00045A32">
            <w:pPr>
              <w:pStyle w:val="TableHeading"/>
            </w:pPr>
            <w:r>
              <w:t>Funders</w:t>
            </w:r>
          </w:p>
        </w:tc>
        <w:tc>
          <w:tcPr>
            <w:tcW w:w="3020" w:type="dxa"/>
          </w:tcPr>
          <w:p w14:paraId="3CB43BAD" w14:textId="77777777" w:rsidR="00867F12" w:rsidRPr="00EC0C8F" w:rsidRDefault="00867F12" w:rsidP="00045A32">
            <w:pPr>
              <w:pStyle w:val="TableHeading"/>
            </w:pPr>
            <w:r>
              <w:t>Providers</w:t>
            </w:r>
          </w:p>
        </w:tc>
        <w:tc>
          <w:tcPr>
            <w:tcW w:w="3020" w:type="dxa"/>
          </w:tcPr>
          <w:p w14:paraId="69622859" w14:textId="77777777" w:rsidR="00867F12" w:rsidRPr="00EC0C8F" w:rsidRDefault="00867F12" w:rsidP="00045A32">
            <w:pPr>
              <w:pStyle w:val="TableHeading"/>
            </w:pPr>
            <w:r>
              <w:t>Other role (unclear)</w:t>
            </w:r>
          </w:p>
        </w:tc>
      </w:tr>
      <w:tr w:rsidR="00867F12" w:rsidRPr="00EC0C8F" w14:paraId="21F1D944" w14:textId="77777777" w:rsidTr="00045A32">
        <w:tc>
          <w:tcPr>
            <w:tcW w:w="3020" w:type="dxa"/>
          </w:tcPr>
          <w:p w14:paraId="66EE0385" w14:textId="77777777" w:rsidR="00867F12" w:rsidRDefault="00867F12" w:rsidP="00045A32">
            <w:pPr>
              <w:pStyle w:val="TableText"/>
            </w:pPr>
            <w:r w:rsidRPr="00EC0C8F">
              <w:t>Australian</w:t>
            </w:r>
            <w:r w:rsidRPr="00EC0C8F">
              <w:rPr>
                <w:vertAlign w:val="superscript"/>
              </w:rPr>
              <w:t>1</w:t>
            </w:r>
            <w:r w:rsidRPr="00EC0C8F">
              <w:t>, and state and territory governments</w:t>
            </w:r>
          </w:p>
          <w:p w14:paraId="540A0405" w14:textId="77777777" w:rsidR="00867F12" w:rsidRDefault="00867F12" w:rsidP="00045A32">
            <w:pPr>
              <w:pStyle w:val="TableText"/>
              <w:rPr>
                <w:vertAlign w:val="superscript"/>
              </w:rPr>
            </w:pPr>
            <w:r w:rsidRPr="00EC0C8F">
              <w:t xml:space="preserve">Rural </w:t>
            </w:r>
            <w:r w:rsidRPr="00F24E0A">
              <w:t>Research and Development Corporations</w:t>
            </w:r>
            <w:r w:rsidRPr="00F24E0A">
              <w:rPr>
                <w:vertAlign w:val="superscript"/>
              </w:rPr>
              <w:t>2</w:t>
            </w:r>
          </w:p>
          <w:p w14:paraId="1F491394" w14:textId="4CD37F40" w:rsidR="00867F12" w:rsidRPr="00EC0C8F" w:rsidRDefault="00867F12" w:rsidP="00045A32">
            <w:pPr>
              <w:pStyle w:val="TableText"/>
            </w:pPr>
            <w:r>
              <w:t>Cooperative Research Centres (e.g. Plant</w:t>
            </w:r>
            <w:r w:rsidR="00AA5692">
              <w:t xml:space="preserve"> Biosecurity; Invasive Animals)</w:t>
            </w:r>
          </w:p>
        </w:tc>
        <w:tc>
          <w:tcPr>
            <w:tcW w:w="3020" w:type="dxa"/>
          </w:tcPr>
          <w:p w14:paraId="5180CD7C" w14:textId="77777777" w:rsidR="00867F12" w:rsidRDefault="00867F12" w:rsidP="00045A32">
            <w:pPr>
              <w:pStyle w:val="TableText"/>
            </w:pPr>
            <w:r w:rsidRPr="00EC0C8F">
              <w:t>CSIRO</w:t>
            </w:r>
            <w:r>
              <w:t xml:space="preserve"> </w:t>
            </w:r>
          </w:p>
          <w:p w14:paraId="5557FB24" w14:textId="095FED60" w:rsidR="00867F12" w:rsidRDefault="00867F12" w:rsidP="00045A32">
            <w:pPr>
              <w:pStyle w:val="TableText"/>
            </w:pPr>
            <w:r w:rsidRPr="002F2F3C">
              <w:t xml:space="preserve">State </w:t>
            </w:r>
            <w:r w:rsidR="00D6352A">
              <w:t>and</w:t>
            </w:r>
            <w:r w:rsidRPr="002F2F3C">
              <w:t xml:space="preserve"> territory research facilities</w:t>
            </w:r>
          </w:p>
          <w:p w14:paraId="2B4A7FE7" w14:textId="77777777" w:rsidR="00867F12" w:rsidRDefault="00867F12" w:rsidP="00045A32">
            <w:pPr>
              <w:pStyle w:val="TableText"/>
            </w:pPr>
            <w:r w:rsidRPr="002F2F3C">
              <w:t>Universities</w:t>
            </w:r>
          </w:p>
          <w:p w14:paraId="64198301" w14:textId="77777777" w:rsidR="00867F12" w:rsidRPr="00EC0C8F" w:rsidRDefault="00867F12" w:rsidP="00045A32">
            <w:pPr>
              <w:pStyle w:val="TableText"/>
            </w:pPr>
            <w:r>
              <w:t xml:space="preserve">Private consultants </w:t>
            </w:r>
          </w:p>
        </w:tc>
        <w:tc>
          <w:tcPr>
            <w:tcW w:w="3020" w:type="dxa"/>
          </w:tcPr>
          <w:p w14:paraId="41C39F25" w14:textId="77777777" w:rsidR="00867F12" w:rsidRDefault="00867F12" w:rsidP="00045A32">
            <w:pPr>
              <w:pStyle w:val="TableText"/>
            </w:pPr>
            <w:r w:rsidRPr="00EC0C8F">
              <w:t>AGSOC R&amp;I committee</w:t>
            </w:r>
          </w:p>
          <w:p w14:paraId="08BD29DC" w14:textId="77777777" w:rsidR="00867F12" w:rsidRDefault="00867F12" w:rsidP="00045A32">
            <w:pPr>
              <w:pStyle w:val="TableText"/>
            </w:pPr>
            <w:r w:rsidRPr="002F2F3C">
              <w:t>Animal Health Australia</w:t>
            </w:r>
          </w:p>
          <w:p w14:paraId="5BFB811C" w14:textId="77777777" w:rsidR="00867F12" w:rsidRDefault="00867F12" w:rsidP="00045A32">
            <w:pPr>
              <w:pStyle w:val="TableText"/>
            </w:pPr>
            <w:r w:rsidRPr="002F2F3C">
              <w:t>Plant Health Australia</w:t>
            </w:r>
          </w:p>
          <w:p w14:paraId="5A95051C" w14:textId="77777777" w:rsidR="00867F12" w:rsidRPr="00EC0C8F" w:rsidRDefault="00867F12" w:rsidP="00045A32">
            <w:pPr>
              <w:pStyle w:val="TableText"/>
            </w:pPr>
          </w:p>
        </w:tc>
      </w:tr>
    </w:tbl>
    <w:p w14:paraId="5B217701" w14:textId="1DC7D9FE" w:rsidR="004F7279" w:rsidRDefault="004F7279" w:rsidP="00462C45">
      <w:pPr>
        <w:pStyle w:val="FigureTableNoteSource"/>
      </w:pPr>
      <w:r>
        <w:t>AGSOC: Agriculture Senior Officials Committee; CSIRO: Commonwealth Scientific and Industrial Research organisation; R&amp;I: research and innovation.</w:t>
      </w:r>
    </w:p>
    <w:p w14:paraId="5628D43A" w14:textId="723B682B" w:rsidR="00867F12" w:rsidRDefault="002B4C77" w:rsidP="00462C45">
      <w:pPr>
        <w:pStyle w:val="FigureTableNoteSource"/>
      </w:pPr>
      <w:r w:rsidRPr="004F7279">
        <w:t>1</w:t>
      </w:r>
      <w:r w:rsidR="004F7279">
        <w:t xml:space="preserve">. </w:t>
      </w:r>
      <w:r w:rsidR="00867F12" w:rsidRPr="00F24E0A">
        <w:t>Australian Government initiatives include the Australian Research Council’s Linkage and Discovery programmes, Rural R&amp;D for Pro</w:t>
      </w:r>
      <w:r w:rsidR="00F24E0A" w:rsidRPr="00F24E0A">
        <w:t>fit Programme and CRC Programme</w:t>
      </w:r>
      <w:r w:rsidR="004F7279">
        <w:t>;</w:t>
      </w:r>
      <w:r w:rsidR="00F24E0A" w:rsidRPr="00F24E0A">
        <w:t xml:space="preserve"> </w:t>
      </w:r>
      <w:r w:rsidR="00F24E0A" w:rsidRPr="004F7279">
        <w:t>2</w:t>
      </w:r>
      <w:r w:rsidR="004F7279">
        <w:t xml:space="preserve">. </w:t>
      </w:r>
      <w:r w:rsidR="00F24E0A" w:rsidRPr="00F24E0A">
        <w:t>Both the RDCs and CRCs receive funding from industry and government sources.</w:t>
      </w:r>
    </w:p>
    <w:p w14:paraId="1D223A86" w14:textId="2C9FB0CA" w:rsidR="00867F12" w:rsidRDefault="00D41CF5" w:rsidP="00867F12">
      <w:r>
        <w:t xml:space="preserve">The </w:t>
      </w:r>
      <w:r w:rsidR="00867F12">
        <w:t xml:space="preserve">CSIRO also operates and manages the Australian Animal Health Laboratory (AAHL). This critical component of the national biosecurity infrastructure helps </w:t>
      </w:r>
      <w:r w:rsidR="009E794C">
        <w:t xml:space="preserve">to </w:t>
      </w:r>
      <w:r w:rsidR="00867F12">
        <w:t xml:space="preserve">protect Australia’s livestock and aquaculture industries, and the general public, from emerging disease threats. Its primary responsibility is to provide a diagnostic, surveillance and response service to the Australian Government to underpin Australia’s ability to trade in animal products. It also undertakes important research </w:t>
      </w:r>
      <w:r w:rsidR="009E794C">
        <w:t xml:space="preserve">on </w:t>
      </w:r>
      <w:r w:rsidR="00867F12">
        <w:t xml:space="preserve">infectious agents. The contribution made by AAHL to animal biosecurity in Australia is considerable. In the event of an incursion or threat, AAHL works closely and in partnership with diagnostic and research laboratories located in a number of </w:t>
      </w:r>
      <w:r w:rsidR="007174E0">
        <w:t>jurisdictions</w:t>
      </w:r>
      <w:r w:rsidR="00867F12">
        <w:t>.</w:t>
      </w:r>
    </w:p>
    <w:p w14:paraId="2EE0EE88" w14:textId="452BE2D9" w:rsidR="00867F12" w:rsidRPr="00867F12" w:rsidRDefault="00867F12" w:rsidP="00867F12">
      <w:r>
        <w:t>As detailed above, various entities attempt to coordinate biosecurity research and implementation of a range of largely unfunded strategies.</w:t>
      </w:r>
    </w:p>
    <w:p w14:paraId="3695ABF0" w14:textId="52651883" w:rsidR="00867F12" w:rsidRDefault="00867F12" w:rsidP="00867F12">
      <w:pPr>
        <w:pStyle w:val="Heading4"/>
      </w:pPr>
      <w:bookmarkStart w:id="108" w:name="_Biosecurity_as_a"/>
      <w:bookmarkEnd w:id="108"/>
      <w:r>
        <w:t>Biosecurity as a national research priority</w:t>
      </w:r>
    </w:p>
    <w:p w14:paraId="49A7B462" w14:textId="5EFA70F1" w:rsidR="00E73DA4" w:rsidRDefault="00867F12" w:rsidP="00E73DA4">
      <w:r w:rsidRPr="00867F12">
        <w:t xml:space="preserve">Biosecurity is one of many existing priorities for overarching national </w:t>
      </w:r>
      <w:r w:rsidR="009711E9">
        <w:t>R&amp;I</w:t>
      </w:r>
      <w:r w:rsidRPr="00867F12">
        <w:t xml:space="preserve">. Under the Australian Government’s </w:t>
      </w:r>
      <w:hyperlink r:id="rId42" w:history="1">
        <w:r w:rsidRPr="00867F12">
          <w:rPr>
            <w:rStyle w:val="Hyperlink"/>
          </w:rPr>
          <w:t>National Science and Research Priorities</w:t>
        </w:r>
      </w:hyperlink>
      <w:r w:rsidR="009E794C">
        <w:rPr>
          <w:rStyle w:val="Hyperlink"/>
        </w:rPr>
        <w:t>,</w:t>
      </w:r>
      <w:r w:rsidRPr="00867F12">
        <w:t xml:space="preserve"> biosecurity is embedded within the ‘food’ national science and research priority, with the challenge of ‘protection of food sources through enhanced biosecurity’. Under the </w:t>
      </w:r>
      <w:hyperlink r:id="rId43" w:history="1">
        <w:r w:rsidRPr="00867F12">
          <w:rPr>
            <w:rStyle w:val="Hyperlink"/>
          </w:rPr>
          <w:t xml:space="preserve">National Rural </w:t>
        </w:r>
        <w:r w:rsidRPr="00867F12">
          <w:rPr>
            <w:rStyle w:val="Hyperlink"/>
          </w:rPr>
          <w:lastRenderedPageBreak/>
          <w:t>R&amp;D Priorities</w:t>
        </w:r>
      </w:hyperlink>
      <w:r w:rsidR="009E794C">
        <w:rPr>
          <w:rStyle w:val="Hyperlink"/>
        </w:rPr>
        <w:t>,</w:t>
      </w:r>
      <w:r w:rsidRPr="00867F12">
        <w:t xml:space="preserve"> the biosecurity priority (as detailed below) is rightly given much more prominence</w:t>
      </w:r>
      <w:r w:rsidR="009E794C">
        <w:t>:</w:t>
      </w:r>
    </w:p>
    <w:p w14:paraId="41BFFA41" w14:textId="2124BDE2" w:rsidR="00E73DA4" w:rsidRDefault="00E73DA4" w:rsidP="00E73DA4">
      <w:pPr>
        <w:pStyle w:val="Quote"/>
      </w:pPr>
      <w:r>
        <w:t>To improve understanding and evidence of pest and disease pathways to help direct biosecurity resources to their best uses, minimising biosecurity threats and improving market access for primary producers</w:t>
      </w:r>
      <w:r w:rsidR="008057E4">
        <w:t xml:space="preserve"> (2015 Agricultural Competitiveness White Paper)</w:t>
      </w:r>
    </w:p>
    <w:p w14:paraId="1011702F" w14:textId="7AB9AB95" w:rsidR="00867F12" w:rsidRDefault="00867F12" w:rsidP="00867F12">
      <w:r>
        <w:t xml:space="preserve">The National Rural R&amp;D Priorities were developed under the 2015 Agricultural Competitiveness White Paper </w:t>
      </w:r>
      <w:r w:rsidR="007174E0">
        <w:t xml:space="preserve">and </w:t>
      </w:r>
      <w:r>
        <w:t>have been subsequently adopted by all jurisdictions as part of the National Primary Industries Research, Development and Extension Framework</w:t>
      </w:r>
      <w:r w:rsidR="002716A9">
        <w:t xml:space="preserve"> (NPIRDEF)</w:t>
      </w:r>
      <w:r>
        <w:t>. This framework aims to generate collaboration and continuous improvement in the investment of RD&amp;E resources nationa</w:t>
      </w:r>
      <w:r w:rsidR="009B1823">
        <w:t>lly, including for biosecurity.</w:t>
      </w:r>
    </w:p>
    <w:p w14:paraId="069D7BAE" w14:textId="7C8D6197" w:rsidR="00867F12" w:rsidRDefault="00867F12" w:rsidP="00867F12">
      <w:r>
        <w:t xml:space="preserve">These national research priorities </w:t>
      </w:r>
      <w:r w:rsidR="00511C93" w:rsidRPr="00511C93">
        <w:t xml:space="preserve">replaced the Rural Research and Development Priorities adopted by governments in 2007 and </w:t>
      </w:r>
      <w:r>
        <w:t xml:space="preserve">are intended to guide the R&amp;I investment decisions of the </w:t>
      </w:r>
      <w:r w:rsidRPr="009E794C">
        <w:t>Australian, state</w:t>
      </w:r>
      <w:r>
        <w:t xml:space="preserve"> and territory governments and other funders of biosecurity R&amp;I. However, as they stand, they provide little clarity or substantive guidance for investment in the national biosecurity system.</w:t>
      </w:r>
    </w:p>
    <w:p w14:paraId="4C55B937" w14:textId="00C155D7" w:rsidR="00867F12" w:rsidRDefault="00867F12" w:rsidP="00F81631">
      <w:pPr>
        <w:pStyle w:val="Heading4"/>
      </w:pPr>
      <w:r>
        <w:t>Investment in biosecurity</w:t>
      </w:r>
      <w:r w:rsidR="00F81631">
        <w:t xml:space="preserve"> R&amp;I</w:t>
      </w:r>
    </w:p>
    <w:p w14:paraId="3A86D88D" w14:textId="7F4F4936" w:rsidR="00867F12" w:rsidRDefault="00867F12" w:rsidP="00867F12">
      <w:r>
        <w:t xml:space="preserve">Biosecurity stakeholders have highlighted the necessity </w:t>
      </w:r>
      <w:r w:rsidR="007174E0">
        <w:t xml:space="preserve">for </w:t>
      </w:r>
      <w:r>
        <w:t xml:space="preserve">a long-term, sustainable commitment to biosecurity </w:t>
      </w:r>
      <w:r w:rsidR="00744683">
        <w:t>R&amp;I, including funding:</w:t>
      </w:r>
    </w:p>
    <w:p w14:paraId="283335E4" w14:textId="20A109B3" w:rsidR="00867F12" w:rsidRDefault="00867F12" w:rsidP="00C33889">
      <w:pPr>
        <w:pStyle w:val="Quote"/>
      </w:pPr>
      <w:r>
        <w:t>Research should be ongoing. Diagnostics, surveillance, response methodologies and treatments need to be continually developed as new technology becomes available and old systems become redundant. The research tap cannot be turned on and off and still expect effective innovation (Biosecurity Council of Western Australia sub. DP52)</w:t>
      </w:r>
    </w:p>
    <w:p w14:paraId="2E22E65F" w14:textId="438C9E2C" w:rsidR="00C33889" w:rsidRDefault="00C33889" w:rsidP="00C33889">
      <w:r>
        <w:t xml:space="preserve">Comprehensive data on public investment in biosecurity R&amp;I is not currently available, </w:t>
      </w:r>
      <w:r w:rsidR="00381DC5">
        <w:t>and it is not</w:t>
      </w:r>
      <w:r>
        <w:t xml:space="preserve"> an investment category captured by the N</w:t>
      </w:r>
      <w:r w:rsidR="00381DC5">
        <w:t xml:space="preserve">ational </w:t>
      </w:r>
      <w:r>
        <w:t>B</w:t>
      </w:r>
      <w:r w:rsidR="00381DC5">
        <w:t xml:space="preserve">iosecurity </w:t>
      </w:r>
      <w:r>
        <w:t>C</w:t>
      </w:r>
      <w:r w:rsidR="00381DC5">
        <w:t>ommittee</w:t>
      </w:r>
      <w:r w:rsidR="00D152CC">
        <w:t xml:space="preserve"> </w:t>
      </w:r>
      <w:r w:rsidR="00381DC5">
        <w:t>(NBC)</w:t>
      </w:r>
      <w:r>
        <w:t xml:space="preserve"> national stocktake of biosecurity investment (Chapter 8). As investment in biosecurity R&amp;I is strongly linked to </w:t>
      </w:r>
      <w:r w:rsidR="00A46EA6">
        <w:t xml:space="preserve">the </w:t>
      </w:r>
      <w:r>
        <w:t xml:space="preserve">overall funding of </w:t>
      </w:r>
      <w:r w:rsidR="00E77DBE">
        <w:t>agricultural RD&amp;E</w:t>
      </w:r>
      <w:r>
        <w:t xml:space="preserve"> in Australia, the </w:t>
      </w:r>
      <w:r w:rsidR="00381DC5">
        <w:t>p</w:t>
      </w:r>
      <w:r>
        <w:t>anel noted with interest recent</w:t>
      </w:r>
      <w:r w:rsidR="00346DCE">
        <w:t xml:space="preserve"> </w:t>
      </w:r>
      <w:r>
        <w:t xml:space="preserve">work by </w:t>
      </w:r>
      <w:r w:rsidR="00381DC5">
        <w:t xml:space="preserve">the </w:t>
      </w:r>
      <w:r>
        <w:t>A</w:t>
      </w:r>
      <w:r w:rsidR="00381DC5">
        <w:t xml:space="preserve">ustralian </w:t>
      </w:r>
      <w:r>
        <w:t>B</w:t>
      </w:r>
      <w:r w:rsidR="00381DC5">
        <w:t xml:space="preserve">ureau of </w:t>
      </w:r>
      <w:r>
        <w:t>A</w:t>
      </w:r>
      <w:r w:rsidR="00381DC5">
        <w:t xml:space="preserve">gricultural </w:t>
      </w:r>
      <w:r>
        <w:t>R</w:t>
      </w:r>
      <w:r w:rsidR="00381DC5">
        <w:t xml:space="preserve">esource </w:t>
      </w:r>
      <w:r>
        <w:t>E</w:t>
      </w:r>
      <w:r w:rsidR="00381DC5">
        <w:t xml:space="preserve">conomics and </w:t>
      </w:r>
      <w:r>
        <w:t>S</w:t>
      </w:r>
      <w:r w:rsidR="00381DC5">
        <w:t>ciences (ABARES)</w:t>
      </w:r>
      <w:r>
        <w:t xml:space="preserve"> </w:t>
      </w:r>
      <w:r w:rsidR="005D1A59" w:rsidRPr="00F414C2">
        <w:t>(</w:t>
      </w:r>
      <w:r w:rsidR="001555E3">
        <w:t>forthcoming</w:t>
      </w:r>
      <w:r w:rsidR="005D1A59" w:rsidRPr="00F414C2">
        <w:t>)</w:t>
      </w:r>
      <w:r w:rsidR="005D1A59">
        <w:t xml:space="preserve"> </w:t>
      </w:r>
      <w:r>
        <w:t xml:space="preserve">which estimated that public funding of rural R&amp;D increased only marginally in real terms in </w:t>
      </w:r>
      <w:r w:rsidR="00C8718C">
        <w:t xml:space="preserve">the </w:t>
      </w:r>
      <w:r w:rsidR="00381DC5">
        <w:t>ten-</w:t>
      </w:r>
      <w:r w:rsidR="00216755">
        <w:t>year period between 2005–</w:t>
      </w:r>
      <w:r>
        <w:t>06 and 2014–15</w:t>
      </w:r>
      <w:r w:rsidR="00216755">
        <w:t>, from $1.375 billion to $1.536 </w:t>
      </w:r>
      <w:r>
        <w:t xml:space="preserve">billion. ABARES also found </w:t>
      </w:r>
      <w:r>
        <w:lastRenderedPageBreak/>
        <w:t>that the Australian Government remains the major public funding source, and universities have now overtaken the state and territory governments in providing funding for rural R&amp;D (</w:t>
      </w:r>
      <w:r w:rsidRPr="00251AA0">
        <w:fldChar w:fldCharType="begin"/>
      </w:r>
      <w:r w:rsidRPr="00251AA0">
        <w:instrText xml:space="preserve"> REF _Ref482019671 \h </w:instrText>
      </w:r>
      <w:r w:rsidR="00251AA0">
        <w:instrText xml:space="preserve"> \* MERGEFORMAT </w:instrText>
      </w:r>
      <w:r w:rsidRPr="00251AA0">
        <w:fldChar w:fldCharType="separate"/>
      </w:r>
      <w:r w:rsidR="009F6923" w:rsidRPr="00061673">
        <w:t xml:space="preserve">Box </w:t>
      </w:r>
      <w:r w:rsidR="009F6923">
        <w:t>10</w:t>
      </w:r>
      <w:r w:rsidRPr="00251AA0">
        <w:fldChar w:fldCharType="end"/>
      </w:r>
      <w:r w:rsidRPr="00251AA0">
        <w:t>)</w:t>
      </w:r>
      <w:r>
        <w:t>.</w:t>
      </w:r>
    </w:p>
    <w:p w14:paraId="4FA725AC" w14:textId="652DB69B" w:rsidR="00867F12" w:rsidRDefault="00C33889" w:rsidP="00C33889">
      <w:r>
        <w:t>Clearly, it is the funding decisions of the Australian Government, primarily through the science and agriculture departments and their portfolio agencies, that will continue to determine the relative priority of biosecurity R&amp;I—compared to agricultural productivity, for example</w:t>
      </w:r>
      <w:r w:rsidR="00251AA0">
        <w:t xml:space="preserve">, </w:t>
      </w:r>
      <w:r>
        <w:t xml:space="preserve">in the </w:t>
      </w:r>
      <w:r w:rsidR="00346DCE">
        <w:t xml:space="preserve">national </w:t>
      </w:r>
      <w:r>
        <w:t xml:space="preserve">R&amp;I system. This issue is further explored below with respect to the investment decisions by the Australian Government in biosecurity-related CRCs and investments in ‘biosecurity’ by the </w:t>
      </w:r>
      <w:r w:rsidR="00D631A1">
        <w:t>fifteen</w:t>
      </w:r>
      <w:r>
        <w:t xml:space="preserve"> rural RDCs.</w:t>
      </w:r>
    </w:p>
    <w:p w14:paraId="702FE123" w14:textId="37162409" w:rsidR="00C33889" w:rsidRPr="00061673" w:rsidRDefault="00C33889" w:rsidP="00061673">
      <w:pPr>
        <w:pStyle w:val="BoxHeading"/>
        <w:keepNext/>
        <w:keepLines/>
        <w:rPr>
          <w:sz w:val="22"/>
        </w:rPr>
      </w:pPr>
      <w:bookmarkStart w:id="109" w:name="_Ref482019671"/>
      <w:r w:rsidRPr="00061673">
        <w:rPr>
          <w:sz w:val="22"/>
        </w:rPr>
        <w:t xml:space="preserve">Box </w:t>
      </w:r>
      <w:r w:rsidRPr="00061673">
        <w:rPr>
          <w:sz w:val="22"/>
        </w:rPr>
        <w:fldChar w:fldCharType="begin"/>
      </w:r>
      <w:r w:rsidRPr="00061673">
        <w:rPr>
          <w:sz w:val="22"/>
        </w:rPr>
        <w:instrText xml:space="preserve"> SEQ Box \* ARABIC </w:instrText>
      </w:r>
      <w:r w:rsidRPr="00061673">
        <w:rPr>
          <w:sz w:val="22"/>
        </w:rPr>
        <w:fldChar w:fldCharType="separate"/>
      </w:r>
      <w:r w:rsidR="009F6923">
        <w:rPr>
          <w:noProof/>
          <w:sz w:val="22"/>
        </w:rPr>
        <w:t>10</w:t>
      </w:r>
      <w:r w:rsidRPr="00061673">
        <w:rPr>
          <w:sz w:val="22"/>
        </w:rPr>
        <w:fldChar w:fldCharType="end"/>
      </w:r>
      <w:bookmarkEnd w:id="109"/>
      <w:r w:rsidRPr="00061673">
        <w:rPr>
          <w:sz w:val="22"/>
        </w:rPr>
        <w:t xml:space="preserve"> Funding of rural R&amp;D in Australia (2005–06 to 2014–15)</w:t>
      </w:r>
    </w:p>
    <w:p w14:paraId="5C94D0C1" w14:textId="6C17E764" w:rsidR="00C33889" w:rsidRDefault="00C33889" w:rsidP="00061673">
      <w:pPr>
        <w:pStyle w:val="BoxText"/>
        <w:keepNext/>
        <w:keepLines/>
      </w:pPr>
      <w:r w:rsidRPr="00F37494">
        <w:t>ABARES estimate</w:t>
      </w:r>
      <w:r>
        <w:t>s</w:t>
      </w:r>
      <w:r w:rsidRPr="00F37494">
        <w:t xml:space="preserve"> that </w:t>
      </w:r>
      <w:r w:rsidR="001E6414" w:rsidRPr="00E70931">
        <w:t xml:space="preserve">overall </w:t>
      </w:r>
      <w:r w:rsidRPr="00E70931">
        <w:t>funding of rural R&amp;D in Australia increased over the ten years between 2005–06 and 2014</w:t>
      </w:r>
      <w:r w:rsidR="00F81631" w:rsidRPr="00E70931">
        <w:t>–</w:t>
      </w:r>
      <w:r w:rsidR="00752EEA">
        <w:t>15 from $2.3 billion to $3.0 </w:t>
      </w:r>
      <w:r w:rsidRPr="00E70931">
        <w:t>billion</w:t>
      </w:r>
      <w:r w:rsidR="001E6414" w:rsidRPr="00E70931">
        <w:t>, with public funding for rural R&amp;D i</w:t>
      </w:r>
      <w:r w:rsidR="00752EEA">
        <w:t>ncreasing from $1.375 to $1.536 </w:t>
      </w:r>
      <w:r w:rsidR="001E6414" w:rsidRPr="00E70931">
        <w:t>billion</w:t>
      </w:r>
      <w:r w:rsidR="00D807E6">
        <w:t xml:space="preserve"> (in real terms)</w:t>
      </w:r>
      <w:r w:rsidRPr="00F37494">
        <w:t xml:space="preserve"> driven by growth in funding from the Australian </w:t>
      </w:r>
      <w:r w:rsidR="00CF21CB">
        <w:t>G</w:t>
      </w:r>
      <w:r w:rsidRPr="00F37494">
        <w:t>overnment and universities.</w:t>
      </w:r>
    </w:p>
    <w:p w14:paraId="54195341" w14:textId="28EB7F3C" w:rsidR="00C33889" w:rsidRPr="00F37494" w:rsidRDefault="00F81631" w:rsidP="00061673">
      <w:pPr>
        <w:pStyle w:val="BoxText"/>
        <w:keepNext/>
        <w:keepLines/>
      </w:pPr>
      <w:r>
        <w:rPr>
          <w:noProof/>
          <w:lang w:eastAsia="en-AU"/>
        </w:rPr>
        <w:drawing>
          <wp:anchor distT="0" distB="0" distL="114300" distR="114300" simplePos="0" relativeHeight="251661312" behindDoc="1" locked="0" layoutInCell="1" allowOverlap="1" wp14:anchorId="1E056B30" wp14:editId="5ADC82AA">
            <wp:simplePos x="0" y="0"/>
            <wp:positionH relativeFrom="column">
              <wp:posOffset>2385695</wp:posOffset>
            </wp:positionH>
            <wp:positionV relativeFrom="paragraph">
              <wp:posOffset>5715</wp:posOffset>
            </wp:positionV>
            <wp:extent cx="3261360" cy="2065020"/>
            <wp:effectExtent l="0" t="0" r="0" b="0"/>
            <wp:wrapTight wrapText="bothSides">
              <wp:wrapPolygon edited="0">
                <wp:start x="0" y="0"/>
                <wp:lineTo x="0" y="21321"/>
                <wp:lineTo x="21449" y="21321"/>
                <wp:lineTo x="21449" y="0"/>
                <wp:lineTo x="0" y="0"/>
              </wp:wrapPolygon>
            </wp:wrapTight>
            <wp:docPr id="18" name="Picture 18" descr="A graph showing the results of ABARES analysis of funding of rural R&amp;D detailed in Box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61360" cy="2065020"/>
                    </a:xfrm>
                    <a:prstGeom prst="rect">
                      <a:avLst/>
                    </a:prstGeom>
                    <a:noFill/>
                  </pic:spPr>
                </pic:pic>
              </a:graphicData>
            </a:graphic>
          </wp:anchor>
        </w:drawing>
      </w:r>
      <w:r w:rsidR="00C33889" w:rsidRPr="00F37494">
        <w:t xml:space="preserve">Australian Government funding increased from $805 million </w:t>
      </w:r>
      <w:r w:rsidR="00C33889">
        <w:t>to $952 million</w:t>
      </w:r>
      <w:r w:rsidR="00C33889" w:rsidRPr="00F37494">
        <w:t xml:space="preserve">. The main source of this growth was from the increased cost of the R&amp;D tax incentive provided to the </w:t>
      </w:r>
      <w:r w:rsidR="00C33889" w:rsidRPr="00061673">
        <w:t>private</w:t>
      </w:r>
      <w:r w:rsidR="00C33889" w:rsidRPr="00F37494">
        <w:t xml:space="preserve"> sector. Funding from state and territory governments fell from $330 million to $239 million in real terms. Universities’ own contribution to rural R&amp;D increased from $240 million to</w:t>
      </w:r>
      <w:r w:rsidR="009B1823">
        <w:t xml:space="preserve"> $345 million.</w:t>
      </w:r>
    </w:p>
    <w:p w14:paraId="6A9BC7F7" w14:textId="61BF4923" w:rsidR="00C33889" w:rsidRPr="00F37494" w:rsidRDefault="00C33889" w:rsidP="00061673">
      <w:pPr>
        <w:pStyle w:val="BoxText"/>
        <w:keepNext/>
        <w:keepLines/>
      </w:pPr>
      <w:r w:rsidRPr="00F37494">
        <w:t>The private sector funding for privately</w:t>
      </w:r>
      <w:r w:rsidR="00D807E6">
        <w:t xml:space="preserve"> </w:t>
      </w:r>
      <w:r w:rsidRPr="00F37494">
        <w:t>performed R&amp;D and private contributions to the RDCs both</w:t>
      </w:r>
      <w:r>
        <w:t xml:space="preserve"> grew over the </w:t>
      </w:r>
      <w:r w:rsidR="00D807E6">
        <w:t>ten</w:t>
      </w:r>
      <w:r>
        <w:t> years to 2014</w:t>
      </w:r>
      <w:r w:rsidR="00F81631">
        <w:t>–</w:t>
      </w:r>
      <w:r w:rsidR="00D807E6">
        <w:t xml:space="preserve">15. Funding for privately </w:t>
      </w:r>
      <w:r w:rsidRPr="00F37494">
        <w:t>performed rural R&amp;D nearly doubled from $681 million to $1,185 million. Private funding provided to the RDCs grew more slowly</w:t>
      </w:r>
      <w:r w:rsidR="005B68E8">
        <w:t>,</w:t>
      </w:r>
      <w:r w:rsidRPr="00F37494">
        <w:t xml:space="preserve"> fro</w:t>
      </w:r>
      <w:r w:rsidR="009B1823">
        <w:t>m $231 million to $276 million.</w:t>
      </w:r>
    </w:p>
    <w:p w14:paraId="1303381A" w14:textId="215AF80D" w:rsidR="005B68E8" w:rsidRDefault="00C33889" w:rsidP="00061673">
      <w:pPr>
        <w:pStyle w:val="BoxSource"/>
        <w:keepNext/>
        <w:keepLines/>
      </w:pPr>
      <w:r w:rsidRPr="00C635FC">
        <w:t>Rural R&amp;D includes agriculture, forestry</w:t>
      </w:r>
      <w:r w:rsidR="003B77B5">
        <w:t xml:space="preserve">, </w:t>
      </w:r>
      <w:r w:rsidRPr="00C635FC">
        <w:t>fisheries, related environmental research and value chain (inputs and processing) R&amp;D.</w:t>
      </w:r>
      <w:r>
        <w:t xml:space="preserve"> </w:t>
      </w:r>
    </w:p>
    <w:p w14:paraId="75534963" w14:textId="6B1CBB80" w:rsidR="00C33889" w:rsidRDefault="00C33889" w:rsidP="00061673">
      <w:pPr>
        <w:pStyle w:val="BoxSource"/>
        <w:keepNext/>
        <w:keepLines/>
      </w:pPr>
      <w:r>
        <w:t xml:space="preserve">Source: ABARES </w:t>
      </w:r>
      <w:r w:rsidR="005E58D6">
        <w:t>(</w:t>
      </w:r>
      <w:r w:rsidR="00BA1EC3">
        <w:t>forthcoming</w:t>
      </w:r>
      <w:r w:rsidR="005E58D6">
        <w:t>)</w:t>
      </w:r>
      <w:r w:rsidR="005B68E8">
        <w:t>.</w:t>
      </w:r>
    </w:p>
    <w:p w14:paraId="7B1EC930" w14:textId="77777777" w:rsidR="00C33889" w:rsidRPr="00C33889" w:rsidRDefault="00C33889" w:rsidP="00061673">
      <w:pPr>
        <w:pStyle w:val="Heading5"/>
      </w:pPr>
      <w:r w:rsidRPr="00C33889">
        <w:t xml:space="preserve">Biosecurity-related Cooperative Research Centres </w:t>
      </w:r>
    </w:p>
    <w:p w14:paraId="671925EE" w14:textId="134EC934" w:rsidR="00C33889" w:rsidRPr="00C33889" w:rsidRDefault="00C33889" w:rsidP="00C33889">
      <w:r w:rsidRPr="00C33889">
        <w:t xml:space="preserve">The Australian Government has previously directed </w:t>
      </w:r>
      <w:r w:rsidRPr="00E70931">
        <w:t xml:space="preserve">significant </w:t>
      </w:r>
      <w:r w:rsidRPr="00C33889">
        <w:t xml:space="preserve">funding to various biosecurity-related CRCs. These have included the CRC for Australian Weed Management (ceased in 2008), the Australian Biosecurity CRC for Emerging Infectious Disease (ceased in 2010), the Invasive Animals CRC (to cease in 2017) and the Plant Biosecurity </w:t>
      </w:r>
      <w:r w:rsidRPr="00C33889">
        <w:lastRenderedPageBreak/>
        <w:t>CRC (PB CRC) (to cease in 2018). The continuation of many biosecurity-related CRCs has been contingent on securing extensions for further terms of operation under the CRC Programme. Changes to this program, following a 2015 review (</w:t>
      </w:r>
      <w:hyperlink w:anchor="Miles_2015" w:history="1">
        <w:r w:rsidRPr="00C33889">
          <w:rPr>
            <w:color w:val="165788"/>
            <w:u w:val="single"/>
          </w:rPr>
          <w:t>Miles 2015</w:t>
        </w:r>
      </w:hyperlink>
      <w:r w:rsidRPr="00C33889">
        <w:t xml:space="preserve">), now limit CRC funding to a maximum of </w:t>
      </w:r>
      <w:r w:rsidR="005319C2">
        <w:t>ten</w:t>
      </w:r>
      <w:r w:rsidR="00C8718C">
        <w:t> </w:t>
      </w:r>
      <w:r w:rsidRPr="00C33889">
        <w:t>years with no funding extensions possible.</w:t>
      </w:r>
    </w:p>
    <w:p w14:paraId="4AD10017" w14:textId="2CD5B3E8" w:rsidR="00C33889" w:rsidRPr="009B1823" w:rsidRDefault="00C33889" w:rsidP="00C33889">
      <w:r w:rsidRPr="00BF4186">
        <w:t xml:space="preserve">The </w:t>
      </w:r>
      <w:r w:rsidR="003549E7">
        <w:t>p</w:t>
      </w:r>
      <w:r w:rsidRPr="00BF4186">
        <w:t xml:space="preserve">anel notes work is underway to transition the Invasive Animals CRC to the Centre for Invasive Species Solutions (CISS). </w:t>
      </w:r>
      <w:r w:rsidR="00511C93" w:rsidRPr="00BF4186">
        <w:t xml:space="preserve">A successful </w:t>
      </w:r>
      <w:r w:rsidRPr="00BF4186">
        <w:t xml:space="preserve">transition </w:t>
      </w:r>
      <w:r w:rsidR="00511C93" w:rsidRPr="00BF4186">
        <w:t>will be</w:t>
      </w:r>
      <w:r w:rsidRPr="00BF4186">
        <w:t xml:space="preserve"> a positive move for continuing the CRC’s work without interruption, particularly for development of biological control agents such as the recently released new strain of </w:t>
      </w:r>
      <w:r w:rsidR="00335D84">
        <w:t>r</w:t>
      </w:r>
      <w:r w:rsidRPr="00BF4186">
        <w:t xml:space="preserve">abbit </w:t>
      </w:r>
      <w:r w:rsidR="00335D84">
        <w:t>h</w:t>
      </w:r>
      <w:r w:rsidRPr="00BF4186">
        <w:t xml:space="preserve">aemorrhagic </w:t>
      </w:r>
      <w:r w:rsidR="00335D84">
        <w:t>d</w:t>
      </w:r>
      <w:r w:rsidRPr="00BF4186">
        <w:t>isease (RHDV1 K5).</w:t>
      </w:r>
      <w:r w:rsidRPr="00BF4186" w:rsidDel="00387887">
        <w:t xml:space="preserve"> </w:t>
      </w:r>
      <w:r w:rsidRPr="00BF4186">
        <w:t xml:space="preserve">The development of novel solutions to existing problems may also have relevance for </w:t>
      </w:r>
      <w:r w:rsidRPr="009B1823">
        <w:t>responses to</w:t>
      </w:r>
      <w:r w:rsidR="00511C93" w:rsidRPr="009B1823">
        <w:t xml:space="preserve"> future</w:t>
      </w:r>
      <w:r w:rsidRPr="009B1823">
        <w:t xml:space="preserve"> exotic incursions.</w:t>
      </w:r>
      <w:r w:rsidR="00A6700F" w:rsidRPr="009B1823">
        <w:t xml:space="preserve"> The </w:t>
      </w:r>
      <w:r w:rsidR="00335D84">
        <w:t>p</w:t>
      </w:r>
      <w:r w:rsidR="00335D84" w:rsidRPr="009B1823">
        <w:t xml:space="preserve">anel </w:t>
      </w:r>
      <w:r w:rsidR="00A6700F" w:rsidRPr="009B1823">
        <w:t xml:space="preserve">understands the remit of CISS </w:t>
      </w:r>
      <w:r w:rsidR="002178B9" w:rsidRPr="009B1823">
        <w:t xml:space="preserve">also </w:t>
      </w:r>
      <w:r w:rsidR="00A6700F" w:rsidRPr="009B1823">
        <w:t>include</w:t>
      </w:r>
      <w:r w:rsidR="00F80519" w:rsidRPr="009B1823">
        <w:t>s</w:t>
      </w:r>
      <w:r w:rsidR="00A6700F" w:rsidRPr="009B1823">
        <w:t xml:space="preserve"> established weeds.</w:t>
      </w:r>
    </w:p>
    <w:p w14:paraId="22CA0F4E" w14:textId="59C809B6" w:rsidR="00C33889" w:rsidRPr="00C33889" w:rsidRDefault="00C33889" w:rsidP="00C33889">
      <w:r w:rsidRPr="009B1823">
        <w:t xml:space="preserve">Separately, the </w:t>
      </w:r>
      <w:r w:rsidR="00335D84">
        <w:t>PB</w:t>
      </w:r>
      <w:r w:rsidRPr="00C33889">
        <w:t xml:space="preserve"> CRC has also considered options for transitioning its work beyond 2018 (</w:t>
      </w:r>
      <w:hyperlink w:anchor="Keogh_2016" w:history="1">
        <w:r w:rsidRPr="00C33889">
          <w:rPr>
            <w:color w:val="165788"/>
            <w:u w:val="single"/>
          </w:rPr>
          <w:t>Keogh and Goucher 2016</w:t>
        </w:r>
      </w:hyperlink>
      <w:r w:rsidRPr="00C33889">
        <w:t>)</w:t>
      </w:r>
      <w:r w:rsidR="00556058">
        <w:t xml:space="preserve">, including </w:t>
      </w:r>
      <w:r w:rsidRPr="00C33889">
        <w:t>proposal</w:t>
      </w:r>
      <w:r w:rsidR="00C63176">
        <w:t>s</w:t>
      </w:r>
      <w:r w:rsidRPr="00C33889">
        <w:t xml:space="preserve"> for SmartBiosecurity: Australasian Plant Biosecurity C</w:t>
      </w:r>
      <w:r w:rsidR="009B1823">
        <w:t>ollaborative Science Institute</w:t>
      </w:r>
      <w:r w:rsidR="000531EC">
        <w:t xml:space="preserve"> and</w:t>
      </w:r>
      <w:r w:rsidR="00705496" w:rsidRPr="00705496">
        <w:t xml:space="preserve"> </w:t>
      </w:r>
      <w:r w:rsidR="00705496">
        <w:t xml:space="preserve"> the </w:t>
      </w:r>
      <w:r w:rsidR="00705496" w:rsidRPr="00705496">
        <w:t>SmartBiosecurity Centre</w:t>
      </w:r>
      <w:r w:rsidR="009B1823">
        <w:t>.</w:t>
      </w:r>
    </w:p>
    <w:p w14:paraId="3CB9EC2B" w14:textId="393FCB9B" w:rsidR="00C33889" w:rsidRPr="00C33889" w:rsidRDefault="00C33889" w:rsidP="00C33889">
      <w:r w:rsidRPr="00C33889">
        <w:t xml:space="preserve">Stakeholders have highlighted the long-term impacts on biosecurity R&amp;I that have occurred where CRCs have closed without appropriate transition </w:t>
      </w:r>
      <w:r w:rsidR="00E51A4C">
        <w:t xml:space="preserve">or legacy </w:t>
      </w:r>
      <w:r w:rsidRPr="00C33889">
        <w:t>arrangements. These include the loss of valuable scientific knowledge and expertise, subsequent fragmentation of research activities and difficulties in securing ongoing funding for research from other sources. With the continued retreat of biosecurity CRCs, other research funders such as the RDCs will be under considerable pressure to pick up the CRC-funded research agendas.</w:t>
      </w:r>
    </w:p>
    <w:p w14:paraId="43A5F660" w14:textId="77777777" w:rsidR="00C33889" w:rsidRPr="00C33889" w:rsidRDefault="00C33889" w:rsidP="00061673">
      <w:pPr>
        <w:pStyle w:val="Heading5"/>
      </w:pPr>
      <w:r w:rsidRPr="00C33889">
        <w:lastRenderedPageBreak/>
        <w:t>Rural Research and Development Corporations</w:t>
      </w:r>
    </w:p>
    <w:p w14:paraId="50E9A906" w14:textId="4F32D77B" w:rsidR="00C33889" w:rsidRPr="00C33889" w:rsidRDefault="00C33889" w:rsidP="00C33889">
      <w:pPr>
        <w:keepNext/>
        <w:keepLines/>
      </w:pPr>
      <w:r w:rsidRPr="00C33889">
        <w:t xml:space="preserve">The fifteen RDCs are key funders of biosecurity </w:t>
      </w:r>
      <w:r w:rsidR="00E51A4C">
        <w:t>R&amp;I</w:t>
      </w:r>
      <w:r w:rsidRPr="00C33889">
        <w:t>. These industry-focused organisations receive significant funding each year from both industry (commodity-based levies) and the Australian Government (matching funding). In 2015–16, the RDCs co</w:t>
      </w:r>
      <w:r w:rsidR="00B942A2">
        <w:t>llectively received around $716 </w:t>
      </w:r>
      <w:r w:rsidRPr="00C33889">
        <w:t>million in le</w:t>
      </w:r>
      <w:r w:rsidR="00B942A2">
        <w:t>vies and matching funding</w:t>
      </w:r>
      <w:r w:rsidR="00335D84">
        <w:t>—</w:t>
      </w:r>
      <w:r w:rsidR="00B942A2">
        <w:t xml:space="preserve">$463 million </w:t>
      </w:r>
      <w:r w:rsidR="00335D84">
        <w:t xml:space="preserve">from industry </w:t>
      </w:r>
      <w:r w:rsidR="00B942A2">
        <w:t>and $253 </w:t>
      </w:r>
      <w:r w:rsidRPr="00C33889">
        <w:t xml:space="preserve">million </w:t>
      </w:r>
      <w:r w:rsidR="00335D84">
        <w:t>from the Australian Government</w:t>
      </w:r>
      <w:r w:rsidRPr="00C33889">
        <w:t>—which is invested in a portfolio of research and industry service activities for the benefit of their res</w:t>
      </w:r>
      <w:r w:rsidR="009B1823">
        <w:t>pective industry or industries.</w:t>
      </w:r>
    </w:p>
    <w:p w14:paraId="2F063774" w14:textId="57F384ED" w:rsidR="00C33889" w:rsidRPr="00C33889" w:rsidRDefault="00C33889" w:rsidP="00C33889">
      <w:pPr>
        <w:keepNext/>
        <w:keepLines/>
      </w:pPr>
      <w:r w:rsidRPr="00C33889">
        <w:t>The RDCs are ‘required’ to take into account both industry and nationally agreed government research priorities (including biosecurity) in their strategic planning processes and investment decisions. Acquitting the biosecurity research obligation has become somewhat of a ‘tick-the-box’ exercise for the RDCs, given the broad scope of the national</w:t>
      </w:r>
      <w:r w:rsidR="00346DCE">
        <w:t xml:space="preserve"> biosecurity </w:t>
      </w:r>
      <w:r w:rsidR="00E51A4C">
        <w:t xml:space="preserve">research </w:t>
      </w:r>
      <w:r w:rsidRPr="00C33889">
        <w:t>priorities. The extent to which the RDCs take into account the national animal and plant biosecurity RD&amp;E strategies is not clear, as this is not clearly reported.</w:t>
      </w:r>
    </w:p>
    <w:p w14:paraId="1C8A22AD" w14:textId="215ED4E5" w:rsidR="00C33889" w:rsidRPr="00C33889" w:rsidRDefault="00346DCE" w:rsidP="00C33889">
      <w:r>
        <w:t>This</w:t>
      </w:r>
      <w:r w:rsidRPr="00C33889">
        <w:t xml:space="preserve"> </w:t>
      </w:r>
      <w:r w:rsidR="00335D84">
        <w:t>r</w:t>
      </w:r>
      <w:r w:rsidR="00C33889" w:rsidRPr="00C33889">
        <w:t xml:space="preserve">eview </w:t>
      </w:r>
      <w:r>
        <w:t>examined</w:t>
      </w:r>
      <w:r w:rsidRPr="00C33889">
        <w:t xml:space="preserve"> </w:t>
      </w:r>
      <w:r w:rsidR="00C33889" w:rsidRPr="00C33889">
        <w:t xml:space="preserve">the RDCs’ investments in biosecurity </w:t>
      </w:r>
      <w:r w:rsidR="00C33889" w:rsidRPr="00C33889">
        <w:rPr>
          <w:lang w:eastAsia="ja-JP"/>
        </w:rPr>
        <w:t>R</w:t>
      </w:r>
      <w:r w:rsidR="001C18A7">
        <w:rPr>
          <w:lang w:eastAsia="ja-JP"/>
        </w:rPr>
        <w:t>&amp;I</w:t>
      </w:r>
      <w:r w:rsidR="00C33889" w:rsidRPr="00C33889">
        <w:t xml:space="preserve"> as publicly reported in their various corporate documents (including annual reports, annual operating plans and strategic plans), which vary considerably and, in some cases, are relatively small when compared with their overall annual </w:t>
      </w:r>
      <w:r w:rsidR="00C33889" w:rsidRPr="00C33889">
        <w:rPr>
          <w:lang w:eastAsia="ja-JP"/>
        </w:rPr>
        <w:t>RD&amp;E</w:t>
      </w:r>
      <w:r w:rsidR="00C33889" w:rsidRPr="00C33889">
        <w:t xml:space="preserve"> spend (</w:t>
      </w:r>
      <w:r w:rsidR="00C33889">
        <w:rPr>
          <w:highlight w:val="yellow"/>
        </w:rPr>
        <w:fldChar w:fldCharType="begin"/>
      </w:r>
      <w:r w:rsidR="00C33889">
        <w:instrText xml:space="preserve"> REF _Ref466972383 \h </w:instrText>
      </w:r>
      <w:r w:rsidR="00C33889">
        <w:rPr>
          <w:highlight w:val="yellow"/>
        </w:rPr>
      </w:r>
      <w:r w:rsidR="00C33889">
        <w:rPr>
          <w:highlight w:val="yellow"/>
        </w:rPr>
        <w:fldChar w:fldCharType="separate"/>
      </w:r>
      <w:r w:rsidR="009F6923" w:rsidRPr="00CD5E76">
        <w:t xml:space="preserve">Table </w:t>
      </w:r>
      <w:r w:rsidR="009F6923">
        <w:rPr>
          <w:noProof/>
        </w:rPr>
        <w:t>3</w:t>
      </w:r>
      <w:r w:rsidR="00C33889">
        <w:rPr>
          <w:highlight w:val="yellow"/>
        </w:rPr>
        <w:fldChar w:fldCharType="end"/>
      </w:r>
      <w:r w:rsidR="00C33889" w:rsidRPr="00C33889">
        <w:t xml:space="preserve">). Based on a three-year average between 2013 and 2016, the RDCs’ collective annual investment on biosecurity </w:t>
      </w:r>
      <w:r w:rsidR="00E51A4C">
        <w:rPr>
          <w:lang w:eastAsia="ja-JP"/>
        </w:rPr>
        <w:t>R&amp;I</w:t>
      </w:r>
      <w:r w:rsidR="00C33889" w:rsidRPr="00C33889">
        <w:t xml:space="preserve"> is estimated at around $62</w:t>
      </w:r>
      <w:r w:rsidR="00B942A2">
        <w:t> </w:t>
      </w:r>
      <w:r w:rsidR="00C33889" w:rsidRPr="00C33889">
        <w:t>million, which is 11.5</w:t>
      </w:r>
      <w:r w:rsidR="00A8440A">
        <w:t> </w:t>
      </w:r>
      <w:r w:rsidR="00C33889" w:rsidRPr="00C33889">
        <w:t>per</w:t>
      </w:r>
      <w:r w:rsidR="00A8440A">
        <w:t> </w:t>
      </w:r>
      <w:r w:rsidR="00C33889" w:rsidRPr="00C33889">
        <w:t xml:space="preserve">cent of an average total annual </w:t>
      </w:r>
      <w:r w:rsidR="00C33889" w:rsidRPr="00C33889">
        <w:rPr>
          <w:lang w:eastAsia="ja-JP"/>
        </w:rPr>
        <w:t>RD&amp;E</w:t>
      </w:r>
      <w:r w:rsidR="00B942A2">
        <w:t xml:space="preserve"> spend of $541 </w:t>
      </w:r>
      <w:r w:rsidR="00C33889" w:rsidRPr="00C33889">
        <w:t>million. However, this proportional figure of total RDC expenditure does not capture the highly variable investment levels across the RDCs, which ranges from 0.4</w:t>
      </w:r>
      <w:r w:rsidR="00A8440A">
        <w:t> </w:t>
      </w:r>
      <w:r w:rsidR="00C33889" w:rsidRPr="00C33889">
        <w:t>per</w:t>
      </w:r>
      <w:r w:rsidR="00A8440A">
        <w:t> cent to 27.7 per </w:t>
      </w:r>
      <w:r w:rsidR="00C33889" w:rsidRPr="00C33889">
        <w:t>cent by individual RDCs.</w:t>
      </w:r>
    </w:p>
    <w:p w14:paraId="12864084" w14:textId="670BE6E1" w:rsidR="00C33889" w:rsidRDefault="00C33889" w:rsidP="00C33889">
      <w:r w:rsidRPr="00C33889">
        <w:t xml:space="preserve">Stakeholders identified various limitations for biosecurity </w:t>
      </w:r>
      <w:r w:rsidR="000A0CFB">
        <w:rPr>
          <w:lang w:eastAsia="ja-JP"/>
        </w:rPr>
        <w:t>R&amp;I</w:t>
      </w:r>
      <w:r w:rsidRPr="00C33889">
        <w:t xml:space="preserve"> funded through the RDCs. Predominantly, that research generally addresses priorities with more immediate benefits for the producer (such as increased yield, improved nutrition, reduced production costs and management of established pests, weeds and diseases) and with application to a single industry or sector. For example, in 2015–16 the Grains RDC reported expenditure of around $42</w:t>
      </w:r>
      <w:r w:rsidR="00B942A2">
        <w:t> </w:t>
      </w:r>
      <w:r w:rsidRPr="00C33889">
        <w:t>million against the national biosecurity research priorit</w:t>
      </w:r>
      <w:r w:rsidR="004027D8">
        <w:t>y</w:t>
      </w:r>
      <w:r w:rsidRPr="00C33889">
        <w:t>, mostly under its ‘protecting your crop’ research theme (</w:t>
      </w:r>
      <w:hyperlink w:anchor="GRDC_2016" w:history="1">
        <w:r w:rsidRPr="00211130">
          <w:rPr>
            <w:rStyle w:val="Hyperlink"/>
          </w:rPr>
          <w:t>GRDC 2016</w:t>
        </w:r>
      </w:hyperlink>
      <w:r w:rsidRPr="00C33889">
        <w:t>). Most research activi</w:t>
      </w:r>
      <w:r w:rsidR="008869A4">
        <w:t>ties under this theme are focus</w:t>
      </w:r>
      <w:r w:rsidRPr="00C33889">
        <w:t>ed on endemic disease management and herbicide/pesticide resistance. In 2015</w:t>
      </w:r>
      <w:r w:rsidR="00BD1381">
        <w:t>–</w:t>
      </w:r>
      <w:r w:rsidRPr="00C33889">
        <w:t>16, Australian Wool Innovation Limited re</w:t>
      </w:r>
      <w:r w:rsidRPr="00C33889">
        <w:lastRenderedPageBreak/>
        <w:t>po</w:t>
      </w:r>
      <w:r w:rsidR="00B942A2">
        <w:t>rted expenditure of around $2.6 </w:t>
      </w:r>
      <w:r w:rsidRPr="00C33889">
        <w:t xml:space="preserve">million against the national </w:t>
      </w:r>
      <w:r w:rsidR="008A198D">
        <w:t xml:space="preserve">biosecurity research </w:t>
      </w:r>
      <w:r w:rsidRPr="00C33889">
        <w:t>priorit</w:t>
      </w:r>
      <w:r w:rsidR="004027D8">
        <w:t>y</w:t>
      </w:r>
      <w:r w:rsidRPr="00C33889">
        <w:t xml:space="preserve"> </w:t>
      </w:r>
      <w:r w:rsidRPr="00C171D3">
        <w:t>(</w:t>
      </w:r>
      <w:hyperlink w:anchor="AWI_2016" w:history="1">
        <w:r w:rsidRPr="00C171D3">
          <w:rPr>
            <w:rStyle w:val="Hyperlink"/>
          </w:rPr>
          <w:t>AWI 2016</w:t>
        </w:r>
      </w:hyperlink>
      <w:r w:rsidRPr="00C171D3">
        <w:t>).</w:t>
      </w:r>
      <w:r w:rsidR="00B942A2">
        <w:t xml:space="preserve"> Of this around $1.8 </w:t>
      </w:r>
      <w:r w:rsidRPr="00C33889">
        <w:t xml:space="preserve">million was spent on various wild dog management activities, and around $400,000 </w:t>
      </w:r>
      <w:r w:rsidR="00B050E1">
        <w:t xml:space="preserve">was </w:t>
      </w:r>
      <w:r w:rsidRPr="00C33889">
        <w:t>provided to the Invasive Animals CRC.</w:t>
      </w:r>
    </w:p>
    <w:p w14:paraId="4CFD8637" w14:textId="2C195C84" w:rsidR="00141457" w:rsidRDefault="00141457" w:rsidP="00C33889">
      <w:pPr>
        <w:sectPr w:rsidR="00141457" w:rsidSect="00AF2185">
          <w:pgSz w:w="11906" w:h="16838"/>
          <w:pgMar w:top="1418" w:right="1418" w:bottom="1418" w:left="1418" w:header="567" w:footer="283" w:gutter="0"/>
          <w:cols w:space="708"/>
          <w:docGrid w:linePitch="360"/>
        </w:sectPr>
      </w:pPr>
      <w:r w:rsidRPr="00310D1E">
        <w:t>Nonetheless, the estimated</w:t>
      </w:r>
      <w:r>
        <w:t xml:space="preserve"> annual average investment ($62 </w:t>
      </w:r>
      <w:r w:rsidRPr="00310D1E">
        <w:t xml:space="preserve">million) made by the RDCs on biosecurity-related </w:t>
      </w:r>
      <w:r>
        <w:t>R&amp;I</w:t>
      </w:r>
      <w:r w:rsidRPr="00310D1E">
        <w:t xml:space="preserve"> is a sizeable amount for which the Australian Government, as the dominant investor in the RDC system, should be seeking a far better return for the national biosecurity system.</w:t>
      </w:r>
    </w:p>
    <w:p w14:paraId="0B4DA987" w14:textId="24E41781" w:rsidR="00217F53" w:rsidRPr="00CD5E76" w:rsidRDefault="005D59B0" w:rsidP="001717D8">
      <w:pPr>
        <w:pStyle w:val="Caption"/>
        <w:ind w:left="-426"/>
        <w:rPr>
          <w:szCs w:val="22"/>
        </w:rPr>
      </w:pPr>
      <w:bookmarkStart w:id="110" w:name="_Ref466972383"/>
      <w:bookmarkStart w:id="111" w:name="_Toc468176727"/>
      <w:r w:rsidRPr="00CD5E76">
        <w:rPr>
          <w:szCs w:val="22"/>
        </w:rPr>
        <w:lastRenderedPageBreak/>
        <w:t>T</w:t>
      </w:r>
      <w:r w:rsidR="00217F53" w:rsidRPr="00CD5E76">
        <w:rPr>
          <w:szCs w:val="22"/>
        </w:rPr>
        <w:t xml:space="preserve">able </w:t>
      </w:r>
      <w:r w:rsidR="00D56373" w:rsidRPr="00CD5E76">
        <w:rPr>
          <w:szCs w:val="22"/>
        </w:rPr>
        <w:fldChar w:fldCharType="begin"/>
      </w:r>
      <w:r w:rsidR="00D56373" w:rsidRPr="00CD5E76">
        <w:rPr>
          <w:szCs w:val="22"/>
        </w:rPr>
        <w:instrText xml:space="preserve"> SEQ Table \* ARABIC </w:instrText>
      </w:r>
      <w:r w:rsidR="00D56373" w:rsidRPr="00CD5E76">
        <w:rPr>
          <w:szCs w:val="22"/>
        </w:rPr>
        <w:fldChar w:fldCharType="separate"/>
      </w:r>
      <w:r w:rsidR="009F6923">
        <w:rPr>
          <w:noProof/>
          <w:szCs w:val="22"/>
        </w:rPr>
        <w:t>3</w:t>
      </w:r>
      <w:r w:rsidR="00D56373" w:rsidRPr="00CD5E76">
        <w:rPr>
          <w:noProof/>
          <w:szCs w:val="22"/>
        </w:rPr>
        <w:fldChar w:fldCharType="end"/>
      </w:r>
      <w:bookmarkEnd w:id="110"/>
      <w:r w:rsidR="00217F53" w:rsidRPr="00CD5E76">
        <w:rPr>
          <w:szCs w:val="22"/>
        </w:rPr>
        <w:t xml:space="preserve"> Investments made by RDCs on biosecurity R&amp;I</w:t>
      </w:r>
      <w:bookmarkEnd w:id="111"/>
    </w:p>
    <w:tbl>
      <w:tblPr>
        <w:tblStyle w:val="TableGrid8"/>
        <w:tblW w:w="0" w:type="auto"/>
        <w:tblInd w:w="-4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9"/>
        <w:gridCol w:w="1278"/>
        <w:gridCol w:w="1370"/>
        <w:gridCol w:w="1273"/>
        <w:gridCol w:w="1489"/>
        <w:gridCol w:w="1370"/>
        <w:gridCol w:w="1273"/>
        <w:gridCol w:w="1489"/>
        <w:gridCol w:w="1370"/>
        <w:gridCol w:w="1273"/>
      </w:tblGrid>
      <w:tr w:rsidR="00E21B4F" w:rsidRPr="00E21B4F" w14:paraId="41D1C2DB" w14:textId="77777777" w:rsidTr="00C72264">
        <w:trPr>
          <w:tblHeader/>
        </w:trPr>
        <w:tc>
          <w:tcPr>
            <w:tcW w:w="2269" w:type="dxa"/>
          </w:tcPr>
          <w:p w14:paraId="6383B3D7" w14:textId="77777777" w:rsidR="00E21B4F" w:rsidRPr="00E21B4F" w:rsidRDefault="00E21B4F" w:rsidP="00E21B4F">
            <w:pPr>
              <w:keepNext/>
              <w:spacing w:after="60" w:line="240" w:lineRule="auto"/>
              <w:rPr>
                <w:b/>
                <w:sz w:val="18"/>
              </w:rPr>
            </w:pPr>
            <w:r w:rsidRPr="00E21B4F">
              <w:rPr>
                <w:b/>
                <w:sz w:val="18"/>
              </w:rPr>
              <w:t>Organisation</w:t>
            </w:r>
          </w:p>
        </w:tc>
        <w:tc>
          <w:tcPr>
            <w:tcW w:w="1278" w:type="dxa"/>
          </w:tcPr>
          <w:p w14:paraId="4E9732CB" w14:textId="77777777" w:rsidR="00E21B4F" w:rsidRPr="00E21B4F" w:rsidRDefault="00E21B4F" w:rsidP="00E21B4F">
            <w:pPr>
              <w:keepNext/>
              <w:spacing w:after="60" w:line="240" w:lineRule="auto"/>
              <w:jc w:val="center"/>
              <w:rPr>
                <w:b/>
                <w:sz w:val="18"/>
              </w:rPr>
            </w:pPr>
            <w:r w:rsidRPr="00E21B4F">
              <w:rPr>
                <w:b/>
                <w:color w:val="FFFFFF" w:themeColor="background1"/>
                <w:sz w:val="18"/>
              </w:rPr>
              <w:t>.</w:t>
            </w:r>
          </w:p>
        </w:tc>
        <w:tc>
          <w:tcPr>
            <w:tcW w:w="1370" w:type="dxa"/>
          </w:tcPr>
          <w:p w14:paraId="198480F9" w14:textId="29FB0BD5" w:rsidR="00E21B4F" w:rsidRPr="00E21B4F" w:rsidRDefault="00F06EF3" w:rsidP="00E21B4F">
            <w:pPr>
              <w:keepNext/>
              <w:spacing w:after="60" w:line="240" w:lineRule="auto"/>
              <w:jc w:val="center"/>
              <w:rPr>
                <w:b/>
                <w:sz w:val="18"/>
              </w:rPr>
            </w:pPr>
            <w:r>
              <w:rPr>
                <w:b/>
                <w:sz w:val="18"/>
              </w:rPr>
              <w:t>2013–</w:t>
            </w:r>
            <w:r w:rsidR="00E21B4F" w:rsidRPr="00E21B4F">
              <w:rPr>
                <w:b/>
                <w:sz w:val="18"/>
              </w:rPr>
              <w:t>14</w:t>
            </w:r>
          </w:p>
        </w:tc>
        <w:tc>
          <w:tcPr>
            <w:tcW w:w="1273" w:type="dxa"/>
          </w:tcPr>
          <w:p w14:paraId="0B54812A" w14:textId="77777777" w:rsidR="00E21B4F" w:rsidRPr="00E21B4F" w:rsidRDefault="00E21B4F" w:rsidP="00E21B4F">
            <w:pPr>
              <w:keepNext/>
              <w:spacing w:after="60" w:line="240" w:lineRule="auto"/>
              <w:jc w:val="center"/>
              <w:rPr>
                <w:b/>
                <w:color w:val="FFFFFF" w:themeColor="background1"/>
                <w:sz w:val="18"/>
              </w:rPr>
            </w:pPr>
            <w:r w:rsidRPr="00E21B4F">
              <w:rPr>
                <w:b/>
                <w:color w:val="FFFFFF" w:themeColor="background1"/>
                <w:sz w:val="18"/>
              </w:rPr>
              <w:t>..</w:t>
            </w:r>
          </w:p>
        </w:tc>
        <w:tc>
          <w:tcPr>
            <w:tcW w:w="1489" w:type="dxa"/>
          </w:tcPr>
          <w:p w14:paraId="43EBDE48" w14:textId="77777777" w:rsidR="00E21B4F" w:rsidRPr="00E21B4F" w:rsidRDefault="00E21B4F" w:rsidP="00E21B4F">
            <w:pPr>
              <w:keepNext/>
              <w:spacing w:after="60" w:line="240" w:lineRule="auto"/>
              <w:jc w:val="center"/>
              <w:rPr>
                <w:b/>
                <w:color w:val="FFFFFF" w:themeColor="background1"/>
                <w:sz w:val="18"/>
              </w:rPr>
            </w:pPr>
            <w:r w:rsidRPr="00E21B4F">
              <w:rPr>
                <w:b/>
                <w:color w:val="FFFFFF" w:themeColor="background1"/>
                <w:sz w:val="18"/>
              </w:rPr>
              <w:t>..</w:t>
            </w:r>
          </w:p>
        </w:tc>
        <w:tc>
          <w:tcPr>
            <w:tcW w:w="1370" w:type="dxa"/>
          </w:tcPr>
          <w:p w14:paraId="4ABB4892" w14:textId="1F088A17" w:rsidR="00E21B4F" w:rsidRPr="00E21B4F" w:rsidRDefault="00E21B4F" w:rsidP="00F06EF3">
            <w:pPr>
              <w:keepNext/>
              <w:spacing w:after="60" w:line="240" w:lineRule="auto"/>
              <w:jc w:val="center"/>
              <w:rPr>
                <w:b/>
                <w:sz w:val="18"/>
              </w:rPr>
            </w:pPr>
            <w:r w:rsidRPr="00E21B4F">
              <w:rPr>
                <w:b/>
                <w:sz w:val="18"/>
              </w:rPr>
              <w:t>2014</w:t>
            </w:r>
            <w:r w:rsidR="00F06EF3">
              <w:rPr>
                <w:b/>
                <w:sz w:val="18"/>
              </w:rPr>
              <w:t>–</w:t>
            </w:r>
            <w:r w:rsidRPr="00E21B4F">
              <w:rPr>
                <w:b/>
                <w:sz w:val="18"/>
              </w:rPr>
              <w:t>15</w:t>
            </w:r>
          </w:p>
        </w:tc>
        <w:tc>
          <w:tcPr>
            <w:tcW w:w="1273" w:type="dxa"/>
          </w:tcPr>
          <w:p w14:paraId="0DDBEFC5" w14:textId="77777777" w:rsidR="00E21B4F" w:rsidRPr="00E21B4F" w:rsidRDefault="00E21B4F" w:rsidP="00E21B4F">
            <w:pPr>
              <w:keepNext/>
              <w:spacing w:after="60" w:line="240" w:lineRule="auto"/>
              <w:jc w:val="center"/>
              <w:rPr>
                <w:b/>
                <w:color w:val="FFFFFF" w:themeColor="background1"/>
                <w:sz w:val="18"/>
              </w:rPr>
            </w:pPr>
            <w:r w:rsidRPr="00E21B4F">
              <w:rPr>
                <w:b/>
                <w:color w:val="FFFFFF" w:themeColor="background1"/>
                <w:sz w:val="18"/>
              </w:rPr>
              <w:t>..</w:t>
            </w:r>
          </w:p>
        </w:tc>
        <w:tc>
          <w:tcPr>
            <w:tcW w:w="1489" w:type="dxa"/>
          </w:tcPr>
          <w:p w14:paraId="498A0D2A" w14:textId="77777777" w:rsidR="00E21B4F" w:rsidRPr="00E21B4F" w:rsidRDefault="00E21B4F" w:rsidP="00E21B4F">
            <w:pPr>
              <w:keepNext/>
              <w:spacing w:after="60" w:line="240" w:lineRule="auto"/>
              <w:jc w:val="center"/>
              <w:rPr>
                <w:b/>
                <w:color w:val="FFFFFF" w:themeColor="background1"/>
                <w:sz w:val="18"/>
              </w:rPr>
            </w:pPr>
            <w:r w:rsidRPr="00E21B4F">
              <w:rPr>
                <w:b/>
                <w:color w:val="FFFFFF" w:themeColor="background1"/>
                <w:sz w:val="18"/>
              </w:rPr>
              <w:t>..</w:t>
            </w:r>
          </w:p>
        </w:tc>
        <w:tc>
          <w:tcPr>
            <w:tcW w:w="1370" w:type="dxa"/>
          </w:tcPr>
          <w:p w14:paraId="5027F1BA" w14:textId="1DE764E8" w:rsidR="00E21B4F" w:rsidRPr="00E21B4F" w:rsidRDefault="00F06EF3" w:rsidP="00E21B4F">
            <w:pPr>
              <w:keepNext/>
              <w:spacing w:after="60" w:line="240" w:lineRule="auto"/>
              <w:jc w:val="center"/>
              <w:rPr>
                <w:b/>
                <w:sz w:val="18"/>
              </w:rPr>
            </w:pPr>
            <w:r>
              <w:rPr>
                <w:b/>
                <w:sz w:val="18"/>
              </w:rPr>
              <w:t>2015–</w:t>
            </w:r>
            <w:r w:rsidR="00E21B4F" w:rsidRPr="00E21B4F">
              <w:rPr>
                <w:b/>
                <w:sz w:val="18"/>
              </w:rPr>
              <w:t>16</w:t>
            </w:r>
          </w:p>
        </w:tc>
        <w:tc>
          <w:tcPr>
            <w:tcW w:w="1273" w:type="dxa"/>
          </w:tcPr>
          <w:p w14:paraId="277154DF" w14:textId="77777777" w:rsidR="00E21B4F" w:rsidRPr="00E21B4F" w:rsidRDefault="00E21B4F" w:rsidP="00E21B4F">
            <w:pPr>
              <w:keepNext/>
              <w:spacing w:after="60" w:line="240" w:lineRule="auto"/>
              <w:jc w:val="center"/>
              <w:rPr>
                <w:b/>
                <w:sz w:val="18"/>
              </w:rPr>
            </w:pPr>
            <w:r w:rsidRPr="00E21B4F">
              <w:rPr>
                <w:b/>
                <w:color w:val="FFFFFF" w:themeColor="background1"/>
                <w:sz w:val="18"/>
              </w:rPr>
              <w:t>.</w:t>
            </w:r>
          </w:p>
        </w:tc>
      </w:tr>
      <w:tr w:rsidR="00E21B4F" w:rsidRPr="00E21B4F" w14:paraId="7683BF4A" w14:textId="77777777" w:rsidTr="00C72264">
        <w:trPr>
          <w:tblHeader/>
        </w:trPr>
        <w:tc>
          <w:tcPr>
            <w:tcW w:w="2269" w:type="dxa"/>
          </w:tcPr>
          <w:p w14:paraId="272D2F37" w14:textId="379875C0" w:rsidR="00E21B4F" w:rsidRPr="00E21B4F" w:rsidRDefault="008E0AAB" w:rsidP="00E21B4F">
            <w:pPr>
              <w:keepNext/>
              <w:spacing w:after="60" w:line="240" w:lineRule="auto"/>
              <w:rPr>
                <w:b/>
                <w:sz w:val="18"/>
              </w:rPr>
            </w:pPr>
            <w:r>
              <w:rPr>
                <w:b/>
                <w:color w:val="FFFFFF" w:themeColor="background1"/>
                <w:sz w:val="18"/>
              </w:rPr>
              <w:t>.</w:t>
            </w:r>
          </w:p>
        </w:tc>
        <w:tc>
          <w:tcPr>
            <w:tcW w:w="1278" w:type="dxa"/>
          </w:tcPr>
          <w:p w14:paraId="0B791ACA" w14:textId="2BF5A9DD" w:rsidR="00E21B4F" w:rsidRPr="00E21B4F" w:rsidRDefault="00E21B4F" w:rsidP="000A0CFB">
            <w:pPr>
              <w:keepNext/>
              <w:spacing w:after="60" w:line="240" w:lineRule="auto"/>
              <w:jc w:val="right"/>
              <w:rPr>
                <w:b/>
                <w:sz w:val="18"/>
              </w:rPr>
            </w:pPr>
            <w:r w:rsidRPr="00E21B4F">
              <w:rPr>
                <w:b/>
                <w:sz w:val="18"/>
              </w:rPr>
              <w:t>Total R</w:t>
            </w:r>
            <w:r w:rsidR="000A0CFB">
              <w:rPr>
                <w:b/>
                <w:sz w:val="18"/>
              </w:rPr>
              <w:t>D&amp;E</w:t>
            </w:r>
            <w:r w:rsidRPr="00E21B4F">
              <w:rPr>
                <w:b/>
                <w:sz w:val="18"/>
              </w:rPr>
              <w:t xml:space="preserve"> spend </w:t>
            </w:r>
            <w:r w:rsidRPr="00E21B4F">
              <w:rPr>
                <w:b/>
                <w:sz w:val="18"/>
              </w:rPr>
              <w:br/>
              <w:t>($)</w:t>
            </w:r>
          </w:p>
        </w:tc>
        <w:tc>
          <w:tcPr>
            <w:tcW w:w="1370" w:type="dxa"/>
          </w:tcPr>
          <w:p w14:paraId="400567A3" w14:textId="4AB29A4D" w:rsidR="00E21B4F" w:rsidRPr="00E21B4F" w:rsidRDefault="00E21B4F" w:rsidP="00E21B4F">
            <w:pPr>
              <w:keepNext/>
              <w:spacing w:after="60" w:line="240" w:lineRule="auto"/>
              <w:jc w:val="right"/>
              <w:rPr>
                <w:b/>
                <w:sz w:val="18"/>
              </w:rPr>
            </w:pPr>
            <w:r w:rsidRPr="00E21B4F">
              <w:rPr>
                <w:b/>
                <w:sz w:val="18"/>
              </w:rPr>
              <w:t xml:space="preserve">Estimated biosecurity </w:t>
            </w:r>
            <w:r w:rsidRPr="00E21B4F">
              <w:rPr>
                <w:b/>
                <w:sz w:val="18"/>
              </w:rPr>
              <w:br/>
            </w:r>
            <w:r w:rsidR="000A0CFB">
              <w:rPr>
                <w:b/>
                <w:sz w:val="18"/>
              </w:rPr>
              <w:t xml:space="preserve">R&amp;I </w:t>
            </w:r>
            <w:r w:rsidRPr="00E21B4F">
              <w:rPr>
                <w:b/>
                <w:sz w:val="18"/>
              </w:rPr>
              <w:t>spend ($)</w:t>
            </w:r>
          </w:p>
        </w:tc>
        <w:tc>
          <w:tcPr>
            <w:tcW w:w="1273" w:type="dxa"/>
          </w:tcPr>
          <w:p w14:paraId="2A65B128" w14:textId="77777777" w:rsidR="00E21B4F" w:rsidRPr="00E21B4F" w:rsidRDefault="00E21B4F" w:rsidP="00E21B4F">
            <w:pPr>
              <w:keepNext/>
              <w:spacing w:after="60" w:line="240" w:lineRule="auto"/>
              <w:jc w:val="right"/>
              <w:rPr>
                <w:b/>
                <w:sz w:val="18"/>
              </w:rPr>
            </w:pPr>
            <w:r w:rsidRPr="00E21B4F">
              <w:rPr>
                <w:b/>
                <w:sz w:val="18"/>
              </w:rPr>
              <w:t xml:space="preserve">Biosecurity spend </w:t>
            </w:r>
            <w:r w:rsidRPr="00E21B4F">
              <w:rPr>
                <w:b/>
                <w:sz w:val="18"/>
              </w:rPr>
              <w:br/>
              <w:t>(% of total)</w:t>
            </w:r>
          </w:p>
        </w:tc>
        <w:tc>
          <w:tcPr>
            <w:tcW w:w="1489" w:type="dxa"/>
          </w:tcPr>
          <w:p w14:paraId="1A4A1650" w14:textId="3F82DF57" w:rsidR="00E21B4F" w:rsidRPr="00E21B4F" w:rsidRDefault="00E21B4F" w:rsidP="000A0CFB">
            <w:pPr>
              <w:keepNext/>
              <w:spacing w:after="60" w:line="240" w:lineRule="auto"/>
              <w:jc w:val="right"/>
              <w:rPr>
                <w:b/>
                <w:sz w:val="18"/>
              </w:rPr>
            </w:pPr>
            <w:r w:rsidRPr="00E21B4F">
              <w:rPr>
                <w:b/>
                <w:sz w:val="18"/>
              </w:rPr>
              <w:t>Total R</w:t>
            </w:r>
            <w:r w:rsidR="000A0CFB">
              <w:rPr>
                <w:b/>
                <w:sz w:val="18"/>
              </w:rPr>
              <w:t>D&amp;E</w:t>
            </w:r>
            <w:r w:rsidRPr="00E21B4F">
              <w:rPr>
                <w:b/>
                <w:sz w:val="18"/>
              </w:rPr>
              <w:t xml:space="preserve"> spend </w:t>
            </w:r>
            <w:r w:rsidRPr="00E21B4F">
              <w:rPr>
                <w:b/>
                <w:sz w:val="18"/>
              </w:rPr>
              <w:br/>
              <w:t>($)</w:t>
            </w:r>
          </w:p>
        </w:tc>
        <w:tc>
          <w:tcPr>
            <w:tcW w:w="1370" w:type="dxa"/>
          </w:tcPr>
          <w:p w14:paraId="2746B92E" w14:textId="3357B348" w:rsidR="00E21B4F" w:rsidRPr="00E21B4F" w:rsidRDefault="00E21B4F" w:rsidP="00E21B4F">
            <w:pPr>
              <w:keepNext/>
              <w:spacing w:after="60" w:line="240" w:lineRule="auto"/>
              <w:jc w:val="right"/>
              <w:rPr>
                <w:b/>
                <w:sz w:val="18"/>
              </w:rPr>
            </w:pPr>
            <w:r w:rsidRPr="00E21B4F">
              <w:rPr>
                <w:b/>
                <w:sz w:val="18"/>
              </w:rPr>
              <w:t xml:space="preserve">Estimated biosecurity </w:t>
            </w:r>
            <w:r w:rsidRPr="00E21B4F">
              <w:rPr>
                <w:b/>
                <w:sz w:val="18"/>
              </w:rPr>
              <w:br/>
            </w:r>
            <w:r w:rsidR="000A0CFB">
              <w:rPr>
                <w:b/>
                <w:sz w:val="18"/>
              </w:rPr>
              <w:t xml:space="preserve">R&amp;I </w:t>
            </w:r>
            <w:r w:rsidRPr="00E21B4F">
              <w:rPr>
                <w:b/>
                <w:sz w:val="18"/>
              </w:rPr>
              <w:t>spend ($)</w:t>
            </w:r>
          </w:p>
        </w:tc>
        <w:tc>
          <w:tcPr>
            <w:tcW w:w="1273" w:type="dxa"/>
          </w:tcPr>
          <w:p w14:paraId="5F3AE370" w14:textId="77777777" w:rsidR="00E21B4F" w:rsidRPr="00E21B4F" w:rsidRDefault="00E21B4F" w:rsidP="00E21B4F">
            <w:pPr>
              <w:keepNext/>
              <w:spacing w:after="60" w:line="240" w:lineRule="auto"/>
              <w:jc w:val="right"/>
              <w:rPr>
                <w:b/>
                <w:sz w:val="18"/>
              </w:rPr>
            </w:pPr>
            <w:r w:rsidRPr="00E21B4F">
              <w:rPr>
                <w:b/>
                <w:sz w:val="18"/>
              </w:rPr>
              <w:t>Biosecurity spend</w:t>
            </w:r>
            <w:r w:rsidRPr="00E21B4F">
              <w:rPr>
                <w:b/>
                <w:sz w:val="18"/>
              </w:rPr>
              <w:br/>
              <w:t xml:space="preserve"> (% of total)</w:t>
            </w:r>
          </w:p>
        </w:tc>
        <w:tc>
          <w:tcPr>
            <w:tcW w:w="1489" w:type="dxa"/>
          </w:tcPr>
          <w:p w14:paraId="713435B2" w14:textId="0103F99C" w:rsidR="00E21B4F" w:rsidRPr="00E21B4F" w:rsidRDefault="00E21B4F" w:rsidP="000A0CFB">
            <w:pPr>
              <w:keepNext/>
              <w:spacing w:after="60" w:line="240" w:lineRule="auto"/>
              <w:jc w:val="right"/>
              <w:rPr>
                <w:b/>
                <w:sz w:val="18"/>
              </w:rPr>
            </w:pPr>
            <w:r w:rsidRPr="00E21B4F">
              <w:rPr>
                <w:b/>
                <w:sz w:val="18"/>
              </w:rPr>
              <w:t>Total R</w:t>
            </w:r>
            <w:r w:rsidR="000A0CFB">
              <w:rPr>
                <w:b/>
                <w:sz w:val="18"/>
              </w:rPr>
              <w:t>D&amp;E</w:t>
            </w:r>
            <w:r w:rsidRPr="00E21B4F">
              <w:rPr>
                <w:b/>
                <w:sz w:val="18"/>
              </w:rPr>
              <w:t xml:space="preserve"> spend </w:t>
            </w:r>
            <w:r w:rsidRPr="00E21B4F">
              <w:rPr>
                <w:b/>
                <w:sz w:val="18"/>
              </w:rPr>
              <w:br/>
              <w:t>($)</w:t>
            </w:r>
          </w:p>
        </w:tc>
        <w:tc>
          <w:tcPr>
            <w:tcW w:w="1370" w:type="dxa"/>
          </w:tcPr>
          <w:p w14:paraId="7AFCF116" w14:textId="511CAF0A" w:rsidR="00E21B4F" w:rsidRPr="00E21B4F" w:rsidRDefault="00E21B4F" w:rsidP="00E21B4F">
            <w:pPr>
              <w:keepNext/>
              <w:spacing w:after="60" w:line="240" w:lineRule="auto"/>
              <w:jc w:val="right"/>
              <w:rPr>
                <w:b/>
                <w:sz w:val="18"/>
              </w:rPr>
            </w:pPr>
            <w:r w:rsidRPr="00E21B4F">
              <w:rPr>
                <w:b/>
                <w:sz w:val="18"/>
              </w:rPr>
              <w:t xml:space="preserve">Estimated biosecurity </w:t>
            </w:r>
            <w:r w:rsidR="000A0CFB">
              <w:rPr>
                <w:b/>
                <w:sz w:val="18"/>
              </w:rPr>
              <w:t xml:space="preserve">R&amp;I </w:t>
            </w:r>
            <w:r w:rsidRPr="00E21B4F">
              <w:rPr>
                <w:b/>
                <w:sz w:val="18"/>
              </w:rPr>
              <w:t>spend ($)</w:t>
            </w:r>
          </w:p>
        </w:tc>
        <w:tc>
          <w:tcPr>
            <w:tcW w:w="1273" w:type="dxa"/>
          </w:tcPr>
          <w:p w14:paraId="54B9C9E8" w14:textId="77777777" w:rsidR="00E21B4F" w:rsidRPr="00E21B4F" w:rsidRDefault="00E21B4F" w:rsidP="00E21B4F">
            <w:pPr>
              <w:keepNext/>
              <w:spacing w:after="60" w:line="240" w:lineRule="auto"/>
              <w:jc w:val="right"/>
              <w:rPr>
                <w:b/>
                <w:sz w:val="18"/>
              </w:rPr>
            </w:pPr>
            <w:r w:rsidRPr="00E21B4F">
              <w:rPr>
                <w:b/>
                <w:sz w:val="18"/>
              </w:rPr>
              <w:t xml:space="preserve">Biosecurity spend </w:t>
            </w:r>
            <w:r w:rsidRPr="00E21B4F">
              <w:rPr>
                <w:b/>
                <w:sz w:val="18"/>
              </w:rPr>
              <w:br/>
              <w:t>(% of total)</w:t>
            </w:r>
          </w:p>
        </w:tc>
      </w:tr>
      <w:tr w:rsidR="00E21B4F" w:rsidRPr="00E21B4F" w14:paraId="24B66C7B" w14:textId="77777777" w:rsidTr="00C72264">
        <w:tc>
          <w:tcPr>
            <w:tcW w:w="2269" w:type="dxa"/>
          </w:tcPr>
          <w:p w14:paraId="374E7D4F" w14:textId="77777777" w:rsidR="00E21B4F" w:rsidRPr="00E21B4F" w:rsidRDefault="00E21B4F" w:rsidP="00E21B4F">
            <w:pPr>
              <w:spacing w:after="60" w:line="240" w:lineRule="auto"/>
              <w:rPr>
                <w:sz w:val="18"/>
              </w:rPr>
            </w:pPr>
            <w:r w:rsidRPr="00E21B4F">
              <w:rPr>
                <w:sz w:val="18"/>
              </w:rPr>
              <w:t>Australian Livestock Export Corporation Ltd*</w:t>
            </w:r>
          </w:p>
        </w:tc>
        <w:tc>
          <w:tcPr>
            <w:tcW w:w="1278" w:type="dxa"/>
          </w:tcPr>
          <w:p w14:paraId="592A0A40" w14:textId="77777777" w:rsidR="00E21B4F" w:rsidRPr="00E21B4F" w:rsidRDefault="00E21B4F" w:rsidP="00E21B4F">
            <w:pPr>
              <w:spacing w:after="60" w:line="240" w:lineRule="auto"/>
              <w:jc w:val="right"/>
              <w:rPr>
                <w:sz w:val="18"/>
              </w:rPr>
            </w:pPr>
            <w:r w:rsidRPr="00E21B4F">
              <w:rPr>
                <w:sz w:val="18"/>
              </w:rPr>
              <w:t>$1,440,000</w:t>
            </w:r>
          </w:p>
        </w:tc>
        <w:tc>
          <w:tcPr>
            <w:tcW w:w="1370" w:type="dxa"/>
          </w:tcPr>
          <w:p w14:paraId="3CD82F30" w14:textId="77777777" w:rsidR="00E21B4F" w:rsidRPr="00E21B4F" w:rsidRDefault="00E21B4F" w:rsidP="00E21B4F">
            <w:pPr>
              <w:spacing w:after="60" w:line="240" w:lineRule="auto"/>
              <w:jc w:val="right"/>
              <w:rPr>
                <w:sz w:val="18"/>
              </w:rPr>
            </w:pPr>
            <w:r w:rsidRPr="00E21B4F">
              <w:rPr>
                <w:sz w:val="18"/>
              </w:rPr>
              <w:t>$0</w:t>
            </w:r>
          </w:p>
        </w:tc>
        <w:tc>
          <w:tcPr>
            <w:tcW w:w="1273" w:type="dxa"/>
          </w:tcPr>
          <w:p w14:paraId="4C971A88" w14:textId="77777777" w:rsidR="00E21B4F" w:rsidRPr="00E21B4F" w:rsidRDefault="00E21B4F" w:rsidP="00E21B4F">
            <w:pPr>
              <w:spacing w:after="60" w:line="240" w:lineRule="auto"/>
              <w:jc w:val="right"/>
              <w:rPr>
                <w:sz w:val="18"/>
              </w:rPr>
            </w:pPr>
            <w:r w:rsidRPr="00E21B4F">
              <w:rPr>
                <w:sz w:val="18"/>
              </w:rPr>
              <w:t>0.0%</w:t>
            </w:r>
          </w:p>
        </w:tc>
        <w:tc>
          <w:tcPr>
            <w:tcW w:w="1489" w:type="dxa"/>
          </w:tcPr>
          <w:p w14:paraId="5BE1A1EE" w14:textId="77777777" w:rsidR="00E21B4F" w:rsidRPr="00E21B4F" w:rsidRDefault="00E21B4F" w:rsidP="00E21B4F">
            <w:pPr>
              <w:spacing w:after="60" w:line="240" w:lineRule="auto"/>
              <w:jc w:val="right"/>
              <w:rPr>
                <w:sz w:val="18"/>
              </w:rPr>
            </w:pPr>
            <w:r w:rsidRPr="00E21B4F">
              <w:rPr>
                <w:sz w:val="18"/>
              </w:rPr>
              <w:t>$1,640,000</w:t>
            </w:r>
          </w:p>
        </w:tc>
        <w:tc>
          <w:tcPr>
            <w:tcW w:w="1370" w:type="dxa"/>
          </w:tcPr>
          <w:p w14:paraId="7A0E0F15" w14:textId="77777777" w:rsidR="00E21B4F" w:rsidRPr="00E21B4F" w:rsidRDefault="00E21B4F" w:rsidP="00E21B4F">
            <w:pPr>
              <w:spacing w:after="60" w:line="240" w:lineRule="auto"/>
              <w:jc w:val="right"/>
              <w:rPr>
                <w:sz w:val="18"/>
              </w:rPr>
            </w:pPr>
            <w:r w:rsidRPr="00E21B4F">
              <w:rPr>
                <w:sz w:val="18"/>
              </w:rPr>
              <w:t>$0</w:t>
            </w:r>
          </w:p>
        </w:tc>
        <w:tc>
          <w:tcPr>
            <w:tcW w:w="1273" w:type="dxa"/>
          </w:tcPr>
          <w:p w14:paraId="0865A0DA" w14:textId="77777777" w:rsidR="00E21B4F" w:rsidRPr="00E21B4F" w:rsidRDefault="00E21B4F" w:rsidP="00E21B4F">
            <w:pPr>
              <w:spacing w:after="60" w:line="240" w:lineRule="auto"/>
              <w:jc w:val="right"/>
              <w:rPr>
                <w:sz w:val="18"/>
              </w:rPr>
            </w:pPr>
            <w:r w:rsidRPr="00E21B4F">
              <w:rPr>
                <w:sz w:val="18"/>
              </w:rPr>
              <w:t>0.0%</w:t>
            </w:r>
          </w:p>
        </w:tc>
        <w:tc>
          <w:tcPr>
            <w:tcW w:w="1489" w:type="dxa"/>
          </w:tcPr>
          <w:p w14:paraId="3DD8875D" w14:textId="77777777" w:rsidR="00E21B4F" w:rsidRPr="00E21B4F" w:rsidRDefault="00E21B4F" w:rsidP="00E21B4F">
            <w:pPr>
              <w:spacing w:after="60" w:line="240" w:lineRule="auto"/>
              <w:jc w:val="right"/>
              <w:rPr>
                <w:sz w:val="18"/>
              </w:rPr>
            </w:pPr>
            <w:r w:rsidRPr="00E21B4F">
              <w:rPr>
                <w:sz w:val="18"/>
              </w:rPr>
              <w:t>$984,000</w:t>
            </w:r>
          </w:p>
        </w:tc>
        <w:tc>
          <w:tcPr>
            <w:tcW w:w="1370" w:type="dxa"/>
          </w:tcPr>
          <w:p w14:paraId="36CDCF28" w14:textId="77777777" w:rsidR="00E21B4F" w:rsidRPr="00E21B4F" w:rsidRDefault="00E21B4F" w:rsidP="00E21B4F">
            <w:pPr>
              <w:spacing w:after="60" w:line="240" w:lineRule="auto"/>
              <w:jc w:val="right"/>
              <w:rPr>
                <w:sz w:val="18"/>
              </w:rPr>
            </w:pPr>
            <w:r w:rsidRPr="00E21B4F">
              <w:rPr>
                <w:sz w:val="18"/>
              </w:rPr>
              <w:t>$0</w:t>
            </w:r>
          </w:p>
        </w:tc>
        <w:tc>
          <w:tcPr>
            <w:tcW w:w="1273" w:type="dxa"/>
          </w:tcPr>
          <w:p w14:paraId="1090F93E" w14:textId="77777777" w:rsidR="00E21B4F" w:rsidRPr="00E21B4F" w:rsidRDefault="00E21B4F" w:rsidP="00E21B4F">
            <w:pPr>
              <w:spacing w:after="60" w:line="240" w:lineRule="auto"/>
              <w:jc w:val="right"/>
              <w:rPr>
                <w:sz w:val="18"/>
              </w:rPr>
            </w:pPr>
            <w:r w:rsidRPr="00E21B4F">
              <w:rPr>
                <w:sz w:val="18"/>
              </w:rPr>
              <w:t>0.0%</w:t>
            </w:r>
          </w:p>
        </w:tc>
      </w:tr>
      <w:tr w:rsidR="00E21B4F" w:rsidRPr="00E21B4F" w14:paraId="57E60FE6" w14:textId="77777777" w:rsidTr="00C72264">
        <w:tc>
          <w:tcPr>
            <w:tcW w:w="2269" w:type="dxa"/>
          </w:tcPr>
          <w:p w14:paraId="056C83ED" w14:textId="77777777" w:rsidR="00E21B4F" w:rsidRPr="00E21B4F" w:rsidRDefault="00E21B4F" w:rsidP="00E21B4F">
            <w:pPr>
              <w:spacing w:after="60" w:line="240" w:lineRule="auto"/>
              <w:rPr>
                <w:sz w:val="18"/>
              </w:rPr>
            </w:pPr>
            <w:r w:rsidRPr="00E21B4F">
              <w:rPr>
                <w:sz w:val="18"/>
              </w:rPr>
              <w:t>Dairy Australia Ltd*</w:t>
            </w:r>
          </w:p>
        </w:tc>
        <w:tc>
          <w:tcPr>
            <w:tcW w:w="1278" w:type="dxa"/>
          </w:tcPr>
          <w:p w14:paraId="2F0DDB63" w14:textId="77777777" w:rsidR="00E21B4F" w:rsidRPr="00E21B4F" w:rsidRDefault="00E21B4F" w:rsidP="00E21B4F">
            <w:pPr>
              <w:spacing w:after="60" w:line="240" w:lineRule="auto"/>
              <w:jc w:val="right"/>
              <w:rPr>
                <w:sz w:val="18"/>
              </w:rPr>
            </w:pPr>
            <w:r w:rsidRPr="00E21B4F">
              <w:rPr>
                <w:sz w:val="18"/>
              </w:rPr>
              <w:t>$38,500,000</w:t>
            </w:r>
          </w:p>
        </w:tc>
        <w:tc>
          <w:tcPr>
            <w:tcW w:w="1370" w:type="dxa"/>
          </w:tcPr>
          <w:p w14:paraId="41A638F6" w14:textId="77777777" w:rsidR="00E21B4F" w:rsidRPr="00E21B4F" w:rsidRDefault="00E21B4F" w:rsidP="00E21B4F">
            <w:pPr>
              <w:spacing w:after="60" w:line="240" w:lineRule="auto"/>
              <w:jc w:val="right"/>
              <w:rPr>
                <w:sz w:val="18"/>
              </w:rPr>
            </w:pPr>
            <w:r w:rsidRPr="00E21B4F">
              <w:rPr>
                <w:sz w:val="18"/>
              </w:rPr>
              <w:t>$154,000</w:t>
            </w:r>
          </w:p>
        </w:tc>
        <w:tc>
          <w:tcPr>
            <w:tcW w:w="1273" w:type="dxa"/>
          </w:tcPr>
          <w:p w14:paraId="20E40099" w14:textId="77777777" w:rsidR="00E21B4F" w:rsidRPr="00E21B4F" w:rsidRDefault="00E21B4F" w:rsidP="00E21B4F">
            <w:pPr>
              <w:spacing w:after="60" w:line="240" w:lineRule="auto"/>
              <w:jc w:val="right"/>
              <w:rPr>
                <w:sz w:val="18"/>
              </w:rPr>
            </w:pPr>
            <w:r w:rsidRPr="00E21B4F">
              <w:rPr>
                <w:sz w:val="18"/>
              </w:rPr>
              <w:t>0.4%</w:t>
            </w:r>
          </w:p>
        </w:tc>
        <w:tc>
          <w:tcPr>
            <w:tcW w:w="1489" w:type="dxa"/>
          </w:tcPr>
          <w:p w14:paraId="65F7AF24" w14:textId="77777777" w:rsidR="00E21B4F" w:rsidRPr="00E21B4F" w:rsidRDefault="00E21B4F" w:rsidP="00E21B4F">
            <w:pPr>
              <w:spacing w:after="60" w:line="240" w:lineRule="auto"/>
              <w:jc w:val="right"/>
              <w:rPr>
                <w:sz w:val="18"/>
              </w:rPr>
            </w:pPr>
            <w:r w:rsidRPr="00E21B4F">
              <w:rPr>
                <w:sz w:val="18"/>
              </w:rPr>
              <w:t>$40,200,000</w:t>
            </w:r>
          </w:p>
        </w:tc>
        <w:tc>
          <w:tcPr>
            <w:tcW w:w="1370" w:type="dxa"/>
          </w:tcPr>
          <w:p w14:paraId="6A06F5CE" w14:textId="77777777" w:rsidR="00E21B4F" w:rsidRPr="00E21B4F" w:rsidRDefault="00E21B4F" w:rsidP="00E21B4F">
            <w:pPr>
              <w:spacing w:after="60" w:line="240" w:lineRule="auto"/>
              <w:jc w:val="right"/>
              <w:rPr>
                <w:sz w:val="18"/>
              </w:rPr>
            </w:pPr>
            <w:r w:rsidRPr="00E21B4F">
              <w:rPr>
                <w:sz w:val="18"/>
              </w:rPr>
              <w:t>$200,000</w:t>
            </w:r>
          </w:p>
        </w:tc>
        <w:tc>
          <w:tcPr>
            <w:tcW w:w="1273" w:type="dxa"/>
          </w:tcPr>
          <w:p w14:paraId="2810D819" w14:textId="77777777" w:rsidR="00E21B4F" w:rsidRPr="00E21B4F" w:rsidRDefault="00E21B4F" w:rsidP="00E21B4F">
            <w:pPr>
              <w:spacing w:after="60" w:line="240" w:lineRule="auto"/>
              <w:jc w:val="right"/>
              <w:rPr>
                <w:sz w:val="18"/>
              </w:rPr>
            </w:pPr>
            <w:r w:rsidRPr="00E21B4F">
              <w:rPr>
                <w:sz w:val="18"/>
              </w:rPr>
              <w:t>0.5%</w:t>
            </w:r>
          </w:p>
        </w:tc>
        <w:tc>
          <w:tcPr>
            <w:tcW w:w="1489" w:type="dxa"/>
          </w:tcPr>
          <w:p w14:paraId="293EFF04" w14:textId="77777777" w:rsidR="00E21B4F" w:rsidRPr="00E21B4F" w:rsidRDefault="00E21B4F" w:rsidP="00E21B4F">
            <w:pPr>
              <w:spacing w:after="60" w:line="240" w:lineRule="auto"/>
              <w:jc w:val="right"/>
              <w:rPr>
                <w:sz w:val="18"/>
              </w:rPr>
            </w:pPr>
            <w:r w:rsidRPr="00E21B4F">
              <w:rPr>
                <w:sz w:val="18"/>
              </w:rPr>
              <w:t>$41,500,000</w:t>
            </w:r>
          </w:p>
        </w:tc>
        <w:tc>
          <w:tcPr>
            <w:tcW w:w="1370" w:type="dxa"/>
          </w:tcPr>
          <w:p w14:paraId="70C9FE50" w14:textId="77777777" w:rsidR="00E21B4F" w:rsidRPr="00E21B4F" w:rsidRDefault="00E21B4F" w:rsidP="00E21B4F">
            <w:pPr>
              <w:spacing w:after="60" w:line="240" w:lineRule="auto"/>
              <w:jc w:val="right"/>
              <w:rPr>
                <w:sz w:val="18"/>
              </w:rPr>
            </w:pPr>
            <w:r w:rsidRPr="00E21B4F">
              <w:rPr>
                <w:sz w:val="18"/>
              </w:rPr>
              <w:t>$700,000</w:t>
            </w:r>
          </w:p>
        </w:tc>
        <w:tc>
          <w:tcPr>
            <w:tcW w:w="1273" w:type="dxa"/>
          </w:tcPr>
          <w:p w14:paraId="102E364E" w14:textId="77777777" w:rsidR="00E21B4F" w:rsidRPr="00E21B4F" w:rsidRDefault="00E21B4F" w:rsidP="00E21B4F">
            <w:pPr>
              <w:spacing w:after="60" w:line="240" w:lineRule="auto"/>
              <w:jc w:val="right"/>
              <w:rPr>
                <w:sz w:val="18"/>
              </w:rPr>
            </w:pPr>
            <w:r w:rsidRPr="00E21B4F">
              <w:rPr>
                <w:sz w:val="18"/>
              </w:rPr>
              <w:t>1.7%</w:t>
            </w:r>
          </w:p>
        </w:tc>
      </w:tr>
      <w:tr w:rsidR="00E21B4F" w:rsidRPr="00E21B4F" w14:paraId="4BE1C3DF" w14:textId="77777777" w:rsidTr="00C72264">
        <w:tc>
          <w:tcPr>
            <w:tcW w:w="2269" w:type="dxa"/>
          </w:tcPr>
          <w:p w14:paraId="2FFCC1EC" w14:textId="77777777" w:rsidR="00E21B4F" w:rsidRPr="00E21B4F" w:rsidRDefault="00E21B4F" w:rsidP="00E21B4F">
            <w:pPr>
              <w:spacing w:after="60" w:line="240" w:lineRule="auto"/>
              <w:rPr>
                <w:sz w:val="18"/>
              </w:rPr>
            </w:pPr>
            <w:r w:rsidRPr="00E21B4F">
              <w:rPr>
                <w:sz w:val="18"/>
              </w:rPr>
              <w:t>Forest and Wood Products Australia Ltd*</w:t>
            </w:r>
          </w:p>
        </w:tc>
        <w:tc>
          <w:tcPr>
            <w:tcW w:w="1278" w:type="dxa"/>
          </w:tcPr>
          <w:p w14:paraId="0EA84CA2" w14:textId="77777777" w:rsidR="00E21B4F" w:rsidRPr="00E21B4F" w:rsidRDefault="00E21B4F" w:rsidP="00E21B4F">
            <w:pPr>
              <w:spacing w:after="60" w:line="240" w:lineRule="auto"/>
              <w:jc w:val="right"/>
              <w:rPr>
                <w:sz w:val="18"/>
              </w:rPr>
            </w:pPr>
            <w:r w:rsidRPr="00E21B4F">
              <w:rPr>
                <w:sz w:val="18"/>
              </w:rPr>
              <w:t>$3,116,384</w:t>
            </w:r>
          </w:p>
        </w:tc>
        <w:tc>
          <w:tcPr>
            <w:tcW w:w="1370" w:type="dxa"/>
          </w:tcPr>
          <w:p w14:paraId="6990AAC8" w14:textId="77777777" w:rsidR="00E21B4F" w:rsidRPr="00E21B4F" w:rsidRDefault="00E21B4F" w:rsidP="00E21B4F">
            <w:pPr>
              <w:spacing w:after="60" w:line="240" w:lineRule="auto"/>
              <w:jc w:val="right"/>
              <w:rPr>
                <w:sz w:val="18"/>
              </w:rPr>
            </w:pPr>
            <w:r w:rsidRPr="00E21B4F">
              <w:rPr>
                <w:sz w:val="18"/>
              </w:rPr>
              <w:t>$31,164</w:t>
            </w:r>
          </w:p>
        </w:tc>
        <w:tc>
          <w:tcPr>
            <w:tcW w:w="1273" w:type="dxa"/>
          </w:tcPr>
          <w:p w14:paraId="6DF4A2E1" w14:textId="77777777" w:rsidR="00E21B4F" w:rsidRPr="00E21B4F" w:rsidRDefault="00E21B4F" w:rsidP="00E21B4F">
            <w:pPr>
              <w:spacing w:after="60" w:line="240" w:lineRule="auto"/>
              <w:jc w:val="right"/>
              <w:rPr>
                <w:sz w:val="18"/>
              </w:rPr>
            </w:pPr>
            <w:r w:rsidRPr="00E21B4F">
              <w:rPr>
                <w:sz w:val="18"/>
              </w:rPr>
              <w:t>1.0%</w:t>
            </w:r>
          </w:p>
        </w:tc>
        <w:tc>
          <w:tcPr>
            <w:tcW w:w="1489" w:type="dxa"/>
          </w:tcPr>
          <w:p w14:paraId="5D1984FA" w14:textId="77777777" w:rsidR="00E21B4F" w:rsidRPr="00E21B4F" w:rsidRDefault="00E21B4F" w:rsidP="00E21B4F">
            <w:pPr>
              <w:spacing w:after="60" w:line="240" w:lineRule="auto"/>
              <w:jc w:val="right"/>
              <w:rPr>
                <w:sz w:val="18"/>
              </w:rPr>
            </w:pPr>
            <w:r w:rsidRPr="00E21B4F">
              <w:rPr>
                <w:sz w:val="18"/>
              </w:rPr>
              <w:t>$3,534,871</w:t>
            </w:r>
          </w:p>
        </w:tc>
        <w:tc>
          <w:tcPr>
            <w:tcW w:w="1370" w:type="dxa"/>
          </w:tcPr>
          <w:p w14:paraId="370F52BF" w14:textId="77777777" w:rsidR="00E21B4F" w:rsidRPr="00E21B4F" w:rsidRDefault="00E21B4F" w:rsidP="00E21B4F">
            <w:pPr>
              <w:spacing w:after="60" w:line="240" w:lineRule="auto"/>
              <w:jc w:val="right"/>
              <w:rPr>
                <w:sz w:val="18"/>
              </w:rPr>
            </w:pPr>
            <w:r w:rsidRPr="00E21B4F">
              <w:rPr>
                <w:sz w:val="18"/>
              </w:rPr>
              <w:t>$265,680</w:t>
            </w:r>
          </w:p>
        </w:tc>
        <w:tc>
          <w:tcPr>
            <w:tcW w:w="1273" w:type="dxa"/>
          </w:tcPr>
          <w:p w14:paraId="61E640C0" w14:textId="77777777" w:rsidR="00E21B4F" w:rsidRPr="00E21B4F" w:rsidRDefault="00E21B4F" w:rsidP="00E21B4F">
            <w:pPr>
              <w:spacing w:after="60" w:line="240" w:lineRule="auto"/>
              <w:jc w:val="right"/>
              <w:rPr>
                <w:sz w:val="18"/>
              </w:rPr>
            </w:pPr>
            <w:r w:rsidRPr="00E21B4F">
              <w:rPr>
                <w:sz w:val="18"/>
              </w:rPr>
              <w:t>7.5%</w:t>
            </w:r>
          </w:p>
        </w:tc>
        <w:tc>
          <w:tcPr>
            <w:tcW w:w="1489" w:type="dxa"/>
          </w:tcPr>
          <w:p w14:paraId="594EFE02" w14:textId="77777777" w:rsidR="00E21B4F" w:rsidRPr="00E21B4F" w:rsidRDefault="00E21B4F" w:rsidP="00E21B4F">
            <w:pPr>
              <w:spacing w:after="60" w:line="240" w:lineRule="auto"/>
              <w:jc w:val="right"/>
              <w:rPr>
                <w:sz w:val="18"/>
              </w:rPr>
            </w:pPr>
            <w:r w:rsidRPr="00E21B4F">
              <w:rPr>
                <w:sz w:val="18"/>
              </w:rPr>
              <w:t>$4,042,966</w:t>
            </w:r>
          </w:p>
        </w:tc>
        <w:tc>
          <w:tcPr>
            <w:tcW w:w="1370" w:type="dxa"/>
          </w:tcPr>
          <w:p w14:paraId="46738105" w14:textId="77777777" w:rsidR="00E21B4F" w:rsidRPr="00E21B4F" w:rsidRDefault="00E21B4F" w:rsidP="00E21B4F">
            <w:pPr>
              <w:spacing w:after="60" w:line="240" w:lineRule="auto"/>
              <w:jc w:val="right"/>
              <w:rPr>
                <w:sz w:val="18"/>
              </w:rPr>
            </w:pPr>
            <w:r w:rsidRPr="00E21B4F">
              <w:rPr>
                <w:sz w:val="18"/>
              </w:rPr>
              <w:t>$410,000</w:t>
            </w:r>
          </w:p>
        </w:tc>
        <w:tc>
          <w:tcPr>
            <w:tcW w:w="1273" w:type="dxa"/>
          </w:tcPr>
          <w:p w14:paraId="5829850A" w14:textId="77777777" w:rsidR="00E21B4F" w:rsidRPr="00E21B4F" w:rsidRDefault="00E21B4F" w:rsidP="00E21B4F">
            <w:pPr>
              <w:spacing w:after="60" w:line="240" w:lineRule="auto"/>
              <w:jc w:val="right"/>
              <w:rPr>
                <w:sz w:val="18"/>
              </w:rPr>
            </w:pPr>
            <w:r w:rsidRPr="00E21B4F">
              <w:rPr>
                <w:sz w:val="18"/>
              </w:rPr>
              <w:t>10.1%</w:t>
            </w:r>
          </w:p>
        </w:tc>
      </w:tr>
      <w:tr w:rsidR="00E21B4F" w:rsidRPr="00E21B4F" w14:paraId="53A15064" w14:textId="77777777" w:rsidTr="00C72264">
        <w:tc>
          <w:tcPr>
            <w:tcW w:w="2269" w:type="dxa"/>
          </w:tcPr>
          <w:p w14:paraId="2F2429CA" w14:textId="77777777" w:rsidR="00E21B4F" w:rsidRPr="00E21B4F" w:rsidRDefault="00E21B4F" w:rsidP="00E21B4F">
            <w:pPr>
              <w:spacing w:after="60" w:line="240" w:lineRule="auto"/>
              <w:rPr>
                <w:sz w:val="18"/>
              </w:rPr>
            </w:pPr>
            <w:r w:rsidRPr="00E21B4F">
              <w:rPr>
                <w:sz w:val="18"/>
              </w:rPr>
              <w:t>Australian Egg Corporation Ltd*</w:t>
            </w:r>
          </w:p>
        </w:tc>
        <w:tc>
          <w:tcPr>
            <w:tcW w:w="1278" w:type="dxa"/>
          </w:tcPr>
          <w:p w14:paraId="1963F3D1" w14:textId="77777777" w:rsidR="00E21B4F" w:rsidRPr="00E21B4F" w:rsidRDefault="00E21B4F" w:rsidP="00E21B4F">
            <w:pPr>
              <w:spacing w:after="60" w:line="240" w:lineRule="auto"/>
              <w:jc w:val="right"/>
              <w:rPr>
                <w:sz w:val="18"/>
              </w:rPr>
            </w:pPr>
            <w:r w:rsidRPr="00E21B4F">
              <w:rPr>
                <w:sz w:val="18"/>
              </w:rPr>
              <w:t>$3,000,785</w:t>
            </w:r>
          </w:p>
        </w:tc>
        <w:tc>
          <w:tcPr>
            <w:tcW w:w="1370" w:type="dxa"/>
          </w:tcPr>
          <w:p w14:paraId="2A8D4CB4" w14:textId="77777777" w:rsidR="00E21B4F" w:rsidRPr="00E21B4F" w:rsidRDefault="00E21B4F" w:rsidP="00E21B4F">
            <w:pPr>
              <w:spacing w:after="60" w:line="240" w:lineRule="auto"/>
              <w:jc w:val="right"/>
              <w:rPr>
                <w:sz w:val="18"/>
              </w:rPr>
            </w:pPr>
            <w:r w:rsidRPr="00E21B4F">
              <w:rPr>
                <w:sz w:val="18"/>
              </w:rPr>
              <w:t>$22,805</w:t>
            </w:r>
          </w:p>
        </w:tc>
        <w:tc>
          <w:tcPr>
            <w:tcW w:w="1273" w:type="dxa"/>
          </w:tcPr>
          <w:p w14:paraId="09C45C93" w14:textId="77777777" w:rsidR="00E21B4F" w:rsidRPr="00E21B4F" w:rsidRDefault="00E21B4F" w:rsidP="00E21B4F">
            <w:pPr>
              <w:spacing w:after="60" w:line="240" w:lineRule="auto"/>
              <w:jc w:val="right"/>
              <w:rPr>
                <w:sz w:val="18"/>
              </w:rPr>
            </w:pPr>
            <w:r w:rsidRPr="00E21B4F">
              <w:rPr>
                <w:sz w:val="18"/>
              </w:rPr>
              <w:t>0.8%</w:t>
            </w:r>
          </w:p>
        </w:tc>
        <w:tc>
          <w:tcPr>
            <w:tcW w:w="1489" w:type="dxa"/>
          </w:tcPr>
          <w:p w14:paraId="4D203C4F" w14:textId="77777777" w:rsidR="00E21B4F" w:rsidRPr="00E21B4F" w:rsidRDefault="00E21B4F" w:rsidP="00E21B4F">
            <w:pPr>
              <w:spacing w:after="60" w:line="240" w:lineRule="auto"/>
              <w:jc w:val="right"/>
              <w:rPr>
                <w:sz w:val="18"/>
              </w:rPr>
            </w:pPr>
            <w:r w:rsidRPr="00E21B4F">
              <w:rPr>
                <w:sz w:val="18"/>
              </w:rPr>
              <w:t>$3,082,390</w:t>
            </w:r>
          </w:p>
        </w:tc>
        <w:tc>
          <w:tcPr>
            <w:tcW w:w="1370" w:type="dxa"/>
          </w:tcPr>
          <w:p w14:paraId="68B6726C" w14:textId="77777777" w:rsidR="00E21B4F" w:rsidRPr="00E21B4F" w:rsidRDefault="00E21B4F" w:rsidP="00E21B4F">
            <w:pPr>
              <w:spacing w:after="60" w:line="240" w:lineRule="auto"/>
              <w:jc w:val="right"/>
              <w:rPr>
                <w:sz w:val="18"/>
              </w:rPr>
            </w:pPr>
            <w:r w:rsidRPr="00E21B4F">
              <w:rPr>
                <w:sz w:val="18"/>
              </w:rPr>
              <w:t>$169,326</w:t>
            </w:r>
          </w:p>
        </w:tc>
        <w:tc>
          <w:tcPr>
            <w:tcW w:w="1273" w:type="dxa"/>
          </w:tcPr>
          <w:p w14:paraId="3A507D44" w14:textId="77777777" w:rsidR="00E21B4F" w:rsidRPr="00E21B4F" w:rsidRDefault="00E21B4F" w:rsidP="00E21B4F">
            <w:pPr>
              <w:spacing w:after="60" w:line="240" w:lineRule="auto"/>
              <w:jc w:val="right"/>
              <w:rPr>
                <w:sz w:val="18"/>
              </w:rPr>
            </w:pPr>
            <w:r w:rsidRPr="00E21B4F">
              <w:rPr>
                <w:sz w:val="18"/>
              </w:rPr>
              <w:t>5.5%</w:t>
            </w:r>
          </w:p>
        </w:tc>
        <w:tc>
          <w:tcPr>
            <w:tcW w:w="1489" w:type="dxa"/>
          </w:tcPr>
          <w:p w14:paraId="3CE25FFD" w14:textId="77777777" w:rsidR="00E21B4F" w:rsidRPr="00E21B4F" w:rsidRDefault="00E21B4F" w:rsidP="00E21B4F">
            <w:pPr>
              <w:spacing w:after="60" w:line="240" w:lineRule="auto"/>
              <w:jc w:val="right"/>
              <w:rPr>
                <w:sz w:val="18"/>
              </w:rPr>
            </w:pPr>
            <w:r w:rsidRPr="00E21B4F">
              <w:rPr>
                <w:sz w:val="18"/>
              </w:rPr>
              <w:t>$3,377,875</w:t>
            </w:r>
          </w:p>
        </w:tc>
        <w:tc>
          <w:tcPr>
            <w:tcW w:w="1370" w:type="dxa"/>
          </w:tcPr>
          <w:p w14:paraId="53892EEC" w14:textId="77777777" w:rsidR="00E21B4F" w:rsidRPr="00E21B4F" w:rsidRDefault="00E21B4F" w:rsidP="00E21B4F">
            <w:pPr>
              <w:spacing w:after="60" w:line="240" w:lineRule="auto"/>
              <w:jc w:val="right"/>
              <w:rPr>
                <w:sz w:val="18"/>
              </w:rPr>
            </w:pPr>
            <w:r w:rsidRPr="00E21B4F">
              <w:rPr>
                <w:sz w:val="18"/>
              </w:rPr>
              <w:t>$63,672</w:t>
            </w:r>
          </w:p>
        </w:tc>
        <w:tc>
          <w:tcPr>
            <w:tcW w:w="1273" w:type="dxa"/>
          </w:tcPr>
          <w:p w14:paraId="50D9EE8C" w14:textId="77777777" w:rsidR="00E21B4F" w:rsidRPr="00E21B4F" w:rsidRDefault="00E21B4F" w:rsidP="00E21B4F">
            <w:pPr>
              <w:spacing w:after="60" w:line="240" w:lineRule="auto"/>
              <w:jc w:val="right"/>
              <w:rPr>
                <w:sz w:val="18"/>
              </w:rPr>
            </w:pPr>
            <w:r w:rsidRPr="00E21B4F">
              <w:rPr>
                <w:sz w:val="18"/>
              </w:rPr>
              <w:t>1.9%</w:t>
            </w:r>
          </w:p>
        </w:tc>
      </w:tr>
      <w:tr w:rsidR="00E21B4F" w:rsidRPr="00E21B4F" w14:paraId="6644C248" w14:textId="77777777" w:rsidTr="00C72264">
        <w:tc>
          <w:tcPr>
            <w:tcW w:w="2269" w:type="dxa"/>
          </w:tcPr>
          <w:p w14:paraId="6E95FCDE" w14:textId="77777777" w:rsidR="00E21B4F" w:rsidRPr="00E21B4F" w:rsidRDefault="00E21B4F" w:rsidP="00E21B4F">
            <w:pPr>
              <w:spacing w:after="60" w:line="240" w:lineRule="auto"/>
              <w:rPr>
                <w:sz w:val="18"/>
              </w:rPr>
            </w:pPr>
            <w:r w:rsidRPr="00E21B4F">
              <w:rPr>
                <w:sz w:val="18"/>
              </w:rPr>
              <w:t>Australian Wool Innovation Ltd*</w:t>
            </w:r>
          </w:p>
        </w:tc>
        <w:tc>
          <w:tcPr>
            <w:tcW w:w="1278" w:type="dxa"/>
          </w:tcPr>
          <w:p w14:paraId="0B12CA1C" w14:textId="77777777" w:rsidR="00E21B4F" w:rsidRPr="00E21B4F" w:rsidRDefault="00E21B4F" w:rsidP="00E21B4F">
            <w:pPr>
              <w:spacing w:after="60" w:line="240" w:lineRule="auto"/>
              <w:jc w:val="right"/>
              <w:rPr>
                <w:sz w:val="18"/>
              </w:rPr>
            </w:pPr>
            <w:r w:rsidRPr="00E21B4F">
              <w:rPr>
                <w:sz w:val="18"/>
              </w:rPr>
              <w:t>$29,581,000</w:t>
            </w:r>
          </w:p>
        </w:tc>
        <w:tc>
          <w:tcPr>
            <w:tcW w:w="1370" w:type="dxa"/>
          </w:tcPr>
          <w:p w14:paraId="6AE05894" w14:textId="77777777" w:rsidR="00E21B4F" w:rsidRPr="00E21B4F" w:rsidRDefault="00E21B4F" w:rsidP="00E21B4F">
            <w:pPr>
              <w:spacing w:after="60" w:line="240" w:lineRule="auto"/>
              <w:jc w:val="right"/>
              <w:rPr>
                <w:sz w:val="18"/>
              </w:rPr>
            </w:pPr>
            <w:r w:rsidRPr="00E21B4F">
              <w:rPr>
                <w:sz w:val="18"/>
              </w:rPr>
              <w:t>$2,600,000</w:t>
            </w:r>
          </w:p>
        </w:tc>
        <w:tc>
          <w:tcPr>
            <w:tcW w:w="1273" w:type="dxa"/>
          </w:tcPr>
          <w:p w14:paraId="3BB31FC0" w14:textId="77777777" w:rsidR="00E21B4F" w:rsidRPr="00E21B4F" w:rsidRDefault="00E21B4F" w:rsidP="00E21B4F">
            <w:pPr>
              <w:spacing w:after="60" w:line="240" w:lineRule="auto"/>
              <w:jc w:val="right"/>
              <w:rPr>
                <w:sz w:val="18"/>
              </w:rPr>
            </w:pPr>
            <w:r w:rsidRPr="00E21B4F">
              <w:rPr>
                <w:sz w:val="18"/>
              </w:rPr>
              <w:t>8.8%</w:t>
            </w:r>
          </w:p>
        </w:tc>
        <w:tc>
          <w:tcPr>
            <w:tcW w:w="1489" w:type="dxa"/>
          </w:tcPr>
          <w:p w14:paraId="61D5D77F" w14:textId="77777777" w:rsidR="00E21B4F" w:rsidRPr="00E21B4F" w:rsidRDefault="00E21B4F" w:rsidP="00E21B4F">
            <w:pPr>
              <w:spacing w:after="60" w:line="240" w:lineRule="auto"/>
              <w:jc w:val="right"/>
              <w:rPr>
                <w:sz w:val="18"/>
              </w:rPr>
            </w:pPr>
            <w:r w:rsidRPr="00E21B4F">
              <w:rPr>
                <w:sz w:val="18"/>
              </w:rPr>
              <w:t>$21,805,000</w:t>
            </w:r>
          </w:p>
        </w:tc>
        <w:tc>
          <w:tcPr>
            <w:tcW w:w="1370" w:type="dxa"/>
          </w:tcPr>
          <w:p w14:paraId="63B91FAA" w14:textId="77777777" w:rsidR="00E21B4F" w:rsidRPr="00E21B4F" w:rsidRDefault="00E21B4F" w:rsidP="00E21B4F">
            <w:pPr>
              <w:spacing w:after="60" w:line="240" w:lineRule="auto"/>
              <w:jc w:val="right"/>
              <w:rPr>
                <w:sz w:val="18"/>
              </w:rPr>
            </w:pPr>
            <w:r w:rsidRPr="00E21B4F">
              <w:rPr>
                <w:sz w:val="18"/>
              </w:rPr>
              <w:t>$2,082,000</w:t>
            </w:r>
          </w:p>
        </w:tc>
        <w:tc>
          <w:tcPr>
            <w:tcW w:w="1273" w:type="dxa"/>
          </w:tcPr>
          <w:p w14:paraId="5000B89D" w14:textId="77777777" w:rsidR="00E21B4F" w:rsidRPr="00E21B4F" w:rsidRDefault="00E21B4F" w:rsidP="00E21B4F">
            <w:pPr>
              <w:spacing w:after="60" w:line="240" w:lineRule="auto"/>
              <w:jc w:val="right"/>
              <w:rPr>
                <w:sz w:val="18"/>
              </w:rPr>
            </w:pPr>
            <w:r w:rsidRPr="00E21B4F">
              <w:rPr>
                <w:sz w:val="18"/>
              </w:rPr>
              <w:t>9.5%</w:t>
            </w:r>
          </w:p>
        </w:tc>
        <w:tc>
          <w:tcPr>
            <w:tcW w:w="1489" w:type="dxa"/>
          </w:tcPr>
          <w:p w14:paraId="46B7428A" w14:textId="77777777" w:rsidR="00E21B4F" w:rsidRPr="00E21B4F" w:rsidRDefault="00E21B4F" w:rsidP="00E21B4F">
            <w:pPr>
              <w:spacing w:after="60" w:line="240" w:lineRule="auto"/>
              <w:jc w:val="right"/>
              <w:rPr>
                <w:sz w:val="18"/>
              </w:rPr>
            </w:pPr>
            <w:r w:rsidRPr="00E21B4F">
              <w:rPr>
                <w:sz w:val="18"/>
              </w:rPr>
              <w:t>$25,262,000</w:t>
            </w:r>
          </w:p>
        </w:tc>
        <w:tc>
          <w:tcPr>
            <w:tcW w:w="1370" w:type="dxa"/>
          </w:tcPr>
          <w:p w14:paraId="7F808A5C" w14:textId="77777777" w:rsidR="00E21B4F" w:rsidRPr="00E21B4F" w:rsidRDefault="00E21B4F" w:rsidP="00E21B4F">
            <w:pPr>
              <w:spacing w:after="60" w:line="240" w:lineRule="auto"/>
              <w:jc w:val="right"/>
              <w:rPr>
                <w:sz w:val="18"/>
              </w:rPr>
            </w:pPr>
            <w:r w:rsidRPr="00E21B4F">
              <w:rPr>
                <w:sz w:val="18"/>
              </w:rPr>
              <w:t>$2,634,000</w:t>
            </w:r>
          </w:p>
        </w:tc>
        <w:tc>
          <w:tcPr>
            <w:tcW w:w="1273" w:type="dxa"/>
          </w:tcPr>
          <w:p w14:paraId="0148F0A6" w14:textId="77777777" w:rsidR="00E21B4F" w:rsidRPr="00E21B4F" w:rsidRDefault="00E21B4F" w:rsidP="00E21B4F">
            <w:pPr>
              <w:spacing w:after="60" w:line="240" w:lineRule="auto"/>
              <w:jc w:val="right"/>
              <w:rPr>
                <w:sz w:val="18"/>
              </w:rPr>
            </w:pPr>
            <w:r w:rsidRPr="00E21B4F">
              <w:rPr>
                <w:sz w:val="18"/>
              </w:rPr>
              <w:t>10.4%</w:t>
            </w:r>
          </w:p>
        </w:tc>
      </w:tr>
      <w:tr w:rsidR="00E21B4F" w:rsidRPr="00E21B4F" w14:paraId="47DA6D73" w14:textId="77777777" w:rsidTr="00C72264">
        <w:tc>
          <w:tcPr>
            <w:tcW w:w="2269" w:type="dxa"/>
          </w:tcPr>
          <w:p w14:paraId="76DE23EA" w14:textId="77777777" w:rsidR="00E21B4F" w:rsidRPr="00E21B4F" w:rsidRDefault="00E21B4F" w:rsidP="00E21B4F">
            <w:pPr>
              <w:spacing w:after="60" w:line="240" w:lineRule="auto"/>
              <w:rPr>
                <w:sz w:val="18"/>
              </w:rPr>
            </w:pPr>
            <w:r w:rsidRPr="00E21B4F">
              <w:rPr>
                <w:sz w:val="18"/>
              </w:rPr>
              <w:t>Australian Pork Ltd*</w:t>
            </w:r>
          </w:p>
        </w:tc>
        <w:tc>
          <w:tcPr>
            <w:tcW w:w="1278" w:type="dxa"/>
          </w:tcPr>
          <w:p w14:paraId="4314B28E" w14:textId="77777777" w:rsidR="00E21B4F" w:rsidRPr="00E21B4F" w:rsidRDefault="00E21B4F" w:rsidP="00E21B4F">
            <w:pPr>
              <w:spacing w:after="60" w:line="240" w:lineRule="auto"/>
              <w:jc w:val="right"/>
              <w:rPr>
                <w:sz w:val="18"/>
              </w:rPr>
            </w:pPr>
            <w:r w:rsidRPr="00E21B4F">
              <w:rPr>
                <w:sz w:val="18"/>
              </w:rPr>
              <w:t>$9,660,000</w:t>
            </w:r>
          </w:p>
        </w:tc>
        <w:tc>
          <w:tcPr>
            <w:tcW w:w="1370" w:type="dxa"/>
          </w:tcPr>
          <w:p w14:paraId="0C12D6D1" w14:textId="77777777" w:rsidR="00E21B4F" w:rsidRPr="00E21B4F" w:rsidRDefault="00E21B4F" w:rsidP="00E21B4F">
            <w:pPr>
              <w:spacing w:after="60" w:line="240" w:lineRule="auto"/>
              <w:jc w:val="right"/>
              <w:rPr>
                <w:sz w:val="18"/>
              </w:rPr>
            </w:pPr>
            <w:r w:rsidRPr="00E21B4F">
              <w:rPr>
                <w:sz w:val="18"/>
              </w:rPr>
              <w:t>$822,995</w:t>
            </w:r>
          </w:p>
        </w:tc>
        <w:tc>
          <w:tcPr>
            <w:tcW w:w="1273" w:type="dxa"/>
          </w:tcPr>
          <w:p w14:paraId="49C7D29D" w14:textId="77777777" w:rsidR="00E21B4F" w:rsidRPr="00E21B4F" w:rsidRDefault="00E21B4F" w:rsidP="00E21B4F">
            <w:pPr>
              <w:spacing w:after="60" w:line="240" w:lineRule="auto"/>
              <w:jc w:val="right"/>
              <w:rPr>
                <w:sz w:val="18"/>
              </w:rPr>
            </w:pPr>
            <w:r w:rsidRPr="00E21B4F">
              <w:rPr>
                <w:sz w:val="18"/>
              </w:rPr>
              <w:t>8.5%</w:t>
            </w:r>
          </w:p>
        </w:tc>
        <w:tc>
          <w:tcPr>
            <w:tcW w:w="1489" w:type="dxa"/>
          </w:tcPr>
          <w:p w14:paraId="11E79DD7" w14:textId="77777777" w:rsidR="00E21B4F" w:rsidRPr="00E21B4F" w:rsidRDefault="00E21B4F" w:rsidP="00E21B4F">
            <w:pPr>
              <w:spacing w:after="60" w:line="240" w:lineRule="auto"/>
              <w:jc w:val="right"/>
              <w:rPr>
                <w:sz w:val="18"/>
              </w:rPr>
            </w:pPr>
            <w:r w:rsidRPr="00E21B4F">
              <w:rPr>
                <w:sz w:val="18"/>
              </w:rPr>
              <w:t>$9,767,513</w:t>
            </w:r>
          </w:p>
        </w:tc>
        <w:tc>
          <w:tcPr>
            <w:tcW w:w="1370" w:type="dxa"/>
          </w:tcPr>
          <w:p w14:paraId="7D9EFB8C" w14:textId="77777777" w:rsidR="00E21B4F" w:rsidRPr="00E21B4F" w:rsidRDefault="00E21B4F" w:rsidP="00E21B4F">
            <w:pPr>
              <w:spacing w:after="60" w:line="240" w:lineRule="auto"/>
              <w:jc w:val="right"/>
              <w:rPr>
                <w:sz w:val="18"/>
              </w:rPr>
            </w:pPr>
            <w:r w:rsidRPr="00E21B4F">
              <w:rPr>
                <w:sz w:val="18"/>
              </w:rPr>
              <w:t>$466,473</w:t>
            </w:r>
          </w:p>
        </w:tc>
        <w:tc>
          <w:tcPr>
            <w:tcW w:w="1273" w:type="dxa"/>
          </w:tcPr>
          <w:p w14:paraId="57251DC6" w14:textId="77777777" w:rsidR="00E21B4F" w:rsidRPr="00E21B4F" w:rsidRDefault="00E21B4F" w:rsidP="00E21B4F">
            <w:pPr>
              <w:spacing w:after="60" w:line="240" w:lineRule="auto"/>
              <w:jc w:val="right"/>
              <w:rPr>
                <w:sz w:val="18"/>
              </w:rPr>
            </w:pPr>
            <w:r w:rsidRPr="00E21B4F">
              <w:rPr>
                <w:sz w:val="18"/>
              </w:rPr>
              <w:t>4.8%</w:t>
            </w:r>
          </w:p>
        </w:tc>
        <w:tc>
          <w:tcPr>
            <w:tcW w:w="1489" w:type="dxa"/>
          </w:tcPr>
          <w:p w14:paraId="45F40EC5" w14:textId="77777777" w:rsidR="00E21B4F" w:rsidRPr="00E21B4F" w:rsidRDefault="00E21B4F" w:rsidP="00E21B4F">
            <w:pPr>
              <w:spacing w:after="60" w:line="240" w:lineRule="auto"/>
              <w:jc w:val="right"/>
              <w:rPr>
                <w:sz w:val="18"/>
              </w:rPr>
            </w:pPr>
            <w:r w:rsidRPr="00E21B4F">
              <w:rPr>
                <w:sz w:val="18"/>
              </w:rPr>
              <w:t>$10,088,935</w:t>
            </w:r>
          </w:p>
        </w:tc>
        <w:tc>
          <w:tcPr>
            <w:tcW w:w="1370" w:type="dxa"/>
          </w:tcPr>
          <w:p w14:paraId="3EE76D3D" w14:textId="77777777" w:rsidR="00E21B4F" w:rsidRPr="00E21B4F" w:rsidRDefault="00E21B4F" w:rsidP="00E21B4F">
            <w:pPr>
              <w:spacing w:after="60" w:line="240" w:lineRule="auto"/>
              <w:jc w:val="right"/>
              <w:rPr>
                <w:sz w:val="18"/>
              </w:rPr>
            </w:pPr>
            <w:r w:rsidRPr="00E21B4F">
              <w:rPr>
                <w:sz w:val="18"/>
              </w:rPr>
              <w:t>$410,058</w:t>
            </w:r>
          </w:p>
        </w:tc>
        <w:tc>
          <w:tcPr>
            <w:tcW w:w="1273" w:type="dxa"/>
          </w:tcPr>
          <w:p w14:paraId="4F56968D" w14:textId="77777777" w:rsidR="00E21B4F" w:rsidRPr="00E21B4F" w:rsidRDefault="00E21B4F" w:rsidP="00E21B4F">
            <w:pPr>
              <w:spacing w:after="60" w:line="240" w:lineRule="auto"/>
              <w:jc w:val="right"/>
              <w:rPr>
                <w:sz w:val="18"/>
              </w:rPr>
            </w:pPr>
            <w:r w:rsidRPr="00E21B4F">
              <w:rPr>
                <w:sz w:val="18"/>
              </w:rPr>
              <w:t>4.1%</w:t>
            </w:r>
          </w:p>
        </w:tc>
      </w:tr>
      <w:tr w:rsidR="00E21B4F" w:rsidRPr="00E21B4F" w14:paraId="4472867D" w14:textId="77777777" w:rsidTr="00C72264">
        <w:tc>
          <w:tcPr>
            <w:tcW w:w="2269" w:type="dxa"/>
          </w:tcPr>
          <w:p w14:paraId="21A5A088" w14:textId="668BFE7C" w:rsidR="00E21B4F" w:rsidRPr="00E21B4F" w:rsidRDefault="00E21B4F" w:rsidP="00AE789F">
            <w:pPr>
              <w:spacing w:after="60" w:line="240" w:lineRule="auto"/>
              <w:rPr>
                <w:sz w:val="18"/>
              </w:rPr>
            </w:pPr>
            <w:r w:rsidRPr="00E21B4F">
              <w:rPr>
                <w:sz w:val="18"/>
              </w:rPr>
              <w:t xml:space="preserve">Meat </w:t>
            </w:r>
            <w:r w:rsidR="00AE789F">
              <w:rPr>
                <w:sz w:val="18"/>
              </w:rPr>
              <w:t>&amp;</w:t>
            </w:r>
            <w:r w:rsidRPr="00E21B4F">
              <w:rPr>
                <w:sz w:val="18"/>
              </w:rPr>
              <w:t xml:space="preserve"> Livestock Australia Ltd*</w:t>
            </w:r>
          </w:p>
        </w:tc>
        <w:tc>
          <w:tcPr>
            <w:tcW w:w="1278" w:type="dxa"/>
          </w:tcPr>
          <w:p w14:paraId="6A0C4D62" w14:textId="77777777" w:rsidR="00E21B4F" w:rsidRPr="00E21B4F" w:rsidRDefault="00E21B4F" w:rsidP="00E21B4F">
            <w:pPr>
              <w:spacing w:after="60" w:line="240" w:lineRule="auto"/>
              <w:jc w:val="right"/>
              <w:rPr>
                <w:sz w:val="18"/>
              </w:rPr>
            </w:pPr>
            <w:r w:rsidRPr="00E21B4F">
              <w:rPr>
                <w:sz w:val="18"/>
              </w:rPr>
              <w:t>$95,800,000</w:t>
            </w:r>
          </w:p>
        </w:tc>
        <w:tc>
          <w:tcPr>
            <w:tcW w:w="1370" w:type="dxa"/>
          </w:tcPr>
          <w:p w14:paraId="7501897B" w14:textId="77777777" w:rsidR="00E21B4F" w:rsidRPr="00E21B4F" w:rsidRDefault="00E21B4F" w:rsidP="00E21B4F">
            <w:pPr>
              <w:spacing w:after="60" w:line="240" w:lineRule="auto"/>
              <w:jc w:val="right"/>
              <w:rPr>
                <w:sz w:val="18"/>
              </w:rPr>
            </w:pPr>
            <w:r w:rsidRPr="00E21B4F">
              <w:rPr>
                <w:sz w:val="18"/>
              </w:rPr>
              <w:t>$5,556,400</w:t>
            </w:r>
          </w:p>
        </w:tc>
        <w:tc>
          <w:tcPr>
            <w:tcW w:w="1273" w:type="dxa"/>
          </w:tcPr>
          <w:p w14:paraId="57042E91" w14:textId="77777777" w:rsidR="00E21B4F" w:rsidRPr="00E21B4F" w:rsidRDefault="00E21B4F" w:rsidP="00E21B4F">
            <w:pPr>
              <w:spacing w:after="60" w:line="240" w:lineRule="auto"/>
              <w:jc w:val="right"/>
              <w:rPr>
                <w:sz w:val="18"/>
              </w:rPr>
            </w:pPr>
            <w:r w:rsidRPr="00E21B4F">
              <w:rPr>
                <w:sz w:val="18"/>
              </w:rPr>
              <w:t>5.8%</w:t>
            </w:r>
          </w:p>
        </w:tc>
        <w:tc>
          <w:tcPr>
            <w:tcW w:w="1489" w:type="dxa"/>
          </w:tcPr>
          <w:p w14:paraId="567B4651" w14:textId="77777777" w:rsidR="00E21B4F" w:rsidRPr="00E21B4F" w:rsidRDefault="00E21B4F" w:rsidP="00E21B4F">
            <w:pPr>
              <w:spacing w:after="60" w:line="240" w:lineRule="auto"/>
              <w:jc w:val="right"/>
              <w:rPr>
                <w:sz w:val="18"/>
              </w:rPr>
            </w:pPr>
            <w:r w:rsidRPr="00E21B4F">
              <w:rPr>
                <w:sz w:val="18"/>
              </w:rPr>
              <w:t>$92,900,000</w:t>
            </w:r>
          </w:p>
        </w:tc>
        <w:tc>
          <w:tcPr>
            <w:tcW w:w="1370" w:type="dxa"/>
          </w:tcPr>
          <w:p w14:paraId="524582DE" w14:textId="77777777" w:rsidR="00E21B4F" w:rsidRPr="00E21B4F" w:rsidRDefault="00E21B4F" w:rsidP="00E21B4F">
            <w:pPr>
              <w:spacing w:after="60" w:line="240" w:lineRule="auto"/>
              <w:jc w:val="right"/>
              <w:rPr>
                <w:sz w:val="18"/>
              </w:rPr>
            </w:pPr>
            <w:r w:rsidRPr="00E21B4F">
              <w:rPr>
                <w:sz w:val="18"/>
              </w:rPr>
              <w:t>$4,830,800</w:t>
            </w:r>
          </w:p>
        </w:tc>
        <w:tc>
          <w:tcPr>
            <w:tcW w:w="1273" w:type="dxa"/>
          </w:tcPr>
          <w:p w14:paraId="4FBA58A3" w14:textId="77777777" w:rsidR="00E21B4F" w:rsidRPr="00E21B4F" w:rsidRDefault="00E21B4F" w:rsidP="00E21B4F">
            <w:pPr>
              <w:spacing w:after="60" w:line="240" w:lineRule="auto"/>
              <w:jc w:val="right"/>
              <w:rPr>
                <w:sz w:val="18"/>
              </w:rPr>
            </w:pPr>
            <w:r w:rsidRPr="00E21B4F">
              <w:rPr>
                <w:sz w:val="18"/>
              </w:rPr>
              <w:t>5.2%</w:t>
            </w:r>
          </w:p>
        </w:tc>
        <w:tc>
          <w:tcPr>
            <w:tcW w:w="1489" w:type="dxa"/>
          </w:tcPr>
          <w:p w14:paraId="3AE744D3" w14:textId="77777777" w:rsidR="00E21B4F" w:rsidRPr="00E21B4F" w:rsidRDefault="00E21B4F" w:rsidP="00E21B4F">
            <w:pPr>
              <w:spacing w:after="60" w:line="240" w:lineRule="auto"/>
              <w:jc w:val="right"/>
              <w:rPr>
                <w:sz w:val="18"/>
              </w:rPr>
            </w:pPr>
            <w:r w:rsidRPr="00E21B4F">
              <w:rPr>
                <w:sz w:val="18"/>
              </w:rPr>
              <w:t>$88,000,000</w:t>
            </w:r>
          </w:p>
        </w:tc>
        <w:tc>
          <w:tcPr>
            <w:tcW w:w="1370" w:type="dxa"/>
          </w:tcPr>
          <w:p w14:paraId="554823CC" w14:textId="77777777" w:rsidR="00E21B4F" w:rsidRPr="00E21B4F" w:rsidRDefault="00E21B4F" w:rsidP="00E21B4F">
            <w:pPr>
              <w:spacing w:after="60" w:line="240" w:lineRule="auto"/>
              <w:jc w:val="right"/>
              <w:rPr>
                <w:sz w:val="18"/>
              </w:rPr>
            </w:pPr>
            <w:r w:rsidRPr="00E21B4F">
              <w:rPr>
                <w:sz w:val="18"/>
              </w:rPr>
              <w:t>$6,952,000</w:t>
            </w:r>
          </w:p>
        </w:tc>
        <w:tc>
          <w:tcPr>
            <w:tcW w:w="1273" w:type="dxa"/>
          </w:tcPr>
          <w:p w14:paraId="4B923E72" w14:textId="77777777" w:rsidR="00E21B4F" w:rsidRPr="00E21B4F" w:rsidRDefault="00E21B4F" w:rsidP="00E21B4F">
            <w:pPr>
              <w:spacing w:after="60" w:line="240" w:lineRule="auto"/>
              <w:jc w:val="right"/>
              <w:rPr>
                <w:sz w:val="18"/>
              </w:rPr>
            </w:pPr>
            <w:r w:rsidRPr="00E21B4F">
              <w:rPr>
                <w:sz w:val="18"/>
              </w:rPr>
              <w:t>7.9%</w:t>
            </w:r>
          </w:p>
        </w:tc>
      </w:tr>
      <w:tr w:rsidR="00E21B4F" w:rsidRPr="00E21B4F" w14:paraId="3004FD84" w14:textId="77777777" w:rsidTr="00C72264">
        <w:tc>
          <w:tcPr>
            <w:tcW w:w="2269" w:type="dxa"/>
          </w:tcPr>
          <w:p w14:paraId="789E3289" w14:textId="77777777" w:rsidR="00E21B4F" w:rsidRPr="00E21B4F" w:rsidRDefault="00E21B4F" w:rsidP="00E21B4F">
            <w:pPr>
              <w:spacing w:after="60" w:line="240" w:lineRule="auto"/>
              <w:rPr>
                <w:sz w:val="18"/>
              </w:rPr>
            </w:pPr>
            <w:r w:rsidRPr="00E21B4F">
              <w:rPr>
                <w:sz w:val="18"/>
              </w:rPr>
              <w:t>Australian Grape &amp; Wine Authority^</w:t>
            </w:r>
          </w:p>
        </w:tc>
        <w:tc>
          <w:tcPr>
            <w:tcW w:w="1278" w:type="dxa"/>
          </w:tcPr>
          <w:p w14:paraId="6805BCC2" w14:textId="77777777" w:rsidR="00E21B4F" w:rsidRPr="00E21B4F" w:rsidRDefault="00E21B4F" w:rsidP="00E21B4F">
            <w:pPr>
              <w:spacing w:after="60" w:line="240" w:lineRule="auto"/>
              <w:jc w:val="right"/>
              <w:rPr>
                <w:sz w:val="18"/>
              </w:rPr>
            </w:pPr>
            <w:r w:rsidRPr="00E21B4F">
              <w:rPr>
                <w:sz w:val="18"/>
              </w:rPr>
              <w:t>$22,160,000</w:t>
            </w:r>
          </w:p>
        </w:tc>
        <w:tc>
          <w:tcPr>
            <w:tcW w:w="1370" w:type="dxa"/>
          </w:tcPr>
          <w:p w14:paraId="3F275C95" w14:textId="77777777" w:rsidR="00E21B4F" w:rsidRPr="00E21B4F" w:rsidRDefault="00E21B4F" w:rsidP="00E21B4F">
            <w:pPr>
              <w:spacing w:after="60" w:line="240" w:lineRule="auto"/>
              <w:jc w:val="right"/>
              <w:rPr>
                <w:sz w:val="18"/>
              </w:rPr>
            </w:pPr>
            <w:r w:rsidRPr="00E21B4F">
              <w:rPr>
                <w:sz w:val="18"/>
              </w:rPr>
              <w:t>$986,120</w:t>
            </w:r>
          </w:p>
        </w:tc>
        <w:tc>
          <w:tcPr>
            <w:tcW w:w="1273" w:type="dxa"/>
          </w:tcPr>
          <w:p w14:paraId="64178E81" w14:textId="77777777" w:rsidR="00E21B4F" w:rsidRPr="00E21B4F" w:rsidRDefault="00E21B4F" w:rsidP="00E21B4F">
            <w:pPr>
              <w:spacing w:after="60" w:line="240" w:lineRule="auto"/>
              <w:jc w:val="right"/>
              <w:rPr>
                <w:sz w:val="18"/>
              </w:rPr>
            </w:pPr>
            <w:r w:rsidRPr="00E21B4F">
              <w:rPr>
                <w:sz w:val="18"/>
              </w:rPr>
              <w:t>4.5%</w:t>
            </w:r>
          </w:p>
        </w:tc>
        <w:tc>
          <w:tcPr>
            <w:tcW w:w="1489" w:type="dxa"/>
          </w:tcPr>
          <w:p w14:paraId="76C2C48D" w14:textId="77777777" w:rsidR="00E21B4F" w:rsidRPr="00E21B4F" w:rsidRDefault="00E21B4F" w:rsidP="00E21B4F">
            <w:pPr>
              <w:spacing w:after="60" w:line="240" w:lineRule="auto"/>
              <w:jc w:val="right"/>
              <w:rPr>
                <w:sz w:val="18"/>
              </w:rPr>
            </w:pPr>
            <w:r w:rsidRPr="00E21B4F">
              <w:rPr>
                <w:sz w:val="18"/>
              </w:rPr>
              <w:t>$21,880,000</w:t>
            </w:r>
          </w:p>
        </w:tc>
        <w:tc>
          <w:tcPr>
            <w:tcW w:w="1370" w:type="dxa"/>
          </w:tcPr>
          <w:p w14:paraId="28FB3F53" w14:textId="77777777" w:rsidR="00E21B4F" w:rsidRPr="00E21B4F" w:rsidRDefault="00E21B4F" w:rsidP="00E21B4F">
            <w:pPr>
              <w:spacing w:after="60" w:line="240" w:lineRule="auto"/>
              <w:jc w:val="right"/>
              <w:rPr>
                <w:sz w:val="18"/>
              </w:rPr>
            </w:pPr>
            <w:r w:rsidRPr="00E21B4F">
              <w:rPr>
                <w:sz w:val="18"/>
              </w:rPr>
              <w:t>$1,162,000</w:t>
            </w:r>
          </w:p>
        </w:tc>
        <w:tc>
          <w:tcPr>
            <w:tcW w:w="1273" w:type="dxa"/>
          </w:tcPr>
          <w:p w14:paraId="49B90E6C" w14:textId="77777777" w:rsidR="00E21B4F" w:rsidRPr="00E21B4F" w:rsidRDefault="00E21B4F" w:rsidP="00E21B4F">
            <w:pPr>
              <w:spacing w:after="60" w:line="240" w:lineRule="auto"/>
              <w:jc w:val="right"/>
              <w:rPr>
                <w:sz w:val="18"/>
              </w:rPr>
            </w:pPr>
            <w:r w:rsidRPr="00E21B4F">
              <w:rPr>
                <w:sz w:val="18"/>
              </w:rPr>
              <w:t>5.3%</w:t>
            </w:r>
          </w:p>
        </w:tc>
        <w:tc>
          <w:tcPr>
            <w:tcW w:w="1489" w:type="dxa"/>
          </w:tcPr>
          <w:p w14:paraId="5B6B12B5" w14:textId="77777777" w:rsidR="00E21B4F" w:rsidRPr="00E21B4F" w:rsidRDefault="00E21B4F" w:rsidP="00E21B4F">
            <w:pPr>
              <w:spacing w:after="60" w:line="240" w:lineRule="auto"/>
              <w:jc w:val="right"/>
              <w:rPr>
                <w:sz w:val="18"/>
              </w:rPr>
            </w:pPr>
            <w:r w:rsidRPr="00E21B4F">
              <w:rPr>
                <w:sz w:val="18"/>
              </w:rPr>
              <w:t>$20,044,987</w:t>
            </w:r>
          </w:p>
        </w:tc>
        <w:tc>
          <w:tcPr>
            <w:tcW w:w="1370" w:type="dxa"/>
          </w:tcPr>
          <w:p w14:paraId="35B9A2EA" w14:textId="77777777" w:rsidR="00E21B4F" w:rsidRPr="00E21B4F" w:rsidRDefault="00E21B4F" w:rsidP="00E21B4F">
            <w:pPr>
              <w:spacing w:after="60" w:line="240" w:lineRule="auto"/>
              <w:jc w:val="right"/>
              <w:rPr>
                <w:sz w:val="18"/>
              </w:rPr>
            </w:pPr>
            <w:r w:rsidRPr="00E21B4F">
              <w:rPr>
                <w:sz w:val="18"/>
              </w:rPr>
              <w:t>$936,300</w:t>
            </w:r>
          </w:p>
        </w:tc>
        <w:tc>
          <w:tcPr>
            <w:tcW w:w="1273" w:type="dxa"/>
          </w:tcPr>
          <w:p w14:paraId="2DABB9D5" w14:textId="77777777" w:rsidR="00E21B4F" w:rsidRPr="00E21B4F" w:rsidRDefault="00E21B4F" w:rsidP="00E21B4F">
            <w:pPr>
              <w:spacing w:after="60" w:line="240" w:lineRule="auto"/>
              <w:jc w:val="right"/>
              <w:rPr>
                <w:sz w:val="18"/>
              </w:rPr>
            </w:pPr>
            <w:r w:rsidRPr="00E21B4F">
              <w:rPr>
                <w:sz w:val="18"/>
              </w:rPr>
              <w:t>4.7%</w:t>
            </w:r>
          </w:p>
        </w:tc>
      </w:tr>
      <w:tr w:rsidR="00E21B4F" w:rsidRPr="00E21B4F" w14:paraId="40269F68" w14:textId="77777777" w:rsidTr="00C72264">
        <w:tc>
          <w:tcPr>
            <w:tcW w:w="2269" w:type="dxa"/>
          </w:tcPr>
          <w:p w14:paraId="4A7E8253" w14:textId="77777777" w:rsidR="00E21B4F" w:rsidRPr="00E21B4F" w:rsidRDefault="00E21B4F" w:rsidP="00E21B4F">
            <w:pPr>
              <w:spacing w:after="60" w:line="240" w:lineRule="auto"/>
              <w:rPr>
                <w:sz w:val="18"/>
              </w:rPr>
            </w:pPr>
            <w:r w:rsidRPr="00E21B4F">
              <w:rPr>
                <w:sz w:val="18"/>
              </w:rPr>
              <w:t>Australian Meat Processor Corporation Ltd*</w:t>
            </w:r>
          </w:p>
        </w:tc>
        <w:tc>
          <w:tcPr>
            <w:tcW w:w="1278" w:type="dxa"/>
          </w:tcPr>
          <w:p w14:paraId="725A8E07" w14:textId="77777777" w:rsidR="00E21B4F" w:rsidRPr="00E21B4F" w:rsidRDefault="00E21B4F" w:rsidP="00E21B4F">
            <w:pPr>
              <w:spacing w:after="60" w:line="240" w:lineRule="auto"/>
              <w:jc w:val="right"/>
              <w:rPr>
                <w:sz w:val="18"/>
              </w:rPr>
            </w:pPr>
            <w:r w:rsidRPr="00E21B4F">
              <w:rPr>
                <w:sz w:val="18"/>
              </w:rPr>
              <w:t>$11,800,000</w:t>
            </w:r>
          </w:p>
        </w:tc>
        <w:tc>
          <w:tcPr>
            <w:tcW w:w="1370" w:type="dxa"/>
          </w:tcPr>
          <w:p w14:paraId="1707A79E" w14:textId="77777777" w:rsidR="00E21B4F" w:rsidRPr="00E21B4F" w:rsidRDefault="00E21B4F" w:rsidP="00E21B4F">
            <w:pPr>
              <w:spacing w:after="60" w:line="240" w:lineRule="auto"/>
              <w:jc w:val="right"/>
              <w:rPr>
                <w:sz w:val="18"/>
              </w:rPr>
            </w:pPr>
            <w:r w:rsidRPr="00E21B4F">
              <w:rPr>
                <w:sz w:val="18"/>
              </w:rPr>
              <w:t>$421,862</w:t>
            </w:r>
          </w:p>
        </w:tc>
        <w:tc>
          <w:tcPr>
            <w:tcW w:w="1273" w:type="dxa"/>
          </w:tcPr>
          <w:p w14:paraId="1BB622A8" w14:textId="77777777" w:rsidR="00E21B4F" w:rsidRPr="00E21B4F" w:rsidRDefault="00E21B4F" w:rsidP="00E21B4F">
            <w:pPr>
              <w:spacing w:after="60" w:line="240" w:lineRule="auto"/>
              <w:jc w:val="right"/>
              <w:rPr>
                <w:sz w:val="18"/>
              </w:rPr>
            </w:pPr>
            <w:r w:rsidRPr="00E21B4F">
              <w:rPr>
                <w:sz w:val="18"/>
              </w:rPr>
              <w:t>3.6%</w:t>
            </w:r>
          </w:p>
        </w:tc>
        <w:tc>
          <w:tcPr>
            <w:tcW w:w="1489" w:type="dxa"/>
          </w:tcPr>
          <w:p w14:paraId="355C3ABC" w14:textId="77777777" w:rsidR="00E21B4F" w:rsidRPr="00E21B4F" w:rsidRDefault="00E21B4F" w:rsidP="00E21B4F">
            <w:pPr>
              <w:spacing w:after="60" w:line="240" w:lineRule="auto"/>
              <w:jc w:val="right"/>
              <w:rPr>
                <w:sz w:val="18"/>
              </w:rPr>
            </w:pPr>
            <w:r w:rsidRPr="00E21B4F">
              <w:rPr>
                <w:sz w:val="18"/>
              </w:rPr>
              <w:t>$13,100,000</w:t>
            </w:r>
          </w:p>
        </w:tc>
        <w:tc>
          <w:tcPr>
            <w:tcW w:w="1370" w:type="dxa"/>
          </w:tcPr>
          <w:p w14:paraId="2E45FE83" w14:textId="77777777" w:rsidR="00E21B4F" w:rsidRPr="00E21B4F" w:rsidRDefault="00E21B4F" w:rsidP="00E21B4F">
            <w:pPr>
              <w:spacing w:after="60" w:line="240" w:lineRule="auto"/>
              <w:jc w:val="right"/>
              <w:rPr>
                <w:sz w:val="18"/>
              </w:rPr>
            </w:pPr>
            <w:r w:rsidRPr="00E21B4F">
              <w:rPr>
                <w:sz w:val="18"/>
              </w:rPr>
              <w:t>$744,316</w:t>
            </w:r>
          </w:p>
        </w:tc>
        <w:tc>
          <w:tcPr>
            <w:tcW w:w="1273" w:type="dxa"/>
          </w:tcPr>
          <w:p w14:paraId="4E41B49E" w14:textId="77777777" w:rsidR="00E21B4F" w:rsidRPr="00E21B4F" w:rsidRDefault="00E21B4F" w:rsidP="00E21B4F">
            <w:pPr>
              <w:spacing w:after="60" w:line="240" w:lineRule="auto"/>
              <w:jc w:val="right"/>
              <w:rPr>
                <w:sz w:val="18"/>
              </w:rPr>
            </w:pPr>
            <w:r w:rsidRPr="00E21B4F">
              <w:rPr>
                <w:sz w:val="18"/>
              </w:rPr>
              <w:t>5.7%</w:t>
            </w:r>
          </w:p>
        </w:tc>
        <w:tc>
          <w:tcPr>
            <w:tcW w:w="1489" w:type="dxa"/>
          </w:tcPr>
          <w:p w14:paraId="49BAE0BF" w14:textId="77777777" w:rsidR="00E21B4F" w:rsidRPr="00E21B4F" w:rsidRDefault="00E21B4F" w:rsidP="00E21B4F">
            <w:pPr>
              <w:spacing w:after="60" w:line="240" w:lineRule="auto"/>
              <w:jc w:val="right"/>
              <w:rPr>
                <w:sz w:val="18"/>
              </w:rPr>
            </w:pPr>
            <w:r w:rsidRPr="00E21B4F">
              <w:rPr>
                <w:sz w:val="18"/>
              </w:rPr>
              <w:t>$11,416,223</w:t>
            </w:r>
          </w:p>
        </w:tc>
        <w:tc>
          <w:tcPr>
            <w:tcW w:w="1370" w:type="dxa"/>
          </w:tcPr>
          <w:p w14:paraId="214CE6F1" w14:textId="77777777" w:rsidR="00E21B4F" w:rsidRPr="00E21B4F" w:rsidRDefault="00E21B4F" w:rsidP="00E21B4F">
            <w:pPr>
              <w:spacing w:after="60" w:line="240" w:lineRule="auto"/>
              <w:jc w:val="right"/>
              <w:rPr>
                <w:sz w:val="18"/>
              </w:rPr>
            </w:pPr>
            <w:r w:rsidRPr="00E21B4F">
              <w:rPr>
                <w:sz w:val="18"/>
              </w:rPr>
              <w:t>$565,144</w:t>
            </w:r>
          </w:p>
        </w:tc>
        <w:tc>
          <w:tcPr>
            <w:tcW w:w="1273" w:type="dxa"/>
          </w:tcPr>
          <w:p w14:paraId="1E446014" w14:textId="77777777" w:rsidR="00E21B4F" w:rsidRPr="00E21B4F" w:rsidRDefault="00E21B4F" w:rsidP="00E21B4F">
            <w:pPr>
              <w:spacing w:after="60" w:line="240" w:lineRule="auto"/>
              <w:jc w:val="right"/>
              <w:rPr>
                <w:sz w:val="18"/>
              </w:rPr>
            </w:pPr>
            <w:r w:rsidRPr="00E21B4F">
              <w:rPr>
                <w:sz w:val="18"/>
              </w:rPr>
              <w:t>5.0%</w:t>
            </w:r>
          </w:p>
        </w:tc>
      </w:tr>
      <w:tr w:rsidR="00E21B4F" w:rsidRPr="00E21B4F" w14:paraId="0B8D7457" w14:textId="77777777" w:rsidTr="00C72264">
        <w:tc>
          <w:tcPr>
            <w:tcW w:w="2269" w:type="dxa"/>
          </w:tcPr>
          <w:p w14:paraId="24BE1ED7" w14:textId="77777777" w:rsidR="00E21B4F" w:rsidRPr="00E21B4F" w:rsidRDefault="00E21B4F" w:rsidP="00E21B4F">
            <w:pPr>
              <w:spacing w:after="60" w:line="240" w:lineRule="auto"/>
              <w:rPr>
                <w:sz w:val="18"/>
              </w:rPr>
            </w:pPr>
            <w:r w:rsidRPr="00E21B4F">
              <w:rPr>
                <w:sz w:val="18"/>
              </w:rPr>
              <w:t>Fisheries RDC^</w:t>
            </w:r>
          </w:p>
        </w:tc>
        <w:tc>
          <w:tcPr>
            <w:tcW w:w="1278" w:type="dxa"/>
          </w:tcPr>
          <w:p w14:paraId="2CB1F194" w14:textId="77777777" w:rsidR="00E21B4F" w:rsidRPr="00E21B4F" w:rsidRDefault="00E21B4F" w:rsidP="00E21B4F">
            <w:pPr>
              <w:spacing w:after="60" w:line="240" w:lineRule="auto"/>
              <w:jc w:val="right"/>
              <w:rPr>
                <w:sz w:val="18"/>
              </w:rPr>
            </w:pPr>
            <w:r w:rsidRPr="00E21B4F">
              <w:rPr>
                <w:sz w:val="18"/>
              </w:rPr>
              <w:t>$22,870,000</w:t>
            </w:r>
          </w:p>
        </w:tc>
        <w:tc>
          <w:tcPr>
            <w:tcW w:w="1370" w:type="dxa"/>
          </w:tcPr>
          <w:p w14:paraId="418D7B94" w14:textId="77777777" w:rsidR="00E21B4F" w:rsidRPr="00E21B4F" w:rsidRDefault="00E21B4F" w:rsidP="00E21B4F">
            <w:pPr>
              <w:spacing w:after="60" w:line="240" w:lineRule="auto"/>
              <w:jc w:val="right"/>
              <w:rPr>
                <w:sz w:val="18"/>
              </w:rPr>
            </w:pPr>
            <w:r w:rsidRPr="00E21B4F">
              <w:rPr>
                <w:sz w:val="18"/>
              </w:rPr>
              <w:t>$1,921,000</w:t>
            </w:r>
          </w:p>
        </w:tc>
        <w:tc>
          <w:tcPr>
            <w:tcW w:w="1273" w:type="dxa"/>
          </w:tcPr>
          <w:p w14:paraId="6BCABB2C" w14:textId="77777777" w:rsidR="00E21B4F" w:rsidRPr="00E21B4F" w:rsidRDefault="00E21B4F" w:rsidP="00E21B4F">
            <w:pPr>
              <w:spacing w:after="60" w:line="240" w:lineRule="auto"/>
              <w:jc w:val="right"/>
              <w:rPr>
                <w:sz w:val="18"/>
              </w:rPr>
            </w:pPr>
            <w:r w:rsidRPr="00E21B4F">
              <w:rPr>
                <w:sz w:val="18"/>
              </w:rPr>
              <w:t>8.4%</w:t>
            </w:r>
          </w:p>
        </w:tc>
        <w:tc>
          <w:tcPr>
            <w:tcW w:w="1489" w:type="dxa"/>
          </w:tcPr>
          <w:p w14:paraId="5B7B8217" w14:textId="77777777" w:rsidR="00E21B4F" w:rsidRPr="00E21B4F" w:rsidRDefault="00E21B4F" w:rsidP="00E21B4F">
            <w:pPr>
              <w:spacing w:after="60" w:line="240" w:lineRule="auto"/>
              <w:jc w:val="right"/>
              <w:rPr>
                <w:sz w:val="18"/>
              </w:rPr>
            </w:pPr>
            <w:r w:rsidRPr="00E21B4F">
              <w:rPr>
                <w:sz w:val="18"/>
              </w:rPr>
              <w:t>$24,850,000</w:t>
            </w:r>
          </w:p>
        </w:tc>
        <w:tc>
          <w:tcPr>
            <w:tcW w:w="1370" w:type="dxa"/>
          </w:tcPr>
          <w:p w14:paraId="2C3A96FB" w14:textId="77777777" w:rsidR="00E21B4F" w:rsidRPr="00E21B4F" w:rsidRDefault="00E21B4F" w:rsidP="00E21B4F">
            <w:pPr>
              <w:spacing w:after="60" w:line="240" w:lineRule="auto"/>
              <w:jc w:val="right"/>
              <w:rPr>
                <w:sz w:val="18"/>
              </w:rPr>
            </w:pPr>
            <w:r w:rsidRPr="00E21B4F">
              <w:rPr>
                <w:sz w:val="18"/>
              </w:rPr>
              <w:t>$1,840,000</w:t>
            </w:r>
          </w:p>
        </w:tc>
        <w:tc>
          <w:tcPr>
            <w:tcW w:w="1273" w:type="dxa"/>
          </w:tcPr>
          <w:p w14:paraId="5EBEE0DE" w14:textId="77777777" w:rsidR="00E21B4F" w:rsidRPr="00E21B4F" w:rsidRDefault="00E21B4F" w:rsidP="00E21B4F">
            <w:pPr>
              <w:spacing w:after="60" w:line="240" w:lineRule="auto"/>
              <w:jc w:val="right"/>
              <w:rPr>
                <w:sz w:val="18"/>
              </w:rPr>
            </w:pPr>
            <w:r w:rsidRPr="00E21B4F">
              <w:rPr>
                <w:sz w:val="18"/>
              </w:rPr>
              <w:t>7.4%</w:t>
            </w:r>
          </w:p>
        </w:tc>
        <w:tc>
          <w:tcPr>
            <w:tcW w:w="1489" w:type="dxa"/>
          </w:tcPr>
          <w:p w14:paraId="5BC57BA4" w14:textId="77777777" w:rsidR="00E21B4F" w:rsidRPr="00E21B4F" w:rsidRDefault="00E21B4F" w:rsidP="00E21B4F">
            <w:pPr>
              <w:spacing w:after="60" w:line="240" w:lineRule="auto"/>
              <w:jc w:val="right"/>
              <w:rPr>
                <w:sz w:val="18"/>
              </w:rPr>
            </w:pPr>
            <w:r w:rsidRPr="00E21B4F">
              <w:rPr>
                <w:sz w:val="18"/>
              </w:rPr>
              <w:t>$24,575,116</w:t>
            </w:r>
          </w:p>
        </w:tc>
        <w:tc>
          <w:tcPr>
            <w:tcW w:w="1370" w:type="dxa"/>
          </w:tcPr>
          <w:p w14:paraId="422517FF" w14:textId="77777777" w:rsidR="00E21B4F" w:rsidRPr="00E21B4F" w:rsidRDefault="00E21B4F" w:rsidP="00E21B4F">
            <w:pPr>
              <w:spacing w:after="60" w:line="240" w:lineRule="auto"/>
              <w:jc w:val="right"/>
              <w:rPr>
                <w:sz w:val="18"/>
              </w:rPr>
            </w:pPr>
            <w:r w:rsidRPr="00E21B4F">
              <w:rPr>
                <w:sz w:val="18"/>
              </w:rPr>
              <w:t>$2,575,649</w:t>
            </w:r>
          </w:p>
        </w:tc>
        <w:tc>
          <w:tcPr>
            <w:tcW w:w="1273" w:type="dxa"/>
          </w:tcPr>
          <w:p w14:paraId="24166E2D" w14:textId="77777777" w:rsidR="00E21B4F" w:rsidRPr="00E21B4F" w:rsidRDefault="00E21B4F" w:rsidP="00E21B4F">
            <w:pPr>
              <w:spacing w:after="60" w:line="240" w:lineRule="auto"/>
              <w:jc w:val="right"/>
              <w:rPr>
                <w:sz w:val="18"/>
              </w:rPr>
            </w:pPr>
            <w:r w:rsidRPr="00E21B4F">
              <w:rPr>
                <w:sz w:val="18"/>
              </w:rPr>
              <w:t>10.5%</w:t>
            </w:r>
          </w:p>
        </w:tc>
      </w:tr>
      <w:tr w:rsidR="00E21B4F" w:rsidRPr="00E21B4F" w14:paraId="72CE1C8D" w14:textId="77777777" w:rsidTr="00C72264">
        <w:tc>
          <w:tcPr>
            <w:tcW w:w="2269" w:type="dxa"/>
          </w:tcPr>
          <w:p w14:paraId="4CB4E5BA" w14:textId="77777777" w:rsidR="00E21B4F" w:rsidRPr="00E21B4F" w:rsidRDefault="00E21B4F" w:rsidP="00E21B4F">
            <w:pPr>
              <w:spacing w:after="60" w:line="240" w:lineRule="auto"/>
              <w:rPr>
                <w:sz w:val="18"/>
              </w:rPr>
            </w:pPr>
            <w:r w:rsidRPr="00E21B4F">
              <w:rPr>
                <w:sz w:val="18"/>
              </w:rPr>
              <w:t>Rural Industries RDC^</w:t>
            </w:r>
          </w:p>
        </w:tc>
        <w:tc>
          <w:tcPr>
            <w:tcW w:w="1278" w:type="dxa"/>
          </w:tcPr>
          <w:p w14:paraId="52DDEC48" w14:textId="77777777" w:rsidR="00E21B4F" w:rsidRPr="00E21B4F" w:rsidRDefault="00E21B4F" w:rsidP="00E21B4F">
            <w:pPr>
              <w:spacing w:after="60" w:line="240" w:lineRule="auto"/>
              <w:jc w:val="right"/>
              <w:rPr>
                <w:sz w:val="18"/>
              </w:rPr>
            </w:pPr>
            <w:r w:rsidRPr="00E21B4F">
              <w:rPr>
                <w:sz w:val="18"/>
              </w:rPr>
              <w:t>$14,580,000</w:t>
            </w:r>
          </w:p>
        </w:tc>
        <w:tc>
          <w:tcPr>
            <w:tcW w:w="1370" w:type="dxa"/>
          </w:tcPr>
          <w:p w14:paraId="26BE6C96" w14:textId="77777777" w:rsidR="00E21B4F" w:rsidRPr="00E21B4F" w:rsidRDefault="00E21B4F" w:rsidP="00E21B4F">
            <w:pPr>
              <w:spacing w:after="60" w:line="240" w:lineRule="auto"/>
              <w:jc w:val="right"/>
              <w:rPr>
                <w:sz w:val="18"/>
              </w:rPr>
            </w:pPr>
            <w:r w:rsidRPr="00E21B4F">
              <w:rPr>
                <w:sz w:val="18"/>
              </w:rPr>
              <w:t>$1,071,000</w:t>
            </w:r>
          </w:p>
        </w:tc>
        <w:tc>
          <w:tcPr>
            <w:tcW w:w="1273" w:type="dxa"/>
          </w:tcPr>
          <w:p w14:paraId="72587594" w14:textId="77777777" w:rsidR="00E21B4F" w:rsidRPr="00E21B4F" w:rsidRDefault="00E21B4F" w:rsidP="00E21B4F">
            <w:pPr>
              <w:spacing w:after="60" w:line="240" w:lineRule="auto"/>
              <w:jc w:val="right"/>
              <w:rPr>
                <w:sz w:val="18"/>
              </w:rPr>
            </w:pPr>
            <w:r w:rsidRPr="00E21B4F">
              <w:rPr>
                <w:sz w:val="18"/>
              </w:rPr>
              <w:t>7.4%</w:t>
            </w:r>
          </w:p>
        </w:tc>
        <w:tc>
          <w:tcPr>
            <w:tcW w:w="1489" w:type="dxa"/>
          </w:tcPr>
          <w:p w14:paraId="46A3ACB8" w14:textId="77777777" w:rsidR="00E21B4F" w:rsidRPr="00E21B4F" w:rsidRDefault="00E21B4F" w:rsidP="00E21B4F">
            <w:pPr>
              <w:spacing w:after="60" w:line="240" w:lineRule="auto"/>
              <w:jc w:val="right"/>
              <w:rPr>
                <w:sz w:val="18"/>
              </w:rPr>
            </w:pPr>
            <w:r w:rsidRPr="00E21B4F">
              <w:rPr>
                <w:sz w:val="18"/>
              </w:rPr>
              <w:t>$13,240,000</w:t>
            </w:r>
          </w:p>
        </w:tc>
        <w:tc>
          <w:tcPr>
            <w:tcW w:w="1370" w:type="dxa"/>
          </w:tcPr>
          <w:p w14:paraId="1025F5B9" w14:textId="77777777" w:rsidR="00E21B4F" w:rsidRPr="00E21B4F" w:rsidRDefault="00E21B4F" w:rsidP="00E21B4F">
            <w:pPr>
              <w:spacing w:after="60" w:line="240" w:lineRule="auto"/>
              <w:jc w:val="right"/>
              <w:rPr>
                <w:sz w:val="18"/>
              </w:rPr>
            </w:pPr>
            <w:r w:rsidRPr="00E21B4F">
              <w:rPr>
                <w:sz w:val="18"/>
              </w:rPr>
              <w:t>$1,494,000</w:t>
            </w:r>
          </w:p>
        </w:tc>
        <w:tc>
          <w:tcPr>
            <w:tcW w:w="1273" w:type="dxa"/>
          </w:tcPr>
          <w:p w14:paraId="1B507CBF" w14:textId="77777777" w:rsidR="00E21B4F" w:rsidRPr="00E21B4F" w:rsidRDefault="00E21B4F" w:rsidP="00E21B4F">
            <w:pPr>
              <w:spacing w:after="60" w:line="240" w:lineRule="auto"/>
              <w:jc w:val="right"/>
              <w:rPr>
                <w:sz w:val="18"/>
              </w:rPr>
            </w:pPr>
            <w:r w:rsidRPr="00E21B4F">
              <w:rPr>
                <w:sz w:val="18"/>
              </w:rPr>
              <w:t>11.3%</w:t>
            </w:r>
          </w:p>
        </w:tc>
        <w:tc>
          <w:tcPr>
            <w:tcW w:w="1489" w:type="dxa"/>
          </w:tcPr>
          <w:p w14:paraId="79CE6A40" w14:textId="77777777" w:rsidR="00E21B4F" w:rsidRPr="00E21B4F" w:rsidRDefault="00E21B4F" w:rsidP="00E21B4F">
            <w:pPr>
              <w:spacing w:after="60" w:line="240" w:lineRule="auto"/>
              <w:jc w:val="right"/>
              <w:rPr>
                <w:sz w:val="18"/>
              </w:rPr>
            </w:pPr>
            <w:r w:rsidRPr="00E21B4F">
              <w:rPr>
                <w:sz w:val="18"/>
              </w:rPr>
              <w:t>$14,704,000</w:t>
            </w:r>
          </w:p>
        </w:tc>
        <w:tc>
          <w:tcPr>
            <w:tcW w:w="1370" w:type="dxa"/>
          </w:tcPr>
          <w:p w14:paraId="7ECF024C" w14:textId="77777777" w:rsidR="00E21B4F" w:rsidRPr="00E21B4F" w:rsidRDefault="00E21B4F" w:rsidP="00E21B4F">
            <w:pPr>
              <w:spacing w:after="60" w:line="240" w:lineRule="auto"/>
              <w:jc w:val="right"/>
              <w:rPr>
                <w:sz w:val="18"/>
              </w:rPr>
            </w:pPr>
            <w:r w:rsidRPr="00E21B4F">
              <w:rPr>
                <w:sz w:val="18"/>
              </w:rPr>
              <w:t>$1,184,000</w:t>
            </w:r>
          </w:p>
        </w:tc>
        <w:tc>
          <w:tcPr>
            <w:tcW w:w="1273" w:type="dxa"/>
          </w:tcPr>
          <w:p w14:paraId="669810EC" w14:textId="77777777" w:rsidR="00E21B4F" w:rsidRPr="00E21B4F" w:rsidRDefault="00E21B4F" w:rsidP="00E21B4F">
            <w:pPr>
              <w:spacing w:after="60" w:line="240" w:lineRule="auto"/>
              <w:jc w:val="right"/>
              <w:rPr>
                <w:sz w:val="18"/>
              </w:rPr>
            </w:pPr>
            <w:r w:rsidRPr="00E21B4F">
              <w:rPr>
                <w:sz w:val="18"/>
              </w:rPr>
              <w:t>8.1%</w:t>
            </w:r>
          </w:p>
        </w:tc>
      </w:tr>
      <w:tr w:rsidR="00E21B4F" w:rsidRPr="00E21B4F" w14:paraId="319D4563" w14:textId="77777777" w:rsidTr="00C72264">
        <w:tc>
          <w:tcPr>
            <w:tcW w:w="2269" w:type="dxa"/>
          </w:tcPr>
          <w:p w14:paraId="682A3FDC" w14:textId="77777777" w:rsidR="00E21B4F" w:rsidRPr="00E21B4F" w:rsidRDefault="00E21B4F" w:rsidP="00E21B4F">
            <w:pPr>
              <w:spacing w:after="60" w:line="240" w:lineRule="auto"/>
              <w:rPr>
                <w:sz w:val="18"/>
              </w:rPr>
            </w:pPr>
            <w:r w:rsidRPr="00E21B4F">
              <w:rPr>
                <w:sz w:val="18"/>
              </w:rPr>
              <w:t>Horticulture Australia Ltd*/Horticulture Innovation Australia Ltd*</w:t>
            </w:r>
          </w:p>
        </w:tc>
        <w:tc>
          <w:tcPr>
            <w:tcW w:w="1278" w:type="dxa"/>
          </w:tcPr>
          <w:p w14:paraId="37E0D7D4" w14:textId="77777777" w:rsidR="00E21B4F" w:rsidRPr="00E21B4F" w:rsidRDefault="00E21B4F" w:rsidP="00E21B4F">
            <w:pPr>
              <w:spacing w:after="60" w:line="240" w:lineRule="auto"/>
              <w:jc w:val="right"/>
              <w:rPr>
                <w:sz w:val="18"/>
              </w:rPr>
            </w:pPr>
            <w:r w:rsidRPr="00E21B4F">
              <w:rPr>
                <w:sz w:val="18"/>
              </w:rPr>
              <w:t>$76,700,000</w:t>
            </w:r>
          </w:p>
        </w:tc>
        <w:tc>
          <w:tcPr>
            <w:tcW w:w="1370" w:type="dxa"/>
          </w:tcPr>
          <w:p w14:paraId="47C4B1FD" w14:textId="77777777" w:rsidR="00E21B4F" w:rsidRPr="00E21B4F" w:rsidRDefault="00E21B4F" w:rsidP="00E21B4F">
            <w:pPr>
              <w:spacing w:after="60" w:line="240" w:lineRule="auto"/>
              <w:jc w:val="right"/>
              <w:rPr>
                <w:sz w:val="18"/>
              </w:rPr>
            </w:pPr>
            <w:r w:rsidRPr="00E21B4F">
              <w:rPr>
                <w:sz w:val="18"/>
              </w:rPr>
              <w:t>$6,903,000</w:t>
            </w:r>
          </w:p>
        </w:tc>
        <w:tc>
          <w:tcPr>
            <w:tcW w:w="1273" w:type="dxa"/>
          </w:tcPr>
          <w:p w14:paraId="5FED05CF" w14:textId="77777777" w:rsidR="00E21B4F" w:rsidRPr="00E21B4F" w:rsidRDefault="00E21B4F" w:rsidP="00E21B4F">
            <w:pPr>
              <w:spacing w:after="60" w:line="240" w:lineRule="auto"/>
              <w:jc w:val="right"/>
              <w:rPr>
                <w:sz w:val="18"/>
              </w:rPr>
            </w:pPr>
            <w:r w:rsidRPr="00E21B4F">
              <w:rPr>
                <w:sz w:val="18"/>
              </w:rPr>
              <w:t>9.0%</w:t>
            </w:r>
          </w:p>
        </w:tc>
        <w:tc>
          <w:tcPr>
            <w:tcW w:w="1489" w:type="dxa"/>
          </w:tcPr>
          <w:p w14:paraId="2304BA4E" w14:textId="77777777" w:rsidR="00E21B4F" w:rsidRPr="00E21B4F" w:rsidRDefault="00E21B4F" w:rsidP="00E21B4F">
            <w:pPr>
              <w:spacing w:after="60" w:line="240" w:lineRule="auto"/>
              <w:jc w:val="right"/>
              <w:rPr>
                <w:sz w:val="18"/>
              </w:rPr>
            </w:pPr>
            <w:r w:rsidRPr="00E21B4F">
              <w:rPr>
                <w:sz w:val="18"/>
              </w:rPr>
              <w:t>$51,970,000</w:t>
            </w:r>
          </w:p>
        </w:tc>
        <w:tc>
          <w:tcPr>
            <w:tcW w:w="1370" w:type="dxa"/>
          </w:tcPr>
          <w:p w14:paraId="076C0F97" w14:textId="77777777" w:rsidR="00E21B4F" w:rsidRPr="00E21B4F" w:rsidRDefault="00E21B4F" w:rsidP="00E21B4F">
            <w:pPr>
              <w:spacing w:after="60" w:line="240" w:lineRule="auto"/>
              <w:jc w:val="right"/>
              <w:rPr>
                <w:sz w:val="18"/>
              </w:rPr>
            </w:pPr>
            <w:r w:rsidRPr="00E21B4F">
              <w:rPr>
                <w:sz w:val="18"/>
              </w:rPr>
              <w:t>$6,236,400</w:t>
            </w:r>
          </w:p>
        </w:tc>
        <w:tc>
          <w:tcPr>
            <w:tcW w:w="1273" w:type="dxa"/>
          </w:tcPr>
          <w:p w14:paraId="579ED1BF" w14:textId="77777777" w:rsidR="00E21B4F" w:rsidRPr="00E21B4F" w:rsidRDefault="00E21B4F" w:rsidP="00E21B4F">
            <w:pPr>
              <w:spacing w:after="60" w:line="240" w:lineRule="auto"/>
              <w:jc w:val="right"/>
              <w:rPr>
                <w:sz w:val="18"/>
              </w:rPr>
            </w:pPr>
            <w:r w:rsidRPr="00E21B4F">
              <w:rPr>
                <w:sz w:val="18"/>
              </w:rPr>
              <w:t>12.0%</w:t>
            </w:r>
          </w:p>
        </w:tc>
        <w:tc>
          <w:tcPr>
            <w:tcW w:w="1489" w:type="dxa"/>
          </w:tcPr>
          <w:p w14:paraId="02E16794" w14:textId="77777777" w:rsidR="00E21B4F" w:rsidRPr="00E21B4F" w:rsidRDefault="00E21B4F" w:rsidP="00E21B4F">
            <w:pPr>
              <w:spacing w:after="60" w:line="240" w:lineRule="auto"/>
              <w:jc w:val="right"/>
              <w:rPr>
                <w:sz w:val="18"/>
              </w:rPr>
            </w:pPr>
            <w:r w:rsidRPr="00E21B4F">
              <w:rPr>
                <w:sz w:val="18"/>
              </w:rPr>
              <w:t>$78,172,778</w:t>
            </w:r>
          </w:p>
        </w:tc>
        <w:tc>
          <w:tcPr>
            <w:tcW w:w="1370" w:type="dxa"/>
          </w:tcPr>
          <w:p w14:paraId="1C4F4E6B" w14:textId="77777777" w:rsidR="00E21B4F" w:rsidRPr="00E21B4F" w:rsidRDefault="00E21B4F" w:rsidP="00E21B4F">
            <w:pPr>
              <w:spacing w:after="60" w:line="240" w:lineRule="auto"/>
              <w:jc w:val="right"/>
              <w:rPr>
                <w:sz w:val="18"/>
              </w:rPr>
            </w:pPr>
            <w:r w:rsidRPr="00E21B4F">
              <w:rPr>
                <w:sz w:val="18"/>
              </w:rPr>
              <w:t>$8,599,006</w:t>
            </w:r>
          </w:p>
        </w:tc>
        <w:tc>
          <w:tcPr>
            <w:tcW w:w="1273" w:type="dxa"/>
          </w:tcPr>
          <w:p w14:paraId="29801473" w14:textId="77777777" w:rsidR="00E21B4F" w:rsidRPr="00E21B4F" w:rsidRDefault="00E21B4F" w:rsidP="00E21B4F">
            <w:pPr>
              <w:spacing w:after="60" w:line="240" w:lineRule="auto"/>
              <w:jc w:val="right"/>
              <w:rPr>
                <w:sz w:val="18"/>
              </w:rPr>
            </w:pPr>
            <w:r w:rsidRPr="00E21B4F">
              <w:rPr>
                <w:sz w:val="18"/>
              </w:rPr>
              <w:t>11.0%</w:t>
            </w:r>
          </w:p>
        </w:tc>
      </w:tr>
      <w:tr w:rsidR="00E21B4F" w:rsidRPr="00E21B4F" w14:paraId="4A5C171A" w14:textId="77777777" w:rsidTr="00C72264">
        <w:tc>
          <w:tcPr>
            <w:tcW w:w="2269" w:type="dxa"/>
          </w:tcPr>
          <w:p w14:paraId="797BB6FC" w14:textId="77777777" w:rsidR="00E21B4F" w:rsidRPr="00E21B4F" w:rsidRDefault="00E21B4F" w:rsidP="00E21B4F">
            <w:pPr>
              <w:spacing w:after="60" w:line="240" w:lineRule="auto"/>
              <w:rPr>
                <w:sz w:val="18"/>
              </w:rPr>
            </w:pPr>
            <w:r w:rsidRPr="00E21B4F">
              <w:rPr>
                <w:sz w:val="18"/>
              </w:rPr>
              <w:t>Cotton RDC^</w:t>
            </w:r>
          </w:p>
        </w:tc>
        <w:tc>
          <w:tcPr>
            <w:tcW w:w="1278" w:type="dxa"/>
          </w:tcPr>
          <w:p w14:paraId="1A27E174" w14:textId="77777777" w:rsidR="00E21B4F" w:rsidRPr="00E21B4F" w:rsidRDefault="00E21B4F" w:rsidP="00E21B4F">
            <w:pPr>
              <w:spacing w:after="60" w:line="240" w:lineRule="auto"/>
              <w:jc w:val="right"/>
              <w:rPr>
                <w:sz w:val="18"/>
              </w:rPr>
            </w:pPr>
            <w:r w:rsidRPr="00E21B4F">
              <w:rPr>
                <w:sz w:val="18"/>
              </w:rPr>
              <w:t>$18,200,000</w:t>
            </w:r>
          </w:p>
        </w:tc>
        <w:tc>
          <w:tcPr>
            <w:tcW w:w="1370" w:type="dxa"/>
          </w:tcPr>
          <w:p w14:paraId="0700D505" w14:textId="77777777" w:rsidR="00E21B4F" w:rsidRPr="00E21B4F" w:rsidRDefault="00E21B4F" w:rsidP="00E21B4F">
            <w:pPr>
              <w:spacing w:after="60" w:line="240" w:lineRule="auto"/>
              <w:jc w:val="right"/>
              <w:rPr>
                <w:sz w:val="18"/>
              </w:rPr>
            </w:pPr>
            <w:r w:rsidRPr="00E21B4F">
              <w:rPr>
                <w:sz w:val="18"/>
              </w:rPr>
              <w:t>$4,368,000</w:t>
            </w:r>
          </w:p>
        </w:tc>
        <w:tc>
          <w:tcPr>
            <w:tcW w:w="1273" w:type="dxa"/>
          </w:tcPr>
          <w:p w14:paraId="45F8C4EF" w14:textId="77777777" w:rsidR="00E21B4F" w:rsidRPr="00E21B4F" w:rsidRDefault="00E21B4F" w:rsidP="00E21B4F">
            <w:pPr>
              <w:spacing w:after="60" w:line="240" w:lineRule="auto"/>
              <w:jc w:val="right"/>
              <w:rPr>
                <w:sz w:val="18"/>
              </w:rPr>
            </w:pPr>
            <w:r w:rsidRPr="00E21B4F">
              <w:rPr>
                <w:sz w:val="18"/>
              </w:rPr>
              <w:t>24.0%</w:t>
            </w:r>
          </w:p>
        </w:tc>
        <w:tc>
          <w:tcPr>
            <w:tcW w:w="1489" w:type="dxa"/>
          </w:tcPr>
          <w:p w14:paraId="73A7CD6D" w14:textId="77777777" w:rsidR="00E21B4F" w:rsidRPr="00E21B4F" w:rsidRDefault="00E21B4F" w:rsidP="00E21B4F">
            <w:pPr>
              <w:spacing w:after="60" w:line="240" w:lineRule="auto"/>
              <w:jc w:val="right"/>
              <w:rPr>
                <w:sz w:val="18"/>
              </w:rPr>
            </w:pPr>
            <w:r w:rsidRPr="00E21B4F">
              <w:rPr>
                <w:sz w:val="18"/>
              </w:rPr>
              <w:t>$19,240,000</w:t>
            </w:r>
          </w:p>
        </w:tc>
        <w:tc>
          <w:tcPr>
            <w:tcW w:w="1370" w:type="dxa"/>
          </w:tcPr>
          <w:p w14:paraId="0780CF2E" w14:textId="77777777" w:rsidR="00E21B4F" w:rsidRPr="00E21B4F" w:rsidRDefault="00E21B4F" w:rsidP="00E21B4F">
            <w:pPr>
              <w:spacing w:after="60" w:line="240" w:lineRule="auto"/>
              <w:jc w:val="right"/>
              <w:rPr>
                <w:sz w:val="18"/>
              </w:rPr>
            </w:pPr>
            <w:r w:rsidRPr="00E21B4F">
              <w:rPr>
                <w:sz w:val="18"/>
              </w:rPr>
              <w:t>$2,501,200</w:t>
            </w:r>
          </w:p>
        </w:tc>
        <w:tc>
          <w:tcPr>
            <w:tcW w:w="1273" w:type="dxa"/>
          </w:tcPr>
          <w:p w14:paraId="7398BF7F" w14:textId="77777777" w:rsidR="00E21B4F" w:rsidRPr="00E21B4F" w:rsidRDefault="00E21B4F" w:rsidP="00E21B4F">
            <w:pPr>
              <w:spacing w:after="60" w:line="240" w:lineRule="auto"/>
              <w:jc w:val="right"/>
              <w:rPr>
                <w:sz w:val="18"/>
              </w:rPr>
            </w:pPr>
            <w:r w:rsidRPr="00E21B4F">
              <w:rPr>
                <w:sz w:val="18"/>
              </w:rPr>
              <w:t>13.0%</w:t>
            </w:r>
          </w:p>
        </w:tc>
        <w:tc>
          <w:tcPr>
            <w:tcW w:w="1489" w:type="dxa"/>
          </w:tcPr>
          <w:p w14:paraId="45F75649" w14:textId="77777777" w:rsidR="00E21B4F" w:rsidRPr="00E21B4F" w:rsidRDefault="00E21B4F" w:rsidP="00E21B4F">
            <w:pPr>
              <w:spacing w:after="60" w:line="240" w:lineRule="auto"/>
              <w:jc w:val="right"/>
              <w:rPr>
                <w:sz w:val="18"/>
              </w:rPr>
            </w:pPr>
            <w:r w:rsidRPr="00E21B4F">
              <w:rPr>
                <w:sz w:val="18"/>
              </w:rPr>
              <w:t>$17,505,758</w:t>
            </w:r>
          </w:p>
        </w:tc>
        <w:tc>
          <w:tcPr>
            <w:tcW w:w="1370" w:type="dxa"/>
          </w:tcPr>
          <w:p w14:paraId="3CB5FEC5" w14:textId="77777777" w:rsidR="00E21B4F" w:rsidRPr="00E21B4F" w:rsidRDefault="00E21B4F" w:rsidP="00E21B4F">
            <w:pPr>
              <w:spacing w:after="60" w:line="240" w:lineRule="auto"/>
              <w:jc w:val="right"/>
              <w:rPr>
                <w:sz w:val="18"/>
              </w:rPr>
            </w:pPr>
            <w:r w:rsidRPr="00E21B4F">
              <w:rPr>
                <w:sz w:val="18"/>
              </w:rPr>
              <w:t>$4,856,000</w:t>
            </w:r>
          </w:p>
        </w:tc>
        <w:tc>
          <w:tcPr>
            <w:tcW w:w="1273" w:type="dxa"/>
          </w:tcPr>
          <w:p w14:paraId="2CFB93A6" w14:textId="77777777" w:rsidR="00E21B4F" w:rsidRPr="00E21B4F" w:rsidRDefault="00E21B4F" w:rsidP="00E21B4F">
            <w:pPr>
              <w:spacing w:after="60" w:line="240" w:lineRule="auto"/>
              <w:jc w:val="right"/>
              <w:rPr>
                <w:sz w:val="18"/>
              </w:rPr>
            </w:pPr>
            <w:r w:rsidRPr="00E21B4F">
              <w:rPr>
                <w:sz w:val="18"/>
              </w:rPr>
              <w:t>27.7%</w:t>
            </w:r>
          </w:p>
        </w:tc>
      </w:tr>
      <w:tr w:rsidR="00E21B4F" w:rsidRPr="00E21B4F" w14:paraId="170E5609" w14:textId="77777777" w:rsidTr="00C72264">
        <w:tc>
          <w:tcPr>
            <w:tcW w:w="2269" w:type="dxa"/>
          </w:tcPr>
          <w:p w14:paraId="49EF2B71" w14:textId="77777777" w:rsidR="00E21B4F" w:rsidRPr="00E21B4F" w:rsidRDefault="00E21B4F" w:rsidP="00E21B4F">
            <w:pPr>
              <w:spacing w:after="60" w:line="240" w:lineRule="auto"/>
              <w:rPr>
                <w:sz w:val="18"/>
              </w:rPr>
            </w:pPr>
            <w:r w:rsidRPr="00E21B4F">
              <w:rPr>
                <w:sz w:val="18"/>
              </w:rPr>
              <w:t>Sugar RDC^/ Sugar Research Australia Ltd*</w:t>
            </w:r>
          </w:p>
        </w:tc>
        <w:tc>
          <w:tcPr>
            <w:tcW w:w="1278" w:type="dxa"/>
          </w:tcPr>
          <w:p w14:paraId="77627693" w14:textId="77777777" w:rsidR="00E21B4F" w:rsidRPr="00E21B4F" w:rsidRDefault="00E21B4F" w:rsidP="00E21B4F">
            <w:pPr>
              <w:spacing w:after="60" w:line="240" w:lineRule="auto"/>
              <w:jc w:val="right"/>
              <w:rPr>
                <w:sz w:val="18"/>
              </w:rPr>
            </w:pPr>
            <w:r w:rsidRPr="00E21B4F">
              <w:rPr>
                <w:sz w:val="18"/>
              </w:rPr>
              <w:t>$7,700,000</w:t>
            </w:r>
          </w:p>
        </w:tc>
        <w:tc>
          <w:tcPr>
            <w:tcW w:w="1370" w:type="dxa"/>
          </w:tcPr>
          <w:p w14:paraId="176BCE28" w14:textId="77777777" w:rsidR="00E21B4F" w:rsidRPr="00E21B4F" w:rsidRDefault="00E21B4F" w:rsidP="00E21B4F">
            <w:pPr>
              <w:spacing w:after="60" w:line="240" w:lineRule="auto"/>
              <w:jc w:val="right"/>
              <w:rPr>
                <w:sz w:val="18"/>
              </w:rPr>
            </w:pPr>
            <w:r w:rsidRPr="00E21B4F">
              <w:rPr>
                <w:sz w:val="18"/>
              </w:rPr>
              <w:t>$1,097,000</w:t>
            </w:r>
          </w:p>
        </w:tc>
        <w:tc>
          <w:tcPr>
            <w:tcW w:w="1273" w:type="dxa"/>
          </w:tcPr>
          <w:p w14:paraId="1DD0859D" w14:textId="77777777" w:rsidR="00E21B4F" w:rsidRPr="00E21B4F" w:rsidRDefault="00E21B4F" w:rsidP="00E21B4F">
            <w:pPr>
              <w:spacing w:after="60" w:line="240" w:lineRule="auto"/>
              <w:jc w:val="right"/>
              <w:rPr>
                <w:sz w:val="18"/>
              </w:rPr>
            </w:pPr>
            <w:r w:rsidRPr="00E21B4F">
              <w:rPr>
                <w:sz w:val="18"/>
              </w:rPr>
              <w:t>14.2%</w:t>
            </w:r>
          </w:p>
        </w:tc>
        <w:tc>
          <w:tcPr>
            <w:tcW w:w="1489" w:type="dxa"/>
          </w:tcPr>
          <w:p w14:paraId="63A28A89" w14:textId="77777777" w:rsidR="00E21B4F" w:rsidRPr="00E21B4F" w:rsidRDefault="00E21B4F" w:rsidP="00E21B4F">
            <w:pPr>
              <w:spacing w:after="60" w:line="240" w:lineRule="auto"/>
              <w:jc w:val="right"/>
              <w:rPr>
                <w:sz w:val="18"/>
              </w:rPr>
            </w:pPr>
            <w:r w:rsidRPr="00E21B4F">
              <w:rPr>
                <w:sz w:val="18"/>
              </w:rPr>
              <w:t>$28,720,000</w:t>
            </w:r>
          </w:p>
        </w:tc>
        <w:tc>
          <w:tcPr>
            <w:tcW w:w="1370" w:type="dxa"/>
          </w:tcPr>
          <w:p w14:paraId="6DA993F1" w14:textId="77777777" w:rsidR="00E21B4F" w:rsidRPr="00E21B4F" w:rsidRDefault="00E21B4F" w:rsidP="00E21B4F">
            <w:pPr>
              <w:spacing w:after="60" w:line="240" w:lineRule="auto"/>
              <w:jc w:val="right"/>
              <w:rPr>
                <w:sz w:val="18"/>
              </w:rPr>
            </w:pPr>
            <w:r w:rsidRPr="00E21B4F">
              <w:rPr>
                <w:sz w:val="18"/>
              </w:rPr>
              <w:t>$4,641,152</w:t>
            </w:r>
          </w:p>
        </w:tc>
        <w:tc>
          <w:tcPr>
            <w:tcW w:w="1273" w:type="dxa"/>
          </w:tcPr>
          <w:p w14:paraId="1D9D6D27" w14:textId="77777777" w:rsidR="00E21B4F" w:rsidRPr="00E21B4F" w:rsidRDefault="00E21B4F" w:rsidP="00E21B4F">
            <w:pPr>
              <w:spacing w:after="60" w:line="240" w:lineRule="auto"/>
              <w:jc w:val="right"/>
              <w:rPr>
                <w:sz w:val="18"/>
              </w:rPr>
            </w:pPr>
            <w:r w:rsidRPr="00E21B4F">
              <w:rPr>
                <w:sz w:val="18"/>
              </w:rPr>
              <w:t>16.2%</w:t>
            </w:r>
          </w:p>
        </w:tc>
        <w:tc>
          <w:tcPr>
            <w:tcW w:w="1489" w:type="dxa"/>
          </w:tcPr>
          <w:p w14:paraId="3B713A86" w14:textId="77777777" w:rsidR="00E21B4F" w:rsidRPr="00E21B4F" w:rsidRDefault="00E21B4F" w:rsidP="00E21B4F">
            <w:pPr>
              <w:spacing w:after="60" w:line="240" w:lineRule="auto"/>
              <w:jc w:val="right"/>
              <w:rPr>
                <w:sz w:val="18"/>
              </w:rPr>
            </w:pPr>
            <w:r w:rsidRPr="00E21B4F">
              <w:rPr>
                <w:sz w:val="18"/>
              </w:rPr>
              <w:t>$30,200,000</w:t>
            </w:r>
          </w:p>
        </w:tc>
        <w:tc>
          <w:tcPr>
            <w:tcW w:w="1370" w:type="dxa"/>
          </w:tcPr>
          <w:p w14:paraId="01DEF9DB" w14:textId="77777777" w:rsidR="00E21B4F" w:rsidRPr="00E21B4F" w:rsidRDefault="00E21B4F" w:rsidP="00E21B4F">
            <w:pPr>
              <w:spacing w:after="60" w:line="240" w:lineRule="auto"/>
              <w:jc w:val="right"/>
              <w:rPr>
                <w:sz w:val="18"/>
              </w:rPr>
            </w:pPr>
            <w:r w:rsidRPr="00E21B4F">
              <w:rPr>
                <w:sz w:val="18"/>
              </w:rPr>
              <w:t>$4,500,000</w:t>
            </w:r>
          </w:p>
        </w:tc>
        <w:tc>
          <w:tcPr>
            <w:tcW w:w="1273" w:type="dxa"/>
          </w:tcPr>
          <w:p w14:paraId="6223EB7F" w14:textId="77777777" w:rsidR="00E21B4F" w:rsidRPr="00E21B4F" w:rsidRDefault="00E21B4F" w:rsidP="00E21B4F">
            <w:pPr>
              <w:spacing w:after="60" w:line="240" w:lineRule="auto"/>
              <w:jc w:val="right"/>
              <w:rPr>
                <w:sz w:val="18"/>
              </w:rPr>
            </w:pPr>
            <w:r w:rsidRPr="00E21B4F">
              <w:rPr>
                <w:sz w:val="18"/>
              </w:rPr>
              <w:t>14.9%</w:t>
            </w:r>
          </w:p>
        </w:tc>
      </w:tr>
      <w:tr w:rsidR="00E21B4F" w:rsidRPr="00E21B4F" w14:paraId="4BB5EA55" w14:textId="77777777" w:rsidTr="00C72264">
        <w:tc>
          <w:tcPr>
            <w:tcW w:w="2269" w:type="dxa"/>
          </w:tcPr>
          <w:p w14:paraId="1C075B28" w14:textId="77777777" w:rsidR="00E21B4F" w:rsidRPr="00E21B4F" w:rsidRDefault="00E21B4F" w:rsidP="00E21B4F">
            <w:pPr>
              <w:spacing w:after="60" w:line="240" w:lineRule="auto"/>
              <w:rPr>
                <w:sz w:val="18"/>
              </w:rPr>
            </w:pPr>
            <w:r w:rsidRPr="00E21B4F">
              <w:rPr>
                <w:sz w:val="18"/>
              </w:rPr>
              <w:t>Grains RDC^</w:t>
            </w:r>
          </w:p>
        </w:tc>
        <w:tc>
          <w:tcPr>
            <w:tcW w:w="1278" w:type="dxa"/>
          </w:tcPr>
          <w:p w14:paraId="6140D6BC" w14:textId="77777777" w:rsidR="00E21B4F" w:rsidRPr="00E21B4F" w:rsidRDefault="00E21B4F" w:rsidP="00E21B4F">
            <w:pPr>
              <w:spacing w:after="60" w:line="240" w:lineRule="auto"/>
              <w:jc w:val="right"/>
              <w:rPr>
                <w:sz w:val="18"/>
              </w:rPr>
            </w:pPr>
            <w:r w:rsidRPr="00E21B4F">
              <w:rPr>
                <w:sz w:val="18"/>
              </w:rPr>
              <w:t>$166,370,000</w:t>
            </w:r>
          </w:p>
        </w:tc>
        <w:tc>
          <w:tcPr>
            <w:tcW w:w="1370" w:type="dxa"/>
          </w:tcPr>
          <w:p w14:paraId="0F7AD5E6" w14:textId="77777777" w:rsidR="00E21B4F" w:rsidRPr="00E21B4F" w:rsidRDefault="00E21B4F" w:rsidP="00E21B4F">
            <w:pPr>
              <w:spacing w:after="60" w:line="240" w:lineRule="auto"/>
              <w:jc w:val="right"/>
              <w:rPr>
                <w:sz w:val="18"/>
              </w:rPr>
            </w:pPr>
            <w:r w:rsidRPr="00E21B4F">
              <w:rPr>
                <w:sz w:val="18"/>
              </w:rPr>
              <w:t>$22,780,000</w:t>
            </w:r>
          </w:p>
        </w:tc>
        <w:tc>
          <w:tcPr>
            <w:tcW w:w="1273" w:type="dxa"/>
          </w:tcPr>
          <w:p w14:paraId="766C85BC" w14:textId="77777777" w:rsidR="00E21B4F" w:rsidRPr="00E21B4F" w:rsidRDefault="00E21B4F" w:rsidP="00E21B4F">
            <w:pPr>
              <w:spacing w:after="60" w:line="240" w:lineRule="auto"/>
              <w:jc w:val="right"/>
              <w:rPr>
                <w:sz w:val="18"/>
              </w:rPr>
            </w:pPr>
            <w:r w:rsidRPr="00E21B4F">
              <w:rPr>
                <w:sz w:val="18"/>
              </w:rPr>
              <w:t>13.7%</w:t>
            </w:r>
          </w:p>
        </w:tc>
        <w:tc>
          <w:tcPr>
            <w:tcW w:w="1489" w:type="dxa"/>
          </w:tcPr>
          <w:p w14:paraId="3C536B71" w14:textId="77777777" w:rsidR="00E21B4F" w:rsidRPr="00E21B4F" w:rsidRDefault="00E21B4F" w:rsidP="00E21B4F">
            <w:pPr>
              <w:spacing w:after="60" w:line="240" w:lineRule="auto"/>
              <w:jc w:val="right"/>
              <w:rPr>
                <w:sz w:val="18"/>
              </w:rPr>
            </w:pPr>
            <w:r w:rsidRPr="00E21B4F">
              <w:rPr>
                <w:sz w:val="18"/>
              </w:rPr>
              <w:t>$194,100,000</w:t>
            </w:r>
          </w:p>
        </w:tc>
        <w:tc>
          <w:tcPr>
            <w:tcW w:w="1370" w:type="dxa"/>
          </w:tcPr>
          <w:p w14:paraId="674DA87D" w14:textId="77777777" w:rsidR="00E21B4F" w:rsidRPr="00E21B4F" w:rsidRDefault="00E21B4F" w:rsidP="00E21B4F">
            <w:pPr>
              <w:spacing w:after="60" w:line="240" w:lineRule="auto"/>
              <w:jc w:val="right"/>
              <w:rPr>
                <w:sz w:val="18"/>
              </w:rPr>
            </w:pPr>
            <w:r w:rsidRPr="00E21B4F">
              <w:rPr>
                <w:sz w:val="18"/>
              </w:rPr>
              <w:t>$34,700,000</w:t>
            </w:r>
          </w:p>
        </w:tc>
        <w:tc>
          <w:tcPr>
            <w:tcW w:w="1273" w:type="dxa"/>
          </w:tcPr>
          <w:p w14:paraId="2945A678" w14:textId="77777777" w:rsidR="00E21B4F" w:rsidRPr="00E21B4F" w:rsidRDefault="00E21B4F" w:rsidP="00E21B4F">
            <w:pPr>
              <w:spacing w:after="60" w:line="240" w:lineRule="auto"/>
              <w:jc w:val="right"/>
              <w:rPr>
                <w:sz w:val="18"/>
              </w:rPr>
            </w:pPr>
            <w:r w:rsidRPr="00E21B4F">
              <w:rPr>
                <w:sz w:val="18"/>
              </w:rPr>
              <w:t>17.9%</w:t>
            </w:r>
          </w:p>
        </w:tc>
        <w:tc>
          <w:tcPr>
            <w:tcW w:w="1489" w:type="dxa"/>
          </w:tcPr>
          <w:p w14:paraId="70100203" w14:textId="77777777" w:rsidR="00E21B4F" w:rsidRPr="00E21B4F" w:rsidRDefault="00E21B4F" w:rsidP="00E21B4F">
            <w:pPr>
              <w:spacing w:after="60" w:line="240" w:lineRule="auto"/>
              <w:jc w:val="right"/>
              <w:rPr>
                <w:sz w:val="18"/>
              </w:rPr>
            </w:pPr>
            <w:r w:rsidRPr="00E21B4F">
              <w:rPr>
                <w:sz w:val="18"/>
              </w:rPr>
              <w:t>$192,796,000</w:t>
            </w:r>
          </w:p>
        </w:tc>
        <w:tc>
          <w:tcPr>
            <w:tcW w:w="1370" w:type="dxa"/>
          </w:tcPr>
          <w:p w14:paraId="312A24AD" w14:textId="77777777" w:rsidR="00E21B4F" w:rsidRPr="00E21B4F" w:rsidRDefault="00E21B4F" w:rsidP="00E21B4F">
            <w:pPr>
              <w:spacing w:after="60" w:line="240" w:lineRule="auto"/>
              <w:jc w:val="right"/>
              <w:rPr>
                <w:sz w:val="18"/>
              </w:rPr>
            </w:pPr>
            <w:r w:rsidRPr="00E21B4F">
              <w:rPr>
                <w:sz w:val="18"/>
              </w:rPr>
              <w:t>$42,450,000</w:t>
            </w:r>
          </w:p>
        </w:tc>
        <w:tc>
          <w:tcPr>
            <w:tcW w:w="1273" w:type="dxa"/>
          </w:tcPr>
          <w:p w14:paraId="38CDD6CB" w14:textId="77777777" w:rsidR="00E21B4F" w:rsidRPr="00E21B4F" w:rsidRDefault="00E21B4F" w:rsidP="00E21B4F">
            <w:pPr>
              <w:spacing w:after="60" w:line="240" w:lineRule="auto"/>
              <w:jc w:val="right"/>
              <w:rPr>
                <w:sz w:val="18"/>
              </w:rPr>
            </w:pPr>
            <w:r w:rsidRPr="00E21B4F">
              <w:rPr>
                <w:sz w:val="18"/>
              </w:rPr>
              <w:t>22.0%</w:t>
            </w:r>
          </w:p>
        </w:tc>
      </w:tr>
    </w:tbl>
    <w:p w14:paraId="0C032A39" w14:textId="20171E7C" w:rsidR="00C73B91" w:rsidRPr="00C73B91" w:rsidRDefault="00C73B91" w:rsidP="00CF0624">
      <w:pPr>
        <w:pStyle w:val="FigureTableNoteSource"/>
        <w:ind w:left="-426"/>
        <w:sectPr w:rsidR="00C73B91" w:rsidRPr="00C73B91" w:rsidSect="00D5342A">
          <w:pgSz w:w="16838" w:h="11906" w:orient="landscape"/>
          <w:pgMar w:top="720" w:right="720" w:bottom="720" w:left="1418" w:header="567" w:footer="284" w:gutter="0"/>
          <w:cols w:space="708"/>
          <w:docGrid w:linePitch="360"/>
        </w:sectPr>
      </w:pPr>
      <w:r>
        <w:t>*Industry-</w:t>
      </w:r>
      <w:r w:rsidRPr="00D5342A">
        <w:t>owned</w:t>
      </w:r>
      <w:r>
        <w:t xml:space="preserve"> company; ^Corporate Commonwealth Entity; R&amp;I: research and innovation; RD&amp;E: research, development and extension; RDC: Research Development Corporations.</w:t>
      </w:r>
      <w:r>
        <w:br/>
      </w:r>
      <w:r w:rsidR="00696A00">
        <w:t xml:space="preserve">Notes: </w:t>
      </w:r>
      <w:r>
        <w:t>1. Comparisons between the RDCs are limited by inconsistent reporting (varying levels of detail of biosecurity R&amp;I investment); 2. Livecorp’s biosecurity R&amp;I is conducted through M</w:t>
      </w:r>
      <w:r w:rsidR="00AE789F">
        <w:t>eat &amp; Livestock Australia Ltd.</w:t>
      </w:r>
    </w:p>
    <w:p w14:paraId="3FABFBF9" w14:textId="43E885F9" w:rsidR="00C33889" w:rsidRDefault="00C33889" w:rsidP="00664180">
      <w:pPr>
        <w:pStyle w:val="Heading4"/>
      </w:pPr>
      <w:r>
        <w:lastRenderedPageBreak/>
        <w:t>Strategies upon strategies</w:t>
      </w:r>
    </w:p>
    <w:p w14:paraId="7B5CC3F9" w14:textId="2B53F614" w:rsidR="00C33889" w:rsidRPr="00C33889" w:rsidRDefault="00C33889" w:rsidP="00C33889">
      <w:r w:rsidRPr="00C33889">
        <w:t>A multitude of general and specific national strategies are ‘in place’ which seek to further define and direct national biosecurity research priorities (</w:t>
      </w:r>
      <w:r>
        <w:rPr>
          <w:highlight w:val="yellow"/>
        </w:rPr>
        <w:fldChar w:fldCharType="begin"/>
      </w:r>
      <w:r>
        <w:instrText xml:space="preserve"> REF _Ref482020113 \h </w:instrText>
      </w:r>
      <w:r>
        <w:rPr>
          <w:highlight w:val="yellow"/>
        </w:rPr>
      </w:r>
      <w:r>
        <w:rPr>
          <w:highlight w:val="yellow"/>
        </w:rPr>
        <w:fldChar w:fldCharType="separate"/>
      </w:r>
      <w:r w:rsidR="009F6923">
        <w:t xml:space="preserve">Table </w:t>
      </w:r>
      <w:r w:rsidR="009F6923">
        <w:rPr>
          <w:noProof/>
        </w:rPr>
        <w:t>4</w:t>
      </w:r>
      <w:r>
        <w:rPr>
          <w:highlight w:val="yellow"/>
        </w:rPr>
        <w:fldChar w:fldCharType="end"/>
      </w:r>
      <w:r w:rsidRPr="00C33889">
        <w:t>). The Animal Biosecurity and the Plant Biosecurity RD&amp;E Strategies, which are achievements under the IGAB</w:t>
      </w:r>
      <w:r w:rsidR="000B66EB">
        <w:t>,</w:t>
      </w:r>
      <w:r w:rsidRPr="00C33889">
        <w:t xml:space="preserve"> were developed under the </w:t>
      </w:r>
      <w:r w:rsidR="009F331C">
        <w:t>NPIRDEF</w:t>
      </w:r>
      <w:r w:rsidRPr="00310D1E">
        <w:t>.</w:t>
      </w:r>
    </w:p>
    <w:p w14:paraId="30D730E0" w14:textId="5D666B94" w:rsidR="00C33889" w:rsidRPr="00C33889" w:rsidRDefault="00C33889" w:rsidP="00C33889">
      <w:pPr>
        <w:pStyle w:val="Caption"/>
      </w:pPr>
      <w:bookmarkStart w:id="112" w:name="_Ref482020113"/>
      <w:bookmarkStart w:id="113" w:name="_Toc468176725"/>
      <w:r>
        <w:t xml:space="preserve">Table </w:t>
      </w:r>
      <w:fldSimple w:instr=" SEQ Table \* ARABIC ">
        <w:r w:rsidR="009F6923">
          <w:rPr>
            <w:noProof/>
          </w:rPr>
          <w:t>4</w:t>
        </w:r>
      </w:fldSimple>
      <w:bookmarkEnd w:id="112"/>
      <w:r w:rsidRPr="00C33889">
        <w:t xml:space="preserve"> Strategies relevant to biosecurity R&amp;I</w:t>
      </w:r>
      <w:bookmarkEnd w:id="113"/>
    </w:p>
    <w:tbl>
      <w:tblPr>
        <w:tblStyle w:val="TableGrid6"/>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List of strategies relevant biosecurity R&amp;I "/>
      </w:tblPr>
      <w:tblGrid>
        <w:gridCol w:w="3020"/>
        <w:gridCol w:w="3020"/>
        <w:gridCol w:w="2749"/>
      </w:tblGrid>
      <w:tr w:rsidR="00C33889" w:rsidRPr="00C33889" w14:paraId="6870C976" w14:textId="77777777" w:rsidTr="008E0AAB">
        <w:trPr>
          <w:tblHeader/>
        </w:trPr>
        <w:tc>
          <w:tcPr>
            <w:tcW w:w="3020" w:type="dxa"/>
          </w:tcPr>
          <w:p w14:paraId="4A7AE04F" w14:textId="77777777" w:rsidR="00C33889" w:rsidRPr="00C33889" w:rsidRDefault="00C33889" w:rsidP="00C33889">
            <w:pPr>
              <w:keepNext/>
              <w:spacing w:after="60" w:line="240" w:lineRule="auto"/>
              <w:rPr>
                <w:b/>
                <w:sz w:val="18"/>
              </w:rPr>
            </w:pPr>
            <w:r w:rsidRPr="00C33889">
              <w:rPr>
                <w:b/>
                <w:sz w:val="18"/>
              </w:rPr>
              <w:t>National biosecurity RD&amp;E strategies</w:t>
            </w:r>
          </w:p>
        </w:tc>
        <w:tc>
          <w:tcPr>
            <w:tcW w:w="3020" w:type="dxa"/>
          </w:tcPr>
          <w:p w14:paraId="66FC15DB" w14:textId="77777777" w:rsidR="00C33889" w:rsidRPr="00C33889" w:rsidRDefault="00C33889" w:rsidP="00C33889">
            <w:pPr>
              <w:keepNext/>
              <w:spacing w:after="60" w:line="240" w:lineRule="auto"/>
              <w:rPr>
                <w:b/>
                <w:sz w:val="18"/>
              </w:rPr>
            </w:pPr>
            <w:r w:rsidRPr="00C33889">
              <w:rPr>
                <w:b/>
                <w:sz w:val="18"/>
              </w:rPr>
              <w:t>Other strategies related to biosecurity</w:t>
            </w:r>
          </w:p>
        </w:tc>
        <w:tc>
          <w:tcPr>
            <w:tcW w:w="2749" w:type="dxa"/>
          </w:tcPr>
          <w:p w14:paraId="6FDF669F" w14:textId="77777777" w:rsidR="00C33889" w:rsidRPr="00C33889" w:rsidRDefault="00C33889" w:rsidP="00C33889">
            <w:pPr>
              <w:keepNext/>
              <w:spacing w:after="60" w:line="240" w:lineRule="auto"/>
              <w:rPr>
                <w:b/>
                <w:sz w:val="18"/>
              </w:rPr>
            </w:pPr>
            <w:r w:rsidRPr="00C33889">
              <w:rPr>
                <w:b/>
                <w:sz w:val="18"/>
              </w:rPr>
              <w:t>National Industry RD&amp;E Strategies</w:t>
            </w:r>
          </w:p>
        </w:tc>
      </w:tr>
      <w:tr w:rsidR="00C33889" w:rsidRPr="00C33889" w14:paraId="2A6CF4F8" w14:textId="77777777" w:rsidTr="008E0AAB">
        <w:tc>
          <w:tcPr>
            <w:tcW w:w="3020" w:type="dxa"/>
          </w:tcPr>
          <w:p w14:paraId="49ED9CB1" w14:textId="77777777" w:rsidR="00C33889" w:rsidRPr="00C33889" w:rsidRDefault="00C33889" w:rsidP="00C33889">
            <w:pPr>
              <w:numPr>
                <w:ilvl w:val="0"/>
                <w:numId w:val="4"/>
              </w:numPr>
              <w:spacing w:after="60" w:line="240" w:lineRule="auto"/>
              <w:ind w:left="284" w:hanging="284"/>
              <w:rPr>
                <w:sz w:val="18"/>
              </w:rPr>
            </w:pPr>
            <w:r w:rsidRPr="00C33889">
              <w:rPr>
                <w:sz w:val="18"/>
              </w:rPr>
              <w:t>Animal Biosecurity RD&amp;E Strategy</w:t>
            </w:r>
          </w:p>
          <w:p w14:paraId="3BA11090" w14:textId="77777777" w:rsidR="00C33889" w:rsidRPr="00C33889" w:rsidRDefault="00C33889" w:rsidP="00C33889">
            <w:pPr>
              <w:numPr>
                <w:ilvl w:val="0"/>
                <w:numId w:val="4"/>
              </w:numPr>
              <w:spacing w:after="60" w:line="240" w:lineRule="auto"/>
              <w:ind w:left="284" w:hanging="284"/>
              <w:rPr>
                <w:sz w:val="18"/>
              </w:rPr>
            </w:pPr>
            <w:r w:rsidRPr="00C33889">
              <w:rPr>
                <w:sz w:val="18"/>
              </w:rPr>
              <w:t>Plant Biosecurity RD&amp;E Strategy</w:t>
            </w:r>
          </w:p>
          <w:p w14:paraId="2D052B1F" w14:textId="77777777" w:rsidR="00C33889" w:rsidRPr="00C33889" w:rsidRDefault="00C33889" w:rsidP="00C33889">
            <w:pPr>
              <w:numPr>
                <w:ilvl w:val="0"/>
                <w:numId w:val="4"/>
              </w:numPr>
              <w:spacing w:after="60" w:line="240" w:lineRule="auto"/>
              <w:ind w:left="284" w:hanging="284"/>
              <w:rPr>
                <w:sz w:val="18"/>
              </w:rPr>
            </w:pPr>
            <w:r w:rsidRPr="00C33889">
              <w:rPr>
                <w:sz w:val="18"/>
              </w:rPr>
              <w:t>Environment and Community Biosecurity RD&amp;E Strategy</w:t>
            </w:r>
          </w:p>
        </w:tc>
        <w:tc>
          <w:tcPr>
            <w:tcW w:w="3020" w:type="dxa"/>
          </w:tcPr>
          <w:p w14:paraId="3A5410B0" w14:textId="77777777" w:rsidR="00C33889" w:rsidRPr="00C33889" w:rsidRDefault="00C33889" w:rsidP="00C33889">
            <w:pPr>
              <w:numPr>
                <w:ilvl w:val="0"/>
                <w:numId w:val="4"/>
              </w:numPr>
              <w:spacing w:after="60" w:line="240" w:lineRule="auto"/>
              <w:ind w:left="284" w:hanging="284"/>
              <w:rPr>
                <w:sz w:val="18"/>
              </w:rPr>
            </w:pPr>
            <w:r w:rsidRPr="00C33889">
              <w:rPr>
                <w:sz w:val="18"/>
              </w:rPr>
              <w:t>Australian Pest Animal Strategy</w:t>
            </w:r>
          </w:p>
          <w:p w14:paraId="46111444" w14:textId="77777777" w:rsidR="00C33889" w:rsidRPr="00C33889" w:rsidRDefault="00C33889" w:rsidP="00C33889">
            <w:pPr>
              <w:numPr>
                <w:ilvl w:val="0"/>
                <w:numId w:val="4"/>
              </w:numPr>
              <w:spacing w:after="60" w:line="240" w:lineRule="auto"/>
              <w:ind w:left="284" w:hanging="284"/>
              <w:rPr>
                <w:sz w:val="18"/>
              </w:rPr>
            </w:pPr>
            <w:r w:rsidRPr="00C33889">
              <w:rPr>
                <w:sz w:val="18"/>
              </w:rPr>
              <w:t>Australian Weeds Strategy</w:t>
            </w:r>
          </w:p>
          <w:p w14:paraId="184356DD" w14:textId="77777777" w:rsidR="00C33889" w:rsidRPr="00C33889" w:rsidRDefault="00C33889" w:rsidP="00C33889">
            <w:pPr>
              <w:numPr>
                <w:ilvl w:val="0"/>
                <w:numId w:val="4"/>
              </w:numPr>
              <w:spacing w:after="60" w:line="240" w:lineRule="auto"/>
              <w:ind w:left="284" w:hanging="284"/>
              <w:rPr>
                <w:sz w:val="18"/>
              </w:rPr>
            </w:pPr>
            <w:r w:rsidRPr="00C33889">
              <w:rPr>
                <w:sz w:val="18"/>
              </w:rPr>
              <w:t>National Fruit Fly Strategy</w:t>
            </w:r>
          </w:p>
          <w:p w14:paraId="6A680DCF" w14:textId="77777777" w:rsidR="00C33889" w:rsidRPr="00C33889" w:rsidRDefault="00C33889" w:rsidP="00C33889">
            <w:pPr>
              <w:numPr>
                <w:ilvl w:val="0"/>
                <w:numId w:val="4"/>
              </w:numPr>
              <w:spacing w:after="60" w:line="240" w:lineRule="auto"/>
              <w:ind w:left="284" w:hanging="284"/>
              <w:rPr>
                <w:sz w:val="18"/>
              </w:rPr>
            </w:pPr>
            <w:r w:rsidRPr="00C33889">
              <w:rPr>
                <w:sz w:val="18"/>
              </w:rPr>
              <w:t>National Plant Biosecurity Strategy</w:t>
            </w:r>
          </w:p>
          <w:p w14:paraId="34E6C0E0" w14:textId="77777777" w:rsidR="00C33889" w:rsidRPr="00C33889" w:rsidRDefault="00C33889" w:rsidP="00C33889">
            <w:pPr>
              <w:numPr>
                <w:ilvl w:val="0"/>
                <w:numId w:val="4"/>
              </w:numPr>
              <w:spacing w:after="60" w:line="240" w:lineRule="auto"/>
              <w:ind w:left="284" w:hanging="284"/>
              <w:rPr>
                <w:sz w:val="18"/>
              </w:rPr>
            </w:pPr>
            <w:r w:rsidRPr="00C33889">
              <w:rPr>
                <w:sz w:val="18"/>
              </w:rPr>
              <w:t>National Plant Biosecurity Diagnostic Strategy</w:t>
            </w:r>
          </w:p>
          <w:p w14:paraId="138222D3" w14:textId="77777777" w:rsidR="00C33889" w:rsidRPr="00C33889" w:rsidRDefault="00C33889" w:rsidP="00C33889">
            <w:pPr>
              <w:numPr>
                <w:ilvl w:val="0"/>
                <w:numId w:val="4"/>
              </w:numPr>
              <w:spacing w:after="60" w:line="240" w:lineRule="auto"/>
              <w:ind w:left="284" w:hanging="284"/>
              <w:rPr>
                <w:sz w:val="18"/>
              </w:rPr>
            </w:pPr>
            <w:r w:rsidRPr="00C33889">
              <w:rPr>
                <w:sz w:val="18"/>
              </w:rPr>
              <w:t>National Plant Biosecurity Surveillance Strategy</w:t>
            </w:r>
          </w:p>
        </w:tc>
        <w:tc>
          <w:tcPr>
            <w:tcW w:w="2749" w:type="dxa"/>
          </w:tcPr>
          <w:p w14:paraId="532AC24D" w14:textId="356997EC" w:rsidR="00C33889" w:rsidRPr="00C33889" w:rsidRDefault="00C33889" w:rsidP="008305CA">
            <w:pPr>
              <w:spacing w:after="60" w:line="240" w:lineRule="auto"/>
              <w:rPr>
                <w:sz w:val="18"/>
              </w:rPr>
            </w:pPr>
            <w:r w:rsidRPr="00C33889">
              <w:rPr>
                <w:sz w:val="18"/>
              </w:rPr>
              <w:t xml:space="preserve">Fourteen industry-specific strategies under the </w:t>
            </w:r>
            <w:r w:rsidR="009F331C">
              <w:rPr>
                <w:sz w:val="18"/>
              </w:rPr>
              <w:t>NPIRDEF</w:t>
            </w:r>
            <w:r w:rsidR="00AA6660">
              <w:rPr>
                <w:sz w:val="18"/>
              </w:rPr>
              <w:t xml:space="preserve"> </w:t>
            </w:r>
            <w:r w:rsidRPr="00C33889">
              <w:rPr>
                <w:sz w:val="18"/>
              </w:rPr>
              <w:t>(e.g. Beef Production National RD&amp;E Strategy, Cotton Sector National RD&amp;E Strategy, Grains Industry National RD&amp;E Strategy)</w:t>
            </w:r>
          </w:p>
        </w:tc>
      </w:tr>
    </w:tbl>
    <w:p w14:paraId="504D9E75" w14:textId="77792184" w:rsidR="00AA6660" w:rsidRDefault="00AA6660" w:rsidP="00AA6660">
      <w:pPr>
        <w:pStyle w:val="FigureTableNoteSource"/>
      </w:pPr>
      <w:r>
        <w:t>NPIRDEF: National Primary Industries Research, Development and Extension Framework; RD&amp;E: research, development and extension.</w:t>
      </w:r>
    </w:p>
    <w:p w14:paraId="2BC87C46" w14:textId="2F347511" w:rsidR="00C33889" w:rsidRDefault="00C33889" w:rsidP="00C33889">
      <w:r>
        <w:t xml:space="preserve">Stakeholders consistently raised concerns during the </w:t>
      </w:r>
      <w:r w:rsidR="00AA6660">
        <w:t>r</w:t>
      </w:r>
      <w:r>
        <w:t>eview consultation process about the plethora of strategies, their limited overall impact and effectiveness due to resourcing issues, and lack of a unified, national approach to coordination and delivery</w:t>
      </w:r>
      <w:r w:rsidR="00211130">
        <w:t>:</w:t>
      </w:r>
    </w:p>
    <w:p w14:paraId="69267CAB" w14:textId="04899E2A" w:rsidR="00C627F4" w:rsidRDefault="00C627F4" w:rsidP="00C627F4">
      <w:pPr>
        <w:pStyle w:val="Quote"/>
      </w:pPr>
      <w:r>
        <w:t>It is perhaps symptomatic of the current fragmented nature of Australia’s biosecurity system that there are already a number of national [plant] biosecurity strategies … The degree to which these strategies and others operate and achieve their aims is extremely variable and appears to rely as much on individuals rather than a supportive system (Voice of Horticulture sub. DP11)</w:t>
      </w:r>
      <w:r w:rsidRPr="000452B5">
        <w:t xml:space="preserve"> </w:t>
      </w:r>
    </w:p>
    <w:p w14:paraId="45544C7E" w14:textId="165E16A9" w:rsidR="00C33889" w:rsidRDefault="00C33889" w:rsidP="00C33889">
      <w:pPr>
        <w:pStyle w:val="Quote"/>
      </w:pPr>
      <w:r>
        <w:t>Progress on the [Animal Biosecurity RD&amp;E Strategy] is slow, essentially due to the competing priorities of participants who have already committed resources to their own respective organisational strategies and performance criteria, as well as the National Rural Research and Development Priorities. New sources of funds targeting the agreed identified priorities would accelerate progress (Animal Health Australia sub. DP33)</w:t>
      </w:r>
    </w:p>
    <w:p w14:paraId="40A0B0AB" w14:textId="1101E284" w:rsidR="00C33889" w:rsidRDefault="00C33889" w:rsidP="00C33889">
      <w:pPr>
        <w:pStyle w:val="Quote"/>
      </w:pPr>
      <w:r>
        <w:t xml:space="preserve">While the National Animal and Plant Biosecurity Strategies (coordinated by AHA and PHA respectively) have attempted to build on a collaborative approach and identified various areas requiring attention, actual achievements </w:t>
      </w:r>
      <w:r>
        <w:lastRenderedPageBreak/>
        <w:t xml:space="preserve">in R&amp;I projects has been disappointing. There have been significant difficulties in attracting adequate investment by governments, industry and the RDCs (Rural Industries Research and </w:t>
      </w:r>
      <w:r w:rsidR="00C00D58">
        <w:t>Development Corporation sub. DR</w:t>
      </w:r>
      <w:r>
        <w:t>86)</w:t>
      </w:r>
    </w:p>
    <w:p w14:paraId="1B6219C8" w14:textId="1CE608CA" w:rsidR="00DD68A4" w:rsidRDefault="00DD68A4" w:rsidP="0005522A">
      <w:r w:rsidRPr="00DD68A4">
        <w:t>While A</w:t>
      </w:r>
      <w:r w:rsidR="00AA6660">
        <w:t xml:space="preserve">nimal </w:t>
      </w:r>
      <w:r w:rsidRPr="00DD68A4">
        <w:t>H</w:t>
      </w:r>
      <w:r w:rsidR="00AA6660">
        <w:t xml:space="preserve">ealth </w:t>
      </w:r>
      <w:r w:rsidRPr="00DD68A4">
        <w:t>A</w:t>
      </w:r>
      <w:r w:rsidR="00AA6660">
        <w:t>ustralia (AHA)</w:t>
      </w:r>
      <w:r w:rsidRPr="00DD68A4">
        <w:t xml:space="preserve"> and P</w:t>
      </w:r>
      <w:r w:rsidR="00AA6660">
        <w:t xml:space="preserve">lant </w:t>
      </w:r>
      <w:r w:rsidRPr="00DD68A4">
        <w:t>H</w:t>
      </w:r>
      <w:r w:rsidR="00AA6660">
        <w:t xml:space="preserve">ealth </w:t>
      </w:r>
      <w:r w:rsidRPr="00DD68A4">
        <w:t>A</w:t>
      </w:r>
      <w:r w:rsidR="00AA6660">
        <w:t>ustralia (PHA)</w:t>
      </w:r>
      <w:r w:rsidRPr="00DD68A4">
        <w:t xml:space="preserve"> have been ‘tasked’ with coordinating implementation of the Animal Biosecurity and the Plant Biosecurity RD&amp;E Strategies, these strategies only outline generic areas of research</w:t>
      </w:r>
      <w:r w:rsidR="00AA6660">
        <w:t>,</w:t>
      </w:r>
      <w:r w:rsidRPr="00DD68A4">
        <w:t xml:space="preserve"> and the respective implementation committees (based within AHA and PHA) have no authority to </w:t>
      </w:r>
      <w:r w:rsidR="00133A36">
        <w:t>prioritise</w:t>
      </w:r>
      <w:r w:rsidR="00310D1E">
        <w:t xml:space="preserve"> </w:t>
      </w:r>
      <w:r w:rsidR="00133A36">
        <w:t xml:space="preserve">or direct funding or resources. These factors have severely hampered the ability of AHA and PHA to effect implementation. Adding to the maze of accountabilities is that AHA and PHA report to the </w:t>
      </w:r>
      <w:r w:rsidR="00AA6660">
        <w:t>Agriculture Senior Officials Committee (</w:t>
      </w:r>
      <w:r w:rsidR="00133A36">
        <w:t>AGSOC</w:t>
      </w:r>
      <w:r w:rsidR="00AA6660">
        <w:t>)</w:t>
      </w:r>
      <w:r w:rsidR="00133A36">
        <w:t xml:space="preserve"> Research &amp; Innova</w:t>
      </w:r>
      <w:r w:rsidR="00307000">
        <w:t>tion Committee</w:t>
      </w:r>
      <w:r w:rsidR="00AA6660">
        <w:t>—</w:t>
      </w:r>
      <w:r w:rsidR="00307000">
        <w:t>an advisory sub</w:t>
      </w:r>
      <w:r w:rsidR="00133A36">
        <w:t>committee of the AGSOC</w:t>
      </w:r>
      <w:r w:rsidR="00AA6660">
        <w:t>—</w:t>
      </w:r>
      <w:r w:rsidR="00133A36">
        <w:t>rather than through (or to) the NBC.</w:t>
      </w:r>
    </w:p>
    <w:p w14:paraId="7CC24889" w14:textId="3FEBF949" w:rsidR="00DD68A4" w:rsidRDefault="00DD68A4" w:rsidP="00DD68A4">
      <w:r>
        <w:t>In addition, a number of industry-specific RD&amp;E strategies and several other biosecurity strategies also seek to direct R&amp;I investment</w:t>
      </w:r>
      <w:r w:rsidR="00BC03B7">
        <w:t xml:space="preserve"> (</w:t>
      </w:r>
      <w:r w:rsidR="00BC03B7">
        <w:fldChar w:fldCharType="begin"/>
      </w:r>
      <w:r w:rsidR="00BC03B7">
        <w:instrText xml:space="preserve"> REF _Ref482020113 \h </w:instrText>
      </w:r>
      <w:r w:rsidR="00BC03B7">
        <w:fldChar w:fldCharType="separate"/>
      </w:r>
      <w:r w:rsidR="009F6923">
        <w:t xml:space="preserve">Table </w:t>
      </w:r>
      <w:r w:rsidR="009F6923">
        <w:rPr>
          <w:noProof/>
        </w:rPr>
        <w:t>4</w:t>
      </w:r>
      <w:r w:rsidR="00BC03B7">
        <w:fldChar w:fldCharType="end"/>
      </w:r>
      <w:r w:rsidR="00BC03B7">
        <w:t>)</w:t>
      </w:r>
      <w:r>
        <w:t>. The biosecurity-specific strategies are predominantly sectoral</w:t>
      </w:r>
      <w:r w:rsidR="00AA6660">
        <w:t xml:space="preserve"> and</w:t>
      </w:r>
      <w:r>
        <w:t xml:space="preserve"> are not supported by funding, and stakeholders noted that some were developed without incorporating the views of a broad range of system participants</w:t>
      </w:r>
      <w:r w:rsidR="002C1F10">
        <w:t>. The various national industry-</w:t>
      </w:r>
      <w:r>
        <w:t xml:space="preserve">specific RD&amp;E strategies often have an oblique and inconsistent focus on biosecurity and its importance to the particular industry in question. </w:t>
      </w:r>
    </w:p>
    <w:p w14:paraId="0B78DCA7" w14:textId="279DE42E" w:rsidR="00DD68A4" w:rsidRDefault="00DD68A4" w:rsidP="00DD68A4">
      <w:r>
        <w:t xml:space="preserve">Numerous stakeholders also drew the </w:t>
      </w:r>
      <w:r w:rsidR="00AA6660">
        <w:t>p</w:t>
      </w:r>
      <w:r>
        <w:t xml:space="preserve">anel’s attention to the lack of an equivalent national environmental biosecurity RD&amp;E strategy. The </w:t>
      </w:r>
      <w:r w:rsidR="00AA6660">
        <w:t>p</w:t>
      </w:r>
      <w:r>
        <w:t xml:space="preserve">anel notes the </w:t>
      </w:r>
      <w:r w:rsidRPr="00BB749F">
        <w:rPr>
          <w:i/>
        </w:rPr>
        <w:t xml:space="preserve">National Environment and Community Biosecurity RD&amp;E Strategy 2016–19 </w:t>
      </w:r>
      <w:r w:rsidR="00923514" w:rsidRPr="00426D2C">
        <w:t>(</w:t>
      </w:r>
      <w:hyperlink w:anchor="DAWR_2016c" w:history="1">
        <w:r w:rsidR="00923514" w:rsidRPr="00670C14">
          <w:rPr>
            <w:rStyle w:val="Hyperlink"/>
          </w:rPr>
          <w:t>DAWR 2016c</w:t>
        </w:r>
      </w:hyperlink>
      <w:r w:rsidR="00923514" w:rsidRPr="00426D2C">
        <w:t>)</w:t>
      </w:r>
      <w:r w:rsidR="00923514">
        <w:t xml:space="preserve"> </w:t>
      </w:r>
      <w:r>
        <w:t xml:space="preserve">was released by the NBC in November 2016. However, the </w:t>
      </w:r>
      <w:r w:rsidR="00AA6660">
        <w:t>p</w:t>
      </w:r>
      <w:r>
        <w:t xml:space="preserve">anel understands that a lead agency or organisation responsible for implementing this strategy is yet to be determined. The </w:t>
      </w:r>
      <w:r w:rsidR="00AA6660">
        <w:t>p</w:t>
      </w:r>
      <w:r>
        <w:t xml:space="preserve">anel notes </w:t>
      </w:r>
      <w:r w:rsidR="00AA6660">
        <w:t xml:space="preserve">that </w:t>
      </w:r>
      <w:r>
        <w:t>the scope of the strategy (as detailed below) should be an important guiding co</w:t>
      </w:r>
      <w:r w:rsidR="002C1F10">
        <w:t>nsideration:</w:t>
      </w:r>
    </w:p>
    <w:p w14:paraId="36B5B85A" w14:textId="27D49CA5" w:rsidR="00DD68A4" w:rsidRDefault="00DD68A4" w:rsidP="00DD68A4">
      <w:pPr>
        <w:pStyle w:val="Quote"/>
      </w:pPr>
      <w:r>
        <w:t>This strategy addresses national biosecurity RD&amp;E issues relating to the natural environment and the community (social amenities, infrastructure, transport, utilities, human lifestyles and wellbeing)</w:t>
      </w:r>
      <w:r w:rsidR="00953A49">
        <w:t xml:space="preserve"> </w:t>
      </w:r>
      <w:r>
        <w:t xml:space="preserve">… Social amenities are defined as desirable or useful facilities that provide members of the community a pleasant working and living environment, including for social, cultural or spiritual </w:t>
      </w:r>
      <w:r w:rsidR="00923514">
        <w:t>experiences</w:t>
      </w:r>
      <w:r w:rsidR="00953A49">
        <w:t xml:space="preserve"> …</w:t>
      </w:r>
    </w:p>
    <w:p w14:paraId="075E5FCA" w14:textId="6F477015" w:rsidR="0005522A" w:rsidRDefault="00DD68A4" w:rsidP="00DD68A4">
      <w:r>
        <w:t xml:space="preserve">Given this scope, </w:t>
      </w:r>
      <w:r w:rsidR="00511C93">
        <w:t xml:space="preserve">lead </w:t>
      </w:r>
      <w:r>
        <w:t xml:space="preserve">implementation responsibility for the strategy should rest with the Australian Government. Consistent with the </w:t>
      </w:r>
      <w:r w:rsidR="008074AB">
        <w:t>p</w:t>
      </w:r>
      <w:r>
        <w:t>anel’s strong view on the lead agency for environment and community biosecurity (</w:t>
      </w:r>
      <w:hyperlink w:anchor="_Stronger_community_and" w:history="1">
        <w:r w:rsidRPr="00DD68A4">
          <w:rPr>
            <w:rStyle w:val="Hyperlink"/>
          </w:rPr>
          <w:t>Chapter 4</w:t>
        </w:r>
      </w:hyperlink>
      <w:r>
        <w:t xml:space="preserve">), the Australian Government </w:t>
      </w:r>
      <w:r>
        <w:lastRenderedPageBreak/>
        <w:t>environment department should be the owner and driver of National Environment and Community Biosecurity RD&amp;E Strategy.</w:t>
      </w:r>
    </w:p>
    <w:p w14:paraId="5514CACB" w14:textId="77777777" w:rsidR="00DD68A4" w:rsidRPr="00211130" w:rsidRDefault="00DD68A4" w:rsidP="00DD68A4">
      <w:pPr>
        <w:pStyle w:val="BoxHeading"/>
        <w:shd w:val="clear" w:color="auto" w:fill="D9D9D9" w:themeFill="background1" w:themeFillShade="D9"/>
        <w:rPr>
          <w:sz w:val="22"/>
        </w:rPr>
      </w:pPr>
      <w:bookmarkStart w:id="114" w:name="_Ref482709869"/>
      <w:r w:rsidRPr="00211130">
        <w:rPr>
          <w:sz w:val="22"/>
        </w:rPr>
        <w:t xml:space="preserve">Recommendation </w:t>
      </w:r>
      <w:r w:rsidR="003A174A" w:rsidRPr="00211130">
        <w:rPr>
          <w:sz w:val="22"/>
        </w:rPr>
        <w:fldChar w:fldCharType="begin"/>
      </w:r>
      <w:r w:rsidR="003A174A" w:rsidRPr="00211130">
        <w:rPr>
          <w:sz w:val="22"/>
        </w:rPr>
        <w:instrText xml:space="preserve"> SEQ Recommendation \* ARABIC </w:instrText>
      </w:r>
      <w:r w:rsidR="003A174A" w:rsidRPr="00211130">
        <w:rPr>
          <w:sz w:val="22"/>
        </w:rPr>
        <w:fldChar w:fldCharType="separate"/>
      </w:r>
      <w:r w:rsidR="009F6923">
        <w:rPr>
          <w:noProof/>
          <w:sz w:val="22"/>
        </w:rPr>
        <w:t>12</w:t>
      </w:r>
      <w:r w:rsidR="003A174A" w:rsidRPr="00211130">
        <w:rPr>
          <w:noProof/>
          <w:sz w:val="22"/>
        </w:rPr>
        <w:fldChar w:fldCharType="end"/>
      </w:r>
      <w:bookmarkEnd w:id="114"/>
    </w:p>
    <w:p w14:paraId="6FCA61CE" w14:textId="7E6B6E82" w:rsidR="00DD68A4" w:rsidRPr="00211130" w:rsidRDefault="00DD68A4" w:rsidP="00DD68A4">
      <w:pPr>
        <w:pStyle w:val="BoxText"/>
        <w:shd w:val="clear" w:color="auto" w:fill="D9D9D9" w:themeFill="background1" w:themeFillShade="D9"/>
        <w:rPr>
          <w:sz w:val="22"/>
        </w:rPr>
      </w:pPr>
      <w:r w:rsidRPr="00211130">
        <w:rPr>
          <w:sz w:val="22"/>
        </w:rPr>
        <w:t xml:space="preserve">The Australian Government should assign lead responsibility for </w:t>
      </w:r>
      <w:r w:rsidR="00E52BA6">
        <w:rPr>
          <w:sz w:val="22"/>
        </w:rPr>
        <w:t xml:space="preserve">driving and </w:t>
      </w:r>
      <w:r w:rsidRPr="00211130">
        <w:rPr>
          <w:sz w:val="22"/>
        </w:rPr>
        <w:t>coordinating implementation of the National Environment and Communit</w:t>
      </w:r>
      <w:r w:rsidR="00EB1C9C">
        <w:rPr>
          <w:sz w:val="22"/>
        </w:rPr>
        <w:t>y Biosecurity RD&amp;E Strategy</w:t>
      </w:r>
      <w:r w:rsidR="00EB1C9C">
        <w:rPr>
          <w:sz w:val="22"/>
        </w:rPr>
        <w:br/>
        <w:t>2016–1</w:t>
      </w:r>
      <w:r w:rsidRPr="00211130">
        <w:rPr>
          <w:sz w:val="22"/>
        </w:rPr>
        <w:t>9 to the Australian Government environment department.</w:t>
      </w:r>
    </w:p>
    <w:p w14:paraId="024F17FE" w14:textId="77777777" w:rsidR="002365EB" w:rsidRDefault="002365EB" w:rsidP="002365EB">
      <w:pPr>
        <w:pStyle w:val="Heading4"/>
      </w:pPr>
      <w:r>
        <w:t>Cross-sectoral research: a substantial gap</w:t>
      </w:r>
    </w:p>
    <w:p w14:paraId="1DE5C737" w14:textId="66B78154" w:rsidR="00015B49" w:rsidRDefault="005B2161" w:rsidP="00CE732A">
      <w:r>
        <w:t>Cross-</w:t>
      </w:r>
      <w:r w:rsidR="00015B49" w:rsidRPr="00015B49">
        <w:t xml:space="preserve">sectoral R&amp;I efforts are inadequate to support the national biosecurity system into the future. In the context of </w:t>
      </w:r>
      <w:r w:rsidR="00211130">
        <w:t>this</w:t>
      </w:r>
      <w:r w:rsidR="00211130" w:rsidRPr="00015B49">
        <w:t xml:space="preserve"> </w:t>
      </w:r>
      <w:r w:rsidR="008074AB">
        <w:t>r</w:t>
      </w:r>
      <w:r w:rsidR="008074AB" w:rsidRPr="00015B49">
        <w:t>eview</w:t>
      </w:r>
      <w:r w:rsidR="00211130">
        <w:t>,</w:t>
      </w:r>
      <w:r w:rsidR="00015B49" w:rsidRPr="00015B49">
        <w:t xml:space="preserve"> cross-sectoral research is defined as research that generates outcomes which are applicable to, and benefit, more than one industry within a sector (for example</w:t>
      </w:r>
      <w:r w:rsidR="00211130">
        <w:t>,</w:t>
      </w:r>
      <w:r w:rsidR="00015B49" w:rsidRPr="00015B49">
        <w:t xml:space="preserve"> multiple horticulture industries) or more than one sector (for example</w:t>
      </w:r>
      <w:r w:rsidR="00211130">
        <w:t>,</w:t>
      </w:r>
      <w:r w:rsidR="00015B49" w:rsidRPr="00015B49">
        <w:t xml:space="preserve"> multiple plant industries or plant and animal industries) or the community overall. Examples of significant cross-sectoral research gaps put to the </w:t>
      </w:r>
      <w:r w:rsidR="008074AB">
        <w:t>p</w:t>
      </w:r>
      <w:r w:rsidR="00015B49" w:rsidRPr="00015B49">
        <w:t xml:space="preserve">anel include technological solutions for detecting </w:t>
      </w:r>
      <w:r w:rsidR="00511C93">
        <w:t>‘</w:t>
      </w:r>
      <w:r w:rsidR="00015B49" w:rsidRPr="00015B49">
        <w:t>hitchhiker</w:t>
      </w:r>
      <w:r w:rsidR="00511C93">
        <w:t>’</w:t>
      </w:r>
      <w:r w:rsidR="00015B49" w:rsidRPr="00015B49">
        <w:t xml:space="preserve"> pests at the border</w:t>
      </w:r>
      <w:r w:rsidR="008074AB">
        <w:t>,</w:t>
      </w:r>
      <w:r w:rsidR="00015B49" w:rsidRPr="00015B49">
        <w:t xml:space="preserve"> electronic sampling for commodities (for example, contaminants in grain)</w:t>
      </w:r>
      <w:r w:rsidR="008074AB">
        <w:t>,</w:t>
      </w:r>
      <w:r w:rsidR="00015B49" w:rsidRPr="00015B49">
        <w:t xml:space="preserve"> improving pest and disease surveillance and monitoring across Australia</w:t>
      </w:r>
      <w:r w:rsidR="008074AB">
        <w:t>,</w:t>
      </w:r>
      <w:r w:rsidR="00015B49" w:rsidRPr="00015B49">
        <w:t xml:space="preserve"> market access research</w:t>
      </w:r>
      <w:r w:rsidR="008074AB">
        <w:t>,</w:t>
      </w:r>
      <w:r w:rsidR="00015B49" w:rsidRPr="00015B49">
        <w:t xml:space="preserve"> and social research</w:t>
      </w:r>
      <w:r w:rsidR="008074AB">
        <w:t xml:space="preserve">, </w:t>
      </w:r>
      <w:r w:rsidR="00015B49" w:rsidRPr="00015B49">
        <w:t>including behavioural change, practice change, collaboration, terminology and communication.</w:t>
      </w:r>
    </w:p>
    <w:p w14:paraId="47306AB0" w14:textId="6415E6B3" w:rsidR="00015B49" w:rsidRDefault="00015B49" w:rsidP="00015B49">
      <w:r>
        <w:t>Biosecurity stakeholders have highlighted that cross-sectoral opportunities for biosecurity R&amp;I benefits are clearly being missed and that there are inefficiencies in the research being undertaken</w:t>
      </w:r>
      <w:r w:rsidR="00211130">
        <w:t>:</w:t>
      </w:r>
    </w:p>
    <w:p w14:paraId="280A15AE" w14:textId="061E6B71" w:rsidR="00015B49" w:rsidRDefault="00015B49" w:rsidP="00015B49">
      <w:pPr>
        <w:pStyle w:val="Quote"/>
      </w:pPr>
      <w:r>
        <w:t>While there still appears to be considerable investment in biosecurity research and development across the various agencies, institutions and organisations, and we pride ourselves on the strengths and benefits of the system, there are some significant gaps and deficiencies that need attention—including the coordination and delivery of cross-sectoral biosecurity R&amp;I (Rural Industries Research and Development Corporations sub. DR86)</w:t>
      </w:r>
    </w:p>
    <w:p w14:paraId="63ABD165" w14:textId="37404548" w:rsidR="002365EB" w:rsidRDefault="00015B49" w:rsidP="00CE732A">
      <w:r w:rsidRPr="00015B49">
        <w:t>Analysis of the 2015 National Plant Biosecurity Status Report</w:t>
      </w:r>
      <w:r w:rsidR="002365EB">
        <w:t xml:space="preserve"> </w:t>
      </w:r>
      <w:r w:rsidR="002365EB" w:rsidRPr="00EE2529">
        <w:t>(</w:t>
      </w:r>
      <w:hyperlink w:anchor="NPBRDES_IC_2016" w:history="1">
        <w:r w:rsidR="002365EB" w:rsidRPr="0050175A">
          <w:rPr>
            <w:rStyle w:val="Hyperlink"/>
          </w:rPr>
          <w:t>NPBRDES IC 2016</w:t>
        </w:r>
      </w:hyperlink>
      <w:r w:rsidR="002365EB" w:rsidRPr="00EE2529">
        <w:t xml:space="preserve">) </w:t>
      </w:r>
      <w:r w:rsidRPr="00015B49">
        <w:t>by the Plant Biosecurity RD&amp;E Strategy Implementation Committee showed that, of the 578 proj</w:t>
      </w:r>
      <w:r w:rsidR="00A8440A">
        <w:t>ects from the status report, 64 </w:t>
      </w:r>
      <w:r w:rsidRPr="00015B49">
        <w:t>per</w:t>
      </w:r>
      <w:r w:rsidR="00A8440A">
        <w:t> cent (370 </w:t>
      </w:r>
      <w:r w:rsidRPr="00015B49">
        <w:t>projects) were c</w:t>
      </w:r>
      <w:r w:rsidR="00A8440A">
        <w:t xml:space="preserve">onsidered to be sectoral and 36 per cent </w:t>
      </w:r>
      <w:r w:rsidRPr="00015B49">
        <w:t>(208</w:t>
      </w:r>
      <w:r w:rsidR="00A8440A">
        <w:t> </w:t>
      </w:r>
      <w:r w:rsidRPr="00015B49">
        <w:t xml:space="preserve">projects) </w:t>
      </w:r>
      <w:r w:rsidR="00A46EAA">
        <w:t xml:space="preserve">were considered to be </w:t>
      </w:r>
      <w:r w:rsidRPr="00015B49">
        <w:t>cross-sectoral (</w:t>
      </w:r>
      <w:r>
        <w:fldChar w:fldCharType="begin"/>
      </w:r>
      <w:r>
        <w:instrText xml:space="preserve"> REF _Ref482021044 \h </w:instrText>
      </w:r>
      <w:r>
        <w:fldChar w:fldCharType="separate"/>
      </w:r>
      <w:r w:rsidR="009F6923">
        <w:t xml:space="preserve">Figure </w:t>
      </w:r>
      <w:r w:rsidR="009F6923">
        <w:rPr>
          <w:noProof/>
        </w:rPr>
        <w:t>4</w:t>
      </w:r>
      <w:r>
        <w:fldChar w:fldCharType="end"/>
      </w:r>
      <w:r w:rsidRPr="00015B49">
        <w:t xml:space="preserve">). The </w:t>
      </w:r>
      <w:r w:rsidR="00A46EAA">
        <w:t>c</w:t>
      </w:r>
      <w:r w:rsidRPr="00015B49">
        <w:t xml:space="preserve">ommittee concluded that 110 of the 370 sectoral projects could be adapted for use by other sectors (that is, </w:t>
      </w:r>
      <w:r w:rsidR="00A46EAA">
        <w:t xml:space="preserve">they could </w:t>
      </w:r>
      <w:r w:rsidRPr="00015B49">
        <w:t xml:space="preserve">be cross-sectoral). Adapting this research will </w:t>
      </w:r>
      <w:r w:rsidRPr="00015B49">
        <w:lastRenderedPageBreak/>
        <w:t xml:space="preserve">now require additional resources, </w:t>
      </w:r>
      <w:r w:rsidR="00511C93">
        <w:t xml:space="preserve">a proportion of </w:t>
      </w:r>
      <w:r w:rsidRPr="00015B49">
        <w:t>which may have been avoided through better coordination during project development.</w:t>
      </w:r>
    </w:p>
    <w:p w14:paraId="05BFA817" w14:textId="7D6540D3" w:rsidR="00DC2E57" w:rsidRDefault="00DC2E57" w:rsidP="00DC2E57">
      <w:pPr>
        <w:pStyle w:val="Caption"/>
      </w:pPr>
      <w:bookmarkStart w:id="115" w:name="_Ref482021044"/>
      <w:bookmarkStart w:id="116" w:name="_Ref469641003"/>
      <w:r>
        <w:t xml:space="preserve">Figure </w:t>
      </w:r>
      <w:fldSimple w:instr=" SEQ Figure \* ARABIC ">
        <w:r w:rsidR="009F6923">
          <w:rPr>
            <w:noProof/>
          </w:rPr>
          <w:t>4</w:t>
        </w:r>
      </w:fldSimple>
      <w:bookmarkEnd w:id="115"/>
      <w:r w:rsidRPr="00B660A8">
        <w:rPr>
          <w:szCs w:val="22"/>
        </w:rPr>
        <w:t xml:space="preserve"> Breakdown of projects under the 2015 National Plant Biosecurity Status Report</w:t>
      </w:r>
      <w:bookmarkEnd w:id="116"/>
    </w:p>
    <w:p w14:paraId="3B3637E7" w14:textId="3074D4E4" w:rsidR="006F4629" w:rsidRDefault="006F4629" w:rsidP="00061673">
      <w:pPr>
        <w:pStyle w:val="Picture"/>
      </w:pPr>
      <w:bookmarkStart w:id="117" w:name="_Ref466972885"/>
      <w:bookmarkStart w:id="118" w:name="_Toc468176740"/>
      <w:r>
        <w:drawing>
          <wp:inline distT="0" distB="0" distL="0" distR="0" wp14:anchorId="365E27C1" wp14:editId="51C15941">
            <wp:extent cx="4495800" cy="2865120"/>
            <wp:effectExtent l="0" t="0" r="0" b="0"/>
            <wp:docPr id="3" name="Picture 3" descr="A pie chart showing the percentage breakdown of projects under the 2015 National Plant Biosecurity Status Report which shows that 45 per cent of projects funded under the national Plant Biosecurity RD&amp;E Strategy are sectoral, 19 per cent are sectoral but could possibly be applied to other industries, and 36 per cent are cross-secto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95800" cy="2865120"/>
                    </a:xfrm>
                    <a:prstGeom prst="rect">
                      <a:avLst/>
                    </a:prstGeom>
                    <a:noFill/>
                  </pic:spPr>
                </pic:pic>
              </a:graphicData>
            </a:graphic>
          </wp:inline>
        </w:drawing>
      </w:r>
    </w:p>
    <w:bookmarkEnd w:id="117"/>
    <w:bookmarkEnd w:id="118"/>
    <w:p w14:paraId="29577082" w14:textId="31ECC018" w:rsidR="008E305F" w:rsidRPr="008E305F" w:rsidRDefault="008E305F" w:rsidP="002365EB">
      <w:pPr>
        <w:pStyle w:val="FigureTableNoteSource"/>
      </w:pPr>
      <w:r>
        <w:t xml:space="preserve">Source: </w:t>
      </w:r>
      <w:hyperlink w:anchor="NPBRDES_IC_2016" w:history="1">
        <w:r w:rsidR="00BE16A9" w:rsidRPr="0050175A">
          <w:rPr>
            <w:rStyle w:val="Hyperlink"/>
          </w:rPr>
          <w:t>NPBRDES IC 2016</w:t>
        </w:r>
      </w:hyperlink>
      <w:r w:rsidR="00046649">
        <w:t>.</w:t>
      </w:r>
    </w:p>
    <w:p w14:paraId="50AFE94D" w14:textId="4788A03B" w:rsidR="00217F53" w:rsidRDefault="00015B49" w:rsidP="00EC0C8F">
      <w:r w:rsidRPr="00015B49">
        <w:t xml:space="preserve">In another positive move following the release of the IGAB </w:t>
      </w:r>
      <w:r w:rsidR="004B54E0">
        <w:t>r</w:t>
      </w:r>
      <w:r w:rsidRPr="00015B49">
        <w:t xml:space="preserve">eview </w:t>
      </w:r>
      <w:r w:rsidR="004B54E0">
        <w:t>d</w:t>
      </w:r>
      <w:r w:rsidRPr="00015B49">
        <w:t xml:space="preserve">raft </w:t>
      </w:r>
      <w:r w:rsidR="004B54E0">
        <w:t>r</w:t>
      </w:r>
      <w:r w:rsidRPr="00015B49">
        <w:t xml:space="preserve">eport, the seven plant-based RDCs and PHA have formed the Plant Research Biosecurity Initiative to improve coordination and co-investment for plant biosecurity RD&amp;E and strengthen the link between this research effort and the biosecurity community. This initiative is being led by Horticulture Innovation Australia Limited. </w:t>
      </w:r>
      <w:r w:rsidR="00844D1B">
        <w:t>T</w:t>
      </w:r>
      <w:r w:rsidRPr="00015B49">
        <w:t>he governance structure for the initiative, including the parties to the key investment decision-making body</w:t>
      </w:r>
      <w:r w:rsidR="004B54E0">
        <w:t>,</w:t>
      </w:r>
      <w:r w:rsidR="00844D1B">
        <w:t xml:space="preserve"> is shown below (</w:t>
      </w:r>
      <w:r w:rsidR="00844D1B">
        <w:fldChar w:fldCharType="begin"/>
      </w:r>
      <w:r w:rsidR="00844D1B">
        <w:instrText xml:space="preserve"> REF _Ref482021179 \h </w:instrText>
      </w:r>
      <w:r w:rsidR="00844D1B">
        <w:fldChar w:fldCharType="separate"/>
      </w:r>
      <w:r w:rsidR="009F6923" w:rsidRPr="00307A29">
        <w:t xml:space="preserve">Figure </w:t>
      </w:r>
      <w:r w:rsidR="009F6923">
        <w:rPr>
          <w:noProof/>
        </w:rPr>
        <w:t>5</w:t>
      </w:r>
      <w:r w:rsidR="00844D1B">
        <w:fldChar w:fldCharType="end"/>
      </w:r>
      <w:r w:rsidR="00844D1B">
        <w:t>)</w:t>
      </w:r>
      <w:r w:rsidRPr="00015B49">
        <w:t>.</w:t>
      </w:r>
    </w:p>
    <w:p w14:paraId="7043AEF2" w14:textId="4B1742CB" w:rsidR="00320E18" w:rsidRDefault="00320E18" w:rsidP="00320E18">
      <w:pPr>
        <w:pStyle w:val="Caption"/>
      </w:pPr>
      <w:bookmarkStart w:id="119" w:name="_Ref482021179"/>
      <w:r w:rsidRPr="00307A29">
        <w:lastRenderedPageBreak/>
        <w:t xml:space="preserve">Figure </w:t>
      </w:r>
      <w:fldSimple w:instr=" SEQ Figure \* ARABIC ">
        <w:r w:rsidR="009F6923">
          <w:rPr>
            <w:noProof/>
          </w:rPr>
          <w:t>5</w:t>
        </w:r>
      </w:fldSimple>
      <w:bookmarkEnd w:id="119"/>
      <w:r w:rsidRPr="00307A29">
        <w:t xml:space="preserve"> Plant Research Biosecurity Initiative</w:t>
      </w:r>
    </w:p>
    <w:p w14:paraId="2E836340" w14:textId="3AB78AA7" w:rsidR="00015B49" w:rsidRDefault="002D0780" w:rsidP="00061673">
      <w:pPr>
        <w:pStyle w:val="Picture"/>
      </w:pPr>
      <w:r>
        <w:drawing>
          <wp:inline distT="0" distB="0" distL="0" distR="0" wp14:anchorId="543835BC" wp14:editId="530BFE15">
            <wp:extent cx="5730240" cy="3383280"/>
            <wp:effectExtent l="0" t="0" r="3810" b="7620"/>
            <wp:docPr id="33" name="Picture 33" descr="Shows the governance structure for the Plant Research Biosecurity Initiative (PRBI) developed by the plant based research and development corporations (RDCs). Levy payers provide advice to the key investment decision making body made up of the plant based RDCs, Plant Health Australia (PHA), the Australian Government agriculture department, and the Council of rural RDCs. Peak Industry Bodies provide advice through established PHA and RDC mechanisms. The Agriculture Senior Officials Committee (and its two sub-committees, the National Biosecurity Committee and the Research &amp; Innovation Committee) is the mechanism by which national priorities are discussed. Delivery of research programs will be done by the Plant RDC Biosecurity Program Director. A Project Management Agreement will provide a management structure for operation and to provide a basis for cross sectoral co-investment. Under the framework there will be a PRBI Management Committee to oversee the proper conduct of the program. The framework also enables co-investors such as universities and international and domestic research institutes. The initiative is being led by Horticulture Innovation Australia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0240" cy="3383280"/>
                    </a:xfrm>
                    <a:prstGeom prst="rect">
                      <a:avLst/>
                    </a:prstGeom>
                    <a:noFill/>
                  </pic:spPr>
                </pic:pic>
              </a:graphicData>
            </a:graphic>
          </wp:inline>
        </w:drawing>
      </w:r>
    </w:p>
    <w:p w14:paraId="10981C29" w14:textId="27D3CF21" w:rsidR="005E58D6" w:rsidRDefault="005E58D6" w:rsidP="00371A80">
      <w:pPr>
        <w:pStyle w:val="FigureTableNoteSource"/>
      </w:pPr>
      <w:r w:rsidRPr="005E58D6">
        <w:t>AGWA: Australian Grape and Wine Authority; AGSOC: Agriculture Senior Officials Committee; CRDC: Cotton RDC; CRRDC: Council of Rural RDCs; DAWR: Australia Government Department of Agriculture and Water Resources; FWPA: Forest and Wood Products Australia Ltd; GRDC: Grains RDC; HIA: Horticulture Innovation Australia Ltd; NBC: National Biosecurity Committee; NPBRDES IC: National Plant Biosecurity RD&amp;E Strategy Implementation Committee; PHA: Plant Health Australia; PHC: Plant Health Committee; PIB: Peak Industry Body; PRBI: Plant Research Biosecurity Initiative; R&amp;I (AGSOC): Research and Innovation Committee; RIRDC: Rural Industries RDC; SRA: Sugar Research Australia Ltd.</w:t>
      </w:r>
    </w:p>
    <w:p w14:paraId="62CB4979" w14:textId="03BDFE9B" w:rsidR="00371A80" w:rsidRPr="00371A80" w:rsidRDefault="00371A80" w:rsidP="00371A80">
      <w:pPr>
        <w:pStyle w:val="FigureTableNoteSource"/>
      </w:pPr>
      <w:r>
        <w:t>Source: P</w:t>
      </w:r>
      <w:r w:rsidR="009C4749">
        <w:t xml:space="preserve">lant Health </w:t>
      </w:r>
      <w:r>
        <w:t>A</w:t>
      </w:r>
      <w:r w:rsidR="009C4749">
        <w:t>ustralia</w:t>
      </w:r>
      <w:r w:rsidR="006322E9">
        <w:t>.</w:t>
      </w:r>
    </w:p>
    <w:p w14:paraId="7C96E556" w14:textId="5F77D086" w:rsidR="00015B49" w:rsidRDefault="00015B49" w:rsidP="00015B49">
      <w:r>
        <w:t xml:space="preserve">The </w:t>
      </w:r>
      <w:r w:rsidR="004B54E0">
        <w:t>p</w:t>
      </w:r>
      <w:r>
        <w:t>anel supports efforts to improve national plant biosecurity R</w:t>
      </w:r>
      <w:r w:rsidR="00E70931">
        <w:t>D</w:t>
      </w:r>
      <w:r>
        <w:t>&amp;</w:t>
      </w:r>
      <w:r w:rsidR="00E70931">
        <w:t>E</w:t>
      </w:r>
      <w:r>
        <w:t xml:space="preserve"> and encourages the animal-based RDCs and AHA to pursue a similar arrangement, with a view to improving coordination and co-investment for animal </w:t>
      </w:r>
      <w:r w:rsidRPr="00E70931">
        <w:t xml:space="preserve">biosecurity </w:t>
      </w:r>
      <w:r w:rsidR="00C262D9" w:rsidRPr="00E70931">
        <w:t>RD&amp;E</w:t>
      </w:r>
      <w:r w:rsidRPr="00E70931">
        <w:t xml:space="preserve"> and</w:t>
      </w:r>
      <w:r>
        <w:t xml:space="preserve"> implementation of the national </w:t>
      </w:r>
      <w:r w:rsidR="00211130">
        <w:t>A</w:t>
      </w:r>
      <w:r>
        <w:t xml:space="preserve">nimal </w:t>
      </w:r>
      <w:r w:rsidR="00211130">
        <w:t>B</w:t>
      </w:r>
      <w:r>
        <w:t xml:space="preserve">iosecurity RD&amp;E </w:t>
      </w:r>
      <w:r w:rsidR="00211130">
        <w:t>S</w:t>
      </w:r>
      <w:r w:rsidR="00752D2C">
        <w:t>trategy.</w:t>
      </w:r>
    </w:p>
    <w:p w14:paraId="3EEB86E8" w14:textId="48E80E22" w:rsidR="00015B49" w:rsidRDefault="00015B49" w:rsidP="00015B49">
      <w:r>
        <w:t xml:space="preserve">The </w:t>
      </w:r>
      <w:r w:rsidR="00F679E8">
        <w:t>p</w:t>
      </w:r>
      <w:r>
        <w:t>anel also notes there are some notable strategic partnerships seeking to generate practical solutions to key national biosecurity challenges, including the SITplus Partnership, the Rural Research and Development for Profit Programme and the Centre of Excellence for Biosecurity Risk Analysis (CEBRA) (</w:t>
      </w:r>
      <w:r w:rsidRPr="00C23E0A">
        <w:fldChar w:fldCharType="begin"/>
      </w:r>
      <w:r w:rsidRPr="00C23E0A">
        <w:instrText xml:space="preserve"> REF _Ref482021350 \h </w:instrText>
      </w:r>
      <w:r w:rsidR="00C23E0A">
        <w:instrText xml:space="preserve"> \* MERGEFORMAT </w:instrText>
      </w:r>
      <w:r w:rsidRPr="00C23E0A">
        <w:fldChar w:fldCharType="separate"/>
      </w:r>
      <w:r w:rsidR="009F6923" w:rsidRPr="00061673">
        <w:t xml:space="preserve">Box </w:t>
      </w:r>
      <w:r w:rsidR="009F6923">
        <w:t>11</w:t>
      </w:r>
      <w:r w:rsidRPr="00C23E0A">
        <w:fldChar w:fldCharType="end"/>
      </w:r>
      <w:r>
        <w:t xml:space="preserve">). </w:t>
      </w:r>
      <w:r w:rsidRPr="00C23E0A">
        <w:t>However, there</w:t>
      </w:r>
      <w:r>
        <w:t xml:space="preserve"> is no overarching plan or funding mechanism to focus strategic investment in </w:t>
      </w:r>
      <w:r w:rsidR="002178B9">
        <w:t xml:space="preserve">biosecurity R&amp;I </w:t>
      </w:r>
      <w:r>
        <w:t>at the national system</w:t>
      </w:r>
      <w:r w:rsidR="00F679E8">
        <w:t xml:space="preserve"> </w:t>
      </w:r>
      <w:r>
        <w:t>level</w:t>
      </w:r>
      <w:r w:rsidR="002178B9">
        <w:t xml:space="preserve"> (including for animal, plant and environmental)</w:t>
      </w:r>
      <w:r>
        <w:t>. Building upon the proposed plant RDC</w:t>
      </w:r>
      <w:r w:rsidR="00F679E8">
        <w:t>–</w:t>
      </w:r>
      <w:r>
        <w:t xml:space="preserve">PHA model, there should be a national priority-setting and commissioning process for cross-system and environmental R&amp;I, and this should be authorised and driven by </w:t>
      </w:r>
      <w:r w:rsidR="007F13E8">
        <w:t xml:space="preserve">the </w:t>
      </w:r>
      <w:r>
        <w:t>NBC.</w:t>
      </w:r>
    </w:p>
    <w:p w14:paraId="7FDDCB35" w14:textId="7F518A72" w:rsidR="00015B49" w:rsidRPr="00061673" w:rsidRDefault="00015B49" w:rsidP="00061673">
      <w:pPr>
        <w:pStyle w:val="BoxHeading"/>
        <w:keepNext/>
        <w:keepLines/>
      </w:pPr>
      <w:bookmarkStart w:id="120" w:name="_Ref482021350"/>
      <w:bookmarkStart w:id="121" w:name="_Ref482021331"/>
      <w:r w:rsidRPr="00061673">
        <w:lastRenderedPageBreak/>
        <w:t xml:space="preserve">Box </w:t>
      </w:r>
      <w:fldSimple w:instr=" SEQ Box \* ARABIC ">
        <w:r w:rsidR="009F6923">
          <w:rPr>
            <w:noProof/>
          </w:rPr>
          <w:t>11</w:t>
        </w:r>
      </w:fldSimple>
      <w:bookmarkEnd w:id="120"/>
      <w:r w:rsidRPr="00061673">
        <w:t xml:space="preserve"> Model R&amp;I partnerships</w:t>
      </w:r>
      <w:bookmarkEnd w:id="121"/>
      <w:r w:rsidRPr="00061673">
        <w:t xml:space="preserve"> </w:t>
      </w:r>
    </w:p>
    <w:p w14:paraId="7AE548F5" w14:textId="77777777" w:rsidR="00015B49" w:rsidRPr="00015B49" w:rsidRDefault="00015B49" w:rsidP="00061673">
      <w:pPr>
        <w:pStyle w:val="BoxHeading"/>
        <w:keepNext/>
        <w:keepLines/>
      </w:pPr>
      <w:r w:rsidRPr="00061673">
        <w:t>SITplus Partnership</w:t>
      </w:r>
    </w:p>
    <w:p w14:paraId="492CEA4C" w14:textId="6AA5FC7F" w:rsidR="00015B49" w:rsidRPr="00015B49" w:rsidRDefault="00015B49" w:rsidP="00061673">
      <w:pPr>
        <w:pStyle w:val="BoxText"/>
        <w:keepNext/>
        <w:keepLines/>
      </w:pPr>
      <w:r w:rsidRPr="00015B49">
        <w:t>SITplus</w:t>
      </w:r>
      <w:r w:rsidR="00B942A2">
        <w:t xml:space="preserve"> is a five-year</w:t>
      </w:r>
      <w:r w:rsidR="0057601D">
        <w:t>,</w:t>
      </w:r>
      <w:r w:rsidR="00B942A2">
        <w:t xml:space="preserve"> $45 </w:t>
      </w:r>
      <w:r w:rsidRPr="00015B49">
        <w:t>million research and development partnership seeking to deliver a transformative pest management s</w:t>
      </w:r>
      <w:r w:rsidR="0057601D">
        <w:t>olution to Queensland fruit fly—</w:t>
      </w:r>
      <w:r w:rsidRPr="00015B49">
        <w:t xml:space="preserve">a major horticultural pest. The partnership has </w:t>
      </w:r>
      <w:r w:rsidRPr="00061673">
        <w:t>brought</w:t>
      </w:r>
      <w:r w:rsidRPr="00015B49">
        <w:t xml:space="preserve"> together various stakeholders from across government, industry and research, including Horticulture Innovation Australia Limited, Macquarie University, the CSIRO, Plant and Food Research Australia and the Australian, N</w:t>
      </w:r>
      <w:r w:rsidR="0057601D">
        <w:t xml:space="preserve">ew </w:t>
      </w:r>
      <w:r w:rsidRPr="00015B49">
        <w:t>S</w:t>
      </w:r>
      <w:r w:rsidR="0057601D">
        <w:t xml:space="preserve">outh </w:t>
      </w:r>
      <w:r w:rsidRPr="00015B49">
        <w:t>W</w:t>
      </w:r>
      <w:r w:rsidR="0057601D">
        <w:t>ales</w:t>
      </w:r>
      <w:r w:rsidRPr="00015B49">
        <w:t>, Victorian and South Australian governments.</w:t>
      </w:r>
    </w:p>
    <w:p w14:paraId="5B2532DC" w14:textId="77777777" w:rsidR="00015B49" w:rsidRPr="00015B49" w:rsidRDefault="00015B49" w:rsidP="00061673">
      <w:pPr>
        <w:pStyle w:val="BoxSource"/>
        <w:keepNext/>
        <w:keepLines/>
      </w:pPr>
      <w:r w:rsidRPr="00015B49">
        <w:t xml:space="preserve">Source: </w:t>
      </w:r>
      <w:hyperlink w:anchor="Chapman_2016" w:history="1">
        <w:r w:rsidRPr="00015B49">
          <w:rPr>
            <w:color w:val="165788"/>
            <w:u w:val="single"/>
          </w:rPr>
          <w:t>Chapman 2016</w:t>
        </w:r>
      </w:hyperlink>
      <w:r w:rsidRPr="00015B49">
        <w:t xml:space="preserve">; </w:t>
      </w:r>
      <w:r w:rsidRPr="00061673">
        <w:t>Horticulture</w:t>
      </w:r>
      <w:r w:rsidRPr="00015B49">
        <w:t xml:space="preserve"> Innovation Australia Limited’s </w:t>
      </w:r>
      <w:hyperlink r:id="rId47" w:history="1">
        <w:r w:rsidRPr="00015B49">
          <w:rPr>
            <w:color w:val="165788"/>
            <w:u w:val="single"/>
          </w:rPr>
          <w:t>SITplus</w:t>
        </w:r>
      </w:hyperlink>
      <w:r w:rsidRPr="00015B49">
        <w:t xml:space="preserve"> </w:t>
      </w:r>
      <w:r w:rsidRPr="00061673">
        <w:t>website</w:t>
      </w:r>
      <w:r w:rsidRPr="00015B49">
        <w:t>.</w:t>
      </w:r>
    </w:p>
    <w:p w14:paraId="3D1D062D" w14:textId="09E24400" w:rsidR="00015B49" w:rsidRPr="00015B49" w:rsidRDefault="00015B49" w:rsidP="00061673">
      <w:pPr>
        <w:pStyle w:val="BoxHeading"/>
        <w:keepNext/>
        <w:keepLines/>
      </w:pPr>
      <w:r w:rsidRPr="00015B49">
        <w:t xml:space="preserve">Rural </w:t>
      </w:r>
      <w:r w:rsidRPr="00061673">
        <w:t>Research</w:t>
      </w:r>
      <w:r w:rsidRPr="00015B49">
        <w:t xml:space="preserve"> and Development for Profit </w:t>
      </w:r>
      <w:r w:rsidRPr="00061673">
        <w:t>Programme</w:t>
      </w:r>
      <w:r w:rsidRPr="00015B49">
        <w:t xml:space="preserve"> </w:t>
      </w:r>
    </w:p>
    <w:p w14:paraId="1D82C78A" w14:textId="3EB7A475" w:rsidR="00015B49" w:rsidRPr="00015B49" w:rsidRDefault="00015B49" w:rsidP="00061673">
      <w:pPr>
        <w:pStyle w:val="BoxText"/>
        <w:keepNext/>
        <w:keepLines/>
        <w:rPr>
          <w:lang w:val="en" w:eastAsia="en-AU"/>
        </w:rPr>
      </w:pPr>
      <w:r w:rsidRPr="00015B49">
        <w:rPr>
          <w:lang w:val="en" w:eastAsia="en-AU"/>
        </w:rPr>
        <w:t>The Rural Resea</w:t>
      </w:r>
      <w:r w:rsidR="0057601D">
        <w:rPr>
          <w:lang w:val="en" w:eastAsia="en-AU"/>
        </w:rPr>
        <w:t>rch and Development for Profit P</w:t>
      </w:r>
      <w:r w:rsidRPr="00015B49">
        <w:rPr>
          <w:lang w:val="en" w:eastAsia="en-AU"/>
        </w:rPr>
        <w:t xml:space="preserve">rogramme provides additional funding to the RDCs for nationally coordinated, </w:t>
      </w:r>
      <w:r w:rsidRPr="00061673">
        <w:t>strategic</w:t>
      </w:r>
      <w:r w:rsidRPr="00015B49">
        <w:rPr>
          <w:lang w:val="en" w:eastAsia="en-AU"/>
        </w:rPr>
        <w:t xml:space="preserve"> research (including for biosecurity). </w:t>
      </w:r>
      <w:r w:rsidRPr="00015B49">
        <w:t xml:space="preserve">The program was designed to establish significant new research collaborations with and between the RDCs, particularly for cross-sectoral research. </w:t>
      </w:r>
      <w:r w:rsidRPr="00015B49">
        <w:rPr>
          <w:lang w:val="en" w:eastAsia="en-AU"/>
        </w:rPr>
        <w:t>The total fund</w:t>
      </w:r>
      <w:r w:rsidR="00B942A2">
        <w:rPr>
          <w:lang w:val="en" w:eastAsia="en-AU"/>
        </w:rPr>
        <w:t>ing for the program is $180.5 </w:t>
      </w:r>
      <w:r w:rsidRPr="00015B49">
        <w:rPr>
          <w:lang w:val="en" w:eastAsia="en-AU"/>
        </w:rPr>
        <w:t>million over eight years, ending on 30 June 2022</w:t>
      </w:r>
      <w:r w:rsidR="00346AE1">
        <w:rPr>
          <w:lang w:val="en" w:eastAsia="en-AU"/>
        </w:rPr>
        <w:t xml:space="preserve">. Of that funding, </w:t>
      </w:r>
      <w:r w:rsidR="00B942A2">
        <w:rPr>
          <w:lang w:val="en" w:eastAsia="en-AU"/>
        </w:rPr>
        <w:t>$78.9 </w:t>
      </w:r>
      <w:r w:rsidRPr="00015B49">
        <w:rPr>
          <w:lang w:val="en" w:eastAsia="en-AU"/>
        </w:rPr>
        <w:t>million</w:t>
      </w:r>
      <w:r w:rsidR="00346AE1">
        <w:rPr>
          <w:lang w:val="en" w:eastAsia="en-AU"/>
        </w:rPr>
        <w:t>,</w:t>
      </w:r>
      <w:r w:rsidRPr="00015B49">
        <w:rPr>
          <w:lang w:val="en" w:eastAsia="en-AU"/>
        </w:rPr>
        <w:t xml:space="preserve"> or 4</w:t>
      </w:r>
      <w:r w:rsidR="00A8440A">
        <w:rPr>
          <w:lang w:val="en" w:eastAsia="en-AU"/>
        </w:rPr>
        <w:t>4 </w:t>
      </w:r>
      <w:r w:rsidRPr="00015B49">
        <w:rPr>
          <w:lang w:val="en" w:eastAsia="en-AU"/>
        </w:rPr>
        <w:t>per</w:t>
      </w:r>
      <w:r w:rsidR="00A8440A">
        <w:rPr>
          <w:lang w:val="en" w:eastAsia="en-AU"/>
        </w:rPr>
        <w:t> </w:t>
      </w:r>
      <w:r w:rsidRPr="00015B49">
        <w:rPr>
          <w:lang w:val="en" w:eastAsia="en-AU"/>
        </w:rPr>
        <w:t>cent</w:t>
      </w:r>
      <w:r w:rsidR="00346AE1">
        <w:rPr>
          <w:lang w:val="en" w:eastAsia="en-AU"/>
        </w:rPr>
        <w:t>,</w:t>
      </w:r>
      <w:r w:rsidRPr="00015B49">
        <w:rPr>
          <w:lang w:val="en" w:eastAsia="en-AU"/>
        </w:rPr>
        <w:t xml:space="preserve"> has been committed in the first two funding rounds.</w:t>
      </w:r>
    </w:p>
    <w:p w14:paraId="3D2DAEC8" w14:textId="5165335C" w:rsidR="00015B49" w:rsidRPr="00015B49" w:rsidRDefault="00B942A2" w:rsidP="00061673">
      <w:pPr>
        <w:pStyle w:val="BoxText"/>
        <w:keepNext/>
        <w:keepLines/>
      </w:pPr>
      <w:r>
        <w:t>A total of $24.9 </w:t>
      </w:r>
      <w:r w:rsidR="00015B49" w:rsidRPr="00015B49">
        <w:t xml:space="preserve">million in grant funding has been provided by the Australian Government to biosecurity-related research projects </w:t>
      </w:r>
      <w:r w:rsidR="00015B49" w:rsidRPr="00061673">
        <w:t>under</w:t>
      </w:r>
      <w:r w:rsidR="00015B49" w:rsidRPr="00015B49">
        <w:t xml:space="preserve"> the first two funds rounds, including for projects to control Queensland </w:t>
      </w:r>
      <w:r w:rsidR="00346AE1">
        <w:t>f</w:t>
      </w:r>
      <w:r w:rsidR="00015B49" w:rsidRPr="00015B49">
        <w:t xml:space="preserve">ruit </w:t>
      </w:r>
      <w:r w:rsidR="00346AE1">
        <w:t>f</w:t>
      </w:r>
      <w:r w:rsidR="00015B49" w:rsidRPr="00015B49">
        <w:t>ly</w:t>
      </w:r>
      <w:r w:rsidR="00346AE1">
        <w:t>,</w:t>
      </w:r>
      <w:r w:rsidR="00015B49" w:rsidRPr="00015B49">
        <w:t xml:space="preserve"> develop technology-based monitoring tools for Australian tree crops</w:t>
      </w:r>
      <w:r w:rsidR="00346AE1">
        <w:t>,</w:t>
      </w:r>
      <w:r w:rsidR="00015B49" w:rsidRPr="00015B49">
        <w:t xml:space="preserve"> develop weed biocontrol agents and strengthen preparedness and facilitate return to trade in the event of an emergency animal diseases such as </w:t>
      </w:r>
      <w:r w:rsidR="00A96743" w:rsidRPr="00A96743">
        <w:t>foot-and-mouth disease</w:t>
      </w:r>
      <w:r w:rsidR="00015B49" w:rsidRPr="00015B49">
        <w:t>.</w:t>
      </w:r>
    </w:p>
    <w:p w14:paraId="1C970A99" w14:textId="228B35D4" w:rsidR="00015B49" w:rsidRPr="00015B49" w:rsidRDefault="00015B49" w:rsidP="00061673">
      <w:pPr>
        <w:pStyle w:val="BoxSource"/>
        <w:keepNext/>
        <w:keepLines/>
        <w:rPr>
          <w:sz w:val="20"/>
          <w:szCs w:val="20"/>
        </w:rPr>
      </w:pPr>
      <w:r w:rsidRPr="00015B49">
        <w:rPr>
          <w:sz w:val="20"/>
          <w:szCs w:val="20"/>
        </w:rPr>
        <w:t>Source:</w:t>
      </w:r>
      <w:r w:rsidR="003B5C6C">
        <w:rPr>
          <w:sz w:val="20"/>
          <w:szCs w:val="20"/>
        </w:rPr>
        <w:t xml:space="preserve"> </w:t>
      </w:r>
      <w:r w:rsidR="002A746B">
        <w:rPr>
          <w:sz w:val="20"/>
          <w:szCs w:val="20"/>
        </w:rPr>
        <w:t xml:space="preserve">The </w:t>
      </w:r>
      <w:r w:rsidR="003B5C6C" w:rsidRPr="00061673">
        <w:t>Australian</w:t>
      </w:r>
      <w:r w:rsidR="003B5C6C">
        <w:rPr>
          <w:sz w:val="20"/>
          <w:szCs w:val="20"/>
        </w:rPr>
        <w:t xml:space="preserve"> Government </w:t>
      </w:r>
      <w:r w:rsidR="00346AE1">
        <w:rPr>
          <w:sz w:val="20"/>
          <w:szCs w:val="20"/>
        </w:rPr>
        <w:t>Department of Agriculture and Water Resources</w:t>
      </w:r>
      <w:r w:rsidR="003B5C6C">
        <w:rPr>
          <w:sz w:val="20"/>
          <w:szCs w:val="20"/>
        </w:rPr>
        <w:t xml:space="preserve"> </w:t>
      </w:r>
      <w:hyperlink r:id="rId48" w:history="1">
        <w:r w:rsidR="003B5C6C" w:rsidRPr="003B5C6C">
          <w:rPr>
            <w:rStyle w:val="Hyperlink"/>
            <w:sz w:val="20"/>
            <w:szCs w:val="20"/>
          </w:rPr>
          <w:t>R&amp;D for Profit</w:t>
        </w:r>
      </w:hyperlink>
      <w:r w:rsidR="003B5C6C">
        <w:rPr>
          <w:sz w:val="20"/>
          <w:szCs w:val="20"/>
        </w:rPr>
        <w:t xml:space="preserve"> </w:t>
      </w:r>
      <w:r w:rsidR="003B5C6C" w:rsidRPr="00061673">
        <w:rPr>
          <w:sz w:val="20"/>
          <w:szCs w:val="20"/>
        </w:rPr>
        <w:t>website</w:t>
      </w:r>
      <w:r w:rsidR="003B5C6C">
        <w:rPr>
          <w:sz w:val="20"/>
          <w:szCs w:val="20"/>
        </w:rPr>
        <w:t>.</w:t>
      </w:r>
    </w:p>
    <w:p w14:paraId="697E3E2F" w14:textId="77777777" w:rsidR="00015B49" w:rsidRPr="00015B49" w:rsidRDefault="00015B49" w:rsidP="00061673">
      <w:pPr>
        <w:pStyle w:val="BoxHeading"/>
        <w:keepNext/>
        <w:keepLines/>
      </w:pPr>
      <w:r w:rsidRPr="00015B49">
        <w:t xml:space="preserve">The Centre of </w:t>
      </w:r>
      <w:r w:rsidRPr="00061673">
        <w:t>Excellence</w:t>
      </w:r>
      <w:r w:rsidRPr="00015B49">
        <w:t xml:space="preserve"> for Biosecurity Risk Analysis (CEBRA)</w:t>
      </w:r>
    </w:p>
    <w:p w14:paraId="2B249087" w14:textId="5B342CAD" w:rsidR="00015B49" w:rsidRPr="00015B49" w:rsidRDefault="00015B49" w:rsidP="00061673">
      <w:pPr>
        <w:pStyle w:val="BoxText"/>
        <w:keepNext/>
        <w:keepLines/>
      </w:pPr>
      <w:r w:rsidRPr="00015B49">
        <w:t xml:space="preserve">CEBRA was established on 1 July 2013 through an agreement between the University of Melbourne, the Australian </w:t>
      </w:r>
      <w:r w:rsidRPr="00061673">
        <w:t>Government</w:t>
      </w:r>
      <w:r w:rsidRPr="00015B49">
        <w:t xml:space="preserve"> agriculture department and the New Zealand Government Ministry for Primary Industries. </w:t>
      </w:r>
      <w:r w:rsidR="00511C93" w:rsidRPr="00511C93">
        <w:t>It replaced the Australian Centre of Excellence in Risk Analysis (</w:t>
      </w:r>
      <w:r w:rsidR="00F06EF3">
        <w:t>ACERA)</w:t>
      </w:r>
      <w:r w:rsidR="004E0053">
        <w:t>,</w:t>
      </w:r>
      <w:r w:rsidR="00F06EF3">
        <w:t xml:space="preserve"> which operated from 2006 to </w:t>
      </w:r>
      <w:r w:rsidR="00511C93" w:rsidRPr="00511C93">
        <w:t>2013.</w:t>
      </w:r>
      <w:r w:rsidR="00511C93">
        <w:t xml:space="preserve"> </w:t>
      </w:r>
      <w:r w:rsidRPr="00015B49">
        <w:t>Its primary goal is to develop tools, methods, guidelines and protocols to improve biosecurity risk analysis, with the purpose of providing governments with practical solutions and advice for assessing and managing biosecurity risks. The centre also plays an important role in improving the way in which biosecurity is communicated to government, business and the community. The Australia</w:t>
      </w:r>
      <w:r w:rsidR="00B942A2">
        <w:t>n Government provides almost $2 </w:t>
      </w:r>
      <w:r w:rsidRPr="00015B49">
        <w:t>million to CEBRA annually.</w:t>
      </w:r>
    </w:p>
    <w:p w14:paraId="34C963C2" w14:textId="06034088" w:rsidR="00015B49" w:rsidRPr="00015B49" w:rsidRDefault="00015B49" w:rsidP="00061673">
      <w:pPr>
        <w:pStyle w:val="BoxSource"/>
        <w:keepNext/>
        <w:keepLines/>
      </w:pPr>
      <w:r w:rsidRPr="00015B49">
        <w:t>Source:</w:t>
      </w:r>
      <w:r w:rsidR="00920E20">
        <w:t xml:space="preserve"> </w:t>
      </w:r>
      <w:r w:rsidR="002A746B">
        <w:t xml:space="preserve">The </w:t>
      </w:r>
      <w:r w:rsidRPr="00061673">
        <w:t>CEBRA’s</w:t>
      </w:r>
      <w:r w:rsidRPr="00015B49">
        <w:t xml:space="preserve"> </w:t>
      </w:r>
      <w:hyperlink r:id="rId49" w:history="1">
        <w:r w:rsidRPr="00015B49">
          <w:rPr>
            <w:color w:val="165788"/>
            <w:u w:val="single"/>
          </w:rPr>
          <w:t>About US</w:t>
        </w:r>
      </w:hyperlink>
      <w:r w:rsidRPr="00015B49">
        <w:t xml:space="preserve"> website.</w:t>
      </w:r>
    </w:p>
    <w:p w14:paraId="559F2E16" w14:textId="1C76B68B" w:rsidR="00CE5800" w:rsidRDefault="00015B49" w:rsidP="00CE5800">
      <w:pPr>
        <w:pStyle w:val="Heading3"/>
      </w:pPr>
      <w:bookmarkStart w:id="122" w:name="_Toc486236050"/>
      <w:r>
        <w:t>Future-focused biosecurity R&amp;I</w:t>
      </w:r>
      <w:bookmarkEnd w:id="122"/>
    </w:p>
    <w:p w14:paraId="02962B8A" w14:textId="1ED25493" w:rsidR="00015B49" w:rsidRDefault="00015B49" w:rsidP="00015B49">
      <w:r>
        <w:lastRenderedPageBreak/>
        <w:t xml:space="preserve">Investment and institutional structures for biosecurity R&amp;I must be strengthened, better targeted and supported by more enduring, nationally coordinated arrangements than they have to date. </w:t>
      </w:r>
      <w:r w:rsidR="00D16BB4" w:rsidRPr="00D16BB4">
        <w:t xml:space="preserve">These </w:t>
      </w:r>
      <w:r w:rsidR="00920E20">
        <w:t>requirements</w:t>
      </w:r>
      <w:r w:rsidR="00D16BB4" w:rsidRPr="00D16BB4">
        <w:t xml:space="preserve"> were also highlighted in the </w:t>
      </w:r>
      <w:r w:rsidR="00D16BB4" w:rsidRPr="00D16BB4">
        <w:rPr>
          <w:lang w:eastAsia="ja-JP"/>
        </w:rPr>
        <w:t>2016 National Research Infrastructure Roadmap (</w:t>
      </w:r>
      <w:hyperlink w:anchor="NRIR_2016" w:history="1">
        <w:r w:rsidR="00D16BB4" w:rsidRPr="00D16BB4">
          <w:rPr>
            <w:rStyle w:val="Hyperlink"/>
            <w:lang w:eastAsia="ja-JP"/>
          </w:rPr>
          <w:t>NRIR 2016</w:t>
        </w:r>
      </w:hyperlink>
      <w:r w:rsidR="00D16BB4" w:rsidRPr="00D16BB4">
        <w:rPr>
          <w:lang w:eastAsia="ja-JP"/>
        </w:rPr>
        <w:t>).</w:t>
      </w:r>
      <w:r w:rsidR="00D16BB4">
        <w:rPr>
          <w:lang w:eastAsia="ja-JP"/>
        </w:rPr>
        <w:t xml:space="preserve"> </w:t>
      </w:r>
      <w:r w:rsidRPr="00D16BB4">
        <w:t>There</w:t>
      </w:r>
      <w:r>
        <w:t xml:space="preserve"> must be better articulation, especially by all Australian governments, of the national investment priorities for biose</w:t>
      </w:r>
      <w:r w:rsidR="00D16BB4">
        <w:t>curity R&amp;I.</w:t>
      </w:r>
    </w:p>
    <w:p w14:paraId="3D7FC78F" w14:textId="4D311074" w:rsidR="00015B49" w:rsidRDefault="00015B49" w:rsidP="00015B49">
      <w:r>
        <w:t xml:space="preserve">Strategic investment in technological innovations must play a greater role in addressing current and emerging biosecurity challenges—and to assist the financial sustainability of the national biosecurity system. In addition, the </w:t>
      </w:r>
      <w:r w:rsidRPr="001A59CF">
        <w:t>broader national R&amp;I</w:t>
      </w:r>
      <w:r>
        <w:t xml:space="preserve"> agenda needs to be more cognisant of biosecurity R&amp;I as a pathway to productivity gains and market access and for a broad range of cross-sectoral and environmental outcomes.</w:t>
      </w:r>
    </w:p>
    <w:p w14:paraId="4B4D0008" w14:textId="25587299" w:rsidR="002365EB" w:rsidRDefault="002365EB" w:rsidP="002365EB">
      <w:pPr>
        <w:pStyle w:val="Heading4"/>
      </w:pPr>
      <w:r>
        <w:t xml:space="preserve">National </w:t>
      </w:r>
      <w:r w:rsidR="00306A73">
        <w:t>B</w:t>
      </w:r>
      <w:r>
        <w:t xml:space="preserve">iosecurity R&amp;I </w:t>
      </w:r>
      <w:r w:rsidR="00306A73">
        <w:t>P</w:t>
      </w:r>
      <w:r>
        <w:t>riorities</w:t>
      </w:r>
    </w:p>
    <w:p w14:paraId="4FAB43C3" w14:textId="19EDEAC2" w:rsidR="00015B49" w:rsidRDefault="00015B49" w:rsidP="00015B49">
      <w:r>
        <w:t xml:space="preserve">Development of new National Biosecurity R&amp;I Priorities are required to deliver clarity and direction for the national biosecurity and </w:t>
      </w:r>
      <w:r w:rsidR="007666B2">
        <w:t>agricultural RD&amp;E</w:t>
      </w:r>
      <w:r>
        <w:t xml:space="preserve"> systems. Over time, the existing biosecurity RD&amp;E strategies and frameworks should be aligned to the new National Biosecurity R&amp;I Priorities.</w:t>
      </w:r>
    </w:p>
    <w:p w14:paraId="7FDAFF1B" w14:textId="0AD3785C" w:rsidR="00015B49" w:rsidRDefault="00F93540" w:rsidP="00015B49">
      <w:r>
        <w:t>The national priority-</w:t>
      </w:r>
      <w:r w:rsidR="00015B49">
        <w:t>setting process must be authorised and driven by the NBC (</w:t>
      </w:r>
      <w:r w:rsidR="006544EF">
        <w:rPr>
          <w:highlight w:val="yellow"/>
        </w:rPr>
        <w:fldChar w:fldCharType="begin"/>
      </w:r>
      <w:r w:rsidR="006544EF">
        <w:instrText xml:space="preserve"> REF _Ref482021997 \h </w:instrText>
      </w:r>
      <w:r w:rsidR="006544EF">
        <w:rPr>
          <w:highlight w:val="yellow"/>
        </w:rPr>
      </w:r>
      <w:r w:rsidR="006544EF">
        <w:rPr>
          <w:highlight w:val="yellow"/>
        </w:rPr>
        <w:fldChar w:fldCharType="separate"/>
      </w:r>
      <w:r w:rsidR="009F6923" w:rsidRPr="00307A29">
        <w:t xml:space="preserve">Figure </w:t>
      </w:r>
      <w:r w:rsidR="009F6923">
        <w:rPr>
          <w:noProof/>
        </w:rPr>
        <w:t>6</w:t>
      </w:r>
      <w:r w:rsidR="006544EF">
        <w:rPr>
          <w:highlight w:val="yellow"/>
        </w:rPr>
        <w:fldChar w:fldCharType="end"/>
      </w:r>
      <w:r w:rsidR="00015B49">
        <w:t>). The three sectoral committees of the NBC (</w:t>
      </w:r>
      <w:hyperlink w:anchor="_Strengthening_Governance" w:history="1">
        <w:r w:rsidR="00015B49" w:rsidRPr="006544EF">
          <w:rPr>
            <w:rStyle w:val="Hyperlink"/>
          </w:rPr>
          <w:t>Chapter 7</w:t>
        </w:r>
      </w:hyperlink>
      <w:r w:rsidR="00015B49">
        <w:t>), in consultation with key biosecurity R&amp;I system participants, should lead the development of sectoral national R&amp;I priorities, including relevant cross-sectoral priorities within each stream—particularly in areas such as surveillance, early detection and market access.</w:t>
      </w:r>
    </w:p>
    <w:p w14:paraId="09B3F1BD" w14:textId="77777777" w:rsidR="00FE457C" w:rsidRDefault="00FE457C" w:rsidP="00FE457C">
      <w:pPr>
        <w:pStyle w:val="Caption"/>
      </w:pPr>
      <w:bookmarkStart w:id="123" w:name="_Ref482021997"/>
      <w:r w:rsidRPr="00307A29">
        <w:t xml:space="preserve">Figure </w:t>
      </w:r>
      <w:fldSimple w:instr=" SEQ Figure \* ARABIC ">
        <w:r w:rsidR="009F6923">
          <w:rPr>
            <w:noProof/>
          </w:rPr>
          <w:t>6</w:t>
        </w:r>
      </w:fldSimple>
      <w:bookmarkEnd w:id="123"/>
      <w:r w:rsidRPr="00307A29">
        <w:t xml:space="preserve"> Proposed national biosecurity R&amp;I priority setting</w:t>
      </w:r>
    </w:p>
    <w:p w14:paraId="574D8E1D" w14:textId="7EE90B6E" w:rsidR="00FE457C" w:rsidRDefault="00B20600" w:rsidP="00FE457C">
      <w:pPr>
        <w:pStyle w:val="Picture"/>
      </w:pPr>
      <w:r>
        <w:drawing>
          <wp:inline distT="0" distB="0" distL="0" distR="0" wp14:anchorId="4D687A7D" wp14:editId="1320A9DB">
            <wp:extent cx="5759450" cy="2720975"/>
            <wp:effectExtent l="0" t="0" r="0" b="3175"/>
            <wp:docPr id="37" name="Picture 37" descr="Shows a hierarchical structure for developing and maintaining the National Biosecurity R&amp;I Priorities proposed by this review. There are four national priority setting groups: animal, plant, environmental and national system. The Chairs of the National Biosecurity Committee’s (NBC) three primary sectoral committees (that is, the Animal Health Committee, Plant Health Committee, and Community and Environmental Biosecurity Committee) chair the respective priority group; the Australian Government agriculture department is the chair of the national system priority group. The animal priority group also comprises members from Animal Health Australia and the animal-based research and development corporations (RDCs), with the invasive animals cooperative research centre/centre for invasive species solutions also consulted as part of the priority setting process. The plant priority group also comprises members from Plant Health Australia and the plant-based research and development corporations (RDCs), with the plant biosecurity cooperative research centre also consulted as part of the priority setting process. The environmental priority group also comprises members from the CSIRO and the Australian Government environment department, with Wildlife Health Australia also consulted as part of the priority setting process. The national system group also comprises members from the CSIRO, Centre of Excellence for Biosecurity Risk Analysis, Australian Bureau of Agricultural and Resource Economics and Sciences, two state NBC representatives, and two representatives from the Industry and Community Biosecurity Committee proposed by this review (Chapter 7). The Risk Return Resource Allocation model will be used in this group. All four groups feed into the N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59450" cy="2720975"/>
                    </a:xfrm>
                    <a:prstGeom prst="rect">
                      <a:avLst/>
                    </a:prstGeom>
                  </pic:spPr>
                </pic:pic>
              </a:graphicData>
            </a:graphic>
          </wp:inline>
        </w:drawing>
      </w:r>
    </w:p>
    <w:p w14:paraId="47D31142" w14:textId="41D4D12B" w:rsidR="005E58D6" w:rsidRDefault="005E58D6" w:rsidP="00015B49">
      <w:pPr>
        <w:rPr>
          <w:rFonts w:ascii="Calibri" w:hAnsi="Calibri"/>
          <w:sz w:val="18"/>
        </w:rPr>
      </w:pPr>
      <w:r w:rsidRPr="005E58D6">
        <w:rPr>
          <w:rFonts w:ascii="Calibri" w:hAnsi="Calibri"/>
          <w:sz w:val="18"/>
        </w:rPr>
        <w:lastRenderedPageBreak/>
        <w:t>ABARES: Australian Bureau of Agricultural and Resource Economics and Sciences; CSIRO: Commonwealth Scientific and Industrial Research Organisation; CEBRA: Centre of Excellence for Biosecurity Risk Analysis; CISS: Centre for Invasive Species Solutions; CRC: Cooperative Research Centre; NBC: National Biosecurity Committee; R&amp;I: research and innovation; RDCs: Research and Development Corporations; RRRA: Risk Return Resource Allocation model.</w:t>
      </w:r>
      <w:r w:rsidR="008305CA">
        <w:rPr>
          <w:rFonts w:ascii="Calibri" w:hAnsi="Calibri"/>
          <w:sz w:val="18"/>
        </w:rPr>
        <w:t xml:space="preserve"> *The Chairs of </w:t>
      </w:r>
      <w:r w:rsidR="00815CE4">
        <w:rPr>
          <w:rFonts w:ascii="Calibri" w:hAnsi="Calibri"/>
          <w:sz w:val="18"/>
        </w:rPr>
        <w:t xml:space="preserve">the </w:t>
      </w:r>
      <w:r w:rsidR="008305CA">
        <w:rPr>
          <w:rFonts w:ascii="Calibri" w:hAnsi="Calibri"/>
          <w:sz w:val="18"/>
        </w:rPr>
        <w:t xml:space="preserve">NBC’s three sectoral committees (i.e. </w:t>
      </w:r>
      <w:r w:rsidR="00815CE4">
        <w:rPr>
          <w:rFonts w:ascii="Calibri" w:hAnsi="Calibri"/>
          <w:sz w:val="18"/>
        </w:rPr>
        <w:t xml:space="preserve">the </w:t>
      </w:r>
      <w:r w:rsidR="008305CA">
        <w:rPr>
          <w:rFonts w:ascii="Calibri" w:hAnsi="Calibri"/>
          <w:sz w:val="18"/>
        </w:rPr>
        <w:t>A</w:t>
      </w:r>
      <w:r w:rsidR="00815CE4">
        <w:rPr>
          <w:rFonts w:ascii="Calibri" w:hAnsi="Calibri"/>
          <w:sz w:val="18"/>
        </w:rPr>
        <w:t xml:space="preserve">nimal </w:t>
      </w:r>
      <w:r w:rsidR="008305CA">
        <w:rPr>
          <w:rFonts w:ascii="Calibri" w:hAnsi="Calibri"/>
          <w:sz w:val="18"/>
        </w:rPr>
        <w:t>H</w:t>
      </w:r>
      <w:r w:rsidR="00815CE4">
        <w:rPr>
          <w:rFonts w:ascii="Calibri" w:hAnsi="Calibri"/>
          <w:sz w:val="18"/>
        </w:rPr>
        <w:t>ealth Committee</w:t>
      </w:r>
      <w:r w:rsidR="008305CA">
        <w:rPr>
          <w:rFonts w:ascii="Calibri" w:hAnsi="Calibri"/>
          <w:sz w:val="18"/>
        </w:rPr>
        <w:t>, P</w:t>
      </w:r>
      <w:r w:rsidR="00815CE4">
        <w:rPr>
          <w:rFonts w:ascii="Calibri" w:hAnsi="Calibri"/>
          <w:sz w:val="18"/>
        </w:rPr>
        <w:t xml:space="preserve">lant </w:t>
      </w:r>
      <w:r w:rsidR="008305CA">
        <w:rPr>
          <w:rFonts w:ascii="Calibri" w:hAnsi="Calibri"/>
          <w:sz w:val="18"/>
        </w:rPr>
        <w:t>H</w:t>
      </w:r>
      <w:r w:rsidR="00815CE4">
        <w:rPr>
          <w:rFonts w:ascii="Calibri" w:hAnsi="Calibri"/>
          <w:sz w:val="18"/>
        </w:rPr>
        <w:t xml:space="preserve">ealth </w:t>
      </w:r>
      <w:r w:rsidR="008305CA">
        <w:rPr>
          <w:rFonts w:ascii="Calibri" w:hAnsi="Calibri"/>
          <w:sz w:val="18"/>
        </w:rPr>
        <w:t>C</w:t>
      </w:r>
      <w:r w:rsidR="00815CE4">
        <w:rPr>
          <w:rFonts w:ascii="Calibri" w:hAnsi="Calibri"/>
          <w:sz w:val="18"/>
        </w:rPr>
        <w:t>ommittee</w:t>
      </w:r>
      <w:r w:rsidR="008305CA">
        <w:rPr>
          <w:rFonts w:ascii="Calibri" w:hAnsi="Calibri"/>
          <w:sz w:val="18"/>
        </w:rPr>
        <w:t xml:space="preserve"> and C</w:t>
      </w:r>
      <w:r w:rsidR="00815CE4">
        <w:rPr>
          <w:rFonts w:ascii="Calibri" w:hAnsi="Calibri"/>
          <w:sz w:val="18"/>
        </w:rPr>
        <w:t xml:space="preserve">ommunity &amp; Environmental </w:t>
      </w:r>
      <w:r w:rsidR="008305CA">
        <w:rPr>
          <w:rFonts w:ascii="Calibri" w:hAnsi="Calibri"/>
          <w:sz w:val="18"/>
        </w:rPr>
        <w:t>B</w:t>
      </w:r>
      <w:r w:rsidR="00815CE4">
        <w:rPr>
          <w:rFonts w:ascii="Calibri" w:hAnsi="Calibri"/>
          <w:sz w:val="18"/>
        </w:rPr>
        <w:t xml:space="preserve">iosecurity </w:t>
      </w:r>
      <w:r w:rsidR="008305CA">
        <w:rPr>
          <w:rFonts w:ascii="Calibri" w:hAnsi="Calibri"/>
          <w:sz w:val="18"/>
        </w:rPr>
        <w:t>C</w:t>
      </w:r>
      <w:r w:rsidR="00815CE4">
        <w:rPr>
          <w:rFonts w:ascii="Calibri" w:hAnsi="Calibri"/>
          <w:sz w:val="18"/>
        </w:rPr>
        <w:t>ommittee</w:t>
      </w:r>
      <w:r w:rsidR="008305CA">
        <w:rPr>
          <w:rFonts w:ascii="Calibri" w:hAnsi="Calibri"/>
          <w:sz w:val="18"/>
        </w:rPr>
        <w:t>) chair the respective national priority group.</w:t>
      </w:r>
    </w:p>
    <w:p w14:paraId="32521229" w14:textId="0749E5A6" w:rsidR="00015B49" w:rsidRDefault="00F93540" w:rsidP="00015B49">
      <w:r>
        <w:t xml:space="preserve">The </w:t>
      </w:r>
      <w:r w:rsidR="00605D3A">
        <w:t xml:space="preserve">sectoral </w:t>
      </w:r>
      <w:r>
        <w:t>priority-</w:t>
      </w:r>
      <w:r w:rsidR="006544EF" w:rsidRPr="006544EF">
        <w:t>setting proce</w:t>
      </w:r>
      <w:r>
        <w:t>ss should involve AHA, PHA</w:t>
      </w:r>
      <w:r w:rsidR="006544EF" w:rsidRPr="006544EF">
        <w:t xml:space="preserve"> and the CCEBO/Australian Government environment department (as coordinators of the relevant biosecurity RD&amp;E strategies), the RDCs, and other relevant key biosecurity R&amp;I stakeholders as appropriate. The prioritisation processes should be informed by priority research areas and gaps arising from the national animal, plant and environmental pest and disease prioritisation process proposed by this Review (</w:t>
      </w:r>
      <w:hyperlink w:anchor="_Building_the_national" w:history="1">
        <w:r w:rsidR="006544EF" w:rsidRPr="006544EF">
          <w:rPr>
            <w:rStyle w:val="Hyperlink"/>
          </w:rPr>
          <w:t>Chapter 5</w:t>
        </w:r>
      </w:hyperlink>
      <w:r w:rsidR="006544EF" w:rsidRPr="006544EF">
        <w:t>).</w:t>
      </w:r>
    </w:p>
    <w:p w14:paraId="3561694D" w14:textId="1B15BF32" w:rsidR="006544EF" w:rsidRDefault="006544EF" w:rsidP="006544EF">
      <w:r>
        <w:t xml:space="preserve">The </w:t>
      </w:r>
      <w:r w:rsidR="00FE457C">
        <w:t xml:space="preserve">development of system-level national biosecurity R&amp;I priorities (including for environmental biosecurity) should be led by the </w:t>
      </w:r>
      <w:r>
        <w:t>Australian Government agriculture department with national research partners</w:t>
      </w:r>
      <w:r w:rsidR="008A198D">
        <w:t>,</w:t>
      </w:r>
      <w:r>
        <w:t xml:space="preserve"> nominated state/territory NBC members</w:t>
      </w:r>
      <w:r w:rsidR="008A198D">
        <w:t xml:space="preserve"> and two nominated representatives from the Industry and Community Biosecurity Committee</w:t>
      </w:r>
      <w:r>
        <w:t xml:space="preserve">. The priorities should focus on the policy and decision-making frameworks, tools, innovations and behavioural changes needed to build an effective national biosecurity system. The </w:t>
      </w:r>
      <w:r w:rsidR="004158B2">
        <w:t>p</w:t>
      </w:r>
      <w:r>
        <w:t xml:space="preserve">anel is aware that, following the release of the </w:t>
      </w:r>
      <w:r w:rsidR="00A50FD3">
        <w:t xml:space="preserve">IGAB </w:t>
      </w:r>
      <w:r w:rsidR="004158B2">
        <w:t>review d</w:t>
      </w:r>
      <w:r w:rsidR="00A50FD3">
        <w:t xml:space="preserve">raft </w:t>
      </w:r>
      <w:r w:rsidR="004158B2">
        <w:t>r</w:t>
      </w:r>
      <w:r w:rsidR="00A50FD3">
        <w:t>eport</w:t>
      </w:r>
      <w:r>
        <w:t xml:space="preserve">, the Australian Government commissioned </w:t>
      </w:r>
      <w:r w:rsidR="00696A00">
        <w:t xml:space="preserve">the </w:t>
      </w:r>
      <w:r>
        <w:t>CSIRO to identi</w:t>
      </w:r>
      <w:r w:rsidR="008F58A1">
        <w:t>fy opportunities for technology-</w:t>
      </w:r>
      <w:r>
        <w:t>driven innovations in biosecurity operations covering inspection, surveillance and diagnostics to guide investment (</w:t>
      </w:r>
      <w:hyperlink w:anchor="CSIRO_2017" w:history="1">
        <w:r w:rsidRPr="00E46CA6">
          <w:rPr>
            <w:rStyle w:val="Hyperlink"/>
          </w:rPr>
          <w:t>CSIRO 2017</w:t>
        </w:r>
      </w:hyperlink>
      <w:r w:rsidRPr="00E46CA6">
        <w:t>).</w:t>
      </w:r>
      <w:r>
        <w:t xml:space="preserve"> This work would be a useful</w:t>
      </w:r>
      <w:r w:rsidR="008F58A1">
        <w:t xml:space="preserve"> input to the national priority-</w:t>
      </w:r>
      <w:r>
        <w:t>setting process.</w:t>
      </w:r>
    </w:p>
    <w:p w14:paraId="7031BB8A" w14:textId="16E45B58" w:rsidR="006544EF" w:rsidRDefault="006544EF" w:rsidP="006544EF">
      <w:r>
        <w:t>Finally</w:t>
      </w:r>
      <w:r w:rsidR="003B5C6C">
        <w:t>,</w:t>
      </w:r>
      <w:r>
        <w:t xml:space="preserve"> NBC should determine the final, integrated list of </w:t>
      </w:r>
      <w:r w:rsidR="004C08EF">
        <w:t>N</w:t>
      </w:r>
      <w:r>
        <w:t xml:space="preserve">ational </w:t>
      </w:r>
      <w:r w:rsidR="004C08EF">
        <w:t>Biosecurity R&amp;I P</w:t>
      </w:r>
      <w:r>
        <w:t>riorities in consultation with the chairs of the</w:t>
      </w:r>
      <w:r w:rsidR="00B17C1B">
        <w:t xml:space="preserve"> four</w:t>
      </w:r>
      <w:r>
        <w:t xml:space="preserve"> se</w:t>
      </w:r>
      <w:r w:rsidR="004C08EF">
        <w:t>ctoral/national system priority-</w:t>
      </w:r>
      <w:r>
        <w:t>setting processes.</w:t>
      </w:r>
    </w:p>
    <w:p w14:paraId="220695A9" w14:textId="77777777" w:rsidR="006544EF" w:rsidRPr="009F17D7" w:rsidRDefault="006544EF" w:rsidP="00206476">
      <w:pPr>
        <w:pStyle w:val="BoxHeading"/>
        <w:keepNext/>
        <w:keepLines/>
        <w:shd w:val="clear" w:color="auto" w:fill="D9D9D9" w:themeFill="background1" w:themeFillShade="D9"/>
        <w:rPr>
          <w:sz w:val="22"/>
        </w:rPr>
      </w:pPr>
      <w:bookmarkStart w:id="124" w:name="_Ref482709898"/>
      <w:r w:rsidRPr="009F17D7">
        <w:rPr>
          <w:sz w:val="22"/>
        </w:rPr>
        <w:lastRenderedPageBreak/>
        <w:t xml:space="preserve">Recommendation </w:t>
      </w:r>
      <w:r w:rsidR="00264490" w:rsidRPr="009F17D7">
        <w:rPr>
          <w:sz w:val="22"/>
        </w:rPr>
        <w:fldChar w:fldCharType="begin"/>
      </w:r>
      <w:r w:rsidR="00264490" w:rsidRPr="009F17D7">
        <w:rPr>
          <w:sz w:val="22"/>
        </w:rPr>
        <w:instrText xml:space="preserve"> SEQ Recommendation \* ARABIC </w:instrText>
      </w:r>
      <w:r w:rsidR="00264490" w:rsidRPr="009F17D7">
        <w:rPr>
          <w:sz w:val="22"/>
        </w:rPr>
        <w:fldChar w:fldCharType="separate"/>
      </w:r>
      <w:r w:rsidR="009F6923">
        <w:rPr>
          <w:noProof/>
          <w:sz w:val="22"/>
        </w:rPr>
        <w:t>13</w:t>
      </w:r>
      <w:r w:rsidR="00264490" w:rsidRPr="009F17D7">
        <w:rPr>
          <w:noProof/>
          <w:sz w:val="22"/>
        </w:rPr>
        <w:fldChar w:fldCharType="end"/>
      </w:r>
      <w:bookmarkEnd w:id="124"/>
    </w:p>
    <w:p w14:paraId="02504500" w14:textId="77777777" w:rsidR="006544EF" w:rsidRPr="009F17D7" w:rsidRDefault="006544EF" w:rsidP="00206476">
      <w:pPr>
        <w:pStyle w:val="BoxText"/>
        <w:keepNext/>
        <w:keepLines/>
        <w:shd w:val="clear" w:color="auto" w:fill="D9D9D9" w:themeFill="background1" w:themeFillShade="D9"/>
        <w:rPr>
          <w:sz w:val="22"/>
        </w:rPr>
      </w:pPr>
      <w:r w:rsidRPr="009F17D7">
        <w:rPr>
          <w:sz w:val="22"/>
        </w:rPr>
        <w:t>The NBC should authorise and drive development of an agreed set of National Biosecurity R&amp;I Priorities, in consultation with key biosecurity R&amp;I system participants, to guide national R&amp;I investment:</w:t>
      </w:r>
    </w:p>
    <w:p w14:paraId="2044F2CB" w14:textId="1EA557FE" w:rsidR="00206476" w:rsidRDefault="002978FB" w:rsidP="007300DC">
      <w:pPr>
        <w:pStyle w:val="BoxTextBullet"/>
        <w:keepNext/>
        <w:keepLines/>
        <w:shd w:val="clear" w:color="auto" w:fill="D9D9D9" w:themeFill="background1" w:themeFillShade="D9"/>
        <w:rPr>
          <w:sz w:val="22"/>
        </w:rPr>
      </w:pPr>
      <w:r>
        <w:rPr>
          <w:sz w:val="22"/>
        </w:rPr>
        <w:t>T</w:t>
      </w:r>
      <w:r w:rsidR="006544EF" w:rsidRPr="00206476">
        <w:rPr>
          <w:sz w:val="22"/>
        </w:rPr>
        <w:t>he sectoral committees of the NBC should lead the development of sectoral and cross-sectoral level national priorities in line with the national priority exotic animal, plant and environmental risks and their pathways</w:t>
      </w:r>
      <w:r w:rsidR="00511C93">
        <w:rPr>
          <w:sz w:val="22"/>
        </w:rPr>
        <w:t>, once agreed</w:t>
      </w:r>
      <w:r>
        <w:rPr>
          <w:sz w:val="22"/>
        </w:rPr>
        <w:t>.</w:t>
      </w:r>
    </w:p>
    <w:p w14:paraId="5FF1F1BE" w14:textId="7CF4DA25" w:rsidR="006544EF" w:rsidRPr="00061673" w:rsidRDefault="00087853" w:rsidP="00061673">
      <w:pPr>
        <w:pStyle w:val="BoxTextBullet"/>
        <w:keepNext/>
        <w:keepLines/>
        <w:shd w:val="clear" w:color="auto" w:fill="D9D9D9" w:themeFill="background1" w:themeFillShade="D9"/>
        <w:rPr>
          <w:sz w:val="22"/>
        </w:rPr>
      </w:pPr>
      <w:r>
        <w:rPr>
          <w:sz w:val="22"/>
        </w:rPr>
        <w:t xml:space="preserve">The </w:t>
      </w:r>
      <w:r w:rsidR="006544EF" w:rsidRPr="00206476">
        <w:rPr>
          <w:sz w:val="22"/>
        </w:rPr>
        <w:t xml:space="preserve">NBC, CSIRO, CEBRA and ABARES should jointly develop system-level national biosecurity priorities </w:t>
      </w:r>
      <w:r w:rsidR="002978FB">
        <w:rPr>
          <w:sz w:val="22"/>
        </w:rPr>
        <w:t>(including for the environment)</w:t>
      </w:r>
      <w:r w:rsidR="006544EF" w:rsidRPr="00206476">
        <w:rPr>
          <w:sz w:val="22"/>
        </w:rPr>
        <w:t xml:space="preserve"> focusing on the policy and decision-making frameworks, tools, innovations and behavioural changes needed to build an effective </w:t>
      </w:r>
      <w:r w:rsidR="006544EF" w:rsidRPr="00061673">
        <w:rPr>
          <w:sz w:val="22"/>
        </w:rPr>
        <w:t>nation</w:t>
      </w:r>
      <w:r w:rsidR="00940958" w:rsidRPr="00061673">
        <w:rPr>
          <w:sz w:val="22"/>
        </w:rPr>
        <w:t>al</w:t>
      </w:r>
      <w:r w:rsidR="006544EF" w:rsidRPr="00061673">
        <w:rPr>
          <w:sz w:val="22"/>
        </w:rPr>
        <w:t xml:space="preserve"> system</w:t>
      </w:r>
      <w:r w:rsidR="002978FB">
        <w:rPr>
          <w:sz w:val="22"/>
        </w:rPr>
        <w:t>.</w:t>
      </w:r>
    </w:p>
    <w:p w14:paraId="624AC466" w14:textId="110EB300" w:rsidR="006544EF" w:rsidRPr="002978FB" w:rsidRDefault="00087853" w:rsidP="009131A4">
      <w:pPr>
        <w:pStyle w:val="BoxTextBullet"/>
        <w:keepNext/>
        <w:keepLines/>
        <w:shd w:val="clear" w:color="auto" w:fill="D9D9D9" w:themeFill="background1" w:themeFillShade="D9"/>
        <w:rPr>
          <w:sz w:val="22"/>
        </w:rPr>
      </w:pPr>
      <w:r>
        <w:rPr>
          <w:sz w:val="22"/>
        </w:rPr>
        <w:t xml:space="preserve">The </w:t>
      </w:r>
      <w:r w:rsidR="006544EF" w:rsidRPr="002978FB">
        <w:rPr>
          <w:sz w:val="22"/>
        </w:rPr>
        <w:t xml:space="preserve">NBC should determine the final integrated list of </w:t>
      </w:r>
      <w:r w:rsidR="002978FB">
        <w:rPr>
          <w:sz w:val="22"/>
        </w:rPr>
        <w:t>N</w:t>
      </w:r>
      <w:r w:rsidR="006544EF" w:rsidRPr="002978FB">
        <w:rPr>
          <w:sz w:val="22"/>
        </w:rPr>
        <w:t xml:space="preserve">ational </w:t>
      </w:r>
      <w:r w:rsidR="002978FB">
        <w:rPr>
          <w:sz w:val="22"/>
        </w:rPr>
        <w:t>B</w:t>
      </w:r>
      <w:r w:rsidR="006544EF" w:rsidRPr="002978FB">
        <w:rPr>
          <w:sz w:val="22"/>
        </w:rPr>
        <w:t xml:space="preserve">iosecurity R&amp;I </w:t>
      </w:r>
      <w:r w:rsidR="002978FB">
        <w:rPr>
          <w:sz w:val="22"/>
        </w:rPr>
        <w:t>P</w:t>
      </w:r>
      <w:r w:rsidR="006544EF" w:rsidRPr="002978FB">
        <w:rPr>
          <w:sz w:val="22"/>
        </w:rPr>
        <w:t>riorities.</w:t>
      </w:r>
      <w:r w:rsidR="002978FB">
        <w:rPr>
          <w:sz w:val="22"/>
        </w:rPr>
        <w:t xml:space="preserve"> </w:t>
      </w:r>
      <w:r w:rsidR="006544EF" w:rsidRPr="002978FB">
        <w:rPr>
          <w:sz w:val="22"/>
        </w:rPr>
        <w:t xml:space="preserve">The priorities should be developed within </w:t>
      </w:r>
      <w:r w:rsidR="00975929">
        <w:rPr>
          <w:sz w:val="22"/>
        </w:rPr>
        <w:t>eighteen</w:t>
      </w:r>
      <w:r w:rsidR="00752EEA" w:rsidRPr="002978FB">
        <w:rPr>
          <w:sz w:val="22"/>
        </w:rPr>
        <w:t> </w:t>
      </w:r>
      <w:r w:rsidR="00052764" w:rsidRPr="002978FB">
        <w:rPr>
          <w:sz w:val="22"/>
        </w:rPr>
        <w:t>months</w:t>
      </w:r>
      <w:r w:rsidR="006544EF" w:rsidRPr="002978FB">
        <w:rPr>
          <w:sz w:val="22"/>
        </w:rPr>
        <w:t xml:space="preserve"> of the IGAB </w:t>
      </w:r>
      <w:r w:rsidR="00975929">
        <w:rPr>
          <w:sz w:val="22"/>
        </w:rPr>
        <w:t>r</w:t>
      </w:r>
      <w:r w:rsidR="006544EF" w:rsidRPr="002978FB">
        <w:rPr>
          <w:sz w:val="22"/>
        </w:rPr>
        <w:t xml:space="preserve">eview </w:t>
      </w:r>
      <w:r w:rsidR="00975929">
        <w:rPr>
          <w:sz w:val="22"/>
        </w:rPr>
        <w:t>r</w:t>
      </w:r>
      <w:r w:rsidR="006544EF" w:rsidRPr="002978FB">
        <w:rPr>
          <w:sz w:val="22"/>
        </w:rPr>
        <w:t>eport, and should be reviewed at least every five years.</w:t>
      </w:r>
    </w:p>
    <w:p w14:paraId="344F1E1B" w14:textId="4470A8C5" w:rsidR="008E305F" w:rsidRDefault="00045A32" w:rsidP="008E305F">
      <w:pPr>
        <w:pStyle w:val="Heading4"/>
      </w:pPr>
      <w:r>
        <w:t>National leadership and funding of biosecurity R&amp;I</w:t>
      </w:r>
    </w:p>
    <w:p w14:paraId="64021061" w14:textId="006F37BF" w:rsidR="00045A32" w:rsidRDefault="00045A32" w:rsidP="00045A32">
      <w:r>
        <w:t xml:space="preserve">A future-focused biosecurity R&amp;I capability will help </w:t>
      </w:r>
      <w:r w:rsidR="00DD557C">
        <w:t xml:space="preserve">to </w:t>
      </w:r>
      <w:r>
        <w:t>ensure</w:t>
      </w:r>
      <w:r w:rsidR="00DD557C">
        <w:t xml:space="preserve"> that</w:t>
      </w:r>
      <w:r>
        <w:t xml:space="preserve"> Australia’s favourable pest a</w:t>
      </w:r>
      <w:r w:rsidR="00DD557C">
        <w:t>nd disease status is maintained</w:t>
      </w:r>
      <w:r>
        <w:t xml:space="preserve"> and keep Australia ahead of the game. However, this is unlikely t</w:t>
      </w:r>
      <w:r w:rsidR="00DD557C">
        <w:t>o occur without a lead ‘agency’</w:t>
      </w:r>
      <w:r>
        <w:t xml:space="preserve"> or national coordination mechanism for biosecurity R&amp;I in Australia. </w:t>
      </w:r>
    </w:p>
    <w:p w14:paraId="3E3B3540" w14:textId="6900B519" w:rsidR="00045A32" w:rsidRDefault="00045A32" w:rsidP="00045A32">
      <w:r>
        <w:t xml:space="preserve">Throughout the </w:t>
      </w:r>
      <w:r w:rsidR="00DD557C">
        <w:t>r</w:t>
      </w:r>
      <w:r>
        <w:t>eview</w:t>
      </w:r>
      <w:r w:rsidR="00DD557C">
        <w:t>,</w:t>
      </w:r>
      <w:r>
        <w:t xml:space="preserve"> stakeholders </w:t>
      </w:r>
      <w:r w:rsidR="00DD557C">
        <w:t>put forward</w:t>
      </w:r>
      <w:r>
        <w:t xml:space="preserve"> various options for a new construct for biosecurity research</w:t>
      </w:r>
      <w:r w:rsidR="00DD557C">
        <w:t>, including</w:t>
      </w:r>
      <w:r>
        <w:t xml:space="preserve"> a network of national and international universities</w:t>
      </w:r>
      <w:r w:rsidR="008A198D">
        <w:t>;</w:t>
      </w:r>
      <w:r>
        <w:t xml:space="preserve"> a new biosecurity R&amp;I entity such as a CRC</w:t>
      </w:r>
      <w:r w:rsidR="00DD557C">
        <w:t>, an</w:t>
      </w:r>
      <w:r>
        <w:t xml:space="preserve"> RDC or a centre of excellence</w:t>
      </w:r>
      <w:r w:rsidR="008A198D">
        <w:t>;</w:t>
      </w:r>
      <w:r w:rsidR="00DD557C">
        <w:t xml:space="preserve"> or</w:t>
      </w:r>
      <w:r>
        <w:t xml:space="preserve"> better national coo</w:t>
      </w:r>
      <w:r w:rsidR="00DD557C">
        <w:t>rdination of current activities</w:t>
      </w:r>
      <w:r>
        <w:t xml:space="preserve"> by housing biosecurity R&amp;I within an existing RDC or other suitable organisation (such as CSIRO</w:t>
      </w:r>
      <w:r w:rsidR="00DD557C">
        <w:t>,</w:t>
      </w:r>
      <w:r>
        <w:t xml:space="preserve"> AHA or PHA). The review of plant biosecurity RD&amp;E in Australia by </w:t>
      </w:r>
      <w:hyperlink w:anchor="Keogh_2016" w:history="1">
        <w:r w:rsidRPr="00045A32">
          <w:rPr>
            <w:rStyle w:val="Hyperlink"/>
          </w:rPr>
          <w:t>Keogh and Goucher (2016)</w:t>
        </w:r>
      </w:hyperlink>
      <w:r>
        <w:t xml:space="preserve"> proposed a new</w:t>
      </w:r>
      <w:r w:rsidR="00DD557C">
        <w:t>,</w:t>
      </w:r>
      <w:r>
        <w:t xml:space="preserve"> enduring Plant Biosecurity Research Corporation to fund strategic and plant-sectoral biosecurity R&amp;I projects and provide opportunities for training and development of future industry research capability. Funding was to </w:t>
      </w:r>
      <w:r w:rsidR="00DD557C">
        <w:t>be provided equally by industry</w:t>
      </w:r>
      <w:r>
        <w:t xml:space="preserve"> </w:t>
      </w:r>
      <w:r w:rsidRPr="00DD557C">
        <w:t>and Australian, state</w:t>
      </w:r>
      <w:r>
        <w:t xml:space="preserve"> and territory governments.</w:t>
      </w:r>
    </w:p>
    <w:p w14:paraId="0076B431" w14:textId="3DB9038A" w:rsidR="00045A32" w:rsidRDefault="00045A32" w:rsidP="00045A32">
      <w:r>
        <w:t xml:space="preserve">The IGAB </w:t>
      </w:r>
      <w:r w:rsidR="00DD557C">
        <w:t>r</w:t>
      </w:r>
      <w:r>
        <w:t xml:space="preserve">eview </w:t>
      </w:r>
      <w:r w:rsidR="00DD557C">
        <w:t>d</w:t>
      </w:r>
      <w:r>
        <w:t xml:space="preserve">raft </w:t>
      </w:r>
      <w:r w:rsidR="00DD557C">
        <w:t>r</w:t>
      </w:r>
      <w:r>
        <w:t>eport proposed two suggestions to address gaps in cross-sectoral R&amp;I: establish</w:t>
      </w:r>
      <w:r w:rsidR="00DD557C">
        <w:t>ing</w:t>
      </w:r>
      <w:r>
        <w:t xml:space="preserve"> a standalone entity or housing responsibility within an existing RDC (notably the Rural Industries RDC). Responses to these proposals were divided, </w:t>
      </w:r>
      <w:r>
        <w:lastRenderedPageBreak/>
        <w:t xml:space="preserve">and </w:t>
      </w:r>
      <w:r w:rsidR="00DD557C">
        <w:t>some</w:t>
      </w:r>
      <w:r>
        <w:t xml:space="preserve"> submitters contend</w:t>
      </w:r>
      <w:r w:rsidR="00DD557C">
        <w:t>ed</w:t>
      </w:r>
      <w:r>
        <w:t xml:space="preserve"> that such research could be dealt with through better coordination under current arrangements.</w:t>
      </w:r>
    </w:p>
    <w:p w14:paraId="11245C1E" w14:textId="533B4B8B" w:rsidR="00045A32" w:rsidRDefault="00045A32" w:rsidP="00045A32">
      <w:r>
        <w:t xml:space="preserve">The </w:t>
      </w:r>
      <w:r w:rsidR="00DD557C">
        <w:t>p</w:t>
      </w:r>
      <w:r>
        <w:t>anel is cognisant that past reviews recommending the establishment of new entities to progress biosecurity agendas (PC RDC review [Rural Research Australia]</w:t>
      </w:r>
      <w:r w:rsidR="00DD557C">
        <w:t>—</w:t>
      </w:r>
      <w:hyperlink w:anchor="PC_2011" w:history="1">
        <w:r w:rsidR="00670C14" w:rsidRPr="00670C14">
          <w:rPr>
            <w:rStyle w:val="Hyperlink"/>
          </w:rPr>
          <w:t>PC 2011</w:t>
        </w:r>
      </w:hyperlink>
      <w:r>
        <w:t>; Beale review</w:t>
      </w:r>
      <w:r w:rsidR="00B30296">
        <w:t xml:space="preserve"> [National Biosecurity Authority]</w:t>
      </w:r>
      <w:r w:rsidR="00DD557C">
        <w:t>—</w:t>
      </w:r>
      <w:hyperlink w:anchor="Beale_et_al_2008" w:history="1">
        <w:r w:rsidR="003B5C6C" w:rsidRPr="003B5C6C">
          <w:rPr>
            <w:rStyle w:val="Hyperlink"/>
          </w:rPr>
          <w:t>Beale et al</w:t>
        </w:r>
        <w:r w:rsidR="00670C14">
          <w:rPr>
            <w:rStyle w:val="Hyperlink"/>
          </w:rPr>
          <w:t>.</w:t>
        </w:r>
        <w:r w:rsidR="003B5C6C" w:rsidRPr="003B5C6C">
          <w:rPr>
            <w:rStyle w:val="Hyperlink"/>
          </w:rPr>
          <w:t xml:space="preserve"> 2008</w:t>
        </w:r>
      </w:hyperlink>
      <w:r>
        <w:t>) have not been taken up</w:t>
      </w:r>
      <w:r w:rsidR="00030CA7">
        <w:t xml:space="preserve"> by</w:t>
      </w:r>
      <w:r>
        <w:t xml:space="preserve"> governments. In the current fiscal and political environment</w:t>
      </w:r>
      <w:r w:rsidR="00030CA7">
        <w:t>,</w:t>
      </w:r>
      <w:r>
        <w:t xml:space="preserve"> the establishment of a standalone entity for cross-sectoral R&amp;I seems unlikely to be progressed by governments, although the </w:t>
      </w:r>
      <w:r w:rsidR="00AF1387">
        <w:t>p</w:t>
      </w:r>
      <w:r>
        <w:t>anel recognises the merits of such a proposal.</w:t>
      </w:r>
    </w:p>
    <w:p w14:paraId="774E16BC" w14:textId="6300B4FA" w:rsidR="00045A32" w:rsidRDefault="00045A32" w:rsidP="00045A32">
      <w:r>
        <w:t xml:space="preserve">The </w:t>
      </w:r>
      <w:r w:rsidR="00817458">
        <w:t>p</w:t>
      </w:r>
      <w:r>
        <w:t>anel is proposing solutions which provide a pragmatic way forward, should be able to be implemented with relative ease and will ensure greater, more appropriate and more effective investment in biosecurity R&amp;I.</w:t>
      </w:r>
    </w:p>
    <w:p w14:paraId="09CB3033" w14:textId="3BA21334" w:rsidR="00045A32" w:rsidRDefault="00670C14" w:rsidP="00045A32">
      <w:r>
        <w:t>However</w:t>
      </w:r>
      <w:r w:rsidR="00045A32">
        <w:t xml:space="preserve">, the </w:t>
      </w:r>
      <w:r w:rsidR="00817458">
        <w:t>p</w:t>
      </w:r>
      <w:r w:rsidR="00045A32">
        <w:t>anel is not convinced that commitments by key national funders and providers of biosecurity R&amp;I (</w:t>
      </w:r>
      <w:r w:rsidR="00045A32">
        <w:fldChar w:fldCharType="begin"/>
      </w:r>
      <w:r w:rsidR="00045A32">
        <w:instrText xml:space="preserve"> REF _Ref466972150 \h </w:instrText>
      </w:r>
      <w:r w:rsidR="00045A32">
        <w:fldChar w:fldCharType="separate"/>
      </w:r>
      <w:r w:rsidR="009F6923" w:rsidRPr="00CD5E76">
        <w:t xml:space="preserve">Table </w:t>
      </w:r>
      <w:r w:rsidR="009F6923">
        <w:rPr>
          <w:noProof/>
        </w:rPr>
        <w:t>2</w:t>
      </w:r>
      <w:r w:rsidR="00045A32">
        <w:fldChar w:fldCharType="end"/>
      </w:r>
      <w:r w:rsidR="00045A32">
        <w:t>) to better collaborate and coordinate on cross-sectoral R&amp;I, in the absence of a formal mechanism, will be durable. As CEBRA points out:</w:t>
      </w:r>
    </w:p>
    <w:p w14:paraId="5304B86B" w14:textId="2A81A883" w:rsidR="00045A32" w:rsidRDefault="00045A32" w:rsidP="00045A32">
      <w:pPr>
        <w:pStyle w:val="Quote"/>
      </w:pPr>
      <w:r>
        <w:t>…</w:t>
      </w:r>
      <w:r w:rsidR="00462C45">
        <w:t xml:space="preserve"> </w:t>
      </w:r>
      <w:r>
        <w:t>relatively little attention has been paid to developing mechanisms that ensure biosecurity research efforts focus on developing outcomes that will result in the best biosecurity outcomes. This alignment of supply and demand can only come about when the regulators and the research providers communicate clearly and regularly</w:t>
      </w:r>
      <w:r w:rsidR="00817458">
        <w:t xml:space="preserve"> </w:t>
      </w:r>
      <w:r>
        <w:t>…</w:t>
      </w:r>
      <w:r w:rsidR="00817458">
        <w:t xml:space="preserve"> </w:t>
      </w:r>
      <w:r>
        <w:t>the regulator must identify and communicate their most pressing research needs, and the research providers must focus their efforts on ensuring that the outcomes have operation</w:t>
      </w:r>
      <w:r w:rsidR="00C00D58">
        <w:t>al relevance and value (sub. DR</w:t>
      </w:r>
      <w:r>
        <w:t>80)</w:t>
      </w:r>
    </w:p>
    <w:p w14:paraId="7723BAEF" w14:textId="110015A3" w:rsidR="00045A32" w:rsidRDefault="00045A32" w:rsidP="00045A32">
      <w:r>
        <w:t>For the Australian Government in particular, a formal R&amp;I partnership arrangement between the agricult</w:t>
      </w:r>
      <w:r w:rsidR="00817458">
        <w:t>ure department and Commonwealth-</w:t>
      </w:r>
      <w:r>
        <w:t>funded science and research bo</w:t>
      </w:r>
      <w:r w:rsidR="00817458">
        <w:t>dies (particularly CSIRO, CEBRA and</w:t>
      </w:r>
      <w:r>
        <w:t xml:space="preserve"> ABARES), would more effectively serve the needs of the national </w:t>
      </w:r>
      <w:r w:rsidR="002C5057">
        <w:t xml:space="preserve">biosecurity </w:t>
      </w:r>
      <w:r>
        <w:t xml:space="preserve">system. For this reason, the </w:t>
      </w:r>
      <w:r w:rsidR="00817458">
        <w:t>p</w:t>
      </w:r>
      <w:r>
        <w:t xml:space="preserve">anel recommends </w:t>
      </w:r>
      <w:r w:rsidR="00817458">
        <w:t xml:space="preserve">that </w:t>
      </w:r>
      <w:r>
        <w:t>the Australian Government establish a National Biosecurity Inn</w:t>
      </w:r>
      <w:r w:rsidR="00B942A2">
        <w:t>ovation Program and provide $</w:t>
      </w:r>
      <w:r w:rsidR="00B942A2" w:rsidRPr="00B942A2">
        <w:t>25</w:t>
      </w:r>
      <w:r w:rsidR="00B942A2">
        <w:t> </w:t>
      </w:r>
      <w:r w:rsidRPr="00B942A2">
        <w:t>million</w:t>
      </w:r>
      <w:r>
        <w:t xml:space="preserve"> (over five years) to fund system-level biosecurity R&amp;I projects, including environmental biosecurity, aligned to the system-level R&amp;I priorities developed under </w:t>
      </w:r>
      <w:r w:rsidR="00A55C2C">
        <w:fldChar w:fldCharType="begin"/>
      </w:r>
      <w:r w:rsidR="00A55C2C">
        <w:instrText xml:space="preserve"> REF _Ref482709898 \h </w:instrText>
      </w:r>
      <w:r w:rsidR="00A55C2C">
        <w:fldChar w:fldCharType="separate"/>
      </w:r>
      <w:r w:rsidR="009F6923" w:rsidRPr="009F17D7">
        <w:t xml:space="preserve">Recommendation </w:t>
      </w:r>
      <w:r w:rsidR="009F6923">
        <w:rPr>
          <w:noProof/>
        </w:rPr>
        <w:t>13</w:t>
      </w:r>
      <w:r w:rsidR="00A55C2C">
        <w:fldChar w:fldCharType="end"/>
      </w:r>
      <w:r w:rsidRPr="004F4F35">
        <w:t>.</w:t>
      </w:r>
    </w:p>
    <w:p w14:paraId="3F9BB4DA" w14:textId="34BDD082" w:rsidR="00052764" w:rsidRDefault="00045A32" w:rsidP="00052764">
      <w:r>
        <w:t xml:space="preserve">Further, to address the shortfall in funding being directed at cross-sectoral biosecurity </w:t>
      </w:r>
      <w:r w:rsidR="003E5852">
        <w:t>R&amp;I</w:t>
      </w:r>
      <w:r>
        <w:t xml:space="preserve"> within the existing RDC system, the Rural Industries RDC should be tasked with the coordination of cross-sectoral </w:t>
      </w:r>
      <w:r w:rsidR="00F5044A">
        <w:t xml:space="preserve">biosecurity </w:t>
      </w:r>
      <w:r w:rsidR="00E57A7C">
        <w:t>R&amp;I</w:t>
      </w:r>
      <w:r>
        <w:t xml:space="preserve"> within and between the plant and animal </w:t>
      </w:r>
      <w:r>
        <w:lastRenderedPageBreak/>
        <w:t xml:space="preserve">production sectors. The </w:t>
      </w:r>
      <w:r w:rsidR="00D200F9">
        <w:t>p</w:t>
      </w:r>
      <w:r>
        <w:t xml:space="preserve">anel recognises that most RDCs do not hold responsibility for cross-sectoral biosecurity </w:t>
      </w:r>
      <w:r w:rsidR="00E57A7C">
        <w:t>R&amp;I</w:t>
      </w:r>
      <w:r w:rsidR="00D200F9">
        <w:t>,</w:t>
      </w:r>
      <w:r>
        <w:t xml:space="preserve"> as the majority of their expertise lies in industry-specific issues. The Rural Industries RDC, however, has a broad mandate under its enabling legislation (the </w:t>
      </w:r>
      <w:r w:rsidRPr="00045A32">
        <w:rPr>
          <w:i/>
        </w:rPr>
        <w:t>Primary Industries Research and Development Act 1989</w:t>
      </w:r>
      <w:r w:rsidR="00324B00">
        <w:rPr>
          <w:i/>
        </w:rPr>
        <w:t xml:space="preserve"> </w:t>
      </w:r>
      <w:r w:rsidR="00324B00" w:rsidRPr="00324B00">
        <w:t>(Cwlth)</w:t>
      </w:r>
      <w:r>
        <w:t>)</w:t>
      </w:r>
      <w:r w:rsidR="009F135C">
        <w:t xml:space="preserve">. </w:t>
      </w:r>
      <w:r w:rsidR="00052764" w:rsidRPr="00052764">
        <w:t xml:space="preserve">The corporation’s statutory funding agreement with the Commonwealth recognises its unique role among the RDCs in coordinating national rural R&amp;D effort to address challenges affecting multiple or all rural industries. As such, the </w:t>
      </w:r>
      <w:r w:rsidR="00D200F9">
        <w:t>p</w:t>
      </w:r>
      <w:r w:rsidR="00052764" w:rsidRPr="00052764">
        <w:t>anel considers the corporation is well positioned to take on this additional key biosecurity function.</w:t>
      </w:r>
    </w:p>
    <w:p w14:paraId="60F4BDF9" w14:textId="7EAB4758" w:rsidR="0081473F" w:rsidRDefault="0081473F" w:rsidP="0081473F">
      <w:r w:rsidRPr="00052764">
        <w:t xml:space="preserve">The </w:t>
      </w:r>
      <w:r w:rsidR="00D200F9">
        <w:t>p</w:t>
      </w:r>
      <w:r w:rsidRPr="00052764">
        <w:t>anel believes the formal establishment of the Rural Industries RDC</w:t>
      </w:r>
      <w:r w:rsidR="00324B00" w:rsidRPr="00052764">
        <w:t>’s</w:t>
      </w:r>
      <w:r w:rsidRPr="00052764">
        <w:t xml:space="preserve"> cross-sectoral biosecurity </w:t>
      </w:r>
      <w:r w:rsidR="00290DEC" w:rsidRPr="00052764">
        <w:t xml:space="preserve">R&amp;I </w:t>
      </w:r>
      <w:r w:rsidRPr="00052764">
        <w:t>role could be achieved through non-legislative means, through changes to each of the RDCs’ funding agreements with the Australian Government</w:t>
      </w:r>
      <w:r w:rsidR="00725401" w:rsidRPr="00052764">
        <w:t xml:space="preserve"> at renewal or through concurrent amendments within the agreement of the RDCs</w:t>
      </w:r>
      <w:r w:rsidRPr="00052764">
        <w:t>.</w:t>
      </w:r>
      <w:r>
        <w:t xml:space="preserve"> Such changes should include strengthened requirements for RDCs to invest in and report against the new National Biosecurity R&amp;I Priorities through additional provisions in each RDC statutory funding agreement, including reporting of investment against consistent categories</w:t>
      </w:r>
      <w:r w:rsidR="00F5044A">
        <w:t>.</w:t>
      </w:r>
      <w:r w:rsidR="00C24D59" w:rsidRPr="00C24D59">
        <w:t xml:space="preserve"> </w:t>
      </w:r>
      <w:r>
        <w:t>This proposal would limit the need for substantial change to existing RDC funding structures, and it would increase the pool of existing RDC funds directed to cross-sectoral biosecurity R&amp;I issues, coordinated by the R</w:t>
      </w:r>
      <w:r w:rsidR="00AD6AEF">
        <w:t xml:space="preserve">ural </w:t>
      </w:r>
      <w:r>
        <w:t>I</w:t>
      </w:r>
      <w:r w:rsidR="00AD6AEF">
        <w:t xml:space="preserve">ndustries </w:t>
      </w:r>
      <w:r>
        <w:t xml:space="preserve">RDC. Public reporting should similarly occur for Australian Government funded biosecurity investments (sectoral and cross-sectoral) in accordance with agreed categories of funding activity developed under </w:t>
      </w:r>
      <w:r w:rsidRPr="004F4F35">
        <w:t>Recommendation 2</w:t>
      </w:r>
      <w:r w:rsidR="00B17C1B">
        <w:t>8</w:t>
      </w:r>
      <w:r w:rsidRPr="004F4F35">
        <w:t>.</w:t>
      </w:r>
    </w:p>
    <w:p w14:paraId="5C61A1E4" w14:textId="331A28FC" w:rsidR="00045A32" w:rsidRDefault="0081473F" w:rsidP="0081473F">
      <w:r>
        <w:t xml:space="preserve">The </w:t>
      </w:r>
      <w:r w:rsidR="00D200F9">
        <w:t>p</w:t>
      </w:r>
      <w:r>
        <w:t xml:space="preserve">anel recognises there are some limitations due to the present size of the Rural Industries RDC, compared </w:t>
      </w:r>
      <w:r w:rsidR="00D200F9">
        <w:t>with</w:t>
      </w:r>
      <w:r>
        <w:t xml:space="preserve"> other RDCs, and there is need for additional resourcing. To address funding for this additional function, the </w:t>
      </w:r>
      <w:r w:rsidR="00D200F9">
        <w:t>p</w:t>
      </w:r>
      <w:r>
        <w:t>anel recommends that the Australian Government funding appropriation to the Rural Industries RDC be increased by $2</w:t>
      </w:r>
      <w:r w:rsidR="00B942A2">
        <w:t> </w:t>
      </w:r>
      <w:r>
        <w:t xml:space="preserve">million per annum, to be utilised solely for the cross-sectoral projects. This funding is modest when compared with the funding being provided by the Australian Government to biosecurity projects under the Research and Development for Profit </w:t>
      </w:r>
      <w:r w:rsidRPr="00324B00">
        <w:t>Programme (</w:t>
      </w:r>
      <w:r w:rsidRPr="00324B00">
        <w:fldChar w:fldCharType="begin"/>
      </w:r>
      <w:r w:rsidRPr="00324B00">
        <w:instrText xml:space="preserve"> REF _Ref482021350 \h </w:instrText>
      </w:r>
      <w:r w:rsidR="00E37BC3" w:rsidRPr="00324B00">
        <w:instrText xml:space="preserve"> \* MERGEFORMAT </w:instrText>
      </w:r>
      <w:r w:rsidRPr="00324B00">
        <w:fldChar w:fldCharType="separate"/>
      </w:r>
      <w:r w:rsidR="009F6923" w:rsidRPr="009F6923">
        <w:rPr>
          <w:bCs/>
        </w:rPr>
        <w:t xml:space="preserve">Box </w:t>
      </w:r>
      <w:r w:rsidR="009F6923" w:rsidRPr="009F6923">
        <w:rPr>
          <w:bCs/>
          <w:noProof/>
        </w:rPr>
        <w:t>11</w:t>
      </w:r>
      <w:r w:rsidRPr="00324B00">
        <w:fldChar w:fldCharType="end"/>
      </w:r>
      <w:r w:rsidRPr="00324B00">
        <w:t>)</w:t>
      </w:r>
      <w:r w:rsidR="00E37BC3" w:rsidRPr="00324B00">
        <w:t>—</w:t>
      </w:r>
      <w:r w:rsidRPr="00324B00">
        <w:t>noting</w:t>
      </w:r>
      <w:r>
        <w:t xml:space="preserve"> that</w:t>
      </w:r>
      <w:r w:rsidR="00D200F9">
        <w:t>,</w:t>
      </w:r>
      <w:r>
        <w:t xml:space="preserve"> while this program terminates in 2022, it is likely to be fully committed in the next couple of years.</w:t>
      </w:r>
    </w:p>
    <w:p w14:paraId="4C48C5F4" w14:textId="77777777" w:rsidR="0081473F" w:rsidRPr="00061673" w:rsidRDefault="0081473F" w:rsidP="00061673">
      <w:pPr>
        <w:pStyle w:val="BoxHeading"/>
        <w:shd w:val="clear" w:color="auto" w:fill="D9D9D9" w:themeFill="background1" w:themeFillShade="D9"/>
        <w:rPr>
          <w:sz w:val="22"/>
        </w:rPr>
      </w:pPr>
      <w:bookmarkStart w:id="125" w:name="_Ref482709912"/>
      <w:r w:rsidRPr="00061673">
        <w:rPr>
          <w:sz w:val="22"/>
        </w:rPr>
        <w:t xml:space="preserve">Recommendation </w:t>
      </w:r>
      <w:r w:rsidRPr="00061673">
        <w:rPr>
          <w:sz w:val="22"/>
        </w:rPr>
        <w:fldChar w:fldCharType="begin"/>
      </w:r>
      <w:r w:rsidRPr="00061673">
        <w:rPr>
          <w:sz w:val="22"/>
        </w:rPr>
        <w:instrText xml:space="preserve"> SEQ Recommendation \* ARABIC </w:instrText>
      </w:r>
      <w:r w:rsidRPr="00061673">
        <w:rPr>
          <w:sz w:val="22"/>
        </w:rPr>
        <w:fldChar w:fldCharType="separate"/>
      </w:r>
      <w:r w:rsidR="009F6923">
        <w:rPr>
          <w:noProof/>
          <w:sz w:val="22"/>
        </w:rPr>
        <w:t>14</w:t>
      </w:r>
      <w:r w:rsidRPr="00061673">
        <w:rPr>
          <w:sz w:val="22"/>
        </w:rPr>
        <w:fldChar w:fldCharType="end"/>
      </w:r>
      <w:bookmarkEnd w:id="125"/>
    </w:p>
    <w:p w14:paraId="6F18C8CD" w14:textId="77777777" w:rsidR="0081473F" w:rsidRPr="004F4F35" w:rsidRDefault="0081473F" w:rsidP="0081473F">
      <w:pPr>
        <w:pStyle w:val="BoxText"/>
        <w:shd w:val="clear" w:color="auto" w:fill="D9D9D9" w:themeFill="background1" w:themeFillShade="D9"/>
        <w:rPr>
          <w:sz w:val="22"/>
        </w:rPr>
      </w:pPr>
      <w:r w:rsidRPr="004F4F35">
        <w:rPr>
          <w:sz w:val="22"/>
        </w:rPr>
        <w:t>To accelerate national system innovation the Australian Government should:</w:t>
      </w:r>
    </w:p>
    <w:p w14:paraId="1258C01D" w14:textId="1E61E064" w:rsidR="0081473F" w:rsidRPr="004F4F35" w:rsidRDefault="00B942A2" w:rsidP="0081473F">
      <w:pPr>
        <w:pStyle w:val="BoxTextBullet"/>
        <w:shd w:val="clear" w:color="auto" w:fill="D9D9D9" w:themeFill="background1" w:themeFillShade="D9"/>
        <w:rPr>
          <w:sz w:val="22"/>
        </w:rPr>
      </w:pPr>
      <w:r>
        <w:rPr>
          <w:sz w:val="22"/>
        </w:rPr>
        <w:t>establish a $25 </w:t>
      </w:r>
      <w:r w:rsidR="0081473F" w:rsidRPr="004F4F35">
        <w:rPr>
          <w:sz w:val="22"/>
        </w:rPr>
        <w:t xml:space="preserve">million National Biosecurity Innovation Program to enable strategic co-investment in the system-level </w:t>
      </w:r>
      <w:r w:rsidR="0063699B">
        <w:rPr>
          <w:sz w:val="22"/>
        </w:rPr>
        <w:t xml:space="preserve">(including </w:t>
      </w:r>
      <w:r w:rsidR="0081473F" w:rsidRPr="004F4F35">
        <w:rPr>
          <w:sz w:val="22"/>
        </w:rPr>
        <w:t>environmental</w:t>
      </w:r>
      <w:r w:rsidR="0063699B">
        <w:rPr>
          <w:sz w:val="22"/>
        </w:rPr>
        <w:t>)</w:t>
      </w:r>
      <w:r w:rsidR="0081473F" w:rsidRPr="004F4F35">
        <w:rPr>
          <w:sz w:val="22"/>
        </w:rPr>
        <w:t xml:space="preserve"> national priorities developed under </w:t>
      </w:r>
      <w:r w:rsidR="0081473F" w:rsidRPr="00940958">
        <w:rPr>
          <w:sz w:val="22"/>
        </w:rPr>
        <w:t>Recommendation 1</w:t>
      </w:r>
      <w:r w:rsidR="00E52BA6">
        <w:rPr>
          <w:sz w:val="22"/>
        </w:rPr>
        <w:t>3</w:t>
      </w:r>
      <w:r w:rsidR="0081473F" w:rsidRPr="00940958">
        <w:rPr>
          <w:sz w:val="22"/>
        </w:rPr>
        <w:t>.</w:t>
      </w:r>
      <w:r w:rsidR="0081473F" w:rsidRPr="004F4F35">
        <w:rPr>
          <w:sz w:val="22"/>
        </w:rPr>
        <w:t xml:space="preserve"> The program should be funded initially for a </w:t>
      </w:r>
      <w:r w:rsidR="00C82D2A">
        <w:rPr>
          <w:sz w:val="22"/>
        </w:rPr>
        <w:lastRenderedPageBreak/>
        <w:t>five</w:t>
      </w:r>
      <w:r w:rsidR="0081473F" w:rsidRPr="004F4F35">
        <w:rPr>
          <w:sz w:val="22"/>
        </w:rPr>
        <w:t xml:space="preserve">-year period from 2018–19 through the </w:t>
      </w:r>
      <w:r w:rsidR="00C82D2A">
        <w:rPr>
          <w:sz w:val="22"/>
        </w:rPr>
        <w:t xml:space="preserve">funding mechanisms </w:t>
      </w:r>
      <w:r w:rsidR="00C82D2A" w:rsidRPr="002D0780">
        <w:rPr>
          <w:sz w:val="22"/>
        </w:rPr>
        <w:t xml:space="preserve">in </w:t>
      </w:r>
      <w:r w:rsidR="00C82D2A" w:rsidRPr="00CC5EA7">
        <w:rPr>
          <w:sz w:val="22"/>
        </w:rPr>
        <w:t>Chapter 8</w:t>
      </w:r>
      <w:r w:rsidR="0081473F" w:rsidRPr="002D0780">
        <w:rPr>
          <w:sz w:val="22"/>
        </w:rPr>
        <w:t xml:space="preserve"> and</w:t>
      </w:r>
      <w:r w:rsidR="0081473F" w:rsidRPr="004F4F35">
        <w:rPr>
          <w:sz w:val="22"/>
        </w:rPr>
        <w:t xml:space="preserve"> be administered by the Australian Go</w:t>
      </w:r>
      <w:r w:rsidR="00C82D2A">
        <w:rPr>
          <w:sz w:val="22"/>
        </w:rPr>
        <w:t>vernment agriculture department</w:t>
      </w:r>
    </w:p>
    <w:p w14:paraId="71CEE46F" w14:textId="1EF33209" w:rsidR="0081473F" w:rsidRPr="00940958" w:rsidRDefault="0081473F" w:rsidP="0081473F">
      <w:pPr>
        <w:pStyle w:val="BoxTextBullet"/>
        <w:shd w:val="clear" w:color="auto" w:fill="D9D9D9" w:themeFill="background1" w:themeFillShade="D9"/>
        <w:rPr>
          <w:sz w:val="22"/>
        </w:rPr>
      </w:pPr>
      <w:r w:rsidRPr="004F4F35">
        <w:rPr>
          <w:sz w:val="22"/>
        </w:rPr>
        <w:t>increase the funding appropriation to</w:t>
      </w:r>
      <w:r w:rsidR="00B942A2">
        <w:rPr>
          <w:sz w:val="22"/>
        </w:rPr>
        <w:t xml:space="preserve"> the Rural Industries RDC by $2 </w:t>
      </w:r>
      <w:r w:rsidRPr="004F4F35">
        <w:rPr>
          <w:sz w:val="22"/>
        </w:rPr>
        <w:t xml:space="preserve">million annually for a new cross-sectoral biosecurity R&amp;I coordination and investment function for the RDCs. Cross-sectoral investments should be in line with the national cross-sectoral priorities developed under </w:t>
      </w:r>
      <w:r w:rsidRPr="00940958">
        <w:rPr>
          <w:sz w:val="22"/>
        </w:rPr>
        <w:t xml:space="preserve">Recommendation </w:t>
      </w:r>
      <w:r w:rsidR="004F4F35" w:rsidRPr="00940958">
        <w:rPr>
          <w:sz w:val="22"/>
        </w:rPr>
        <w:t>1</w:t>
      </w:r>
      <w:r w:rsidR="00E52BA6">
        <w:rPr>
          <w:sz w:val="22"/>
        </w:rPr>
        <w:t>3</w:t>
      </w:r>
    </w:p>
    <w:p w14:paraId="291E769A" w14:textId="4FE61E80" w:rsidR="0081473F" w:rsidRPr="004F4F35" w:rsidRDefault="00940958" w:rsidP="0081473F">
      <w:pPr>
        <w:pStyle w:val="BoxTextBullet"/>
        <w:shd w:val="clear" w:color="auto" w:fill="D9D9D9" w:themeFill="background1" w:themeFillShade="D9"/>
        <w:rPr>
          <w:sz w:val="22"/>
        </w:rPr>
      </w:pPr>
      <w:r>
        <w:rPr>
          <w:sz w:val="22"/>
        </w:rPr>
        <w:t xml:space="preserve">require </w:t>
      </w:r>
      <w:r w:rsidR="0081473F" w:rsidRPr="004F4F35">
        <w:rPr>
          <w:sz w:val="22"/>
        </w:rPr>
        <w:t>RDCs to invest in and report against the new National Biosecurity R&amp;I Priorities through additional provisions in each RDC statutory funding agreement. Cross-sectoral biosecurity R&amp;I will be coordinated by the R</w:t>
      </w:r>
      <w:r w:rsidR="000F424C">
        <w:rPr>
          <w:sz w:val="22"/>
        </w:rPr>
        <w:t xml:space="preserve">ural </w:t>
      </w:r>
      <w:r w:rsidR="0081473F" w:rsidRPr="004F4F35">
        <w:rPr>
          <w:sz w:val="22"/>
        </w:rPr>
        <w:t>I</w:t>
      </w:r>
      <w:r w:rsidR="000F424C">
        <w:rPr>
          <w:sz w:val="22"/>
        </w:rPr>
        <w:t xml:space="preserve">ndustries </w:t>
      </w:r>
      <w:r w:rsidR="0081473F" w:rsidRPr="004F4F35">
        <w:rPr>
          <w:sz w:val="22"/>
        </w:rPr>
        <w:t>RDC.</w:t>
      </w:r>
    </w:p>
    <w:p w14:paraId="6AB23B40" w14:textId="77777777" w:rsidR="00E46CA6" w:rsidRPr="004F4F35" w:rsidRDefault="00E46CA6" w:rsidP="00E46CA6">
      <w:pPr>
        <w:pStyle w:val="BoxHeading"/>
        <w:shd w:val="clear" w:color="auto" w:fill="D9D9D9" w:themeFill="background1" w:themeFillShade="D9"/>
        <w:rPr>
          <w:bCs/>
          <w:sz w:val="22"/>
        </w:rPr>
      </w:pPr>
      <w:bookmarkStart w:id="126" w:name="_Ref482871305"/>
      <w:r w:rsidRPr="004F4F35">
        <w:rPr>
          <w:bCs/>
          <w:sz w:val="22"/>
        </w:rPr>
        <w:t xml:space="preserve">Recommendation </w:t>
      </w:r>
      <w:r w:rsidRPr="004F4F35">
        <w:rPr>
          <w:bCs/>
          <w:sz w:val="22"/>
        </w:rPr>
        <w:fldChar w:fldCharType="begin"/>
      </w:r>
      <w:r w:rsidRPr="004F4F35">
        <w:rPr>
          <w:bCs/>
          <w:sz w:val="22"/>
        </w:rPr>
        <w:instrText xml:space="preserve"> SEQ Recommendation \* ARABIC </w:instrText>
      </w:r>
      <w:r w:rsidRPr="004F4F35">
        <w:rPr>
          <w:bCs/>
          <w:sz w:val="22"/>
        </w:rPr>
        <w:fldChar w:fldCharType="separate"/>
      </w:r>
      <w:r w:rsidR="009F6923">
        <w:rPr>
          <w:bCs/>
          <w:noProof/>
          <w:sz w:val="22"/>
        </w:rPr>
        <w:t>15</w:t>
      </w:r>
      <w:r w:rsidRPr="004F4F35">
        <w:rPr>
          <w:sz w:val="22"/>
        </w:rPr>
        <w:fldChar w:fldCharType="end"/>
      </w:r>
      <w:bookmarkEnd w:id="126"/>
    </w:p>
    <w:p w14:paraId="288C924E" w14:textId="27552572" w:rsidR="00045A32" w:rsidRPr="004F4F35" w:rsidRDefault="0081473F" w:rsidP="0081473F">
      <w:pPr>
        <w:pStyle w:val="BoxText"/>
        <w:shd w:val="clear" w:color="auto" w:fill="D9D9D9" w:themeFill="background1" w:themeFillShade="D9"/>
        <w:rPr>
          <w:sz w:val="22"/>
        </w:rPr>
      </w:pPr>
      <w:r w:rsidRPr="004F4F35">
        <w:rPr>
          <w:sz w:val="22"/>
        </w:rPr>
        <w:t>The Australian Government should require publi</w:t>
      </w:r>
      <w:r w:rsidR="00173C87">
        <w:rPr>
          <w:sz w:val="22"/>
        </w:rPr>
        <w:t>c reporting of all Commonwealth-</w:t>
      </w:r>
      <w:r w:rsidRPr="004F4F35">
        <w:rPr>
          <w:sz w:val="22"/>
        </w:rPr>
        <w:t>funded biosecurity</w:t>
      </w:r>
      <w:r w:rsidR="0008113A">
        <w:rPr>
          <w:sz w:val="22"/>
        </w:rPr>
        <w:t xml:space="preserve"> R&amp;I</w:t>
      </w:r>
      <w:r w:rsidRPr="004F4F35">
        <w:rPr>
          <w:sz w:val="22"/>
        </w:rPr>
        <w:t xml:space="preserve"> investments (sectoral, cross-sectoral and system</w:t>
      </w:r>
      <w:r w:rsidR="001A59CF">
        <w:rPr>
          <w:sz w:val="22"/>
        </w:rPr>
        <w:t>-</w:t>
      </w:r>
      <w:r w:rsidRPr="004F4F35">
        <w:rPr>
          <w:sz w:val="22"/>
        </w:rPr>
        <w:t xml:space="preserve">wide) in accordance with agreed categories of funding activity developed </w:t>
      </w:r>
      <w:r w:rsidRPr="00940958">
        <w:rPr>
          <w:sz w:val="22"/>
        </w:rPr>
        <w:t>under Recommendation 2</w:t>
      </w:r>
      <w:r w:rsidR="00E52BA6">
        <w:rPr>
          <w:sz w:val="22"/>
        </w:rPr>
        <w:t>8</w:t>
      </w:r>
      <w:r w:rsidRPr="00940958">
        <w:rPr>
          <w:sz w:val="22"/>
        </w:rPr>
        <w:t>.</w:t>
      </w:r>
    </w:p>
    <w:p w14:paraId="77073E8A" w14:textId="77777777" w:rsidR="00561771" w:rsidRDefault="00561771" w:rsidP="00596255">
      <w:pPr>
        <w:pStyle w:val="Heading2"/>
      </w:pPr>
      <w:bookmarkStart w:id="127" w:name="_Strengthening_Governance"/>
      <w:bookmarkStart w:id="128" w:name="_Toc486236051"/>
      <w:bookmarkEnd w:id="127"/>
      <w:r>
        <w:lastRenderedPageBreak/>
        <w:t xml:space="preserve">Strengthening </w:t>
      </w:r>
      <w:r w:rsidR="00906B0E">
        <w:t>g</w:t>
      </w:r>
      <w:r>
        <w:t>overnance</w:t>
      </w:r>
      <w:bookmarkEnd w:id="128"/>
    </w:p>
    <w:p w14:paraId="6BF73289" w14:textId="77777777" w:rsidR="00C95D12" w:rsidRPr="00C90F39" w:rsidRDefault="00C95D12" w:rsidP="00C95D12">
      <w:pPr>
        <w:pStyle w:val="BoxHeading"/>
        <w:rPr>
          <w:sz w:val="22"/>
          <w:lang w:eastAsia="ja-JP"/>
        </w:rPr>
      </w:pPr>
      <w:r w:rsidRPr="00C90F39">
        <w:rPr>
          <w:sz w:val="22"/>
          <w:lang w:eastAsia="ja-JP"/>
        </w:rPr>
        <w:t>Key points</w:t>
      </w:r>
    </w:p>
    <w:p w14:paraId="5230C645" w14:textId="4E05CFCE" w:rsidR="00A13328" w:rsidRPr="00725401" w:rsidRDefault="00A13328" w:rsidP="00884FCC">
      <w:pPr>
        <w:pStyle w:val="BoxTextBullet"/>
        <w:rPr>
          <w:sz w:val="22"/>
          <w:lang w:eastAsia="ja-JP"/>
        </w:rPr>
      </w:pPr>
      <w:r w:rsidRPr="00725401">
        <w:rPr>
          <w:sz w:val="22"/>
          <w:lang w:eastAsia="ja-JP"/>
        </w:rPr>
        <w:t>The IGAB and the N</w:t>
      </w:r>
      <w:r w:rsidR="00173C87">
        <w:rPr>
          <w:sz w:val="22"/>
          <w:lang w:eastAsia="ja-JP"/>
        </w:rPr>
        <w:t xml:space="preserve">ational </w:t>
      </w:r>
      <w:r w:rsidRPr="00725401">
        <w:rPr>
          <w:sz w:val="22"/>
          <w:lang w:eastAsia="ja-JP"/>
        </w:rPr>
        <w:t>B</w:t>
      </w:r>
      <w:r w:rsidR="00173C87">
        <w:rPr>
          <w:sz w:val="22"/>
          <w:lang w:eastAsia="ja-JP"/>
        </w:rPr>
        <w:t xml:space="preserve">iosecurity </w:t>
      </w:r>
      <w:r w:rsidRPr="00725401">
        <w:rPr>
          <w:sz w:val="22"/>
          <w:lang w:eastAsia="ja-JP"/>
        </w:rPr>
        <w:t>C</w:t>
      </w:r>
      <w:r w:rsidR="00173C87">
        <w:rPr>
          <w:sz w:val="22"/>
          <w:lang w:eastAsia="ja-JP"/>
        </w:rPr>
        <w:t>ommittee (NBC)</w:t>
      </w:r>
      <w:r w:rsidRPr="00725401">
        <w:rPr>
          <w:sz w:val="22"/>
          <w:lang w:eastAsia="ja-JP"/>
        </w:rPr>
        <w:t xml:space="preserve"> have been pivotal in fostering improved government collaboration.</w:t>
      </w:r>
    </w:p>
    <w:p w14:paraId="07831CD2" w14:textId="2998C8CA" w:rsidR="00884FCC" w:rsidRPr="00725401" w:rsidRDefault="00173C87" w:rsidP="00884FCC">
      <w:pPr>
        <w:pStyle w:val="BoxTextBullet"/>
        <w:rPr>
          <w:sz w:val="22"/>
          <w:lang w:eastAsia="ja-JP"/>
        </w:rPr>
      </w:pPr>
      <w:r>
        <w:rPr>
          <w:sz w:val="22"/>
          <w:lang w:eastAsia="ja-JP"/>
        </w:rPr>
        <w:t>It is essential to in</w:t>
      </w:r>
      <w:r w:rsidR="00884FCC" w:rsidRPr="00725401">
        <w:rPr>
          <w:sz w:val="22"/>
          <w:lang w:eastAsia="ja-JP"/>
        </w:rPr>
        <w:t>stitutionalis</w:t>
      </w:r>
      <w:r>
        <w:rPr>
          <w:sz w:val="22"/>
          <w:lang w:eastAsia="ja-JP"/>
        </w:rPr>
        <w:t>e</w:t>
      </w:r>
      <w:r w:rsidR="00884FCC" w:rsidRPr="00725401">
        <w:rPr>
          <w:sz w:val="22"/>
          <w:lang w:eastAsia="ja-JP"/>
        </w:rPr>
        <w:t xml:space="preserve"> arrangements to ensure a durable and robust national biosecurity system.</w:t>
      </w:r>
    </w:p>
    <w:p w14:paraId="343319A9" w14:textId="77777777" w:rsidR="00A13328" w:rsidRPr="00725401" w:rsidRDefault="00A13328" w:rsidP="00884FCC">
      <w:pPr>
        <w:pStyle w:val="BoxTextBullet"/>
        <w:rPr>
          <w:sz w:val="22"/>
          <w:lang w:eastAsia="ja-JP"/>
        </w:rPr>
      </w:pPr>
      <w:r w:rsidRPr="00725401">
        <w:rPr>
          <w:sz w:val="22"/>
          <w:lang w:eastAsia="ja-JP"/>
        </w:rPr>
        <w:t>First Ministers should continue to provide jurisdictions with a strong mandate under the IGAB for advancing national biosecurity arrangements.</w:t>
      </w:r>
    </w:p>
    <w:p w14:paraId="7FA024AE" w14:textId="39F0D27A" w:rsidR="00A13328" w:rsidRPr="00725401" w:rsidRDefault="00A13328" w:rsidP="00884FCC">
      <w:pPr>
        <w:pStyle w:val="BoxTextBullet"/>
        <w:rPr>
          <w:sz w:val="22"/>
          <w:lang w:eastAsia="ja-JP"/>
        </w:rPr>
      </w:pPr>
      <w:r w:rsidRPr="00725401">
        <w:rPr>
          <w:sz w:val="22"/>
          <w:lang w:eastAsia="ja-JP"/>
        </w:rPr>
        <w:t>IGAB governance arrangements should provide industry and community</w:t>
      </w:r>
      <w:r w:rsidR="00324B00" w:rsidRPr="00725401">
        <w:rPr>
          <w:sz w:val="22"/>
          <w:lang w:eastAsia="ja-JP"/>
        </w:rPr>
        <w:t xml:space="preserve"> stakeholders</w:t>
      </w:r>
      <w:r w:rsidRPr="00725401">
        <w:rPr>
          <w:sz w:val="22"/>
          <w:lang w:eastAsia="ja-JP"/>
        </w:rPr>
        <w:t xml:space="preserve"> with a stronger voice and role in further developing the national biosecurity system.</w:t>
      </w:r>
    </w:p>
    <w:p w14:paraId="3DAC27F0" w14:textId="77777777" w:rsidR="00A13328" w:rsidRPr="00725401" w:rsidRDefault="00A13328" w:rsidP="00884FCC">
      <w:pPr>
        <w:pStyle w:val="BoxTextBullet"/>
        <w:rPr>
          <w:sz w:val="22"/>
          <w:lang w:eastAsia="ja-JP"/>
        </w:rPr>
      </w:pPr>
      <w:r w:rsidRPr="00725401">
        <w:rPr>
          <w:sz w:val="22"/>
          <w:lang w:eastAsia="ja-JP"/>
        </w:rPr>
        <w:t>The NBC must improve its transparency and accountability, including making more information publicly available.</w:t>
      </w:r>
    </w:p>
    <w:p w14:paraId="047180D4" w14:textId="77777777" w:rsidR="00C95D12" w:rsidRDefault="00C95D12" w:rsidP="00C95D12">
      <w:pPr>
        <w:pStyle w:val="Heading3"/>
        <w:rPr>
          <w:lang w:eastAsia="ja-JP"/>
        </w:rPr>
      </w:pPr>
      <w:bookmarkStart w:id="129" w:name="_Toc486236052"/>
      <w:r>
        <w:rPr>
          <w:lang w:eastAsia="ja-JP"/>
        </w:rPr>
        <w:t>A strong mandate</w:t>
      </w:r>
      <w:bookmarkEnd w:id="129"/>
    </w:p>
    <w:p w14:paraId="1DE80670" w14:textId="4E3B78FE" w:rsidR="00A13328" w:rsidRPr="00061787" w:rsidRDefault="00A13328" w:rsidP="00A13328">
      <w:pPr>
        <w:rPr>
          <w:lang w:eastAsia="ja-JP"/>
        </w:rPr>
      </w:pPr>
      <w:r w:rsidRPr="00A13328">
        <w:rPr>
          <w:lang w:eastAsia="ja-JP"/>
        </w:rPr>
        <w:t>The IGAB was authorised under previous C</w:t>
      </w:r>
      <w:r w:rsidR="00173C87">
        <w:rPr>
          <w:lang w:eastAsia="ja-JP"/>
        </w:rPr>
        <w:t>ouncil of Australian Governments (C</w:t>
      </w:r>
      <w:r w:rsidRPr="00A13328">
        <w:rPr>
          <w:lang w:eastAsia="ja-JP"/>
        </w:rPr>
        <w:t>OAG</w:t>
      </w:r>
      <w:r w:rsidR="00173C87">
        <w:rPr>
          <w:lang w:eastAsia="ja-JP"/>
        </w:rPr>
        <w:t>)</w:t>
      </w:r>
      <w:r w:rsidRPr="00A13328">
        <w:rPr>
          <w:lang w:eastAsia="ja-JP"/>
        </w:rPr>
        <w:t xml:space="preserve"> arrangements</w:t>
      </w:r>
      <w:r w:rsidR="00173C87">
        <w:rPr>
          <w:lang w:eastAsia="ja-JP"/>
        </w:rPr>
        <w:t xml:space="preserve"> intentionally as a government-</w:t>
      </w:r>
      <w:r w:rsidR="00725401">
        <w:rPr>
          <w:lang w:eastAsia="ja-JP"/>
        </w:rPr>
        <w:t>to</w:t>
      </w:r>
      <w:r w:rsidR="00173C87">
        <w:rPr>
          <w:lang w:eastAsia="ja-JP"/>
        </w:rPr>
        <w:t>-</w:t>
      </w:r>
      <w:r w:rsidR="00725401">
        <w:rPr>
          <w:lang w:eastAsia="ja-JP"/>
        </w:rPr>
        <w:t>government agreement</w:t>
      </w:r>
      <w:r w:rsidRPr="00A13328">
        <w:rPr>
          <w:lang w:eastAsia="ja-JP"/>
        </w:rPr>
        <w:t xml:space="preserve">. As an agreement between First Ministers, the IGAB provides a strong mandate for advancing national biosecurity capacity and capability. This </w:t>
      </w:r>
      <w:r w:rsidR="00061787">
        <w:rPr>
          <w:lang w:eastAsia="ja-JP"/>
        </w:rPr>
        <w:t>r</w:t>
      </w:r>
      <w:r w:rsidRPr="00A13328">
        <w:rPr>
          <w:lang w:eastAsia="ja-JP"/>
        </w:rPr>
        <w:t xml:space="preserve">eview has reaffirmed that national biosecurity </w:t>
      </w:r>
      <w:r w:rsidR="00A55C2C">
        <w:rPr>
          <w:lang w:eastAsia="ja-JP"/>
        </w:rPr>
        <w:t>critically impacts</w:t>
      </w:r>
      <w:r w:rsidRPr="00A13328">
        <w:rPr>
          <w:lang w:eastAsia="ja-JP"/>
        </w:rPr>
        <w:t xml:space="preserve"> whole-of economy and whole-of-government </w:t>
      </w:r>
      <w:r w:rsidR="00725401">
        <w:rPr>
          <w:lang w:eastAsia="ja-JP"/>
        </w:rPr>
        <w:t>arrangements</w:t>
      </w:r>
      <w:r w:rsidRPr="00A13328">
        <w:rPr>
          <w:lang w:eastAsia="ja-JP"/>
        </w:rPr>
        <w:t xml:space="preserve">—affecting trade and market access, tourism, agricultural productivity, human health, environmental quality, biodiversity and social amenity. Subsequent agreements must maintain the authority provided by First Ministers of </w:t>
      </w:r>
      <w:r w:rsidRPr="00061787">
        <w:rPr>
          <w:lang w:eastAsia="ja-JP"/>
        </w:rPr>
        <w:t>Australian, state and territory governments. Roles and responsibilities need to be articulated, and there is a need to institutionalise arrangements so they endure beyond the good personal relationships of the current participants. Anything less would effectively devalue national biosecurity efforts and impede further development of the national system.</w:t>
      </w:r>
    </w:p>
    <w:p w14:paraId="694BAD3C" w14:textId="0C3477EF" w:rsidR="00A13328" w:rsidRPr="00A13328" w:rsidRDefault="00A13328" w:rsidP="00A13328">
      <w:r w:rsidRPr="00061787">
        <w:t>First Ministers have tasked Australian, state and territory ministers responsible for biosecurity with implementation and administration</w:t>
      </w:r>
      <w:r w:rsidRPr="00A13328">
        <w:t xml:space="preserve"> of the IGAB, in consultation with other relevant ministers. This has traditionally been ministers responsible for agriculture or primary industries. In practice, it is difficult to judge the level of engagement of </w:t>
      </w:r>
      <w:r w:rsidRPr="00A13328">
        <w:lastRenderedPageBreak/>
        <w:t xml:space="preserve">‘lead’ ministers for biosecurity with other </w:t>
      </w:r>
      <w:r w:rsidR="00007F47">
        <w:t xml:space="preserve">‘support’ </w:t>
      </w:r>
      <w:r w:rsidRPr="00A13328">
        <w:t>ministers within their respective jurisdictions (for example, environment, natural resources, fisheries, regional development, health and defence)</w:t>
      </w:r>
      <w:r w:rsidR="00061787">
        <w:t>,</w:t>
      </w:r>
      <w:r w:rsidRPr="00A13328">
        <w:t xml:space="preserve"> as there are no formal mechanisms to facilitate this. </w:t>
      </w:r>
      <w:r w:rsidR="00007F47">
        <w:t>While c</w:t>
      </w:r>
      <w:r w:rsidRPr="00A13328">
        <w:t xml:space="preserve">onsultation </w:t>
      </w:r>
      <w:r w:rsidR="00007F47">
        <w:t>between</w:t>
      </w:r>
      <w:r w:rsidRPr="00A13328">
        <w:t xml:space="preserve"> </w:t>
      </w:r>
      <w:r w:rsidR="00007F47">
        <w:t xml:space="preserve">‘lead’ and ‘support’ </w:t>
      </w:r>
      <w:r w:rsidRPr="00A13328">
        <w:t>ministers may well occur</w:t>
      </w:r>
      <w:r w:rsidR="00007F47">
        <w:t>,</w:t>
      </w:r>
      <w:r w:rsidRPr="00A13328">
        <w:t xml:space="preserve"> these key relationships warrant clearer and greater recognition in the IGAB.</w:t>
      </w:r>
    </w:p>
    <w:p w14:paraId="1741B9A1" w14:textId="4720B861" w:rsidR="00A13328" w:rsidRPr="00A13328" w:rsidRDefault="00A13328" w:rsidP="00A13328">
      <w:r w:rsidRPr="00A13328">
        <w:t xml:space="preserve">For government agencies, the need for clearly defined ‘lead’ and ‘support’ biosecurity roles is particularly important, and </w:t>
      </w:r>
      <w:r w:rsidR="008B37D9">
        <w:t xml:space="preserve">this </w:t>
      </w:r>
      <w:r w:rsidR="00061787">
        <w:t>r</w:t>
      </w:r>
      <w:r w:rsidR="008B37D9">
        <w:t xml:space="preserve">eview has </w:t>
      </w:r>
      <w:r w:rsidRPr="00A13328">
        <w:t>demonstrated this in the context of environmental biosecurity</w:t>
      </w:r>
      <w:r w:rsidR="008B37D9">
        <w:t xml:space="preserve"> (</w:t>
      </w:r>
      <w:hyperlink w:anchor="_Stronger_Environmental_biosecurity" w:history="1">
        <w:r w:rsidR="008B37D9" w:rsidRPr="00A13328">
          <w:rPr>
            <w:color w:val="165788"/>
            <w:u w:val="single"/>
          </w:rPr>
          <w:t>Chapter 4</w:t>
        </w:r>
      </w:hyperlink>
      <w:r w:rsidR="008B37D9">
        <w:rPr>
          <w:color w:val="165788"/>
          <w:u w:val="single"/>
        </w:rPr>
        <w:t>)</w:t>
      </w:r>
      <w:r w:rsidRPr="00A13328">
        <w:t>. However, the delineation of roles should extend beyond agriculture and environment. Each jurisdiction should have whole-of-government arrangements in place, inclusive of central agencies, to support their role in the national biosecurity system and the delivery of their commitments under the IGAB.</w:t>
      </w:r>
    </w:p>
    <w:p w14:paraId="4F7B1F5E" w14:textId="17ACEB70" w:rsidR="00A13328" w:rsidRPr="00A13328" w:rsidRDefault="00A13328" w:rsidP="00A13328">
      <w:r w:rsidRPr="00A13328">
        <w:t xml:space="preserve">First Ministers could facilitate this by identifying their lead minster and agency for biosecurity under the IGAB and requiring supporting agencies and arrangements to be </w:t>
      </w:r>
      <w:r w:rsidR="00324B00">
        <w:t>in place</w:t>
      </w:r>
      <w:r w:rsidR="00324B00" w:rsidRPr="00A13328">
        <w:t xml:space="preserve"> </w:t>
      </w:r>
      <w:r w:rsidRPr="00A13328">
        <w:t>and made public. Given the experience and knowledge accumulated, agriculture or primary industries agencies would be the logical lead discipline. M</w:t>
      </w:r>
      <w:r w:rsidR="00324B00">
        <w:t>emorand</w:t>
      </w:r>
      <w:r w:rsidR="00390116">
        <w:t>a</w:t>
      </w:r>
      <w:r w:rsidR="00324B00">
        <w:t xml:space="preserve"> </w:t>
      </w:r>
      <w:r w:rsidRPr="00A13328">
        <w:t>o</w:t>
      </w:r>
      <w:r w:rsidR="00324B00">
        <w:t xml:space="preserve">f </w:t>
      </w:r>
      <w:r w:rsidR="00390116">
        <w:t>u</w:t>
      </w:r>
      <w:r w:rsidR="00324B00">
        <w:t>nderstanding (MoU</w:t>
      </w:r>
      <w:r w:rsidR="00390116">
        <w:t>s</w:t>
      </w:r>
      <w:r w:rsidR="00324B00">
        <w:t>)</w:t>
      </w:r>
      <w:r w:rsidRPr="00A13328">
        <w:t xml:space="preserve"> between relevant agencies would be appropriate, modelled on those between the Australian Government’s agriculture, health and immigration agencies. All jurisdictions should consider formalised arrangements between their agriculture agency and environment, fisheries and forestry (where this function is outside of agriculture or primary industry agencies), regional development, defen</w:t>
      </w:r>
      <w:r w:rsidR="00923C83">
        <w:t>ce (Australian Government only)</w:t>
      </w:r>
      <w:r w:rsidRPr="00A13328">
        <w:t xml:space="preserve"> and others as relevant.</w:t>
      </w:r>
    </w:p>
    <w:p w14:paraId="4D271589" w14:textId="77777777" w:rsidR="007E4094" w:rsidRPr="00AD72C1" w:rsidRDefault="007E4094" w:rsidP="00AD72C1">
      <w:pPr>
        <w:pStyle w:val="BoxHeading"/>
        <w:shd w:val="clear" w:color="auto" w:fill="D9D9D9" w:themeFill="background1" w:themeFillShade="D9"/>
        <w:rPr>
          <w:sz w:val="22"/>
        </w:rPr>
      </w:pPr>
      <w:bookmarkStart w:id="130" w:name="_Ref482709973"/>
      <w:r w:rsidRPr="00AD72C1">
        <w:rPr>
          <w:sz w:val="22"/>
        </w:rPr>
        <w:t xml:space="preserve">Recommendation </w:t>
      </w:r>
      <w:r w:rsidRPr="00AD72C1">
        <w:rPr>
          <w:sz w:val="22"/>
        </w:rPr>
        <w:fldChar w:fldCharType="begin"/>
      </w:r>
      <w:r w:rsidRPr="00AD72C1">
        <w:rPr>
          <w:sz w:val="22"/>
        </w:rPr>
        <w:instrText xml:space="preserve"> SEQ Recommendation \* ARABIC </w:instrText>
      </w:r>
      <w:r w:rsidRPr="00AD72C1">
        <w:rPr>
          <w:sz w:val="22"/>
        </w:rPr>
        <w:fldChar w:fldCharType="separate"/>
      </w:r>
      <w:r w:rsidR="009F6923">
        <w:rPr>
          <w:noProof/>
          <w:sz w:val="22"/>
        </w:rPr>
        <w:t>16</w:t>
      </w:r>
      <w:r w:rsidRPr="00AD72C1">
        <w:rPr>
          <w:sz w:val="22"/>
        </w:rPr>
        <w:fldChar w:fldCharType="end"/>
      </w:r>
      <w:bookmarkEnd w:id="130"/>
    </w:p>
    <w:p w14:paraId="253C4618" w14:textId="77777777" w:rsidR="007E4094" w:rsidRPr="00AD72C1" w:rsidRDefault="007E4094" w:rsidP="00AD72C1">
      <w:pPr>
        <w:pStyle w:val="BoxText"/>
        <w:shd w:val="clear" w:color="auto" w:fill="D9D9D9" w:themeFill="background1" w:themeFillShade="D9"/>
        <w:rPr>
          <w:sz w:val="22"/>
        </w:rPr>
      </w:pPr>
      <w:r w:rsidRPr="00AD72C1">
        <w:rPr>
          <w:sz w:val="22"/>
        </w:rPr>
        <w:t>IGAB2 must remain an agreement between the First Ministers of Australian, state and territory governments.</w:t>
      </w:r>
    </w:p>
    <w:p w14:paraId="4CA2CB96" w14:textId="77777777" w:rsidR="007E4094" w:rsidRPr="00AD72C1" w:rsidRDefault="007E4094" w:rsidP="00AD72C1">
      <w:pPr>
        <w:pStyle w:val="BoxHeading"/>
        <w:shd w:val="clear" w:color="auto" w:fill="D9D9D9" w:themeFill="background1" w:themeFillShade="D9"/>
        <w:rPr>
          <w:sz w:val="22"/>
        </w:rPr>
      </w:pPr>
      <w:bookmarkStart w:id="131" w:name="_Ref482709985"/>
      <w:r w:rsidRPr="00AD72C1">
        <w:rPr>
          <w:sz w:val="22"/>
        </w:rPr>
        <w:t xml:space="preserve">Recommendation </w:t>
      </w:r>
      <w:r w:rsidRPr="00AD72C1">
        <w:rPr>
          <w:sz w:val="22"/>
        </w:rPr>
        <w:fldChar w:fldCharType="begin"/>
      </w:r>
      <w:r w:rsidRPr="00AD72C1">
        <w:rPr>
          <w:sz w:val="22"/>
        </w:rPr>
        <w:instrText xml:space="preserve"> SEQ Recommendation \* ARABIC </w:instrText>
      </w:r>
      <w:r w:rsidRPr="00AD72C1">
        <w:rPr>
          <w:sz w:val="22"/>
        </w:rPr>
        <w:fldChar w:fldCharType="separate"/>
      </w:r>
      <w:r w:rsidR="009F6923">
        <w:rPr>
          <w:noProof/>
          <w:sz w:val="22"/>
        </w:rPr>
        <w:t>17</w:t>
      </w:r>
      <w:r w:rsidRPr="00AD72C1">
        <w:rPr>
          <w:sz w:val="22"/>
        </w:rPr>
        <w:fldChar w:fldCharType="end"/>
      </w:r>
      <w:bookmarkEnd w:id="131"/>
    </w:p>
    <w:p w14:paraId="30C759DD" w14:textId="7460B5A4" w:rsidR="007E4094" w:rsidRPr="00AD72C1" w:rsidRDefault="007E4094" w:rsidP="00AD72C1">
      <w:pPr>
        <w:pStyle w:val="BoxText"/>
        <w:shd w:val="clear" w:color="auto" w:fill="D9D9D9" w:themeFill="background1" w:themeFillShade="D9"/>
        <w:rPr>
          <w:sz w:val="22"/>
        </w:rPr>
      </w:pPr>
      <w:r w:rsidRPr="00AD72C1">
        <w:rPr>
          <w:sz w:val="22"/>
        </w:rPr>
        <w:t>First Ministers should, within IGAB2, identify lead ministers and agencies for biosecurity (assumed to be agriculture or primary industries) and require supporting whole-of-government arrangements to be in place, including through memoranda of understanding.</w:t>
      </w:r>
    </w:p>
    <w:p w14:paraId="4FCCD8FB" w14:textId="77777777" w:rsidR="00C95D12" w:rsidRDefault="00C95D12" w:rsidP="00C95D12">
      <w:pPr>
        <w:pStyle w:val="Heading3"/>
      </w:pPr>
      <w:bookmarkStart w:id="132" w:name="_Toc486236053"/>
      <w:r>
        <w:t>An empowered National Biosecurity Committee</w:t>
      </w:r>
      <w:bookmarkEnd w:id="132"/>
    </w:p>
    <w:p w14:paraId="04749534" w14:textId="44E37648" w:rsidR="00D05566" w:rsidRDefault="007E4094" w:rsidP="0094727C">
      <w:r w:rsidRPr="007E4094">
        <w:t xml:space="preserve">The NBC, established in 2008, is the key body responsible for implementing priority reform areas in the IGAB and coordinating national biosecurity arrangements. It provides </w:t>
      </w:r>
      <w:r w:rsidRPr="007E4094">
        <w:lastRenderedPageBreak/>
        <w:t xml:space="preserve">advice and reports to </w:t>
      </w:r>
      <w:r w:rsidR="00923C83">
        <w:t xml:space="preserve">the </w:t>
      </w:r>
      <w:r w:rsidRPr="007E4094">
        <w:t>A</w:t>
      </w:r>
      <w:r w:rsidR="00923C83">
        <w:t>griculture Senior Officials Committee (A</w:t>
      </w:r>
      <w:r w:rsidRPr="007E4094">
        <w:t>GSOC</w:t>
      </w:r>
      <w:r w:rsidR="00923C83">
        <w:t>)</w:t>
      </w:r>
      <w:r w:rsidRPr="007E4094">
        <w:t xml:space="preserve"> and </w:t>
      </w:r>
      <w:r w:rsidR="00923C83">
        <w:t>the Agriculture Ministers’ Forum (</w:t>
      </w:r>
      <w:r w:rsidRPr="007E4094">
        <w:t>AGMIN</w:t>
      </w:r>
      <w:r w:rsidR="00923C83">
        <w:t>)</w:t>
      </w:r>
      <w:r w:rsidRPr="007E4094">
        <w:t>.</w:t>
      </w:r>
    </w:p>
    <w:p w14:paraId="2AEF1982" w14:textId="729E93E8" w:rsidR="007E4094" w:rsidRDefault="007E4094" w:rsidP="007E4094">
      <w:pPr>
        <w:pStyle w:val="Heading4"/>
      </w:pPr>
      <w:r>
        <w:t>Confirming NBC’s authority</w:t>
      </w:r>
    </w:p>
    <w:p w14:paraId="741314FD" w14:textId="41C424B5" w:rsidR="007E4094" w:rsidRPr="007E4094" w:rsidRDefault="007E4094" w:rsidP="007E4094">
      <w:r w:rsidRPr="007E4094">
        <w:t xml:space="preserve">There is a </w:t>
      </w:r>
      <w:r w:rsidR="00A55C2C">
        <w:t>need to</w:t>
      </w:r>
      <w:r w:rsidR="00725401">
        <w:t xml:space="preserve"> </w:t>
      </w:r>
      <w:r w:rsidR="00A55C2C">
        <w:t>clarify</w:t>
      </w:r>
      <w:r w:rsidRPr="007E4094">
        <w:t xml:space="preserve"> the authorisation and remit of the NBC. The common understanding</w:t>
      </w:r>
      <w:r w:rsidR="00E07062">
        <w:t xml:space="preserve"> </w:t>
      </w:r>
      <w:r w:rsidRPr="007E4094">
        <w:t>is that the NBC is formally established under the IGAB. However, the IGAB states:</w:t>
      </w:r>
    </w:p>
    <w:p w14:paraId="1B1912CE" w14:textId="2DA99E84" w:rsidR="007E4094" w:rsidRPr="007E4094" w:rsidRDefault="00AB3B1E" w:rsidP="007E4094">
      <w:pPr>
        <w:pStyle w:val="Quote"/>
      </w:pPr>
      <w:r>
        <w:t>[T</w:t>
      </w:r>
      <w:r w:rsidRPr="007E4094">
        <w:t>he NBC is</w:t>
      </w:r>
      <w:r>
        <w:t>]</w:t>
      </w:r>
      <w:r w:rsidRPr="007E4094">
        <w:t xml:space="preserve"> </w:t>
      </w:r>
      <w:r w:rsidR="007E4094" w:rsidRPr="007E4094">
        <w:t>The committee established, independently of this Agreement, responsible for biosecurity matters, and tasked with managing a national, strategic approach to emerging and ongoing biosecurity policy issues (2012 IGAB, p. 19)</w:t>
      </w:r>
    </w:p>
    <w:p w14:paraId="2BF31F76" w14:textId="2F6EE213" w:rsidR="007E4094" w:rsidRPr="007E4094" w:rsidRDefault="007E4094" w:rsidP="007E4094">
      <w:r w:rsidRPr="007E4094">
        <w:t>The NBC should be integral to and not independent of the IGAB</w:t>
      </w:r>
      <w:r w:rsidR="00263970">
        <w:t>,</w:t>
      </w:r>
      <w:r w:rsidRPr="007E4094">
        <w:t xml:space="preserve"> so First Ministers should formally authorise the NBC and articulate its </w:t>
      </w:r>
      <w:r w:rsidR="00263970">
        <w:t>terms of reference</w:t>
      </w:r>
      <w:r w:rsidRPr="007E4094">
        <w:t xml:space="preserve"> through the IGAB. Given the authority of the IGAB comes from it being agreed by First Ministers, it is logical that the main body responsible for implementing the IGAB be similarly authorised by First Ministers. This will ensure that </w:t>
      </w:r>
      <w:r w:rsidR="00263970">
        <w:t xml:space="preserve">the </w:t>
      </w:r>
      <w:r w:rsidRPr="007E4094">
        <w:t>NBC’s authority is clearly aligned to the life of the agreement and not to government cycles and associated ministerial council structural issues.</w:t>
      </w:r>
    </w:p>
    <w:p w14:paraId="290AB54E" w14:textId="45C609F3" w:rsidR="007E4094" w:rsidRPr="007E4094" w:rsidRDefault="007E4094" w:rsidP="007E4094">
      <w:r w:rsidRPr="007E4094">
        <w:t>There is no national biosecurity system without national cooperation by Australian governments, and this has been the NBC’s focus to date. The Australian Government</w:t>
      </w:r>
      <w:r w:rsidR="00B17C1B">
        <w:t xml:space="preserve"> </w:t>
      </w:r>
      <w:r w:rsidR="00263970">
        <w:t>Department of Agriculture and Water Resources</w:t>
      </w:r>
      <w:r w:rsidRPr="007E4094">
        <w:t xml:space="preserve"> </w:t>
      </w:r>
      <w:hyperlink r:id="rId51" w:history="1">
        <w:r w:rsidRPr="007E4094">
          <w:rPr>
            <w:rStyle w:val="Hyperlink"/>
          </w:rPr>
          <w:t>NBC</w:t>
        </w:r>
      </w:hyperlink>
      <w:r w:rsidRPr="007E4094">
        <w:t xml:space="preserve"> website notes the committee’s core objective is </w:t>
      </w:r>
      <w:r w:rsidR="00AA193A">
        <w:t>‘</w:t>
      </w:r>
      <w:r w:rsidRPr="007E4094">
        <w:t>to promote cooperation, coordination, consistency and synergies across and between Australian governments</w:t>
      </w:r>
      <w:r w:rsidR="00AA193A">
        <w:t>’</w:t>
      </w:r>
      <w:r w:rsidRPr="007E4094">
        <w:t xml:space="preserve">. This is an entirely appropriate role, but the NBC should equally be the policy powerhouse for the national system—and needs a remit and identity to match. The </w:t>
      </w:r>
      <w:r w:rsidR="00263970">
        <w:t>terms of reference</w:t>
      </w:r>
      <w:r w:rsidRPr="007E4094">
        <w:t xml:space="preserve"> for the NBC should reflect the policy and decision-making role the NBC needs to play under a future IGAB.</w:t>
      </w:r>
    </w:p>
    <w:p w14:paraId="1ADA3719" w14:textId="4CD5503B" w:rsidR="007E4094" w:rsidRPr="007E4094" w:rsidRDefault="007E4094" w:rsidP="007E4094">
      <w:r w:rsidRPr="007E4094">
        <w:t xml:space="preserve">In the </w:t>
      </w:r>
      <w:r w:rsidR="00263970">
        <w:t>IGAB review d</w:t>
      </w:r>
      <w:r w:rsidRPr="007E4094">
        <w:t xml:space="preserve">raft </w:t>
      </w:r>
      <w:r w:rsidR="00263970">
        <w:t>r</w:t>
      </w:r>
      <w:r w:rsidRPr="007E4094">
        <w:t xml:space="preserve">eport, the </w:t>
      </w:r>
      <w:r w:rsidR="00263970">
        <w:t>p</w:t>
      </w:r>
      <w:r w:rsidRPr="007E4094">
        <w:t xml:space="preserve">anel sought feedback on revised </w:t>
      </w:r>
      <w:r w:rsidR="00263970">
        <w:t>terms of reference</w:t>
      </w:r>
      <w:r w:rsidRPr="007E4094">
        <w:t xml:space="preserve"> for the NBC, to be included as a schedule in IGAB2. The proposed </w:t>
      </w:r>
      <w:r w:rsidR="00263970">
        <w:t>terms of reference</w:t>
      </w:r>
      <w:r w:rsidRPr="007E4094">
        <w:t xml:space="preserve"> were generally supported in submissions received, with minor changes suggested by both government and non-government stakeholders. </w:t>
      </w:r>
      <w:r w:rsidR="005F24FD">
        <w:t xml:space="preserve">The </w:t>
      </w:r>
      <w:r w:rsidR="00263970">
        <w:t>p</w:t>
      </w:r>
      <w:r w:rsidR="005F24FD">
        <w:t xml:space="preserve">anel </w:t>
      </w:r>
      <w:r w:rsidR="009217CF">
        <w:t xml:space="preserve">has </w:t>
      </w:r>
      <w:r w:rsidR="005F24FD">
        <w:t>u</w:t>
      </w:r>
      <w:r w:rsidRPr="007E4094">
        <w:t>pdated</w:t>
      </w:r>
      <w:r w:rsidR="005F24FD">
        <w:t xml:space="preserve"> the</w:t>
      </w:r>
      <w:r w:rsidRPr="007E4094">
        <w:t xml:space="preserve"> </w:t>
      </w:r>
      <w:r w:rsidR="00263970">
        <w:t>terms of reference</w:t>
      </w:r>
      <w:r w:rsidRPr="007E4094">
        <w:t>, reflecting these changes</w:t>
      </w:r>
      <w:r w:rsidR="005F24FD">
        <w:t xml:space="preserve"> (</w:t>
      </w:r>
      <w:r w:rsidR="00E46CA6" w:rsidRPr="00E46CA6">
        <w:rPr>
          <w:highlight w:val="yellow"/>
        </w:rPr>
        <w:fldChar w:fldCharType="begin"/>
      </w:r>
      <w:r w:rsidR="00E46CA6" w:rsidRPr="00E46CA6">
        <w:instrText xml:space="preserve"> REF _Ref482181006 \h </w:instrText>
      </w:r>
      <w:r w:rsidR="00E46CA6">
        <w:rPr>
          <w:highlight w:val="yellow"/>
        </w:rPr>
        <w:instrText xml:space="preserve"> \* MERGEFORMAT </w:instrText>
      </w:r>
      <w:r w:rsidR="00E46CA6" w:rsidRPr="00E46CA6">
        <w:rPr>
          <w:highlight w:val="yellow"/>
        </w:rPr>
      </w:r>
      <w:r w:rsidR="00E46CA6" w:rsidRPr="00E46CA6">
        <w:rPr>
          <w:highlight w:val="yellow"/>
        </w:rPr>
        <w:fldChar w:fldCharType="separate"/>
      </w:r>
      <w:r w:rsidR="009F6923" w:rsidRPr="007E4094">
        <w:t xml:space="preserve">Box </w:t>
      </w:r>
      <w:r w:rsidR="009F6923">
        <w:t>12</w:t>
      </w:r>
      <w:r w:rsidR="00E46CA6" w:rsidRPr="00E46CA6">
        <w:rPr>
          <w:highlight w:val="yellow"/>
        </w:rPr>
        <w:fldChar w:fldCharType="end"/>
      </w:r>
      <w:r w:rsidR="005F24FD">
        <w:t>)</w:t>
      </w:r>
      <w:r w:rsidRPr="00E46CA6">
        <w:t>.</w:t>
      </w:r>
      <w:r w:rsidRPr="007E4094">
        <w:t xml:space="preserve"> The </w:t>
      </w:r>
      <w:r w:rsidR="00C90D46">
        <w:t>p</w:t>
      </w:r>
      <w:r w:rsidRPr="007E4094">
        <w:t>anel recommends they be included as a schedule in IGAB2.</w:t>
      </w:r>
    </w:p>
    <w:p w14:paraId="27BF2681" w14:textId="1C1D2088" w:rsidR="007E4094" w:rsidRPr="007E4094" w:rsidRDefault="007E4094" w:rsidP="002D7FC5">
      <w:pPr>
        <w:pStyle w:val="BoxHeading"/>
      </w:pPr>
      <w:bookmarkStart w:id="133" w:name="_Ref482181006"/>
      <w:r w:rsidRPr="007E4094">
        <w:t xml:space="preserve">Box </w:t>
      </w:r>
      <w:fldSimple w:instr=" SEQ Box \* ARABIC ">
        <w:r w:rsidR="009F6923">
          <w:rPr>
            <w:noProof/>
          </w:rPr>
          <w:t>12</w:t>
        </w:r>
      </w:fldSimple>
      <w:bookmarkEnd w:id="133"/>
      <w:r w:rsidRPr="007E4094">
        <w:t xml:space="preserve"> Proposed NBC </w:t>
      </w:r>
      <w:r w:rsidR="004945DE">
        <w:t>t</w:t>
      </w:r>
      <w:r w:rsidRPr="007E4094">
        <w:t xml:space="preserve">erms of </w:t>
      </w:r>
      <w:r w:rsidR="004945DE">
        <w:t>r</w:t>
      </w:r>
      <w:r w:rsidRPr="007E4094">
        <w:t>eference</w:t>
      </w:r>
    </w:p>
    <w:p w14:paraId="48A8492D" w14:textId="77777777" w:rsidR="00A13328" w:rsidRPr="00A13328" w:rsidRDefault="00A13328" w:rsidP="002D7FC5">
      <w:pPr>
        <w:pStyle w:val="BoxText"/>
      </w:pPr>
      <w:r w:rsidRPr="00A13328">
        <w:lastRenderedPageBreak/>
        <w:t>The National Biosecurity Committee (NBC) is authorised by First Ministers of all Australian governments, with a whole-of-government leadership role, under the Intergovernmental Agreement on Biosecurity (IGAB).</w:t>
      </w:r>
    </w:p>
    <w:p w14:paraId="7B0C226E" w14:textId="77777777" w:rsidR="00A13328" w:rsidRPr="00A13328" w:rsidRDefault="00A13328" w:rsidP="002D7FC5">
      <w:pPr>
        <w:pStyle w:val="BoxText"/>
      </w:pPr>
      <w:r w:rsidRPr="00A13328">
        <w:t>The objective of the NBC is to strengthen national biosecurity through:</w:t>
      </w:r>
    </w:p>
    <w:p w14:paraId="1B91C30F" w14:textId="1B169632" w:rsidR="00A13328" w:rsidRPr="00A13328" w:rsidRDefault="00A13328" w:rsidP="002D7FC5">
      <w:pPr>
        <w:pStyle w:val="BoxTextBullet"/>
      </w:pPr>
      <w:r w:rsidRPr="00A13328">
        <w:t xml:space="preserve">providing expert strategic and policy advice on animal, plant and environmental biosecurity matters to </w:t>
      </w:r>
      <w:r w:rsidR="00F33A11" w:rsidRPr="00B57FD0">
        <w:t xml:space="preserve">senior officials from the agencies responsible for biosecurity matters (primarily </w:t>
      </w:r>
      <w:r w:rsidR="00F33A11">
        <w:t xml:space="preserve">through </w:t>
      </w:r>
      <w:r w:rsidR="00F33A11" w:rsidRPr="00B57FD0">
        <w:t>the Agriculture Senior Officials Committee</w:t>
      </w:r>
      <w:r w:rsidR="00F33A11">
        <w:t xml:space="preserve"> (</w:t>
      </w:r>
      <w:r w:rsidRPr="00A13328">
        <w:t>AGSOC)</w:t>
      </w:r>
      <w:r w:rsidR="00941CFF">
        <w:t>)</w:t>
      </w:r>
      <w:r w:rsidRPr="00A13328">
        <w:t xml:space="preserve"> and ministers responsible for biosecurity </w:t>
      </w:r>
      <w:r w:rsidR="004F1CEB">
        <w:t>(</w:t>
      </w:r>
      <w:r w:rsidRPr="00A13328">
        <w:t>primarily</w:t>
      </w:r>
      <w:r w:rsidR="00F33A11">
        <w:t xml:space="preserve"> </w:t>
      </w:r>
      <w:r w:rsidR="00F33A11" w:rsidRPr="00B57FD0">
        <w:t>th</w:t>
      </w:r>
      <w:r w:rsidR="00F33A11">
        <w:t>rough th</w:t>
      </w:r>
      <w:r w:rsidR="00F33A11" w:rsidRPr="00B57FD0">
        <w:t>e Agriculture Ministers’ Forum</w:t>
      </w:r>
      <w:r w:rsidRPr="00A13328">
        <w:t xml:space="preserve"> </w:t>
      </w:r>
      <w:r w:rsidR="00F33A11">
        <w:t>(</w:t>
      </w:r>
      <w:r w:rsidRPr="00A13328">
        <w:t>AGMIN</w:t>
      </w:r>
      <w:r w:rsidR="004F1CEB">
        <w:t>)</w:t>
      </w:r>
      <w:r w:rsidRPr="00A13328">
        <w:t>)</w:t>
      </w:r>
    </w:p>
    <w:p w14:paraId="66E65057" w14:textId="0D5A5C82" w:rsidR="00F33A11" w:rsidRDefault="00F33A11" w:rsidP="002D7FC5">
      <w:pPr>
        <w:pStyle w:val="BoxTextBullet"/>
      </w:pPr>
      <w:r w:rsidRPr="00A13328">
        <w:t>establishing and maintaining lists of national high-priority exotic animal, plant and environmental pests and diseases, their pathways and biosecurity requirements</w:t>
      </w:r>
    </w:p>
    <w:p w14:paraId="41F4DBE8" w14:textId="60F71584" w:rsidR="00A13328" w:rsidRPr="00A13328" w:rsidRDefault="00A13328" w:rsidP="002D7FC5">
      <w:pPr>
        <w:pStyle w:val="BoxTextBullet"/>
      </w:pPr>
      <w:r w:rsidRPr="00A13328">
        <w:t>identifying requirements to ensure an effective national biosecurity capability is maintained</w:t>
      </w:r>
    </w:p>
    <w:p w14:paraId="69A53BBB" w14:textId="7912D8A1" w:rsidR="00A13328" w:rsidRPr="00A13328" w:rsidRDefault="00A13328" w:rsidP="002D7FC5">
      <w:pPr>
        <w:pStyle w:val="BoxTextBullet"/>
      </w:pPr>
      <w:r w:rsidRPr="00A13328">
        <w:t>agreeing principles underpinning biosecurity investment in the national interest</w:t>
      </w:r>
    </w:p>
    <w:p w14:paraId="56A882C4" w14:textId="3EDE9B90" w:rsidR="00F33A11" w:rsidRDefault="00F33A11" w:rsidP="002D7FC5">
      <w:pPr>
        <w:pStyle w:val="BoxTextBullet"/>
      </w:pPr>
      <w:r w:rsidRPr="00A13328">
        <w:t>fostering cooperation, collaborati</w:t>
      </w:r>
      <w:r w:rsidR="00EE6136">
        <w:t>o</w:t>
      </w:r>
      <w:r w:rsidRPr="00A13328">
        <w:t>n and consistency among</w:t>
      </w:r>
      <w:r w:rsidR="009359BC">
        <w:t xml:space="preserve"> all</w:t>
      </w:r>
      <w:r w:rsidR="00EE6136">
        <w:t xml:space="preserve"> </w:t>
      </w:r>
      <w:r w:rsidRPr="00A13328">
        <w:t>Australian governments</w:t>
      </w:r>
    </w:p>
    <w:p w14:paraId="02F156B8" w14:textId="77777777" w:rsidR="00A13328" w:rsidRPr="00A13328" w:rsidRDefault="00A13328" w:rsidP="002D7FC5">
      <w:pPr>
        <w:pStyle w:val="BoxTextBullet"/>
      </w:pPr>
      <w:r w:rsidRPr="00A13328">
        <w:t>jointly investing in an annual program of work to strengthen national biosecurity arrangements</w:t>
      </w:r>
    </w:p>
    <w:p w14:paraId="7F9885E4" w14:textId="77777777" w:rsidR="00A13328" w:rsidRPr="00A13328" w:rsidRDefault="00A13328" w:rsidP="002D7FC5">
      <w:pPr>
        <w:pStyle w:val="BoxTextBullet"/>
      </w:pPr>
      <w:r w:rsidRPr="00A13328">
        <w:t>establishing effective arrangements for the regular sharing of intelligence and performance information on the national biosecurity system</w:t>
      </w:r>
    </w:p>
    <w:p w14:paraId="7D39C1F6" w14:textId="77777777" w:rsidR="00A13328" w:rsidRPr="00A13328" w:rsidRDefault="00A13328" w:rsidP="002D7FC5">
      <w:pPr>
        <w:pStyle w:val="BoxTextBullet"/>
      </w:pPr>
      <w:r w:rsidRPr="00A13328">
        <w:t>fostering key biosecurity partnerships through effective engagement and communication with key industry and non-government stakeholders</w:t>
      </w:r>
    </w:p>
    <w:p w14:paraId="55F7FAD3" w14:textId="3AC8ECD7" w:rsidR="00A13328" w:rsidRPr="00A13328" w:rsidRDefault="00A13328" w:rsidP="002D7FC5">
      <w:pPr>
        <w:pStyle w:val="BoxTextBullet"/>
      </w:pPr>
      <w:r w:rsidRPr="00A13328">
        <w:t xml:space="preserve">promoting, supporting and encouraging </w:t>
      </w:r>
      <w:r w:rsidR="00F33A11" w:rsidRPr="00A13328">
        <w:t>invest</w:t>
      </w:r>
      <w:r w:rsidR="00F33A11">
        <w:t>ment</w:t>
      </w:r>
      <w:r w:rsidR="00F33A11" w:rsidRPr="00A13328">
        <w:t xml:space="preserve"> </w:t>
      </w:r>
      <w:r w:rsidRPr="00A13328">
        <w:t>in community</w:t>
      </w:r>
      <w:r w:rsidR="009359BC">
        <w:t>-</w:t>
      </w:r>
      <w:r w:rsidRPr="00A13328">
        <w:t>driven</w:t>
      </w:r>
      <w:r w:rsidR="00E07062">
        <w:t xml:space="preserve"> biosecurity</w:t>
      </w:r>
      <w:r w:rsidRPr="00A13328">
        <w:t xml:space="preserve"> action</w:t>
      </w:r>
      <w:r w:rsidR="00E07062">
        <w:t>s</w:t>
      </w:r>
    </w:p>
    <w:p w14:paraId="47C2B24A" w14:textId="0516124E" w:rsidR="00A13328" w:rsidRDefault="00A13328" w:rsidP="002D7FC5">
      <w:pPr>
        <w:pStyle w:val="BoxTextBullet"/>
      </w:pPr>
      <w:r w:rsidRPr="00A13328">
        <w:t>overseeing development of, and public reporting</w:t>
      </w:r>
      <w:r w:rsidR="00363C4E">
        <w:t xml:space="preserve"> against, a performance framework and measures for t</w:t>
      </w:r>
      <w:r w:rsidR="006F4985">
        <w:t>he national biosecurity system.</w:t>
      </w:r>
    </w:p>
    <w:p w14:paraId="766DE3AC" w14:textId="3751B015" w:rsidR="007E4094" w:rsidRPr="007E4094" w:rsidRDefault="007E4094" w:rsidP="002D7FC5">
      <w:pPr>
        <w:pStyle w:val="BoxText"/>
      </w:pPr>
      <w:r w:rsidRPr="007E4094">
        <w:t xml:space="preserve">The NBC is chaired by the Secretary of the Australian Government agriculture department. Membership comprises senior officials from </w:t>
      </w:r>
      <w:r w:rsidRPr="006F4985">
        <w:t>the Australian,</w:t>
      </w:r>
      <w:r w:rsidRPr="007E4094">
        <w:t xml:space="preserve"> state and territory and New Zealand primary industry and/or environment departments. Jurisdictions may have up to two representatives but bring a single, whole-of-government position to the committee on matters for resolution. The CEO of the Australian Local Government Association is also a member. P</w:t>
      </w:r>
      <w:r w:rsidR="006F4985">
        <w:t xml:space="preserve">lant </w:t>
      </w:r>
      <w:r w:rsidRPr="007E4094">
        <w:t>H</w:t>
      </w:r>
      <w:r w:rsidR="006F4985">
        <w:t xml:space="preserve">ealth </w:t>
      </w:r>
      <w:r w:rsidRPr="007E4094">
        <w:t>A</w:t>
      </w:r>
      <w:r w:rsidR="006F4985">
        <w:t>ustralia</w:t>
      </w:r>
      <w:r w:rsidRPr="007E4094">
        <w:t xml:space="preserve"> and A</w:t>
      </w:r>
      <w:r w:rsidR="006F4985">
        <w:t xml:space="preserve">nimal </w:t>
      </w:r>
      <w:r w:rsidRPr="007E4094">
        <w:t>H</w:t>
      </w:r>
      <w:r w:rsidR="006F4985">
        <w:t xml:space="preserve">ealth </w:t>
      </w:r>
      <w:r w:rsidRPr="007E4094">
        <w:t>A</w:t>
      </w:r>
      <w:r w:rsidR="006F4985">
        <w:t>ustralia</w:t>
      </w:r>
      <w:r w:rsidRPr="007E4094">
        <w:t xml:space="preserve"> are observers on the committee.</w:t>
      </w:r>
    </w:p>
    <w:p w14:paraId="70C4384A" w14:textId="02ADCF51" w:rsidR="007E4094" w:rsidRPr="007E4094" w:rsidRDefault="007E4094" w:rsidP="002D7FC5">
      <w:pPr>
        <w:pStyle w:val="BoxText"/>
      </w:pPr>
      <w:r w:rsidRPr="007E4094">
        <w:t xml:space="preserve">The </w:t>
      </w:r>
      <w:r w:rsidR="00307000">
        <w:t>NBC will establish sectoral sub</w:t>
      </w:r>
      <w:r w:rsidRPr="007E4094">
        <w:t>committees and</w:t>
      </w:r>
      <w:r w:rsidR="006F4985">
        <w:t>,</w:t>
      </w:r>
      <w:r w:rsidRPr="007E4094">
        <w:t xml:space="preserve"> from time to time</w:t>
      </w:r>
      <w:r w:rsidR="006F4985">
        <w:t>,</w:t>
      </w:r>
      <w:r w:rsidRPr="007E4094">
        <w:t xml:space="preserve"> will establish time-limited expert groups to facilitate effective operations. The NBC will task and monitor these </w:t>
      </w:r>
      <w:r w:rsidR="00F33A11">
        <w:t>sub</w:t>
      </w:r>
      <w:r w:rsidRPr="007E4094">
        <w:t>committees and subgroups.</w:t>
      </w:r>
    </w:p>
    <w:p w14:paraId="36E58EB0" w14:textId="77777777" w:rsidR="007E4094" w:rsidRDefault="007E4094" w:rsidP="007E4094"/>
    <w:p w14:paraId="097D02E4" w14:textId="77777777" w:rsidR="007E4094" w:rsidRPr="00C72264" w:rsidRDefault="007E4094" w:rsidP="00884FCC">
      <w:pPr>
        <w:pStyle w:val="BoxHeading"/>
        <w:shd w:val="clear" w:color="auto" w:fill="D9D9D9" w:themeFill="background1" w:themeFillShade="D9"/>
        <w:rPr>
          <w:sz w:val="22"/>
        </w:rPr>
      </w:pPr>
      <w:bookmarkStart w:id="134" w:name="_Ref482710024"/>
      <w:r w:rsidRPr="00C72264">
        <w:rPr>
          <w:sz w:val="22"/>
        </w:rPr>
        <w:t xml:space="preserve">Recommendation </w:t>
      </w:r>
      <w:r w:rsidR="00C72264" w:rsidRPr="00C72264">
        <w:rPr>
          <w:sz w:val="22"/>
        </w:rPr>
        <w:fldChar w:fldCharType="begin"/>
      </w:r>
      <w:r w:rsidR="00C72264" w:rsidRPr="00C72264">
        <w:rPr>
          <w:sz w:val="22"/>
        </w:rPr>
        <w:instrText xml:space="preserve"> SEQ Recommendation \* ARABIC </w:instrText>
      </w:r>
      <w:r w:rsidR="00C72264" w:rsidRPr="00C72264">
        <w:rPr>
          <w:sz w:val="22"/>
        </w:rPr>
        <w:fldChar w:fldCharType="separate"/>
      </w:r>
      <w:r w:rsidR="009F6923">
        <w:rPr>
          <w:noProof/>
          <w:sz w:val="22"/>
        </w:rPr>
        <w:t>18</w:t>
      </w:r>
      <w:r w:rsidR="00C72264" w:rsidRPr="00C72264">
        <w:rPr>
          <w:noProof/>
          <w:sz w:val="22"/>
        </w:rPr>
        <w:fldChar w:fldCharType="end"/>
      </w:r>
      <w:bookmarkEnd w:id="134"/>
    </w:p>
    <w:p w14:paraId="1DC5F1B2" w14:textId="3BA5A64A" w:rsidR="007E4094" w:rsidRPr="00C72264" w:rsidRDefault="007E4094" w:rsidP="00884FCC">
      <w:pPr>
        <w:pStyle w:val="BoxText"/>
        <w:shd w:val="clear" w:color="auto" w:fill="D9D9D9" w:themeFill="background1" w:themeFillShade="D9"/>
        <w:rPr>
          <w:sz w:val="22"/>
        </w:rPr>
      </w:pPr>
      <w:r w:rsidRPr="00C72264">
        <w:rPr>
          <w:sz w:val="22"/>
        </w:rPr>
        <w:lastRenderedPageBreak/>
        <w:t xml:space="preserve">First Ministers should formally authorise the NBC and articulate its </w:t>
      </w:r>
      <w:r w:rsidR="00043EC6">
        <w:rPr>
          <w:sz w:val="22"/>
        </w:rPr>
        <w:t>t</w:t>
      </w:r>
      <w:r w:rsidRPr="00C72264">
        <w:rPr>
          <w:sz w:val="22"/>
        </w:rPr>
        <w:t xml:space="preserve">erms of </w:t>
      </w:r>
      <w:r w:rsidR="00043EC6">
        <w:rPr>
          <w:sz w:val="22"/>
        </w:rPr>
        <w:t>r</w:t>
      </w:r>
      <w:r w:rsidRPr="00C72264">
        <w:rPr>
          <w:sz w:val="22"/>
        </w:rPr>
        <w:t>eference in IGAB2.</w:t>
      </w:r>
    </w:p>
    <w:p w14:paraId="24E49D3D" w14:textId="1BA39AB3" w:rsidR="007806CE" w:rsidRDefault="007E4094" w:rsidP="00884FCC">
      <w:pPr>
        <w:pStyle w:val="Heading4"/>
        <w:keepNext/>
      </w:pPr>
      <w:r>
        <w:t>M</w:t>
      </w:r>
      <w:r w:rsidR="007806CE">
        <w:t>embership</w:t>
      </w:r>
    </w:p>
    <w:p w14:paraId="373E24A8" w14:textId="18D6C65E" w:rsidR="007E4094" w:rsidRDefault="007E4094" w:rsidP="007E4094">
      <w:bookmarkStart w:id="135" w:name="_Toc467231871"/>
      <w:r>
        <w:t xml:space="preserve">Membership of the NBC is primarily made up of senior officers </w:t>
      </w:r>
      <w:r w:rsidRPr="00043EC6">
        <w:t>from Australian, state</w:t>
      </w:r>
      <w:r>
        <w:t xml:space="preserve"> and territory agriculture government agencies and some environment representatives; A</w:t>
      </w:r>
      <w:r w:rsidR="00043EC6">
        <w:t xml:space="preserve">nimal </w:t>
      </w:r>
      <w:r>
        <w:t>H</w:t>
      </w:r>
      <w:r w:rsidR="00043EC6">
        <w:t xml:space="preserve">ealth </w:t>
      </w:r>
      <w:r>
        <w:t>A</w:t>
      </w:r>
      <w:r w:rsidR="00043EC6">
        <w:t>ustralia (PHA)</w:t>
      </w:r>
      <w:r>
        <w:t xml:space="preserve"> and P</w:t>
      </w:r>
      <w:r w:rsidR="00043EC6">
        <w:t>lant Health Australia (P</w:t>
      </w:r>
      <w:r>
        <w:t>HA</w:t>
      </w:r>
      <w:r w:rsidR="00043EC6">
        <w:t>)</w:t>
      </w:r>
      <w:r>
        <w:t xml:space="preserve"> are observers. Not surprisingly, the views of agriculture agencies tend to dominate NBC discussions and there is a need to bring a more balanced set of views to national discussions on biosecurity.</w:t>
      </w:r>
    </w:p>
    <w:p w14:paraId="6611042A" w14:textId="6B78BF56" w:rsidR="007E4094" w:rsidRDefault="007E4094" w:rsidP="007E4094">
      <w:r>
        <w:t xml:space="preserve">The IGAB and the NBC </w:t>
      </w:r>
      <w:r w:rsidR="00A55C2C">
        <w:t>do not have</w:t>
      </w:r>
      <w:r>
        <w:t xml:space="preserve"> local government </w:t>
      </w:r>
      <w:r w:rsidR="00A55C2C">
        <w:t>as</w:t>
      </w:r>
      <w:r>
        <w:t xml:space="preserve"> a party to the arrangements. Given local government’s role in biosecurity and the increasing risk from peri-urban activities, formal involvement would provide for a more inclusive structure. The expertise and support of local governments could be better recognised and utilised</w:t>
      </w:r>
      <w:r w:rsidR="0047079B">
        <w:t xml:space="preserve"> by other levels of government.</w:t>
      </w:r>
    </w:p>
    <w:p w14:paraId="35D9B5DF" w14:textId="152E8ACC" w:rsidR="007E4094" w:rsidRDefault="007E4094" w:rsidP="007E4094">
      <w:r>
        <w:t xml:space="preserve">Accordingly, the </w:t>
      </w:r>
      <w:r w:rsidR="00043EC6">
        <w:t>p</w:t>
      </w:r>
      <w:r>
        <w:t>anel recommends the NBC include the CEO of the Australian Local Government Association (ALGA). Separately, governments may also wish to consider the representation of local government at AGSOC and AGMIN—the ALGA is already represented on COAG, COAG councils and other intergovernmental fora, including in the areas of t</w:t>
      </w:r>
      <w:r w:rsidRPr="007C6F03">
        <w:t xml:space="preserve">ransport and </w:t>
      </w:r>
      <w:r>
        <w:t>i</w:t>
      </w:r>
      <w:r w:rsidRPr="007C6F03">
        <w:t>nfrastructure</w:t>
      </w:r>
      <w:r>
        <w:t>, disability reform, l</w:t>
      </w:r>
      <w:r w:rsidRPr="007C6F03">
        <w:t xml:space="preserve">aw, </w:t>
      </w:r>
      <w:r>
        <w:t>c</w:t>
      </w:r>
      <w:r w:rsidRPr="007C6F03">
        <w:t xml:space="preserve">rime and </w:t>
      </w:r>
      <w:r>
        <w:t>c</w:t>
      </w:r>
      <w:r w:rsidRPr="007C6F03">
        <w:t>om</w:t>
      </w:r>
      <w:r>
        <w:t>munity safety.</w:t>
      </w:r>
    </w:p>
    <w:p w14:paraId="7C22F417" w14:textId="3CAACFB3" w:rsidR="007E4094" w:rsidRPr="008578E7" w:rsidRDefault="007E4094" w:rsidP="007E4094">
      <w:r w:rsidRPr="00E5066D">
        <w:t xml:space="preserve">Since the release of the </w:t>
      </w:r>
      <w:r w:rsidR="00610CA5">
        <w:t xml:space="preserve">IGAB </w:t>
      </w:r>
      <w:r w:rsidR="003C28A9">
        <w:t>review d</w:t>
      </w:r>
      <w:r w:rsidR="00610CA5">
        <w:t xml:space="preserve">raft </w:t>
      </w:r>
      <w:r w:rsidR="003C28A9">
        <w:t>r</w:t>
      </w:r>
      <w:r w:rsidR="00610CA5">
        <w:t>eport</w:t>
      </w:r>
      <w:r w:rsidRPr="00E5066D">
        <w:t xml:space="preserve">, </w:t>
      </w:r>
      <w:r>
        <w:t xml:space="preserve">the </w:t>
      </w:r>
      <w:r w:rsidRPr="00E5066D">
        <w:t>New Zealand Government is now represented on the NBC. This is a positive step and will help strengthen the existing Trans-Tasman partnership in biosecurity. As the New Zealand Government is already represented on AGSOC and AGMIN</w:t>
      </w:r>
      <w:r>
        <w:t xml:space="preserve">, any </w:t>
      </w:r>
      <w:r w:rsidRPr="008578E7">
        <w:t>trade</w:t>
      </w:r>
      <w:r w:rsidR="00931EC0">
        <w:t>-</w:t>
      </w:r>
      <w:r w:rsidRPr="008578E7">
        <w:t>sensitive matters could similarly be managed by NBC.</w:t>
      </w:r>
    </w:p>
    <w:p w14:paraId="4C25B9DD" w14:textId="645C43CF" w:rsidR="006B6AC1" w:rsidRPr="006B6AC1" w:rsidRDefault="007E4094" w:rsidP="006B6AC1">
      <w:pPr>
        <w:pStyle w:val="CommentText"/>
        <w:rPr>
          <w:sz w:val="22"/>
          <w:szCs w:val="22"/>
        </w:rPr>
      </w:pPr>
      <w:r w:rsidRPr="006B6AC1">
        <w:rPr>
          <w:sz w:val="22"/>
          <w:szCs w:val="22"/>
        </w:rPr>
        <w:t xml:space="preserve">Finally, the </w:t>
      </w:r>
      <w:r w:rsidR="00931EC0">
        <w:rPr>
          <w:sz w:val="22"/>
          <w:szCs w:val="22"/>
        </w:rPr>
        <w:t>p</w:t>
      </w:r>
      <w:r w:rsidRPr="006B6AC1">
        <w:rPr>
          <w:sz w:val="22"/>
          <w:szCs w:val="22"/>
        </w:rPr>
        <w:t xml:space="preserve">anel considers that AHA and PHA’s observer status should be maintained. These companies were established primarily to act as an interface, and help </w:t>
      </w:r>
      <w:r w:rsidR="00931EC0">
        <w:rPr>
          <w:sz w:val="22"/>
          <w:szCs w:val="22"/>
        </w:rPr>
        <w:t xml:space="preserve">to </w:t>
      </w:r>
      <w:r w:rsidRPr="006B6AC1">
        <w:rPr>
          <w:sz w:val="22"/>
          <w:szCs w:val="22"/>
        </w:rPr>
        <w:t xml:space="preserve">build partnerships, between government and industry. The </w:t>
      </w:r>
      <w:r w:rsidR="00931EC0">
        <w:rPr>
          <w:sz w:val="22"/>
          <w:szCs w:val="22"/>
        </w:rPr>
        <w:t>p</w:t>
      </w:r>
      <w:r w:rsidRPr="006B6AC1">
        <w:rPr>
          <w:sz w:val="22"/>
          <w:szCs w:val="22"/>
        </w:rPr>
        <w:t xml:space="preserve">anel met with </w:t>
      </w:r>
      <w:r w:rsidR="009217CF">
        <w:rPr>
          <w:sz w:val="22"/>
          <w:szCs w:val="22"/>
        </w:rPr>
        <w:t xml:space="preserve">the </w:t>
      </w:r>
      <w:r w:rsidRPr="006B6AC1">
        <w:rPr>
          <w:sz w:val="22"/>
          <w:szCs w:val="22"/>
        </w:rPr>
        <w:t>NBC on sev</w:t>
      </w:r>
      <w:r w:rsidR="00C97AC4">
        <w:rPr>
          <w:sz w:val="22"/>
          <w:szCs w:val="22"/>
        </w:rPr>
        <w:t xml:space="preserve">eral occasions as part of this </w:t>
      </w:r>
      <w:r w:rsidR="00931EC0">
        <w:rPr>
          <w:sz w:val="22"/>
          <w:szCs w:val="22"/>
        </w:rPr>
        <w:t>r</w:t>
      </w:r>
      <w:r w:rsidRPr="006B6AC1">
        <w:rPr>
          <w:sz w:val="22"/>
          <w:szCs w:val="22"/>
        </w:rPr>
        <w:t xml:space="preserve">eview and observed </w:t>
      </w:r>
      <w:r w:rsidR="00931EC0">
        <w:rPr>
          <w:sz w:val="22"/>
          <w:szCs w:val="22"/>
        </w:rPr>
        <w:t xml:space="preserve">that the </w:t>
      </w:r>
      <w:r w:rsidRPr="006B6AC1">
        <w:rPr>
          <w:sz w:val="22"/>
          <w:szCs w:val="22"/>
        </w:rPr>
        <w:t>NBC’s positive culture and meeting protocols provide ample opportunity for AHA</w:t>
      </w:r>
      <w:r w:rsidR="00931EC0">
        <w:rPr>
          <w:sz w:val="22"/>
          <w:szCs w:val="22"/>
        </w:rPr>
        <w:t xml:space="preserve"> and PHA to input to its policy-</w:t>
      </w:r>
      <w:r w:rsidRPr="006B6AC1">
        <w:rPr>
          <w:sz w:val="22"/>
          <w:szCs w:val="22"/>
        </w:rPr>
        <w:t>setting and decision-making processes.</w:t>
      </w:r>
      <w:r w:rsidR="00310D1E" w:rsidRPr="006B6AC1">
        <w:rPr>
          <w:sz w:val="22"/>
          <w:szCs w:val="22"/>
        </w:rPr>
        <w:t xml:space="preserve"> </w:t>
      </w:r>
      <w:r w:rsidR="006B6AC1">
        <w:rPr>
          <w:sz w:val="22"/>
          <w:szCs w:val="22"/>
        </w:rPr>
        <w:t>Should</w:t>
      </w:r>
      <w:r w:rsidR="006B6AC1" w:rsidRPr="006B6AC1">
        <w:rPr>
          <w:sz w:val="22"/>
          <w:szCs w:val="22"/>
        </w:rPr>
        <w:t xml:space="preserve"> an equivalent env</w:t>
      </w:r>
      <w:r w:rsidR="006B6AC1">
        <w:rPr>
          <w:sz w:val="22"/>
          <w:szCs w:val="22"/>
        </w:rPr>
        <w:t>ironment</w:t>
      </w:r>
      <w:r w:rsidR="006B6AC1" w:rsidRPr="006B6AC1">
        <w:rPr>
          <w:sz w:val="22"/>
          <w:szCs w:val="22"/>
        </w:rPr>
        <w:t xml:space="preserve"> </w:t>
      </w:r>
      <w:r w:rsidR="006B6AC1">
        <w:rPr>
          <w:sz w:val="22"/>
          <w:szCs w:val="22"/>
        </w:rPr>
        <w:t xml:space="preserve">body to AHA/PHA be established in the future, </w:t>
      </w:r>
      <w:r w:rsidR="006B6AC1" w:rsidRPr="006B6AC1">
        <w:rPr>
          <w:sz w:val="22"/>
          <w:szCs w:val="22"/>
        </w:rPr>
        <w:t xml:space="preserve">it too should </w:t>
      </w:r>
      <w:r w:rsidR="006B6AC1">
        <w:rPr>
          <w:sz w:val="22"/>
          <w:szCs w:val="22"/>
        </w:rPr>
        <w:t>be afforded</w:t>
      </w:r>
      <w:r w:rsidR="006B6AC1" w:rsidRPr="006B6AC1">
        <w:rPr>
          <w:sz w:val="22"/>
          <w:szCs w:val="22"/>
        </w:rPr>
        <w:t xml:space="preserve"> observer status on NBC</w:t>
      </w:r>
      <w:r w:rsidR="006B6AC1">
        <w:rPr>
          <w:sz w:val="22"/>
          <w:szCs w:val="22"/>
        </w:rPr>
        <w:t>.</w:t>
      </w:r>
    </w:p>
    <w:p w14:paraId="3B43A100" w14:textId="77777777" w:rsidR="007E4094" w:rsidRPr="00BF1390" w:rsidRDefault="007E4094" w:rsidP="007E4094">
      <w:pPr>
        <w:pStyle w:val="BoxHeading"/>
        <w:shd w:val="clear" w:color="auto" w:fill="D9D9D9" w:themeFill="background1" w:themeFillShade="D9"/>
        <w:rPr>
          <w:sz w:val="22"/>
        </w:rPr>
      </w:pPr>
      <w:bookmarkStart w:id="136" w:name="_Ref482710044"/>
      <w:bookmarkEnd w:id="135"/>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19</w:t>
      </w:r>
      <w:r w:rsidR="00C72264" w:rsidRPr="00BF1390">
        <w:rPr>
          <w:noProof/>
          <w:sz w:val="22"/>
        </w:rPr>
        <w:fldChar w:fldCharType="end"/>
      </w:r>
      <w:bookmarkEnd w:id="136"/>
    </w:p>
    <w:p w14:paraId="3016AD34" w14:textId="77777777" w:rsidR="007E4094" w:rsidRPr="00BF1390" w:rsidRDefault="007E4094" w:rsidP="007E4094">
      <w:pPr>
        <w:pStyle w:val="BoxText"/>
        <w:shd w:val="clear" w:color="auto" w:fill="D9D9D9" w:themeFill="background1" w:themeFillShade="D9"/>
        <w:rPr>
          <w:sz w:val="22"/>
        </w:rPr>
      </w:pPr>
      <w:r w:rsidRPr="00BF1390">
        <w:rPr>
          <w:sz w:val="22"/>
        </w:rPr>
        <w:t>The NBC should include the CEO of the Australian Local Government Association.</w:t>
      </w:r>
    </w:p>
    <w:p w14:paraId="4E4EF75B" w14:textId="77777777" w:rsidR="00A77170" w:rsidRDefault="00A77170" w:rsidP="00257F9C">
      <w:pPr>
        <w:pStyle w:val="Heading4"/>
        <w:keepNext/>
      </w:pPr>
      <w:r>
        <w:lastRenderedPageBreak/>
        <w:t>Committee structure</w:t>
      </w:r>
    </w:p>
    <w:p w14:paraId="039D8271" w14:textId="796556B3" w:rsidR="00A13328" w:rsidRPr="00A13328" w:rsidRDefault="00A13328" w:rsidP="00A13328">
      <w:r w:rsidRPr="00A13328">
        <w:t>The NBC is supported by an ext</w:t>
      </w:r>
      <w:r w:rsidR="00307000">
        <w:t>ensive array of committees, sub</w:t>
      </w:r>
      <w:r w:rsidRPr="00A13328">
        <w:t>committees and working groups (</w:t>
      </w:r>
      <w:r w:rsidR="00535236">
        <w:fldChar w:fldCharType="begin"/>
      </w:r>
      <w:r w:rsidR="00535236">
        <w:instrText xml:space="preserve"> REF _Ref482181630 \h </w:instrText>
      </w:r>
      <w:r w:rsidR="00535236">
        <w:fldChar w:fldCharType="separate"/>
      </w:r>
      <w:r w:rsidR="009F6923">
        <w:t xml:space="preserve">Figure </w:t>
      </w:r>
      <w:r w:rsidR="009F6923">
        <w:rPr>
          <w:noProof/>
        </w:rPr>
        <w:t>7</w:t>
      </w:r>
      <w:r w:rsidR="00535236">
        <w:fldChar w:fldCharType="end"/>
      </w:r>
      <w:r w:rsidRPr="00A13328">
        <w:t xml:space="preserve">), noting its structure has been reviewed and adjusted at various points in the past. In total, there are currently </w:t>
      </w:r>
      <w:r w:rsidR="00931EC0">
        <w:t>thirty-three</w:t>
      </w:r>
      <w:r w:rsidRPr="00A13328">
        <w:t xml:space="preserve"> sub</w:t>
      </w:r>
      <w:r w:rsidR="00931EC0">
        <w:t>-</w:t>
      </w:r>
      <w:r w:rsidRPr="00A13328">
        <w:t>entities, comprising:</w:t>
      </w:r>
    </w:p>
    <w:p w14:paraId="33D976CF" w14:textId="7396E6E6" w:rsidR="005F7220" w:rsidRDefault="003A4CBE" w:rsidP="005F7220">
      <w:pPr>
        <w:pStyle w:val="ListBullet"/>
        <w:keepNext/>
      </w:pPr>
      <w:r>
        <w:t>f</w:t>
      </w:r>
      <w:r w:rsidR="005F7220">
        <w:t>our primary sectoral committees—</w:t>
      </w:r>
      <w:r>
        <w:t xml:space="preserve">the </w:t>
      </w:r>
      <w:r w:rsidR="005F7220">
        <w:t>A</w:t>
      </w:r>
      <w:r>
        <w:t xml:space="preserve">nimal </w:t>
      </w:r>
      <w:r w:rsidR="005F7220">
        <w:t>H</w:t>
      </w:r>
      <w:r>
        <w:t xml:space="preserve">ealth </w:t>
      </w:r>
      <w:r w:rsidR="005F7220">
        <w:t>C</w:t>
      </w:r>
      <w:r>
        <w:t>ommittee (AHC)</w:t>
      </w:r>
      <w:r w:rsidR="005F7220">
        <w:t xml:space="preserve">, </w:t>
      </w:r>
      <w:r>
        <w:t xml:space="preserve">the </w:t>
      </w:r>
      <w:r w:rsidR="005F7220">
        <w:t>P</w:t>
      </w:r>
      <w:r>
        <w:t xml:space="preserve">lant </w:t>
      </w:r>
      <w:r w:rsidR="005F7220">
        <w:t>H</w:t>
      </w:r>
      <w:r>
        <w:t>ealth Committee (PHC)</w:t>
      </w:r>
      <w:r w:rsidR="005F7220">
        <w:t xml:space="preserve">, </w:t>
      </w:r>
      <w:r>
        <w:t xml:space="preserve">the </w:t>
      </w:r>
      <w:r w:rsidR="005F7220" w:rsidRPr="006072E1">
        <w:t>M</w:t>
      </w:r>
      <w:r>
        <w:t xml:space="preserve">arine </w:t>
      </w:r>
      <w:r w:rsidR="005F7220" w:rsidRPr="006072E1">
        <w:t>P</w:t>
      </w:r>
      <w:r>
        <w:t>est Sectoral Committee (MP</w:t>
      </w:r>
      <w:r w:rsidR="005F7220" w:rsidRPr="006072E1">
        <w:t>SC</w:t>
      </w:r>
      <w:r>
        <w:t>)</w:t>
      </w:r>
      <w:r w:rsidR="005F7220">
        <w:t xml:space="preserve"> and </w:t>
      </w:r>
      <w:r>
        <w:t>the Invasive Plants and Animals Committee (</w:t>
      </w:r>
      <w:r w:rsidR="005F7220">
        <w:t>IPAC</w:t>
      </w:r>
      <w:r>
        <w:t>)</w:t>
      </w:r>
      <w:r w:rsidR="005F7220">
        <w:t xml:space="preserve">. These committees are supported by a further </w:t>
      </w:r>
      <w:r w:rsidR="00396131">
        <w:t>twenty-three</w:t>
      </w:r>
      <w:r w:rsidR="00307000">
        <w:t xml:space="preserve"> sub</w:t>
      </w:r>
      <w:r w:rsidR="005F7220">
        <w:t>committees, working groups and expert groups. The AHC and PHC existed prior to NBC’s establishment and retain broader responsibilities. For example, the AHC has responsibility for and undertakes work on animal welfare, antimicrobial resistance, international trade standards and veterinary public health</w:t>
      </w:r>
      <w:r>
        <w:t>, including food safety</w:t>
      </w:r>
    </w:p>
    <w:p w14:paraId="38AFA4B0" w14:textId="521D44E4" w:rsidR="005F7220" w:rsidRDefault="003A117D" w:rsidP="005F7220">
      <w:pPr>
        <w:pStyle w:val="ListBullet"/>
      </w:pPr>
      <w:r>
        <w:t xml:space="preserve">two </w:t>
      </w:r>
      <w:r w:rsidR="005F7220">
        <w:t>cross-system expert groups—the National Biosecurity Emergency Preparedness Expert Group (supported by a further three task groups) and the National Biosecurity Info</w:t>
      </w:r>
      <w:r w:rsidR="003A4CBE">
        <w:t>rmation Governance Expert Group</w:t>
      </w:r>
    </w:p>
    <w:p w14:paraId="454DC456" w14:textId="5677CF2D" w:rsidR="005F7220" w:rsidRDefault="003A4CBE" w:rsidP="005F7220">
      <w:pPr>
        <w:pStyle w:val="ListBullet"/>
      </w:pPr>
      <w:r>
        <w:t>o</w:t>
      </w:r>
      <w:r w:rsidR="005F7220">
        <w:t>ne committee that operates in the event of a biosecurity response—the Biosecurity Incident National Communication Network.</w:t>
      </w:r>
    </w:p>
    <w:p w14:paraId="1A6BAC4B" w14:textId="0F5024BB" w:rsidR="005F7220" w:rsidRDefault="005F7220" w:rsidP="005F7220">
      <w:bookmarkStart w:id="137" w:name="_Toc467231873"/>
      <w:r>
        <w:t xml:space="preserve">In addition, two related groups are established under the emergency response deeds (that is, </w:t>
      </w:r>
      <w:r w:rsidR="003A4CBE">
        <w:t xml:space="preserve">the </w:t>
      </w:r>
      <w:r>
        <w:t>E</w:t>
      </w:r>
      <w:r w:rsidR="003A4CBE">
        <w:t xml:space="preserve">mergency </w:t>
      </w:r>
      <w:r>
        <w:t>A</w:t>
      </w:r>
      <w:r w:rsidR="003A4CBE">
        <w:t xml:space="preserve">nimal </w:t>
      </w:r>
      <w:r>
        <w:t>D</w:t>
      </w:r>
      <w:r w:rsidR="003A4CBE">
        <w:t xml:space="preserve">isease </w:t>
      </w:r>
      <w:r>
        <w:t>R</w:t>
      </w:r>
      <w:r w:rsidR="003A4CBE">
        <w:t xml:space="preserve">esponse </w:t>
      </w:r>
      <w:r>
        <w:t>A</w:t>
      </w:r>
      <w:r w:rsidR="003A4CBE">
        <w:t>greement (EADRA)</w:t>
      </w:r>
      <w:r>
        <w:t xml:space="preserve">, </w:t>
      </w:r>
      <w:r w:rsidR="003A4CBE">
        <w:t>the Emergency Plant Pest Response Deed (</w:t>
      </w:r>
      <w:r>
        <w:t>EPPRD</w:t>
      </w:r>
      <w:r w:rsidR="003A4CBE">
        <w:t>)</w:t>
      </w:r>
      <w:r>
        <w:t xml:space="preserve"> and </w:t>
      </w:r>
      <w:r w:rsidR="007F107A">
        <w:t xml:space="preserve">the </w:t>
      </w:r>
      <w:r w:rsidR="003A4CBE">
        <w:t>National Environmental Biosecurity Response Agreement (</w:t>
      </w:r>
      <w:r>
        <w:t>NEBRA)</w:t>
      </w:r>
      <w:r w:rsidR="003A4CBE">
        <w:t>)</w:t>
      </w:r>
      <w:r>
        <w:t xml:space="preserve"> in the event of an emergency response. These are the National Management Group (EADRA and EPPRD) and the National Biosecurity Management Group (NEBRA). A key role of these groups is to make a determination on the feasibility and cost-effectiveness of eradicating an exotic pest or disease incursion. Membership includes senior representatives from Australian governments, affected industries and (for EADRA and EPPRD only)</w:t>
      </w:r>
      <w:r w:rsidR="0047079B">
        <w:t xml:space="preserve"> deed custodians (AHA and PHA).</w:t>
      </w:r>
    </w:p>
    <w:p w14:paraId="2FBD8320" w14:textId="6462E35B" w:rsidR="005F7220" w:rsidRDefault="005F7220" w:rsidP="005F7220">
      <w:r w:rsidRPr="001A2109">
        <w:t>As there is no function</w:t>
      </w:r>
      <w:r>
        <w:t>al</w:t>
      </w:r>
      <w:r w:rsidRPr="001A2109">
        <w:t xml:space="preserve"> difference between the two management groups</w:t>
      </w:r>
      <w:r w:rsidR="003A4CBE">
        <w:t>,</w:t>
      </w:r>
      <w:r w:rsidRPr="001A2109">
        <w:t xml:space="preserve"> the </w:t>
      </w:r>
      <w:r w:rsidR="003A4CBE">
        <w:t>p</w:t>
      </w:r>
      <w:r w:rsidRPr="001A2109">
        <w:t xml:space="preserve">anel </w:t>
      </w:r>
      <w:r>
        <w:t xml:space="preserve">suggests a ‘National Management Group’ should be established by all deeds. The </w:t>
      </w:r>
      <w:r w:rsidR="003A4CBE">
        <w:t>p</w:t>
      </w:r>
      <w:r>
        <w:t xml:space="preserve">anel recognises this is largely a cosmetic change but is required given </w:t>
      </w:r>
      <w:r w:rsidR="003A4CBE">
        <w:t xml:space="preserve">that </w:t>
      </w:r>
      <w:r>
        <w:t xml:space="preserve">the Australian Government Organisations Register (Australian Government </w:t>
      </w:r>
      <w:r w:rsidR="002F474E">
        <w:t>finance d</w:t>
      </w:r>
      <w:r>
        <w:t xml:space="preserve">epartment) formally recognises </w:t>
      </w:r>
      <w:r w:rsidR="00007F47">
        <w:t xml:space="preserve">the </w:t>
      </w:r>
      <w:r>
        <w:t>two existing bodies.</w:t>
      </w:r>
    </w:p>
    <w:p w14:paraId="5B6469DB" w14:textId="40D01D3F" w:rsidR="00A13328" w:rsidRPr="00A13328" w:rsidRDefault="00A13328" w:rsidP="00A13328">
      <w:pPr>
        <w:sectPr w:rsidR="00A13328" w:rsidRPr="00A13328" w:rsidSect="00D5342A">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418" w:left="1418" w:header="567" w:footer="283" w:gutter="0"/>
          <w:cols w:space="708"/>
          <w:docGrid w:linePitch="360"/>
        </w:sectPr>
      </w:pPr>
      <w:r w:rsidRPr="00A13328">
        <w:t xml:space="preserve">To an outsider, the logic of the structure is far from immediately apparent and appears to be a legacy of history. The </w:t>
      </w:r>
      <w:r w:rsidR="003A4CBE">
        <w:t>p</w:t>
      </w:r>
      <w:r w:rsidRPr="00A13328">
        <w:t>anel suggests that</w:t>
      </w:r>
      <w:r w:rsidR="003A4CBE">
        <w:t>,</w:t>
      </w:r>
      <w:r w:rsidRPr="00A13328">
        <w:t xml:space="preserve"> if </w:t>
      </w:r>
      <w:r w:rsidR="003A4CBE">
        <w:t xml:space="preserve">the </w:t>
      </w:r>
      <w:r w:rsidRPr="00A13328">
        <w:t>NBC reviews the structure at some future date</w:t>
      </w:r>
      <w:r w:rsidR="003A4CBE">
        <w:t>,</w:t>
      </w:r>
      <w:r w:rsidRPr="00A13328">
        <w:t xml:space="preserve"> it </w:t>
      </w:r>
      <w:r w:rsidR="003A4CBE">
        <w:t xml:space="preserve">should </w:t>
      </w:r>
      <w:r w:rsidRPr="00A13328">
        <w:t xml:space="preserve">consider </w:t>
      </w:r>
      <w:r w:rsidR="00E07062">
        <w:t>the most app</w:t>
      </w:r>
      <w:r w:rsidRPr="00A13328">
        <w:t>ropriate underpinning basis.</w:t>
      </w:r>
    </w:p>
    <w:p w14:paraId="25C6C621" w14:textId="6B7B08C6" w:rsidR="0019310B" w:rsidRDefault="0019310B" w:rsidP="0019310B">
      <w:pPr>
        <w:pStyle w:val="Caption"/>
        <w:ind w:left="-284"/>
      </w:pPr>
      <w:bookmarkStart w:id="138" w:name="_Ref482181630"/>
      <w:r>
        <w:lastRenderedPageBreak/>
        <w:t xml:space="preserve">Figure </w:t>
      </w:r>
      <w:fldSimple w:instr=" SEQ Figure \* ARABIC ">
        <w:r w:rsidR="009F6923">
          <w:rPr>
            <w:noProof/>
          </w:rPr>
          <w:t>7</w:t>
        </w:r>
      </w:fldSimple>
      <w:bookmarkEnd w:id="138"/>
      <w:r>
        <w:t xml:space="preserve"> Current IGAB and related governance arrangements</w:t>
      </w:r>
    </w:p>
    <w:p w14:paraId="763E0B44" w14:textId="0CE60071" w:rsidR="005F7220" w:rsidRDefault="005F7220" w:rsidP="00AD72C1">
      <w:pPr>
        <w:pStyle w:val="Picture"/>
        <w:ind w:left="-284"/>
      </w:pPr>
      <w:r>
        <w:drawing>
          <wp:inline distT="0" distB="0" distL="0" distR="0" wp14:anchorId="72ADF7D4" wp14:editId="29AD9A7B">
            <wp:extent cx="9137737" cy="5145430"/>
            <wp:effectExtent l="0" t="0" r="6350" b="0"/>
            <wp:docPr id="5" name="Picture 5" descr="Shows the National Biosecurity Committee’s (NBC) reporting lines and underlying sub-committee structure. The NBC reports to the Agriculture Senior Officials Committee (AGSOC), which reports to the Agriculture Ministers’ Forum (AGMIN). The NBC is currently supported by 4 primary sectoral committees, the Animal, Plant, Marine Pest, and Invasive Plants &amp; Animals committees. These committees are supported by various sub-committees (4 in total), and specialist task or working groups (19 in total). In addition, the NBC has 2 cross-system expert groups, related to emergency preparedness and information governance. The emergency preparedness expert group is supported by an additional 3 task groups. In addition, 1 committee, the Biosecurity Incident National Communication Network, operates in the event of an emergency response. In sum, the NBC is supported by a total of 33 subentities. The National Management Group and National Biosecurity Management Group are established under the respective emergency response deeds, not the NBC. They are shown on the illustration due to their relationship to NBC governance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65562" cy="5161098"/>
                    </a:xfrm>
                    <a:prstGeom prst="rect">
                      <a:avLst/>
                    </a:prstGeom>
                    <a:noFill/>
                  </pic:spPr>
                </pic:pic>
              </a:graphicData>
            </a:graphic>
          </wp:inline>
        </w:drawing>
      </w:r>
    </w:p>
    <w:p w14:paraId="5CB7E133" w14:textId="1E5B97FB" w:rsidR="00DB4B8D" w:rsidRDefault="00F22015" w:rsidP="00F22015">
      <w:pPr>
        <w:pStyle w:val="FigureTableNoteSource"/>
        <w:ind w:left="-284"/>
        <w:sectPr w:rsidR="00DB4B8D" w:rsidSect="00DB4B8D">
          <w:headerReference w:type="even" r:id="rId59"/>
          <w:headerReference w:type="default" r:id="rId60"/>
          <w:footerReference w:type="even" r:id="rId61"/>
          <w:footerReference w:type="default" r:id="rId62"/>
          <w:headerReference w:type="first" r:id="rId63"/>
          <w:footerReference w:type="first" r:id="rId64"/>
          <w:pgSz w:w="16838" w:h="11906" w:orient="landscape"/>
          <w:pgMar w:top="1418" w:right="1418" w:bottom="1418" w:left="1418" w:header="567" w:footer="283" w:gutter="0"/>
          <w:cols w:space="708"/>
          <w:docGrid w:linePitch="360"/>
        </w:sectPr>
      </w:pPr>
      <w:r>
        <w:t>EADRA: the Emergency Animal Disease Response Agreement; EPPRD: the Emergency Plant Pest Response Deed; NEBRA: the National Environmental Biosecurity Response Agreement.</w:t>
      </w:r>
    </w:p>
    <w:bookmarkEnd w:id="137"/>
    <w:p w14:paraId="38B64FA3" w14:textId="498AC10E" w:rsidR="005F7220" w:rsidRPr="005F7220" w:rsidRDefault="005F7220" w:rsidP="005F7220">
      <w:r w:rsidRPr="005F7220">
        <w:lastRenderedPageBreak/>
        <w:t>The Australi</w:t>
      </w:r>
      <w:r w:rsidR="00AF541F">
        <w:t>an Government suggests (sub. DP</w:t>
      </w:r>
      <w:r w:rsidRPr="005F7220">
        <w:t>65) there could be better coordination and linkages between the committees and subcommittees to ensure greater transparency, sharing of information</w:t>
      </w:r>
      <w:r w:rsidR="00F22015">
        <w:t xml:space="preserve"> and</w:t>
      </w:r>
      <w:r w:rsidRPr="005F7220">
        <w:t xml:space="preserve"> cross-sectoral utilisation of the work of the committees</w:t>
      </w:r>
      <w:r w:rsidR="00A03971">
        <w:t>—</w:t>
      </w:r>
      <w:r w:rsidRPr="005F7220">
        <w:t xml:space="preserve">and the </w:t>
      </w:r>
      <w:r w:rsidR="00F22015">
        <w:t>p</w:t>
      </w:r>
      <w:r w:rsidRPr="005F7220">
        <w:t>anel agrees. In addition, the existing committee structure does not provide clarity about which committee is responsible for specific issues. For example, it is unclear which committee should deal with new pests or established pests</w:t>
      </w:r>
      <w:r w:rsidR="003A117D">
        <w:t>,</w:t>
      </w:r>
      <w:r w:rsidR="00F22015">
        <w:t xml:space="preserve"> </w:t>
      </w:r>
      <w:r w:rsidRPr="005F7220">
        <w:t>plant</w:t>
      </w:r>
      <w:r w:rsidR="003A117D">
        <w:t xml:space="preserve"> pest</w:t>
      </w:r>
      <w:r w:rsidRPr="005F7220">
        <w:t xml:space="preserve">s versus pests that are plants, and which committees should deal with environmental issues </w:t>
      </w:r>
      <w:r w:rsidRPr="00FF7313">
        <w:t>(</w:t>
      </w:r>
      <w:hyperlink w:anchor="_Stronger_Environmental_biosecurity" w:history="1">
        <w:r w:rsidRPr="00FF7313">
          <w:rPr>
            <w:rStyle w:val="Hyperlink"/>
          </w:rPr>
          <w:t>Chapter 4</w:t>
        </w:r>
      </w:hyperlink>
      <w:r w:rsidRPr="00FF7313">
        <w:t>).</w:t>
      </w:r>
      <w:r w:rsidRPr="005F7220">
        <w:t xml:space="preserve"> Further, as previously identified, two of NBC’s sectoral committees have broader responsibilities than biosecurity which only adds to the definitional issues that exist around biosecurity—when non-biosecurity activities fall under the umbrella of the NBC.</w:t>
      </w:r>
    </w:p>
    <w:p w14:paraId="4519F69C" w14:textId="4A19B75E" w:rsidR="005F7220" w:rsidRPr="005F7220" w:rsidRDefault="00F22015" w:rsidP="005F7220">
      <w:r>
        <w:t>As a consequence, the p</w:t>
      </w:r>
      <w:r w:rsidR="00A13328" w:rsidRPr="001B2130">
        <w:t xml:space="preserve">anel recommends </w:t>
      </w:r>
      <w:r w:rsidR="00A13328">
        <w:t>that NBC’s sectoral committees should have a clear and transparent division and articulation of pest and disease risk responsibilities</w:t>
      </w:r>
      <w:r w:rsidR="00535236">
        <w:t xml:space="preserve"> </w:t>
      </w:r>
      <w:r w:rsidR="0021150E">
        <w:t>(</w:t>
      </w:r>
      <w:r w:rsidR="00535236">
        <w:fldChar w:fldCharType="begin"/>
      </w:r>
      <w:r w:rsidR="00535236">
        <w:instrText xml:space="preserve"> REF _Ref482181270 \h </w:instrText>
      </w:r>
      <w:r w:rsidR="00535236">
        <w:fldChar w:fldCharType="separate"/>
      </w:r>
      <w:r w:rsidR="009F6923">
        <w:t xml:space="preserve">Table </w:t>
      </w:r>
      <w:r w:rsidR="009F6923">
        <w:rPr>
          <w:noProof/>
        </w:rPr>
        <w:t>5</w:t>
      </w:r>
      <w:r w:rsidR="00535236">
        <w:fldChar w:fldCharType="end"/>
      </w:r>
      <w:r w:rsidR="0021150E">
        <w:t>)</w:t>
      </w:r>
      <w:r w:rsidR="00A13328">
        <w:t xml:space="preserve">, and </w:t>
      </w:r>
      <w:r w:rsidR="00A13328" w:rsidRPr="001B2130">
        <w:t xml:space="preserve">modifications </w:t>
      </w:r>
      <w:r>
        <w:t xml:space="preserve">should </w:t>
      </w:r>
      <w:r w:rsidR="00A13328">
        <w:t xml:space="preserve">be made </w:t>
      </w:r>
      <w:r w:rsidR="00A13328" w:rsidRPr="001B2130">
        <w:t>to the existing NBC sectoral committee structure</w:t>
      </w:r>
      <w:r w:rsidR="0021150E">
        <w:t xml:space="preserve"> (</w:t>
      </w:r>
      <w:r w:rsidR="00A13328">
        <w:t>Figure 8</w:t>
      </w:r>
      <w:r w:rsidR="0021150E">
        <w:t>)</w:t>
      </w:r>
      <w:r w:rsidR="00A13328">
        <w:t xml:space="preserve">. </w:t>
      </w:r>
      <w:r w:rsidR="005F7220" w:rsidRPr="005F7220">
        <w:t>In summary</w:t>
      </w:r>
      <w:r>
        <w:t>,</w:t>
      </w:r>
      <w:r w:rsidR="005F7220" w:rsidRPr="005F7220">
        <w:t xml:space="preserve"> the existing MPSC and IPAC will become subcommittees under the new Community and Environmental Biosecurity Committee, along with a new Priority </w:t>
      </w:r>
      <w:r w:rsidR="008869A4">
        <w:t>Risks Subcommittee (PRSC)</w:t>
      </w:r>
      <w:r>
        <w:t>,</w:t>
      </w:r>
      <w:r w:rsidR="008869A4">
        <w:t xml:space="preserve"> focus</w:t>
      </w:r>
      <w:r w:rsidR="005F7220" w:rsidRPr="005F7220">
        <w:t xml:space="preserve">ed on prioritising and planning for national biosecurity risks impacting </w:t>
      </w:r>
      <w:r>
        <w:t xml:space="preserve">on </w:t>
      </w:r>
      <w:r w:rsidR="005F7220" w:rsidRPr="005F7220">
        <w:t>the environment</w:t>
      </w:r>
      <w:r w:rsidR="00B17C1B">
        <w:t xml:space="preserve"> and social ameni</w:t>
      </w:r>
      <w:r w:rsidR="00E07062">
        <w:t>t</w:t>
      </w:r>
      <w:r w:rsidR="00B17C1B">
        <w:t>y</w:t>
      </w:r>
      <w:r w:rsidR="005F7220" w:rsidRPr="005F7220">
        <w:t xml:space="preserve"> </w:t>
      </w:r>
      <w:r w:rsidR="005F7220" w:rsidRPr="00FF7313">
        <w:t>(</w:t>
      </w:r>
      <w:hyperlink w:anchor="_Building_the_national" w:history="1">
        <w:r w:rsidR="005F7220" w:rsidRPr="00FF7313">
          <w:rPr>
            <w:color w:val="165788"/>
            <w:u w:val="single"/>
          </w:rPr>
          <w:t>Chapter 5</w:t>
        </w:r>
      </w:hyperlink>
      <w:r w:rsidR="005F7220" w:rsidRPr="00FF7313">
        <w:t>). The</w:t>
      </w:r>
      <w:r w:rsidR="005F7220" w:rsidRPr="005F7220">
        <w:t xml:space="preserve"> new Chief Community and Environmental Biosecurity </w:t>
      </w:r>
      <w:r w:rsidR="005F7220" w:rsidRPr="00FF7313">
        <w:t>Officer (</w:t>
      </w:r>
      <w:hyperlink w:anchor="_Stronger_Environmental_biosecurity" w:history="1">
        <w:r w:rsidR="005F7220" w:rsidRPr="00FF7313">
          <w:rPr>
            <w:rStyle w:val="Hyperlink"/>
          </w:rPr>
          <w:t>Chapter 4</w:t>
        </w:r>
      </w:hyperlink>
      <w:r w:rsidR="005F7220" w:rsidRPr="00FF7313">
        <w:t>)</w:t>
      </w:r>
      <w:r w:rsidR="005F7220" w:rsidRPr="005F7220">
        <w:t xml:space="preserve"> will </w:t>
      </w:r>
      <w:r w:rsidR="00007F47">
        <w:t>lead</w:t>
      </w:r>
      <w:r w:rsidR="00007F47" w:rsidRPr="005F7220">
        <w:t xml:space="preserve"> </w:t>
      </w:r>
      <w:r w:rsidR="005F7220" w:rsidRPr="005F7220">
        <w:t xml:space="preserve">and </w:t>
      </w:r>
      <w:r w:rsidR="00007F47" w:rsidRPr="005F7220">
        <w:t>overs</w:t>
      </w:r>
      <w:r w:rsidR="00007F47">
        <w:t>ee</w:t>
      </w:r>
      <w:r w:rsidR="00007F47" w:rsidRPr="005F7220">
        <w:t xml:space="preserve"> </w:t>
      </w:r>
      <w:r w:rsidR="005F7220" w:rsidRPr="005F7220">
        <w:t>the Community and Environmental Biosecurity Committee and its subcommittees.</w:t>
      </w:r>
    </w:p>
    <w:p w14:paraId="22CD83CF" w14:textId="665EA7C0" w:rsidR="005F7220" w:rsidRDefault="005F7220" w:rsidP="005F7220">
      <w:pPr>
        <w:pStyle w:val="Caption"/>
      </w:pPr>
      <w:bookmarkStart w:id="139" w:name="_Ref482181270"/>
      <w:r>
        <w:t xml:space="preserve">Table </w:t>
      </w:r>
      <w:fldSimple w:instr=" SEQ Table \* ARABIC ">
        <w:r w:rsidR="009F6923">
          <w:rPr>
            <w:noProof/>
          </w:rPr>
          <w:t>5</w:t>
        </w:r>
      </w:fldSimple>
      <w:bookmarkEnd w:id="139"/>
      <w:r w:rsidRPr="005F7220">
        <w:t xml:space="preserve"> </w:t>
      </w:r>
      <w:r w:rsidR="00E07062">
        <w:t xml:space="preserve">Proposed </w:t>
      </w:r>
      <w:r w:rsidR="00C01C52">
        <w:t>AH</w:t>
      </w:r>
      <w:r w:rsidRPr="005F7220">
        <w:t>C, PHC and CEBC division of pest an</w:t>
      </w:r>
      <w:r w:rsidR="00F424D1">
        <w:t>d disease risk responsibilities</w:t>
      </w:r>
    </w:p>
    <w:tbl>
      <w:tblPr>
        <w:tblStyle w:val="TableGrid10"/>
        <w:tblW w:w="90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804"/>
      </w:tblGrid>
      <w:tr w:rsidR="005F7220" w:rsidRPr="005F7220" w14:paraId="0C34B1B2" w14:textId="77777777" w:rsidTr="00AA1818">
        <w:trPr>
          <w:tblHeader/>
        </w:trPr>
        <w:tc>
          <w:tcPr>
            <w:tcW w:w="2263" w:type="dxa"/>
            <w:shd w:val="clear" w:color="auto" w:fill="auto"/>
          </w:tcPr>
          <w:p w14:paraId="41466FE5" w14:textId="77777777" w:rsidR="005F7220" w:rsidRPr="005F7220" w:rsidRDefault="005F7220" w:rsidP="00AD72C1">
            <w:pPr>
              <w:pStyle w:val="TableHeading"/>
            </w:pPr>
            <w:r w:rsidRPr="005F7220">
              <w:t>Committee</w:t>
            </w:r>
          </w:p>
        </w:tc>
        <w:tc>
          <w:tcPr>
            <w:tcW w:w="6804" w:type="dxa"/>
            <w:shd w:val="clear" w:color="auto" w:fill="auto"/>
          </w:tcPr>
          <w:p w14:paraId="463F79E9" w14:textId="77777777" w:rsidR="005F7220" w:rsidRPr="005F7220" w:rsidRDefault="005F7220" w:rsidP="00AD72C1">
            <w:pPr>
              <w:pStyle w:val="TableHeading"/>
            </w:pPr>
            <w:r w:rsidRPr="005F7220">
              <w:t>Clarified responsibilities</w:t>
            </w:r>
          </w:p>
        </w:tc>
      </w:tr>
      <w:tr w:rsidR="005F7220" w:rsidRPr="005F7220" w14:paraId="60ABD54A" w14:textId="77777777" w:rsidTr="00AA1818">
        <w:tc>
          <w:tcPr>
            <w:tcW w:w="2263" w:type="dxa"/>
            <w:shd w:val="clear" w:color="auto" w:fill="auto"/>
          </w:tcPr>
          <w:p w14:paraId="5B13B69A" w14:textId="093BB211" w:rsidR="005F7220" w:rsidRPr="00AD72C1" w:rsidRDefault="005F7220" w:rsidP="00AD72C1">
            <w:pPr>
              <w:pStyle w:val="TableText"/>
              <w:rPr>
                <w:b/>
              </w:rPr>
            </w:pPr>
            <w:r w:rsidRPr="00AD72C1">
              <w:rPr>
                <w:b/>
              </w:rPr>
              <w:t>Animal Health Committee (AHC)</w:t>
            </w:r>
          </w:p>
        </w:tc>
        <w:tc>
          <w:tcPr>
            <w:tcW w:w="6804" w:type="dxa"/>
          </w:tcPr>
          <w:p w14:paraId="1E5125F0" w14:textId="66C721DB" w:rsidR="005F7220" w:rsidRPr="00345E5A" w:rsidRDefault="005F7220" w:rsidP="00AD72C1">
            <w:pPr>
              <w:pStyle w:val="TableText"/>
            </w:pPr>
            <w:r w:rsidRPr="00345E5A">
              <w:t>Nationally significant exotic and endemic diseases of production animals (terr</w:t>
            </w:r>
            <w:r w:rsidR="005329C4" w:rsidRPr="00345E5A">
              <w:t xml:space="preserve">estrial, freshwater, estuarine </w:t>
            </w:r>
            <w:r w:rsidRPr="00345E5A">
              <w:t xml:space="preserve">and marine) </w:t>
            </w:r>
            <w:r w:rsidR="00345E5A" w:rsidRPr="00345E5A">
              <w:t>(</w:t>
            </w:r>
            <w:r w:rsidRPr="00345E5A">
              <w:t xml:space="preserve">e.g. </w:t>
            </w:r>
            <w:r w:rsidR="00A96743" w:rsidRPr="00345E5A">
              <w:t>foot-and-mouth disease</w:t>
            </w:r>
            <w:r w:rsidRPr="00345E5A">
              <w:t>, white spot syndrome virus, Johne’s disease</w:t>
            </w:r>
            <w:r w:rsidR="00345E5A" w:rsidRPr="00345E5A">
              <w:t>)</w:t>
            </w:r>
          </w:p>
          <w:p w14:paraId="2A29228F" w14:textId="19465552" w:rsidR="005F7220" w:rsidRPr="00345E5A" w:rsidRDefault="003D44B1" w:rsidP="00AD72C1">
            <w:pPr>
              <w:pStyle w:val="TableText"/>
            </w:pPr>
            <w:r>
              <w:t>Cross</w:t>
            </w:r>
            <w:r w:rsidR="005F7220" w:rsidRPr="00345E5A">
              <w:t>over environmental biosecurity issues where the impact is primarily production animals (incl</w:t>
            </w:r>
            <w:r>
              <w:t>uding</w:t>
            </w:r>
            <w:r w:rsidR="005F7220" w:rsidRPr="00345E5A">
              <w:t xml:space="preserve"> wildlife diseases where </w:t>
            </w:r>
            <w:r>
              <w:t xml:space="preserve">a </w:t>
            </w:r>
            <w:r w:rsidR="005F7220" w:rsidRPr="00345E5A">
              <w:t xml:space="preserve">native species </w:t>
            </w:r>
            <w:r>
              <w:t xml:space="preserve">is </w:t>
            </w:r>
            <w:r w:rsidR="005F7220" w:rsidRPr="00345E5A">
              <w:t xml:space="preserve">a possible vector) </w:t>
            </w:r>
            <w:r w:rsidR="00345E5A" w:rsidRPr="00345E5A">
              <w:t>(</w:t>
            </w:r>
            <w:r w:rsidR="005F7220" w:rsidRPr="00345E5A">
              <w:t>e.g. Australian bat lyssavirus, Hendra</w:t>
            </w:r>
            <w:r w:rsidR="00345E5A" w:rsidRPr="00345E5A">
              <w:t>)</w:t>
            </w:r>
          </w:p>
          <w:p w14:paraId="4F2AB0F0" w14:textId="26AC27E4" w:rsidR="005F7220" w:rsidRPr="00345E5A" w:rsidRDefault="005F7220" w:rsidP="00AD72C1">
            <w:pPr>
              <w:pStyle w:val="TableText"/>
            </w:pPr>
            <w:r w:rsidRPr="00345E5A">
              <w:t xml:space="preserve">Exotic invertebrate pests of production animals </w:t>
            </w:r>
            <w:r w:rsidR="00345E5A" w:rsidRPr="00345E5A">
              <w:t>(</w:t>
            </w:r>
            <w:r w:rsidRPr="00345E5A">
              <w:t>e.g. screw-worm fly</w:t>
            </w:r>
            <w:r w:rsidR="00345E5A" w:rsidRPr="00345E5A">
              <w:t>)</w:t>
            </w:r>
          </w:p>
          <w:p w14:paraId="071F8E89" w14:textId="6B1D15B1" w:rsidR="00535236" w:rsidRPr="00345E5A" w:rsidRDefault="007A14E2" w:rsidP="00AD72C1">
            <w:pPr>
              <w:pStyle w:val="TableText"/>
            </w:pPr>
            <w:r>
              <w:t>D</w:t>
            </w:r>
            <w:r w:rsidR="00535236" w:rsidRPr="00345E5A">
              <w:t>iseases of wild fisheries (</w:t>
            </w:r>
            <w:r w:rsidR="0049234D" w:rsidRPr="00345E5A">
              <w:t xml:space="preserve">freshwater and </w:t>
            </w:r>
            <w:r w:rsidR="00535236" w:rsidRPr="00345E5A">
              <w:t>marine)</w:t>
            </w:r>
          </w:p>
        </w:tc>
      </w:tr>
      <w:tr w:rsidR="005F7220" w:rsidRPr="005F7220" w14:paraId="077B0D48" w14:textId="77777777" w:rsidTr="00AA1818">
        <w:tc>
          <w:tcPr>
            <w:tcW w:w="2263" w:type="dxa"/>
            <w:shd w:val="clear" w:color="auto" w:fill="auto"/>
          </w:tcPr>
          <w:p w14:paraId="3B226893" w14:textId="77777777" w:rsidR="005F7220" w:rsidRPr="00AD72C1" w:rsidRDefault="005F7220" w:rsidP="00AD72C1">
            <w:pPr>
              <w:pStyle w:val="TableText"/>
              <w:rPr>
                <w:b/>
              </w:rPr>
            </w:pPr>
            <w:r w:rsidRPr="00AD72C1">
              <w:rPr>
                <w:b/>
              </w:rPr>
              <w:t>Plant Health Committee (PHC)</w:t>
            </w:r>
          </w:p>
        </w:tc>
        <w:tc>
          <w:tcPr>
            <w:tcW w:w="6804" w:type="dxa"/>
          </w:tcPr>
          <w:p w14:paraId="3212B070" w14:textId="70B3C12C" w:rsidR="005F7220" w:rsidRPr="00345E5A" w:rsidRDefault="005F7220" w:rsidP="00AD72C1">
            <w:pPr>
              <w:pStyle w:val="TableText"/>
            </w:pPr>
            <w:r w:rsidRPr="00345E5A">
              <w:t>Nationally significant exotic and endemic pests (mostly invertebrates, incl</w:t>
            </w:r>
            <w:r w:rsidR="003D44B1">
              <w:t>uding</w:t>
            </w:r>
            <w:r w:rsidRPr="00345E5A">
              <w:t xml:space="preserve"> exotic bee pests and pest bees) and diseases</w:t>
            </w:r>
            <w:r w:rsidR="00345E5A" w:rsidRPr="00345E5A">
              <w:t xml:space="preserve"> primarily of plant production (</w:t>
            </w:r>
            <w:r w:rsidRPr="00345E5A">
              <w:t>e.g. Panama disease TR4, C</w:t>
            </w:r>
            <w:r w:rsidR="003D44B1">
              <w:t xml:space="preserve">ucumber </w:t>
            </w:r>
            <w:r w:rsidRPr="00345E5A">
              <w:t>G</w:t>
            </w:r>
            <w:r w:rsidR="003D44B1">
              <w:t xml:space="preserve">reen </w:t>
            </w:r>
            <w:r w:rsidRPr="00345E5A">
              <w:t>M</w:t>
            </w:r>
            <w:r w:rsidR="003D44B1">
              <w:t xml:space="preserve">ottle </w:t>
            </w:r>
            <w:r w:rsidRPr="00345E5A">
              <w:t>M</w:t>
            </w:r>
            <w:r w:rsidR="003D44B1">
              <w:t xml:space="preserve">osaic </w:t>
            </w:r>
            <w:r w:rsidRPr="00345E5A">
              <w:t>V</w:t>
            </w:r>
            <w:r w:rsidR="003D44B1">
              <w:t>irus</w:t>
            </w:r>
            <w:r w:rsidRPr="00345E5A">
              <w:t xml:space="preserve"> and fruit flies</w:t>
            </w:r>
            <w:r w:rsidR="00345E5A" w:rsidRPr="00345E5A">
              <w:t>)</w:t>
            </w:r>
          </w:p>
          <w:p w14:paraId="120774C8" w14:textId="55D61ECF" w:rsidR="005F7220" w:rsidRPr="00345E5A" w:rsidRDefault="005F7220" w:rsidP="00AD72C1">
            <w:pPr>
              <w:pStyle w:val="TableText"/>
            </w:pPr>
            <w:r w:rsidRPr="00345E5A">
              <w:t xml:space="preserve">Crossover environmental biosecurity issues where impact is primarily plant production </w:t>
            </w:r>
            <w:r w:rsidR="00345E5A" w:rsidRPr="00345E5A">
              <w:t>(</w:t>
            </w:r>
            <w:r w:rsidRPr="00345E5A">
              <w:t>e.g. Xylella</w:t>
            </w:r>
            <w:r w:rsidR="00345E5A" w:rsidRPr="00345E5A">
              <w:t>)</w:t>
            </w:r>
          </w:p>
          <w:p w14:paraId="4317EA0F" w14:textId="0D1519FD" w:rsidR="005F7220" w:rsidRPr="00345E5A" w:rsidRDefault="005F7220" w:rsidP="00AD72C1">
            <w:pPr>
              <w:pStyle w:val="TableText"/>
            </w:pPr>
            <w:r w:rsidRPr="00345E5A">
              <w:t xml:space="preserve">Exotic production weeds </w:t>
            </w:r>
            <w:r w:rsidR="00345E5A" w:rsidRPr="00345E5A">
              <w:t>(</w:t>
            </w:r>
            <w:r w:rsidRPr="00345E5A">
              <w:t>e.g. red witchweed</w:t>
            </w:r>
            <w:r w:rsidR="00345E5A" w:rsidRPr="00345E5A">
              <w:t>)</w:t>
            </w:r>
          </w:p>
        </w:tc>
      </w:tr>
      <w:tr w:rsidR="005F7220" w:rsidRPr="005F7220" w14:paraId="6A930A1B" w14:textId="77777777" w:rsidTr="00AA1818">
        <w:tc>
          <w:tcPr>
            <w:tcW w:w="2263" w:type="dxa"/>
            <w:shd w:val="clear" w:color="auto" w:fill="auto"/>
          </w:tcPr>
          <w:p w14:paraId="16B92FBE" w14:textId="77777777" w:rsidR="005F7220" w:rsidRPr="00AD72C1" w:rsidRDefault="005F7220" w:rsidP="00AD72C1">
            <w:pPr>
              <w:pStyle w:val="TableText"/>
              <w:rPr>
                <w:b/>
              </w:rPr>
            </w:pPr>
            <w:r w:rsidRPr="00AD72C1">
              <w:rPr>
                <w:b/>
              </w:rPr>
              <w:t>Community &amp; Environmental Biosecurity Committee (CEBC)</w:t>
            </w:r>
          </w:p>
        </w:tc>
        <w:tc>
          <w:tcPr>
            <w:tcW w:w="6804" w:type="dxa"/>
          </w:tcPr>
          <w:p w14:paraId="5969426C" w14:textId="43B862E1" w:rsidR="005F7220" w:rsidRPr="00345E5A" w:rsidRDefault="005F7220" w:rsidP="00AD72C1">
            <w:pPr>
              <w:pStyle w:val="TableText"/>
            </w:pPr>
            <w:r w:rsidRPr="00345E5A">
              <w:t xml:space="preserve">Nationally significant exotic pests and diseases (terrestrial, </w:t>
            </w:r>
            <w:r w:rsidR="005329C4" w:rsidRPr="00345E5A">
              <w:t>freshwater, estuarine</w:t>
            </w:r>
            <w:r w:rsidR="009828F8" w:rsidRPr="00345E5A">
              <w:t>,</w:t>
            </w:r>
            <w:r w:rsidR="005329C4" w:rsidRPr="00345E5A">
              <w:t xml:space="preserve"> marine</w:t>
            </w:r>
            <w:r w:rsidRPr="00345E5A">
              <w:t xml:space="preserve"> and </w:t>
            </w:r>
            <w:r w:rsidR="00B17C1B" w:rsidRPr="00345E5A">
              <w:t xml:space="preserve">airborne = </w:t>
            </w:r>
            <w:r w:rsidR="00240446" w:rsidRPr="00345E5A">
              <w:t>‘</w:t>
            </w:r>
            <w:r w:rsidR="00B17C1B" w:rsidRPr="00345E5A">
              <w:t>blown in</w:t>
            </w:r>
            <w:r w:rsidR="00240446" w:rsidRPr="00345E5A">
              <w:t>’</w:t>
            </w:r>
            <w:r w:rsidRPr="00345E5A">
              <w:t xml:space="preserve">) where the impact is primarily environmental </w:t>
            </w:r>
            <w:r w:rsidR="00345E5A" w:rsidRPr="00345E5A">
              <w:t>(</w:t>
            </w:r>
            <w:r w:rsidRPr="00345E5A">
              <w:t>e.g. myrtle rust</w:t>
            </w:r>
            <w:r w:rsidR="00345E5A" w:rsidRPr="00345E5A">
              <w:t>) or affects social amenity (</w:t>
            </w:r>
            <w:r w:rsidRPr="00345E5A">
              <w:t xml:space="preserve">e.g. </w:t>
            </w:r>
            <w:r w:rsidR="00C7411D">
              <w:t>red imported fire ants</w:t>
            </w:r>
            <w:r w:rsidR="00345E5A" w:rsidRPr="00345E5A">
              <w:t>)</w:t>
            </w:r>
          </w:p>
          <w:p w14:paraId="3625FE21" w14:textId="293F10EF" w:rsidR="005F7220" w:rsidRPr="00345E5A" w:rsidRDefault="005F7220" w:rsidP="00AD72C1">
            <w:pPr>
              <w:pStyle w:val="TableText"/>
            </w:pPr>
            <w:r w:rsidRPr="00345E5A">
              <w:t xml:space="preserve">Nationally significant established pests and weeds </w:t>
            </w:r>
            <w:r w:rsidR="00345E5A" w:rsidRPr="00345E5A">
              <w:t>(production and non-production)</w:t>
            </w:r>
          </w:p>
        </w:tc>
      </w:tr>
      <w:tr w:rsidR="005F7220" w:rsidRPr="005F7220" w14:paraId="1F01EFDC" w14:textId="77777777" w:rsidTr="00AA1818">
        <w:tc>
          <w:tcPr>
            <w:tcW w:w="2263" w:type="dxa"/>
            <w:shd w:val="clear" w:color="auto" w:fill="auto"/>
          </w:tcPr>
          <w:p w14:paraId="25F7B103" w14:textId="77777777" w:rsidR="005F7220" w:rsidRPr="005F7220" w:rsidRDefault="005F7220" w:rsidP="00AD72C1">
            <w:pPr>
              <w:pStyle w:val="TableText"/>
              <w:jc w:val="right"/>
            </w:pPr>
            <w:r w:rsidRPr="005F7220">
              <w:lastRenderedPageBreak/>
              <w:t>Priority Risks Subcommittee</w:t>
            </w:r>
          </w:p>
        </w:tc>
        <w:tc>
          <w:tcPr>
            <w:tcW w:w="6804" w:type="dxa"/>
          </w:tcPr>
          <w:p w14:paraId="2A4E7597" w14:textId="1D9A374E" w:rsidR="005F7220" w:rsidRPr="00345E5A" w:rsidRDefault="005F7220" w:rsidP="00AD72C1">
            <w:pPr>
              <w:pStyle w:val="TableText"/>
            </w:pPr>
            <w:r w:rsidRPr="00345E5A">
              <w:t>Work to prioritise and plan for national biosecurity risks impactin</w:t>
            </w:r>
            <w:r w:rsidR="005329C4" w:rsidRPr="00345E5A">
              <w:t>g</w:t>
            </w:r>
            <w:r w:rsidR="00B0211A">
              <w:t xml:space="preserve"> on</w:t>
            </w:r>
            <w:r w:rsidR="005329C4" w:rsidRPr="00345E5A">
              <w:t xml:space="preserve"> the environment (terrestrial, freshwater, estuarine, marine</w:t>
            </w:r>
            <w:r w:rsidRPr="00345E5A">
              <w:t xml:space="preserve"> </w:t>
            </w:r>
            <w:r w:rsidR="005329C4" w:rsidRPr="00345E5A">
              <w:t>and airborne</w:t>
            </w:r>
            <w:r w:rsidRPr="00345E5A">
              <w:t>) and social amenity (</w:t>
            </w:r>
            <w:hyperlink w:anchor="_Building_the_national" w:history="1">
              <w:r w:rsidRPr="00345E5A">
                <w:rPr>
                  <w:color w:val="165788"/>
                  <w:u w:val="single"/>
                </w:rPr>
                <w:t>Chapter 5</w:t>
              </w:r>
            </w:hyperlink>
            <w:r w:rsidR="00345E5A" w:rsidRPr="00345E5A">
              <w:t>)</w:t>
            </w:r>
          </w:p>
        </w:tc>
      </w:tr>
      <w:tr w:rsidR="005F7220" w:rsidRPr="005F7220" w14:paraId="4076B60A" w14:textId="77777777" w:rsidTr="00AA1818">
        <w:tc>
          <w:tcPr>
            <w:tcW w:w="2263" w:type="dxa"/>
            <w:shd w:val="clear" w:color="auto" w:fill="auto"/>
          </w:tcPr>
          <w:p w14:paraId="285B81C5" w14:textId="77777777" w:rsidR="005F7220" w:rsidRPr="005F7220" w:rsidRDefault="005F7220" w:rsidP="00AD72C1">
            <w:pPr>
              <w:pStyle w:val="TableText"/>
              <w:jc w:val="right"/>
            </w:pPr>
            <w:r w:rsidRPr="005F7220">
              <w:t xml:space="preserve">Marine Pest </w:t>
            </w:r>
            <w:r w:rsidRPr="005F7220">
              <w:br/>
              <w:t>Subcommittee (MPSC)</w:t>
            </w:r>
          </w:p>
        </w:tc>
        <w:tc>
          <w:tcPr>
            <w:tcW w:w="6804" w:type="dxa"/>
          </w:tcPr>
          <w:p w14:paraId="598E3AE8" w14:textId="7CBFBE95" w:rsidR="005F7220" w:rsidRPr="00345E5A" w:rsidRDefault="005F7220" w:rsidP="00AD72C1">
            <w:pPr>
              <w:pStyle w:val="TableText"/>
            </w:pPr>
            <w:r w:rsidRPr="00345E5A">
              <w:t xml:space="preserve">Nationally significant exotic marine pests (vertebrates, invertebrates, plants </w:t>
            </w:r>
            <w:r w:rsidR="00B0211A">
              <w:t>and</w:t>
            </w:r>
            <w:r w:rsidRPr="00345E5A">
              <w:t xml:space="preserve"> algae), incl</w:t>
            </w:r>
            <w:r w:rsidR="00B0211A">
              <w:t>uding</w:t>
            </w:r>
            <w:r w:rsidRPr="00345E5A">
              <w:t xml:space="preserve"> those associated with biofouling and </w:t>
            </w:r>
            <w:r w:rsidR="00345E5A" w:rsidRPr="00345E5A">
              <w:t>ballast. Non-production focus</w:t>
            </w:r>
          </w:p>
        </w:tc>
      </w:tr>
      <w:tr w:rsidR="005F7220" w:rsidRPr="005F7220" w14:paraId="50E961A8" w14:textId="77777777" w:rsidTr="00AA1818">
        <w:tc>
          <w:tcPr>
            <w:tcW w:w="2263" w:type="dxa"/>
            <w:shd w:val="clear" w:color="auto" w:fill="auto"/>
          </w:tcPr>
          <w:p w14:paraId="7430A439" w14:textId="4F76396E" w:rsidR="005F7220" w:rsidRPr="005F7220" w:rsidRDefault="005F7220" w:rsidP="00AD72C1">
            <w:pPr>
              <w:pStyle w:val="TableText"/>
              <w:jc w:val="right"/>
              <w:rPr>
                <w:sz w:val="16"/>
                <w:szCs w:val="16"/>
              </w:rPr>
            </w:pPr>
            <w:r w:rsidRPr="00C81049">
              <w:t xml:space="preserve">Invasive Plants and </w:t>
            </w:r>
            <w:r w:rsidRPr="00C81049">
              <w:br/>
              <w:t>Animals Subcommittee (IPASC</w:t>
            </w:r>
            <w:r w:rsidRPr="005F7220">
              <w:t>)</w:t>
            </w:r>
          </w:p>
        </w:tc>
        <w:tc>
          <w:tcPr>
            <w:tcW w:w="6804" w:type="dxa"/>
            <w:shd w:val="clear" w:color="auto" w:fill="auto"/>
          </w:tcPr>
          <w:p w14:paraId="09190729" w14:textId="703BBC8E" w:rsidR="005F7220" w:rsidRPr="00A130AE" w:rsidRDefault="005F7220" w:rsidP="00AD72C1">
            <w:pPr>
              <w:pStyle w:val="TableText"/>
            </w:pPr>
            <w:r w:rsidRPr="005F7220">
              <w:t>Potential invasive species including those ‘already here’: vertebrate pests (</w:t>
            </w:r>
            <w:r w:rsidR="00A13328">
              <w:t>e.g.</w:t>
            </w:r>
            <w:r w:rsidRPr="005F7220">
              <w:t xml:space="preserve"> </w:t>
            </w:r>
            <w:r w:rsidR="00137C0E" w:rsidRPr="00A130AE">
              <w:t>ferrets</w:t>
            </w:r>
            <w:r w:rsidR="00A13328" w:rsidRPr="00A130AE">
              <w:t xml:space="preserve">) freshwater </w:t>
            </w:r>
            <w:r w:rsidRPr="00A130AE">
              <w:t>pests (</w:t>
            </w:r>
            <w:r w:rsidR="00A13328" w:rsidRPr="00A130AE">
              <w:t>incl</w:t>
            </w:r>
            <w:r w:rsidR="009828F8" w:rsidRPr="00A130AE">
              <w:t>uding</w:t>
            </w:r>
            <w:r w:rsidR="00F83170" w:rsidRPr="00A130AE">
              <w:t xml:space="preserve"> ornamental freshwater fish,</w:t>
            </w:r>
            <w:r w:rsidRPr="00A130AE">
              <w:t xml:space="preserve"> invertebrates and algae), exotic wildlife trade (reptiles, amphibians, invertebrates etc.), and non-production</w:t>
            </w:r>
            <w:r w:rsidR="00F568CE" w:rsidRPr="00A130AE">
              <w:t xml:space="preserve"> </w:t>
            </w:r>
            <w:r w:rsidR="00A13328" w:rsidRPr="00A130AE">
              <w:t>weeds</w:t>
            </w:r>
            <w:r w:rsidRPr="00A130AE">
              <w:t xml:space="preserve"> (future </w:t>
            </w:r>
            <w:r w:rsidR="00A130AE">
              <w:t>Weeds of National Significance)</w:t>
            </w:r>
          </w:p>
          <w:p w14:paraId="20346B77" w14:textId="2074C2E8" w:rsidR="005F7220" w:rsidRPr="00AD72C1" w:rsidRDefault="005F7220" w:rsidP="00AD72C1">
            <w:pPr>
              <w:pStyle w:val="TableText"/>
            </w:pPr>
            <w:r w:rsidRPr="00AD72C1">
              <w:t xml:space="preserve">Nationally significant endemic pests: terrestrial pests (e.g. </w:t>
            </w:r>
            <w:r w:rsidR="007C0E45" w:rsidRPr="00AD72C1">
              <w:t xml:space="preserve">foxes and </w:t>
            </w:r>
            <w:r w:rsidRPr="00AD72C1">
              <w:t>wild dogs), freshwater pests (vertebrate and invertebrate) and weeds</w:t>
            </w:r>
          </w:p>
          <w:p w14:paraId="160B7738" w14:textId="0F36B8EA" w:rsidR="005F7220" w:rsidRPr="005F7220" w:rsidRDefault="005F7220" w:rsidP="00AD72C1">
            <w:pPr>
              <w:pStyle w:val="TableText"/>
            </w:pPr>
            <w:r w:rsidRPr="00AD72C1">
              <w:t>IPA</w:t>
            </w:r>
            <w:r w:rsidR="00F5704B" w:rsidRPr="00AD72C1">
              <w:t>S</w:t>
            </w:r>
            <w:r w:rsidRPr="00AD72C1">
              <w:t>C has production and environmental el</w:t>
            </w:r>
            <w:r w:rsidR="00A130AE" w:rsidRPr="00AD72C1">
              <w:t>ements, due to scale of impacts</w:t>
            </w:r>
          </w:p>
        </w:tc>
      </w:tr>
    </w:tbl>
    <w:p w14:paraId="79F0C5C7" w14:textId="77777777" w:rsidR="005F7220" w:rsidRDefault="005F7220" w:rsidP="005F7220">
      <w:pPr>
        <w:pStyle w:val="Heading4"/>
        <w:keepNext/>
        <w:numPr>
          <w:ilvl w:val="0"/>
          <w:numId w:val="0"/>
        </w:numPr>
      </w:pPr>
    </w:p>
    <w:p w14:paraId="31C987F3" w14:textId="65E1999C" w:rsidR="005F7220" w:rsidRPr="00BF1390" w:rsidRDefault="005F7220" w:rsidP="005F7220">
      <w:pPr>
        <w:pStyle w:val="BoxHeading"/>
        <w:shd w:val="clear" w:color="auto" w:fill="D9D9D9" w:themeFill="background1" w:themeFillShade="D9"/>
        <w:rPr>
          <w:sz w:val="22"/>
        </w:rPr>
      </w:pPr>
      <w:bookmarkStart w:id="140" w:name="_Ref482710064"/>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20</w:t>
      </w:r>
      <w:r w:rsidR="00C72264" w:rsidRPr="00BF1390">
        <w:rPr>
          <w:noProof/>
          <w:sz w:val="22"/>
        </w:rPr>
        <w:fldChar w:fldCharType="end"/>
      </w:r>
      <w:bookmarkEnd w:id="140"/>
    </w:p>
    <w:p w14:paraId="7574946A" w14:textId="1A0D5B56" w:rsidR="005F7220" w:rsidRPr="00BF1390" w:rsidRDefault="00307000" w:rsidP="005F7220">
      <w:pPr>
        <w:pStyle w:val="BoxText"/>
        <w:shd w:val="clear" w:color="auto" w:fill="D9D9D9" w:themeFill="background1" w:themeFillShade="D9"/>
        <w:rPr>
          <w:sz w:val="22"/>
        </w:rPr>
      </w:pPr>
      <w:r>
        <w:rPr>
          <w:sz w:val="22"/>
        </w:rPr>
        <w:t>The NBC should adopt a sub</w:t>
      </w:r>
      <w:r w:rsidR="005F7220" w:rsidRPr="00BF1390">
        <w:rPr>
          <w:sz w:val="22"/>
        </w:rPr>
        <w:t xml:space="preserve">committee structure that aligns with the revised national biosecurity system objectives and revised national reform priorities in IGAB2. All NBC sectoral committees should have a clear and transparent division of </w:t>
      </w:r>
      <w:r w:rsidR="00940958">
        <w:rPr>
          <w:sz w:val="22"/>
        </w:rPr>
        <w:t xml:space="preserve">responsibilities for </w:t>
      </w:r>
      <w:r w:rsidR="005F7220" w:rsidRPr="00BF1390">
        <w:rPr>
          <w:sz w:val="22"/>
        </w:rPr>
        <w:t>pest and disease risk. All NBC working groups and expert groups should be task-specific and, wherever possible, time-limited.</w:t>
      </w:r>
    </w:p>
    <w:p w14:paraId="772DD4A3" w14:textId="77777777" w:rsidR="00A77170" w:rsidRDefault="00A77170" w:rsidP="00FB4E47">
      <w:pPr>
        <w:pStyle w:val="Heading4"/>
        <w:keepNext/>
      </w:pPr>
      <w:r>
        <w:t>Culture and transparency</w:t>
      </w:r>
    </w:p>
    <w:p w14:paraId="4FE47009" w14:textId="3F07676F" w:rsidR="00A13328" w:rsidRDefault="005F7220" w:rsidP="00A13328">
      <w:pPr>
        <w:keepNext/>
      </w:pPr>
      <w:r>
        <w:t xml:space="preserve">The </w:t>
      </w:r>
      <w:r w:rsidR="007C0E45">
        <w:t>p</w:t>
      </w:r>
      <w:r>
        <w:t xml:space="preserve">anel has had a number of opportunities to engage with members of the NBC during this </w:t>
      </w:r>
      <w:r w:rsidR="007C0E45">
        <w:t>r</w:t>
      </w:r>
      <w:r>
        <w:t>eview and has observed that the culture of the NBC is positive</w:t>
      </w:r>
      <w:r w:rsidR="007C0E45">
        <w:t>,</w:t>
      </w:r>
      <w:r>
        <w:t xml:space="preserve"> with members that are committed, engaged and constructive. However, the committee is perhaps overly reliant on key people, goodwill and informal arrangements. </w:t>
      </w:r>
      <w:r w:rsidR="00A13328">
        <w:t>As Matthews (</w:t>
      </w:r>
      <w:hyperlink w:anchor="Mathews_2011" w:history="1">
        <w:r w:rsidR="00CC5EA7" w:rsidRPr="00CC5EA7">
          <w:rPr>
            <w:rStyle w:val="Hyperlink"/>
          </w:rPr>
          <w:t>Mathews 2011</w:t>
        </w:r>
      </w:hyperlink>
      <w:r w:rsidR="00A13328">
        <w:t xml:space="preserve">) pointed out in relation to </w:t>
      </w:r>
      <w:r w:rsidR="00A96743" w:rsidRPr="00A96743">
        <w:t>foot-and-mouth disease</w:t>
      </w:r>
      <w:r w:rsidR="00A13328">
        <w:t xml:space="preserve">, institutionalising processes is good public administration, not the least </w:t>
      </w:r>
      <w:r w:rsidR="00AA193A">
        <w:t>‘</w:t>
      </w:r>
      <w:r w:rsidR="00A13328">
        <w:t>to ensure regular review and updating</w:t>
      </w:r>
      <w:r w:rsidR="00AA193A">
        <w:t>’</w:t>
      </w:r>
      <w:r w:rsidR="00A13328">
        <w:t>.</w:t>
      </w:r>
    </w:p>
    <w:p w14:paraId="7935899F" w14:textId="08A96BD5" w:rsidR="005F7220" w:rsidRDefault="005F7220" w:rsidP="00A13328">
      <w:pPr>
        <w:keepNext/>
      </w:pPr>
      <w:r>
        <w:t>Non-government stakeholders have commented on the levels of change in government ministers and officials involved in the national biosecurity system</w:t>
      </w:r>
      <w:r w:rsidR="00F169D5">
        <w:t xml:space="preserve">, </w:t>
      </w:r>
      <w:r>
        <w:t xml:space="preserve">pointing out that all agriculture ministers and agency heads have changed during the period covered by the current IGAB. Similarly, most NBC members are relatively new. The </w:t>
      </w:r>
      <w:r w:rsidR="00F169D5">
        <w:t>p</w:t>
      </w:r>
      <w:r>
        <w:t>anel believes there is scope to codify past and formalise present NBC decision-making processes to ensure that corporate knowledge and positions and decisions reached by the committee endure beyond the current NBC participants.</w:t>
      </w:r>
    </w:p>
    <w:p w14:paraId="15EDA3FB" w14:textId="4E5CBD6E" w:rsidR="005F7220" w:rsidRDefault="005F7220" w:rsidP="005F7220">
      <w:r>
        <w:t xml:space="preserve">Stakeholders have also been critical that governments, the NBC and its subcommittees have not been sufficiently open about their activities—and the </w:t>
      </w:r>
      <w:r w:rsidR="00F169D5">
        <w:t>p</w:t>
      </w:r>
      <w:r>
        <w:t>anel agrees</w:t>
      </w:r>
      <w:r w:rsidR="009828F8">
        <w:t>:</w:t>
      </w:r>
    </w:p>
    <w:p w14:paraId="58B89A8A" w14:textId="44494814" w:rsidR="005F7220" w:rsidRDefault="005F7220" w:rsidP="005F7220">
      <w:pPr>
        <w:pStyle w:val="Quote"/>
      </w:pPr>
      <w:r>
        <w:lastRenderedPageBreak/>
        <w:t xml:space="preserve">It is very hard for industry to see the outcomes of the IGAB and even industry members who are active in the biosecurity space struggle with the complexity and hierarchy of the various governments committees and bodies that act in this area (Northern Territory Farmers Association </w:t>
      </w:r>
      <w:r w:rsidRPr="00AA62C6">
        <w:t>sub. DP9</w:t>
      </w:r>
      <w:r>
        <w:t>)</w:t>
      </w:r>
    </w:p>
    <w:p w14:paraId="3D0D8F7A" w14:textId="5BDF96A5" w:rsidR="005F7220" w:rsidRDefault="005F7220" w:rsidP="005F7220">
      <w:pPr>
        <w:pStyle w:val="Quote"/>
      </w:pPr>
      <w:r>
        <w:t xml:space="preserve">The work of the National Biosecurity Committee and its committees is general [sic.] opaque to the public. Recently [the] National Biosecurity Committee has started issuing communiques after their meetings, but the level of detail in the communiques does not allow any meaningful understanding of what was discussed (Invasive Species Council </w:t>
      </w:r>
      <w:r w:rsidRPr="00AA62C6">
        <w:t>sub. DP50</w:t>
      </w:r>
      <w:r>
        <w:t>)</w:t>
      </w:r>
    </w:p>
    <w:p w14:paraId="4C461203" w14:textId="385DECB1" w:rsidR="005F7220" w:rsidRDefault="005F7220" w:rsidP="005F7220">
      <w:r>
        <w:t xml:space="preserve">The NBC structure and work program lack transparency. Publicly available information on </w:t>
      </w:r>
      <w:r w:rsidR="00307000">
        <w:t>the work of the NBC and its sub</w:t>
      </w:r>
      <w:r>
        <w:t xml:space="preserve">committees is limited and outdated—for example, websites are not always kept up to date, and communiqués can lack meaningful information. Even taking into account the need to ensure </w:t>
      </w:r>
      <w:r w:rsidR="00F169D5">
        <w:t xml:space="preserve">that </w:t>
      </w:r>
      <w:r>
        <w:t>Australia’s trade interests are not compromised, there also appears to be a tendenc</w:t>
      </w:r>
      <w:r w:rsidR="00F169D5">
        <w:t xml:space="preserve">y for the NBC to be overly risk </w:t>
      </w:r>
      <w:r>
        <w:t xml:space="preserve">averse in sharing biosecurity information, data and intelligence. Submissions from Australian governments on the </w:t>
      </w:r>
      <w:r w:rsidR="00F169D5">
        <w:t>IGAB review d</w:t>
      </w:r>
      <w:r>
        <w:t xml:space="preserve">raft </w:t>
      </w:r>
      <w:r w:rsidR="00F169D5">
        <w:t>r</w:t>
      </w:r>
      <w:r>
        <w:t xml:space="preserve">eport acknowledged </w:t>
      </w:r>
      <w:r w:rsidR="00FB38D3">
        <w:t>the value of improving</w:t>
      </w:r>
      <w:r>
        <w:t xml:space="preserve"> the transparency of the NBC and its operations.</w:t>
      </w:r>
    </w:p>
    <w:p w14:paraId="489204FB" w14:textId="457F20CA" w:rsidR="00A02554" w:rsidRDefault="005F7220" w:rsidP="005F7220">
      <w:r>
        <w:t xml:space="preserve">The </w:t>
      </w:r>
      <w:r w:rsidR="00F169D5">
        <w:t>p</w:t>
      </w:r>
      <w:r>
        <w:t>anel has already noted the significant achievements of the IGAB against its priority reform areas, since its introduction in 2012 (</w:t>
      </w:r>
      <w:hyperlink w:anchor="_Australia’s_biosecurity_system" w:history="1">
        <w:r w:rsidRPr="00FF7313">
          <w:rPr>
            <w:rStyle w:val="Hyperlink"/>
          </w:rPr>
          <w:t>Chapter 1</w:t>
        </w:r>
      </w:hyperlink>
      <w:r w:rsidRPr="00FF7313">
        <w:t>). However</w:t>
      </w:r>
      <w:r>
        <w:t>, many of these achievements, including key policy frameworks, are not publicly available to inform all system participants.</w:t>
      </w:r>
      <w:r w:rsidRPr="004A0A12">
        <w:t xml:space="preserve"> </w:t>
      </w:r>
      <w:r>
        <w:t xml:space="preserve">The </w:t>
      </w:r>
      <w:r w:rsidR="00F169D5">
        <w:t>p</w:t>
      </w:r>
      <w:r>
        <w:t>anel considers the NBC should do more to improve its transparency</w:t>
      </w:r>
      <w:r w:rsidRPr="00BF4186">
        <w:t xml:space="preserve">, including establishing and maintaining a standalone website to centralise all information on the NBC, its committees and their activities. This new site could also consolidate information from existing websites focused on national biosecurity matters, such as </w:t>
      </w:r>
      <w:r w:rsidR="00AC64CF">
        <w:t xml:space="preserve">the national pest and disease outbreak website </w:t>
      </w:r>
      <w:r w:rsidRPr="00BF4186">
        <w:t xml:space="preserve">and </w:t>
      </w:r>
      <w:r w:rsidR="00AC64CF">
        <w:t>the National System for the Prevention and Management of Marine Pest Incursions website.</w:t>
      </w:r>
    </w:p>
    <w:p w14:paraId="51955127" w14:textId="77777777" w:rsidR="005F7220" w:rsidRPr="00BF1390" w:rsidRDefault="005F7220" w:rsidP="005F7220">
      <w:pPr>
        <w:pStyle w:val="BoxHeading"/>
        <w:shd w:val="clear" w:color="auto" w:fill="D9D9D9" w:themeFill="background1" w:themeFillShade="D9"/>
        <w:rPr>
          <w:sz w:val="22"/>
        </w:rPr>
      </w:pPr>
      <w:bookmarkStart w:id="141" w:name="_Ref482710078"/>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21</w:t>
      </w:r>
      <w:r w:rsidR="00C72264" w:rsidRPr="00BF1390">
        <w:rPr>
          <w:noProof/>
          <w:sz w:val="22"/>
        </w:rPr>
        <w:fldChar w:fldCharType="end"/>
      </w:r>
      <w:bookmarkEnd w:id="141"/>
    </w:p>
    <w:p w14:paraId="17BDD268" w14:textId="686D7417" w:rsidR="005F7220" w:rsidRPr="00BF1390" w:rsidRDefault="005F7220" w:rsidP="005F7220">
      <w:pPr>
        <w:pStyle w:val="BoxText"/>
        <w:shd w:val="clear" w:color="auto" w:fill="D9D9D9" w:themeFill="background1" w:themeFillShade="D9"/>
        <w:rPr>
          <w:sz w:val="22"/>
        </w:rPr>
      </w:pPr>
      <w:r w:rsidRPr="00BF1390">
        <w:rPr>
          <w:sz w:val="22"/>
        </w:rPr>
        <w:t>The NBC should increase its public profile and openness, i</w:t>
      </w:r>
      <w:r w:rsidR="005B3104">
        <w:rPr>
          <w:sz w:val="22"/>
        </w:rPr>
        <w:t xml:space="preserve">ncluding </w:t>
      </w:r>
      <w:r w:rsidR="00087853">
        <w:rPr>
          <w:sz w:val="22"/>
        </w:rPr>
        <w:t xml:space="preserve">by </w:t>
      </w:r>
      <w:r w:rsidR="005B3104">
        <w:rPr>
          <w:sz w:val="22"/>
        </w:rPr>
        <w:t>establishing a stand</w:t>
      </w:r>
      <w:r w:rsidRPr="00BF1390">
        <w:rPr>
          <w:sz w:val="22"/>
        </w:rPr>
        <w:t>alone website, to be maintained by but be separate from the Australian Government</w:t>
      </w:r>
      <w:r w:rsidR="008D3CC1">
        <w:rPr>
          <w:sz w:val="22"/>
        </w:rPr>
        <w:t xml:space="preserve"> </w:t>
      </w:r>
      <w:r w:rsidR="008D3CC1" w:rsidRPr="008D3CC1">
        <w:rPr>
          <w:sz w:val="22"/>
        </w:rPr>
        <w:t>agriculture department</w:t>
      </w:r>
      <w:r w:rsidRPr="00BF1390">
        <w:rPr>
          <w:sz w:val="22"/>
        </w:rPr>
        <w:t>. The website should centralise all information on the NBC, its committees and their activities. Key policy frameworks, agreements and reports of the NBC should be made public on the site.</w:t>
      </w:r>
    </w:p>
    <w:p w14:paraId="16788A34" w14:textId="37F7088E" w:rsidR="00A77170" w:rsidRDefault="00A77170" w:rsidP="00A77170">
      <w:pPr>
        <w:pStyle w:val="Heading4"/>
      </w:pPr>
      <w:r>
        <w:t>Commitment</w:t>
      </w:r>
      <w:r w:rsidR="003C6172">
        <w:t>s</w:t>
      </w:r>
      <w:r>
        <w:t xml:space="preserve"> and accountability</w:t>
      </w:r>
    </w:p>
    <w:p w14:paraId="621CC1E9" w14:textId="77777777" w:rsidR="00ED11A2" w:rsidRDefault="00ED11A2" w:rsidP="00ED11A2">
      <w:r>
        <w:lastRenderedPageBreak/>
        <w:t xml:space="preserve">The success of the national biosecurity system depends on all governments meeting their ‘core’ or ‘normal’ commitments under the IGAB and the various emergency response deeds. However, recent reports have indicated that reductions </w:t>
      </w:r>
      <w:r w:rsidRPr="00CA5498">
        <w:t>in consolidated revenue budget allocations</w:t>
      </w:r>
      <w:r>
        <w:t xml:space="preserve"> have compromised the ability of some jurisdictions to meet those commitments and to collaborate on significant national biosecurity policy initiatives under the IGAB, which are designed to create a more effective and sustainable national system.</w:t>
      </w:r>
    </w:p>
    <w:p w14:paraId="2E29DF14" w14:textId="5B51BCC7" w:rsidR="003D336E" w:rsidRDefault="00ED11A2" w:rsidP="00ED11A2">
      <w:r>
        <w:t xml:space="preserve">For example, the August 2015 </w:t>
      </w:r>
      <w:r w:rsidR="005B3104">
        <w:t>report by the Victorian Auditor-</w:t>
      </w:r>
      <w:r w:rsidRPr="00150693">
        <w:t>General (</w:t>
      </w:r>
      <w:hyperlink w:anchor="VAGO_2015" w:history="1">
        <w:r w:rsidRPr="00F568CE">
          <w:rPr>
            <w:rStyle w:val="Hyperlink"/>
          </w:rPr>
          <w:t>VAGO 2015</w:t>
        </w:r>
      </w:hyperlink>
      <w:r w:rsidRPr="00150693">
        <w:t xml:space="preserve">) found that funding for core livestock biosecurity activities </w:t>
      </w:r>
      <w:r w:rsidR="00A8440A">
        <w:t>in Victoria had decreased by 49 </w:t>
      </w:r>
      <w:r w:rsidRPr="00150693">
        <w:t>per</w:t>
      </w:r>
      <w:r w:rsidR="00A8440A">
        <w:t> </w:t>
      </w:r>
      <w:r w:rsidRPr="00150693">
        <w:t xml:space="preserve">cent over the last five years. This has weakened Victoria’s capacity to detect, prepare for and respond to emergency animal disease outbreaks, which can have devastating economic impacts. The 2015 Queensland biosecurity capability </w:t>
      </w:r>
      <w:r w:rsidRPr="00F568CE">
        <w:t>review (</w:t>
      </w:r>
      <w:hyperlink w:anchor="Brooks_2015" w:history="1">
        <w:r w:rsidRPr="00F568CE">
          <w:rPr>
            <w:rStyle w:val="Hyperlink"/>
          </w:rPr>
          <w:t>Brooks et al. 2015</w:t>
        </w:r>
      </w:hyperlink>
      <w:r w:rsidRPr="00F568CE">
        <w:t>) found</w:t>
      </w:r>
      <w:r w:rsidRPr="00150693">
        <w:t xml:space="preserve"> that the increasing number, scale and scope of exotic pests and disease threats would </w:t>
      </w:r>
      <w:r w:rsidR="005B3104">
        <w:t xml:space="preserve">be </w:t>
      </w:r>
      <w:r w:rsidRPr="00150693">
        <w:t>likely</w:t>
      </w:r>
      <w:r w:rsidR="005B3104">
        <w:t xml:space="preserve"> to</w:t>
      </w:r>
      <w:r w:rsidRPr="00150693">
        <w:t xml:space="preserve"> exceed</w:t>
      </w:r>
      <w:r>
        <w:t xml:space="preserve"> Biosecurity Queensland’s resources and capacity. Other jurisdictions have reported similar reductions in resourcing and identified associated increases in risk. The Australian Capital Territory has indicated that</w:t>
      </w:r>
      <w:r w:rsidR="005B3104">
        <w:t>,</w:t>
      </w:r>
      <w:r>
        <w:t xml:space="preserve"> due to its size, location and land tenure</w:t>
      </w:r>
      <w:r w:rsidRPr="00CA5498">
        <w:t>, it works</w:t>
      </w:r>
      <w:r>
        <w:t xml:space="preserve"> closely with New South Wales to assist with delivery of biosecurity related to agricultural production.</w:t>
      </w:r>
    </w:p>
    <w:p w14:paraId="734C0D58" w14:textId="718EA9E5" w:rsidR="00B47ADE" w:rsidRDefault="005B3104" w:rsidP="00ED11A2">
      <w:r>
        <w:t>The Northern Territory G</w:t>
      </w:r>
      <w:r w:rsidR="003D336E">
        <w:t>overnment highlighted the importance of more formal arrangements with the Northern Australia Quarantine Strategy (NAQS), including via a</w:t>
      </w:r>
      <w:r>
        <w:t>n</w:t>
      </w:r>
      <w:r w:rsidR="003D336E">
        <w:t xml:space="preserve"> MoU, to help ensure more support for the Northern Territory </w:t>
      </w:r>
      <w:r>
        <w:t xml:space="preserve">in </w:t>
      </w:r>
      <w:r w:rsidR="003D336E">
        <w:t>meeting its biosecurity obligations.</w:t>
      </w:r>
    </w:p>
    <w:p w14:paraId="55431C7A" w14:textId="19D03115" w:rsidR="00ED11A2" w:rsidRDefault="00A13328" w:rsidP="00ED11A2">
      <w:r>
        <w:t>The NBC members are rightly concerned that there is no material reduction in the combined or individual ability of jurisdictions to meet biosecurity responsibilities under the IGAB; or for industry under the emergency response deeds. However, there are no national mechanisms in place for ongoing accountability among jurisdictions.</w:t>
      </w:r>
    </w:p>
    <w:p w14:paraId="0AA84D1D" w14:textId="38359F25" w:rsidR="00ED11A2" w:rsidRDefault="00ED11A2" w:rsidP="00ED11A2">
      <w:r w:rsidRPr="00815F51">
        <w:t xml:space="preserve">The </w:t>
      </w:r>
      <w:r w:rsidR="005B3104">
        <w:t>p</w:t>
      </w:r>
      <w:r w:rsidRPr="00815F51">
        <w:t xml:space="preserve">anel recommends </w:t>
      </w:r>
      <w:r w:rsidR="005B3104">
        <w:t xml:space="preserve">that </w:t>
      </w:r>
      <w:r w:rsidRPr="00815F51">
        <w:t xml:space="preserve">governments establish an independent IGAB Evaluation Program to provide the Australian community </w:t>
      </w:r>
      <w:r w:rsidR="005B3104">
        <w:t xml:space="preserve">with </w:t>
      </w:r>
      <w:r w:rsidRPr="00815F51">
        <w:t>a structured assessment of the performance of each jurisdiction, including the Australian Government, in meeting its commitments under the IGAB. These evaluations would be included in the list of priorities for the next five years under IGAB2. Jurisdictions’ commitments and other metrics for evaluation would be detailed by the NBC. These commitments and the evaluation process should acknowledge the operational constrain</w:t>
      </w:r>
      <w:r w:rsidR="005B3104">
        <w:t>ts of the smaller jurisdictions—f</w:t>
      </w:r>
      <w:r w:rsidRPr="00815F51">
        <w:t>or example, the Australian Ca</w:t>
      </w:r>
      <w:r w:rsidR="005B3104">
        <w:t>pital Territory</w:t>
      </w:r>
      <w:r w:rsidRPr="00815F51">
        <w:t xml:space="preserve"> relative to its neighbour, New South Wales.</w:t>
      </w:r>
    </w:p>
    <w:p w14:paraId="75A30E60" w14:textId="42A24B51" w:rsidR="00ED11A2" w:rsidRDefault="00ED11A2" w:rsidP="00ED11A2">
      <w:r>
        <w:lastRenderedPageBreak/>
        <w:t>Such evaluations can provide new insights and an independent or expert perspective. T</w:t>
      </w:r>
      <w:r w:rsidR="005B3104">
        <w:t>hey are not punitive assessment</w:t>
      </w:r>
      <w:r w:rsidR="009217CF">
        <w:t>s</w:t>
      </w:r>
      <w:r w:rsidR="005B3104">
        <w:t>;</w:t>
      </w:r>
      <w:r>
        <w:t xml:space="preserve"> rather, they are designed to be facilitative and build capability and help manage risks and, importantly, promulgate the lessons learned among the jurisdictions. Further, they are not intended to replace the periodic capability reviews self-initiated by jurisdictions.</w:t>
      </w:r>
    </w:p>
    <w:p w14:paraId="0B6B6599" w14:textId="3C88E275" w:rsidR="00ED11A2" w:rsidRDefault="00ED11A2" w:rsidP="00ED11A2">
      <w:r>
        <w:t>AGSOC should be the body that establishes and provides oversight to the independent IGAB Evaluation Program. All jurisdictions should be reviewed within the period of the next IGAB</w:t>
      </w:r>
      <w:r w:rsidR="005B3104">
        <w:t>,</w:t>
      </w:r>
      <w:r>
        <w:t xml:space="preserve"> so the evaluations should be targeted and time-limited. The evaluations should be conducted as an external review by independent assessors.</w:t>
      </w:r>
    </w:p>
    <w:p w14:paraId="322567A3" w14:textId="074BA693" w:rsidR="00ED11A2" w:rsidRDefault="00ED11A2" w:rsidP="00ED11A2">
      <w:r>
        <w:t>There is significant value in these evaluations being publicly available</w:t>
      </w:r>
      <w:r w:rsidR="005B3104">
        <w:t>;</w:t>
      </w:r>
      <w:r>
        <w:t xml:space="preserve"> however, there are likely to be trade sensitivities, for example, which, if made public, would not be in the national interest. AGSOC should give some consideration to the public release </w:t>
      </w:r>
      <w:r w:rsidRPr="005803BC">
        <w:t xml:space="preserve">of full evaluation reports or a comprehensive summary. The </w:t>
      </w:r>
      <w:r w:rsidR="005B3104">
        <w:t>p</w:t>
      </w:r>
      <w:r w:rsidRPr="005803BC">
        <w:t>anel’s preference would be for the release of the full reports.</w:t>
      </w:r>
    </w:p>
    <w:p w14:paraId="6005B5E0" w14:textId="75B29406" w:rsidR="00ED11A2" w:rsidRDefault="00ED11A2" w:rsidP="00ED11A2">
      <w:r>
        <w:t xml:space="preserve">The </w:t>
      </w:r>
      <w:r w:rsidR="005B3104">
        <w:t>p</w:t>
      </w:r>
      <w:r>
        <w:t xml:space="preserve">anel notes the commitment within the IGAB (Schedule 1, </w:t>
      </w:r>
      <w:r w:rsidR="003D583F">
        <w:t>clause</w:t>
      </w:r>
      <w:r>
        <w:t xml:space="preserve"> 5.1) that the NBC must report annually to ministers responsible for biosecurity on implementation </w:t>
      </w:r>
      <w:r w:rsidR="00FB38D3">
        <w:t xml:space="preserve">of </w:t>
      </w:r>
      <w:r>
        <w:t>the activities c</w:t>
      </w:r>
      <w:r w:rsidR="005B3104">
        <w:t>arried out under the IGAB. The p</w:t>
      </w:r>
      <w:r>
        <w:t xml:space="preserve">anel is aware that reports were provided to AGSOC and AGMIN in accordance with this clause in 2015 and 2016 only, but these reports are not yet public. </w:t>
      </w:r>
    </w:p>
    <w:p w14:paraId="585B327B" w14:textId="0EFF779D" w:rsidR="00ED11A2" w:rsidRDefault="00ED11A2" w:rsidP="00ED11A2">
      <w:r w:rsidRPr="00A2083D">
        <w:t xml:space="preserve">The </w:t>
      </w:r>
      <w:r w:rsidR="005B3104">
        <w:t>p</w:t>
      </w:r>
      <w:r w:rsidR="00196EAA">
        <w:t>anel re</w:t>
      </w:r>
      <w:r w:rsidRPr="00A2083D">
        <w:t xml:space="preserve">affirms this important commitment. </w:t>
      </w:r>
      <w:r>
        <w:t xml:space="preserve">The </w:t>
      </w:r>
      <w:r w:rsidRPr="00A2083D">
        <w:t xml:space="preserve">NBC should report annually to AGMIN about its work program and implementation of the priority reform areas under the IGAB. Such reports should be concise and publicly available. The public report could usefully present national system data and information in the form of a National Biosecurity System at a Glance summary document, including the available data and information </w:t>
      </w:r>
      <w:r w:rsidR="00501A83">
        <w:t xml:space="preserve">listed in </w:t>
      </w:r>
      <w:r w:rsidR="00F568CE">
        <w:rPr>
          <w:highlight w:val="yellow"/>
        </w:rPr>
        <w:fldChar w:fldCharType="begin"/>
      </w:r>
      <w:r w:rsidR="00F568CE">
        <w:instrText xml:space="preserve"> REF _Ref482182116 \h </w:instrText>
      </w:r>
      <w:r w:rsidR="00F568CE">
        <w:rPr>
          <w:highlight w:val="yellow"/>
        </w:rPr>
      </w:r>
      <w:r w:rsidR="00F568CE">
        <w:rPr>
          <w:highlight w:val="yellow"/>
        </w:rPr>
        <w:fldChar w:fldCharType="separate"/>
      </w:r>
      <w:r w:rsidR="009F6923">
        <w:t xml:space="preserve">Table </w:t>
      </w:r>
      <w:r w:rsidR="009F6923">
        <w:rPr>
          <w:noProof/>
        </w:rPr>
        <w:t>6</w:t>
      </w:r>
      <w:r w:rsidR="00F568CE">
        <w:rPr>
          <w:highlight w:val="yellow"/>
        </w:rPr>
        <w:fldChar w:fldCharType="end"/>
      </w:r>
      <w:r w:rsidRPr="00A2083D">
        <w:t xml:space="preserve"> and highlight other achievements</w:t>
      </w:r>
      <w:r w:rsidR="00B67765">
        <w:t>,</w:t>
      </w:r>
      <w:r w:rsidRPr="00A2083D">
        <w:t xml:space="preserve"> which may, for example, include efforts to streamline and improve the efficiency of the national arrangements.</w:t>
      </w:r>
    </w:p>
    <w:p w14:paraId="11C3315F" w14:textId="3E324FFF" w:rsidR="00ED11A2" w:rsidRPr="00ED11A2" w:rsidRDefault="00ED11A2" w:rsidP="00075973">
      <w:pPr>
        <w:pStyle w:val="Caption"/>
        <w:keepLines/>
      </w:pPr>
      <w:bookmarkStart w:id="142" w:name="_Ref482182116"/>
      <w:r>
        <w:t xml:space="preserve">Table </w:t>
      </w:r>
      <w:fldSimple w:instr=" SEQ Table \* ARABIC ">
        <w:r w:rsidR="009F6923">
          <w:rPr>
            <w:noProof/>
          </w:rPr>
          <w:t>6</w:t>
        </w:r>
      </w:fldSimple>
      <w:bookmarkEnd w:id="142"/>
      <w:r w:rsidRPr="00ED11A2">
        <w:t xml:space="preserve"> The National Biosecurity System at a </w:t>
      </w:r>
      <w:r w:rsidR="003B5184">
        <w:t>G</w:t>
      </w:r>
      <w:r w:rsidRPr="00ED11A2">
        <w:t>lance</w:t>
      </w:r>
      <w:r w:rsidR="003B5184">
        <w:t xml:space="preserve"> (</w:t>
      </w:r>
      <w:r w:rsidR="003B5184" w:rsidRPr="00BF4186">
        <w:t>proposed inclusions</w:t>
      </w:r>
      <w:r w:rsidR="003B5184">
        <w:t>)</w:t>
      </w:r>
    </w:p>
    <w:tbl>
      <w:tblPr>
        <w:tblStyle w:val="TableGrid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7"/>
      </w:tblGrid>
      <w:tr w:rsidR="00ED11A2" w:rsidRPr="00ED11A2" w14:paraId="383BF190" w14:textId="77777777" w:rsidTr="00AA1818">
        <w:trPr>
          <w:tblHeader/>
        </w:trPr>
        <w:tc>
          <w:tcPr>
            <w:tcW w:w="2263" w:type="dxa"/>
            <w:shd w:val="clear" w:color="auto" w:fill="auto"/>
          </w:tcPr>
          <w:p w14:paraId="0849B56C" w14:textId="77777777" w:rsidR="00ED11A2" w:rsidRPr="00ED11A2" w:rsidRDefault="00ED11A2" w:rsidP="00075973">
            <w:pPr>
              <w:pStyle w:val="TableHeading"/>
              <w:keepLines/>
            </w:pPr>
            <w:r w:rsidRPr="00ED11A2">
              <w:t>Section</w:t>
            </w:r>
          </w:p>
        </w:tc>
        <w:tc>
          <w:tcPr>
            <w:tcW w:w="6797" w:type="dxa"/>
            <w:shd w:val="clear" w:color="auto" w:fill="auto"/>
          </w:tcPr>
          <w:p w14:paraId="0EC1B4A6" w14:textId="77777777" w:rsidR="00ED11A2" w:rsidRPr="00ED11A2" w:rsidRDefault="00ED11A2" w:rsidP="00075973">
            <w:pPr>
              <w:pStyle w:val="TableHeading"/>
              <w:keepLines/>
              <w:rPr>
                <w:lang w:eastAsia="ja-JP"/>
              </w:rPr>
            </w:pPr>
            <w:r w:rsidRPr="00ED11A2">
              <w:rPr>
                <w:lang w:eastAsia="ja-JP"/>
              </w:rPr>
              <w:t>System metrics</w:t>
            </w:r>
          </w:p>
        </w:tc>
      </w:tr>
      <w:tr w:rsidR="00ED11A2" w:rsidRPr="00ED11A2" w14:paraId="1803462F" w14:textId="77777777" w:rsidTr="00ED11A2">
        <w:tc>
          <w:tcPr>
            <w:tcW w:w="2263" w:type="dxa"/>
          </w:tcPr>
          <w:p w14:paraId="6EAEF00F" w14:textId="77777777" w:rsidR="00ED11A2" w:rsidRPr="00ED11A2" w:rsidRDefault="00ED11A2" w:rsidP="00075973">
            <w:pPr>
              <w:pStyle w:val="TableText"/>
              <w:keepNext/>
              <w:keepLines/>
            </w:pPr>
            <w:r w:rsidRPr="00ED11A2">
              <w:t>Trade, tourism and transactions</w:t>
            </w:r>
          </w:p>
          <w:p w14:paraId="483C6BFB" w14:textId="77777777" w:rsidR="00ED11A2" w:rsidRPr="00ED11A2" w:rsidRDefault="00ED11A2" w:rsidP="00075973">
            <w:pPr>
              <w:pStyle w:val="TableText"/>
              <w:keepNext/>
              <w:keepLines/>
            </w:pPr>
          </w:p>
        </w:tc>
        <w:tc>
          <w:tcPr>
            <w:tcW w:w="6797" w:type="dxa"/>
          </w:tcPr>
          <w:p w14:paraId="510751D3" w14:textId="77777777" w:rsidR="00ED11A2" w:rsidRPr="00ED11A2" w:rsidRDefault="00ED11A2" w:rsidP="00075973">
            <w:pPr>
              <w:pStyle w:val="TableBullet"/>
              <w:keepNext/>
              <w:keepLines/>
              <w:rPr>
                <w:lang w:eastAsia="ja-JP"/>
              </w:rPr>
            </w:pPr>
            <w:r w:rsidRPr="00ED11A2">
              <w:rPr>
                <w:lang w:eastAsia="ja-JP"/>
              </w:rPr>
              <w:t>volume and value of imports (goods/merchandise)</w:t>
            </w:r>
          </w:p>
          <w:p w14:paraId="20DAFD19" w14:textId="77777777" w:rsidR="00ED11A2" w:rsidRPr="00ED11A2" w:rsidRDefault="00ED11A2" w:rsidP="00075973">
            <w:pPr>
              <w:pStyle w:val="TableBullet"/>
              <w:keepNext/>
              <w:keepLines/>
              <w:rPr>
                <w:lang w:eastAsia="ja-JP"/>
              </w:rPr>
            </w:pPr>
            <w:r w:rsidRPr="00ED11A2">
              <w:rPr>
                <w:lang w:eastAsia="ja-JP"/>
              </w:rPr>
              <w:t>gross value of agricultural production</w:t>
            </w:r>
          </w:p>
          <w:p w14:paraId="0C2C5BB6" w14:textId="77777777" w:rsidR="00ED11A2" w:rsidRPr="00ED11A2" w:rsidRDefault="00ED11A2" w:rsidP="00075973">
            <w:pPr>
              <w:pStyle w:val="TableBullet"/>
              <w:keepNext/>
              <w:keepLines/>
              <w:rPr>
                <w:lang w:eastAsia="ja-JP"/>
              </w:rPr>
            </w:pPr>
            <w:r w:rsidRPr="00ED11A2">
              <w:rPr>
                <w:lang w:eastAsia="ja-JP"/>
              </w:rPr>
              <w:t>volume and value of agricultural exports</w:t>
            </w:r>
          </w:p>
          <w:p w14:paraId="1CC70E5D" w14:textId="77777777" w:rsidR="00ED11A2" w:rsidRPr="00ED11A2" w:rsidRDefault="00ED11A2" w:rsidP="00075973">
            <w:pPr>
              <w:pStyle w:val="TableBullet"/>
              <w:keepNext/>
              <w:keepLines/>
              <w:rPr>
                <w:lang w:eastAsia="ja-JP"/>
              </w:rPr>
            </w:pPr>
            <w:r w:rsidRPr="00ED11A2">
              <w:rPr>
                <w:lang w:eastAsia="ja-JP"/>
              </w:rPr>
              <w:t>inbound passenger numbers (air and sea) and inbound and domestic tourism numbers and expenditure</w:t>
            </w:r>
          </w:p>
          <w:p w14:paraId="1B7ED6EF" w14:textId="77777777" w:rsidR="00ED11A2" w:rsidRPr="00ED11A2" w:rsidRDefault="00ED11A2" w:rsidP="00075973">
            <w:pPr>
              <w:pStyle w:val="TableBullet"/>
              <w:keepNext/>
              <w:keepLines/>
              <w:rPr>
                <w:lang w:eastAsia="ja-JP"/>
              </w:rPr>
            </w:pPr>
            <w:r w:rsidRPr="00ED11A2">
              <w:rPr>
                <w:lang w:eastAsia="ja-JP"/>
              </w:rPr>
              <w:t>number of cargo consignments (air and sea)</w:t>
            </w:r>
          </w:p>
          <w:p w14:paraId="6C085DCC" w14:textId="77777777" w:rsidR="00ED11A2" w:rsidRPr="00ED11A2" w:rsidRDefault="00ED11A2" w:rsidP="00075973">
            <w:pPr>
              <w:pStyle w:val="TableBullet"/>
              <w:keepNext/>
              <w:keepLines/>
            </w:pPr>
            <w:r w:rsidRPr="00ED11A2">
              <w:rPr>
                <w:lang w:eastAsia="ja-JP"/>
              </w:rPr>
              <w:t>number of international mail</w:t>
            </w:r>
          </w:p>
        </w:tc>
      </w:tr>
      <w:tr w:rsidR="00ED11A2" w:rsidRPr="00ED11A2" w14:paraId="40BD3BAC" w14:textId="77777777" w:rsidTr="00ED11A2">
        <w:tc>
          <w:tcPr>
            <w:tcW w:w="2263" w:type="dxa"/>
          </w:tcPr>
          <w:p w14:paraId="50A84247" w14:textId="77777777" w:rsidR="00ED11A2" w:rsidRPr="00ED11A2" w:rsidRDefault="00ED11A2" w:rsidP="00075973">
            <w:pPr>
              <w:pStyle w:val="TableText"/>
              <w:keepNext/>
              <w:keepLines/>
            </w:pPr>
            <w:r w:rsidRPr="00ED11A2">
              <w:lastRenderedPageBreak/>
              <w:t>Shared responsibility (descriptive)</w:t>
            </w:r>
          </w:p>
          <w:p w14:paraId="62038963" w14:textId="77777777" w:rsidR="00ED11A2" w:rsidRPr="00ED11A2" w:rsidRDefault="00ED11A2" w:rsidP="00075973">
            <w:pPr>
              <w:pStyle w:val="TableText"/>
              <w:keepNext/>
              <w:keepLines/>
            </w:pPr>
          </w:p>
        </w:tc>
        <w:tc>
          <w:tcPr>
            <w:tcW w:w="6797" w:type="dxa"/>
          </w:tcPr>
          <w:p w14:paraId="3CBA94E0" w14:textId="77777777" w:rsidR="00ED11A2" w:rsidRPr="00ED11A2" w:rsidRDefault="00ED11A2" w:rsidP="00075973">
            <w:pPr>
              <w:pStyle w:val="TableBullet"/>
              <w:keepNext/>
              <w:keepLines/>
              <w:rPr>
                <w:lang w:eastAsia="ja-JP"/>
              </w:rPr>
            </w:pPr>
            <w:r w:rsidRPr="00ED11A2">
              <w:rPr>
                <w:lang w:eastAsia="ja-JP"/>
              </w:rPr>
              <w:t>roles and responsibilities of system participants</w:t>
            </w:r>
          </w:p>
          <w:p w14:paraId="5CEE1D28" w14:textId="77777777" w:rsidR="00ED11A2" w:rsidRPr="00ED11A2" w:rsidRDefault="00ED11A2" w:rsidP="00075973">
            <w:pPr>
              <w:pStyle w:val="TableBullet"/>
              <w:keepNext/>
              <w:keepLines/>
              <w:rPr>
                <w:lang w:eastAsia="ja-JP"/>
              </w:rPr>
            </w:pPr>
            <w:r w:rsidRPr="00ED11A2">
              <w:rPr>
                <w:lang w:eastAsia="ja-JP"/>
              </w:rPr>
              <w:t>jurisdictional core commitments under the IGAB</w:t>
            </w:r>
          </w:p>
          <w:p w14:paraId="35E161D2" w14:textId="1E23E7B1" w:rsidR="00ED11A2" w:rsidRPr="00ED11A2" w:rsidRDefault="00ED11A2" w:rsidP="00075973">
            <w:pPr>
              <w:pStyle w:val="TableBullet"/>
              <w:keepNext/>
              <w:keepLines/>
              <w:rPr>
                <w:lang w:eastAsia="ja-JP"/>
              </w:rPr>
            </w:pPr>
            <w:r w:rsidRPr="00ED11A2">
              <w:rPr>
                <w:lang w:eastAsia="ja-JP"/>
              </w:rPr>
              <w:t>industry</w:t>
            </w:r>
            <w:r w:rsidR="001742E4">
              <w:rPr>
                <w:lang w:eastAsia="ja-JP"/>
              </w:rPr>
              <w:t>’s</w:t>
            </w:r>
            <w:r w:rsidRPr="00ED11A2">
              <w:rPr>
                <w:lang w:eastAsia="ja-JP"/>
              </w:rPr>
              <w:t xml:space="preserve"> and jurisdictions</w:t>
            </w:r>
            <w:r w:rsidR="001742E4">
              <w:rPr>
                <w:lang w:eastAsia="ja-JP"/>
              </w:rPr>
              <w:t>’</w:t>
            </w:r>
            <w:r w:rsidRPr="00ED11A2">
              <w:rPr>
                <w:lang w:eastAsia="ja-JP"/>
              </w:rPr>
              <w:t xml:space="preserve"> core commitments under emergency response deeds</w:t>
            </w:r>
          </w:p>
          <w:p w14:paraId="22728A69" w14:textId="77777777" w:rsidR="00ED11A2" w:rsidRPr="00ED11A2" w:rsidRDefault="00ED11A2" w:rsidP="00075973">
            <w:pPr>
              <w:pStyle w:val="TableBullet"/>
              <w:keepNext/>
              <w:keepLines/>
              <w:rPr>
                <w:lang w:eastAsia="ja-JP"/>
              </w:rPr>
            </w:pPr>
            <w:r w:rsidRPr="00ED11A2">
              <w:rPr>
                <w:lang w:eastAsia="ja-JP"/>
              </w:rPr>
              <w:t>compliance rate for exporters, passengers and mail</w:t>
            </w:r>
          </w:p>
          <w:p w14:paraId="1F349ECF" w14:textId="77777777" w:rsidR="00ED11A2" w:rsidRPr="00ED11A2" w:rsidRDefault="00ED11A2" w:rsidP="00075973">
            <w:pPr>
              <w:pStyle w:val="TableBullet"/>
              <w:keepNext/>
              <w:keepLines/>
            </w:pPr>
            <w:r w:rsidRPr="00ED11A2">
              <w:rPr>
                <w:lang w:eastAsia="ja-JP"/>
              </w:rPr>
              <w:t>public awareness of biosecurity risks and obligations</w:t>
            </w:r>
          </w:p>
        </w:tc>
      </w:tr>
      <w:tr w:rsidR="00ED11A2" w:rsidRPr="00ED11A2" w14:paraId="037712FE" w14:textId="77777777" w:rsidTr="00ED11A2">
        <w:trPr>
          <w:trHeight w:val="545"/>
        </w:trPr>
        <w:tc>
          <w:tcPr>
            <w:tcW w:w="2263" w:type="dxa"/>
          </w:tcPr>
          <w:p w14:paraId="36A71279" w14:textId="77777777" w:rsidR="00ED11A2" w:rsidRPr="00ED11A2" w:rsidRDefault="00ED11A2" w:rsidP="00075973">
            <w:pPr>
              <w:pStyle w:val="TableText"/>
            </w:pPr>
            <w:r w:rsidRPr="00ED11A2">
              <w:t>Market access</w:t>
            </w:r>
          </w:p>
        </w:tc>
        <w:tc>
          <w:tcPr>
            <w:tcW w:w="6797" w:type="dxa"/>
          </w:tcPr>
          <w:p w14:paraId="427C6F65" w14:textId="77777777" w:rsidR="00ED11A2" w:rsidRPr="00ED11A2" w:rsidRDefault="00ED11A2" w:rsidP="00075973">
            <w:pPr>
              <w:pStyle w:val="TableBullet"/>
            </w:pPr>
            <w:r w:rsidRPr="00ED11A2">
              <w:t>market access (value) enabled by Australia’s pest and disease status</w:t>
            </w:r>
          </w:p>
          <w:p w14:paraId="3ACA3B73" w14:textId="77777777" w:rsidR="00ED11A2" w:rsidRPr="00ED11A2" w:rsidRDefault="00ED11A2" w:rsidP="00075973">
            <w:pPr>
              <w:pStyle w:val="TableBullet"/>
            </w:pPr>
            <w:r w:rsidRPr="00ED11A2">
              <w:t>market access (value) enabled by accepted proof of freedom demonstrations</w:t>
            </w:r>
          </w:p>
          <w:p w14:paraId="7B5788BC" w14:textId="6C99C9A6" w:rsidR="00ED11A2" w:rsidRPr="00ED11A2" w:rsidRDefault="00ED11A2" w:rsidP="00075973">
            <w:pPr>
              <w:pStyle w:val="TableBullet"/>
            </w:pPr>
            <w:r w:rsidRPr="00ED11A2">
              <w:t xml:space="preserve">number of markets gained, maintained and lost due </w:t>
            </w:r>
            <w:r w:rsidR="00442BF8">
              <w:t>to</w:t>
            </w:r>
            <w:r w:rsidR="00442BF8" w:rsidRPr="00ED11A2">
              <w:t xml:space="preserve"> </w:t>
            </w:r>
            <w:r w:rsidRPr="00ED11A2">
              <w:t>biosecurity grounds</w:t>
            </w:r>
          </w:p>
          <w:p w14:paraId="68258BF5" w14:textId="3B24A9E3" w:rsidR="00ED11A2" w:rsidRPr="00ED11A2" w:rsidRDefault="00ED11A2" w:rsidP="00B41206">
            <w:pPr>
              <w:pStyle w:val="TableBullet"/>
            </w:pPr>
            <w:r w:rsidRPr="00ED11A2">
              <w:t xml:space="preserve">value of markets gained, maintained, and lost due </w:t>
            </w:r>
            <w:r w:rsidR="00B41206">
              <w:t>t</w:t>
            </w:r>
            <w:r w:rsidRPr="00ED11A2">
              <w:t>o biosecurity grounds</w:t>
            </w:r>
          </w:p>
        </w:tc>
      </w:tr>
      <w:tr w:rsidR="00ED11A2" w:rsidRPr="00ED11A2" w14:paraId="352A80F9" w14:textId="77777777" w:rsidTr="00ED11A2">
        <w:tc>
          <w:tcPr>
            <w:tcW w:w="2263" w:type="dxa"/>
          </w:tcPr>
          <w:p w14:paraId="0A205DB6" w14:textId="77777777" w:rsidR="00ED11A2" w:rsidRPr="00ED11A2" w:rsidRDefault="00ED11A2" w:rsidP="00075973">
            <w:pPr>
              <w:pStyle w:val="TableText"/>
            </w:pPr>
            <w:r w:rsidRPr="00ED11A2">
              <w:t>Funding and investment</w:t>
            </w:r>
          </w:p>
        </w:tc>
        <w:tc>
          <w:tcPr>
            <w:tcW w:w="6797" w:type="dxa"/>
          </w:tcPr>
          <w:p w14:paraId="16B7D4E1" w14:textId="77777777" w:rsidR="00ED11A2" w:rsidRPr="00ED11A2" w:rsidRDefault="00ED11A2" w:rsidP="00075973">
            <w:pPr>
              <w:pStyle w:val="TableBullet"/>
            </w:pPr>
            <w:r w:rsidRPr="00ED11A2">
              <w:t>total investment in biosecurity (all governments; industries, community)</w:t>
            </w:r>
          </w:p>
          <w:p w14:paraId="256E7356" w14:textId="0433EF61" w:rsidR="00ED11A2" w:rsidRPr="00ED11A2" w:rsidRDefault="00B038C7" w:rsidP="00075973">
            <w:pPr>
              <w:pStyle w:val="TableBullet"/>
            </w:pPr>
            <w:r>
              <w:t>cost-</w:t>
            </w:r>
            <w:r w:rsidR="00ED11A2" w:rsidRPr="00ED11A2">
              <w:t>recovery levels for government biosecurity services in each jurisdiction</w:t>
            </w:r>
          </w:p>
          <w:p w14:paraId="194B7B8B" w14:textId="77777777" w:rsidR="00ED11A2" w:rsidRPr="00ED11A2" w:rsidRDefault="00ED11A2" w:rsidP="00075973">
            <w:pPr>
              <w:pStyle w:val="TableBullet"/>
            </w:pPr>
            <w:r w:rsidRPr="00ED11A2">
              <w:t>annual cost of emergency responses (total for all system participants, total government)</w:t>
            </w:r>
          </w:p>
          <w:p w14:paraId="7FCF3A0A" w14:textId="77777777" w:rsidR="00ED11A2" w:rsidRPr="00ED11A2" w:rsidRDefault="00ED11A2" w:rsidP="00075973">
            <w:pPr>
              <w:pStyle w:val="TableBullet"/>
            </w:pPr>
            <w:r w:rsidRPr="00ED11A2">
              <w:t>examples of risk return assessments</w:t>
            </w:r>
          </w:p>
          <w:p w14:paraId="4BF29AD3" w14:textId="36E4C0AC" w:rsidR="00ED11A2" w:rsidRPr="00ED11A2" w:rsidRDefault="00ED11A2" w:rsidP="0027124E">
            <w:pPr>
              <w:pStyle w:val="TableBullet"/>
            </w:pPr>
            <w:r w:rsidRPr="00ED11A2">
              <w:t xml:space="preserve">value and proportion of R&amp;D spend on </w:t>
            </w:r>
            <w:r w:rsidR="0027124E">
              <w:t>N</w:t>
            </w:r>
            <w:r w:rsidRPr="00ED11A2">
              <w:t xml:space="preserve">ational </w:t>
            </w:r>
            <w:r w:rsidR="0027124E">
              <w:t>B</w:t>
            </w:r>
            <w:r w:rsidRPr="00ED11A2">
              <w:t xml:space="preserve">iosecurity R&amp;I </w:t>
            </w:r>
            <w:r w:rsidR="0027124E">
              <w:t>P</w:t>
            </w:r>
            <w:r w:rsidRPr="00ED11A2">
              <w:t>riorities</w:t>
            </w:r>
          </w:p>
        </w:tc>
      </w:tr>
      <w:tr w:rsidR="00ED11A2" w:rsidRPr="00ED11A2" w14:paraId="2E6730A3" w14:textId="77777777" w:rsidTr="00ED11A2">
        <w:tc>
          <w:tcPr>
            <w:tcW w:w="2263" w:type="dxa"/>
          </w:tcPr>
          <w:p w14:paraId="3AA28EA6" w14:textId="259601F9" w:rsidR="00ED11A2" w:rsidRPr="00ED11A2" w:rsidRDefault="001742E4" w:rsidP="00075973">
            <w:pPr>
              <w:pStyle w:val="TableText"/>
            </w:pPr>
            <w:r>
              <w:t>National p</w:t>
            </w:r>
            <w:r w:rsidR="00ED11A2" w:rsidRPr="00ED11A2">
              <w:t>riority pests and diseases</w:t>
            </w:r>
          </w:p>
        </w:tc>
        <w:tc>
          <w:tcPr>
            <w:tcW w:w="6797" w:type="dxa"/>
          </w:tcPr>
          <w:p w14:paraId="09474702" w14:textId="5CC44C9B" w:rsidR="00ED11A2" w:rsidRPr="00ED11A2" w:rsidRDefault="00ED11A2" w:rsidP="00075973">
            <w:pPr>
              <w:pStyle w:val="TableBullet"/>
            </w:pPr>
            <w:r w:rsidRPr="00ED11A2">
              <w:t>number of national priority pests and diseases</w:t>
            </w:r>
            <w:r w:rsidR="00E61317">
              <w:t>—</w:t>
            </w:r>
            <w:r w:rsidRPr="00ED11A2">
              <w:t>animal, plant, environment</w:t>
            </w:r>
          </w:p>
          <w:p w14:paraId="0E7BBCE5" w14:textId="77777777" w:rsidR="00ED11A2" w:rsidRPr="00ED11A2" w:rsidRDefault="00ED11A2" w:rsidP="00075973">
            <w:pPr>
              <w:pStyle w:val="TableBullet"/>
            </w:pPr>
            <w:r w:rsidRPr="00ED11A2">
              <w:t>number of national priority pests and diseases with known surveillance, monitoring (including pre-border) and diagnostics programs</w:t>
            </w:r>
          </w:p>
          <w:p w14:paraId="3C0A5444" w14:textId="6B260D6A" w:rsidR="00ED11A2" w:rsidRPr="00ED11A2" w:rsidRDefault="00ED11A2" w:rsidP="00075973">
            <w:pPr>
              <w:pStyle w:val="TableBullet"/>
            </w:pPr>
            <w:r w:rsidRPr="00ED11A2">
              <w:t>number of national priority pests and diseases with cost</w:t>
            </w:r>
            <w:r w:rsidR="001742E4">
              <w:t>-</w:t>
            </w:r>
            <w:r w:rsidRPr="00ED11A2">
              <w:t>sharing arrangements</w:t>
            </w:r>
          </w:p>
          <w:p w14:paraId="734F7B95" w14:textId="19B7049E" w:rsidR="00ED11A2" w:rsidRPr="00ED11A2" w:rsidRDefault="00ED11A2" w:rsidP="00075973">
            <w:pPr>
              <w:pStyle w:val="TableBullet"/>
            </w:pPr>
            <w:r w:rsidRPr="00ED11A2">
              <w:t>number of exotic species detected</w:t>
            </w:r>
            <w:r w:rsidR="00F568CE">
              <w:t xml:space="preserve"> (yearly)</w:t>
            </w:r>
          </w:p>
          <w:p w14:paraId="4B44FCE3" w14:textId="44F6F000" w:rsidR="00ED11A2" w:rsidRPr="00ED11A2" w:rsidRDefault="00ED11A2" w:rsidP="00075973">
            <w:pPr>
              <w:pStyle w:val="TableBullet"/>
            </w:pPr>
            <w:r w:rsidRPr="00ED11A2">
              <w:t>number (and examples) of exotic species detections resolved</w:t>
            </w:r>
            <w:r w:rsidR="00F568CE">
              <w:t xml:space="preserve"> (yearly)</w:t>
            </w:r>
          </w:p>
          <w:p w14:paraId="30A670C0" w14:textId="77777777" w:rsidR="00ED11A2" w:rsidRPr="00ED11A2" w:rsidRDefault="00ED11A2" w:rsidP="00075973">
            <w:pPr>
              <w:pStyle w:val="TableBullet"/>
            </w:pPr>
            <w:r w:rsidRPr="00ED11A2">
              <w:t>examples of time elapsed between suspected detection and diagnosis and decision on action</w:t>
            </w:r>
          </w:p>
          <w:p w14:paraId="7C4038E2" w14:textId="5AA0C8E7" w:rsidR="00ED11A2" w:rsidRPr="00ED11A2" w:rsidRDefault="00ED11A2" w:rsidP="00075973">
            <w:pPr>
              <w:pStyle w:val="TableBullet"/>
            </w:pPr>
            <w:r w:rsidRPr="00ED11A2">
              <w:t>number of incursions of national priority pests or diseases</w:t>
            </w:r>
            <w:r w:rsidR="00F568CE">
              <w:t xml:space="preserve"> (yearly)</w:t>
            </w:r>
          </w:p>
          <w:p w14:paraId="46D32CB7" w14:textId="46C97303" w:rsidR="00ED11A2" w:rsidRPr="00ED11A2" w:rsidRDefault="00ED11A2" w:rsidP="00075973">
            <w:pPr>
              <w:pStyle w:val="TableBullet"/>
            </w:pPr>
            <w:r w:rsidRPr="00ED11A2">
              <w:t>number (and examples) of incursions eradicated/contained/not managed</w:t>
            </w:r>
            <w:r w:rsidR="00F568CE">
              <w:t>/occur</w:t>
            </w:r>
            <w:r w:rsidR="00BF1390">
              <w:t>r</w:t>
            </w:r>
            <w:r w:rsidR="00F568CE">
              <w:t>ence diminished (yearly)</w:t>
            </w:r>
          </w:p>
        </w:tc>
      </w:tr>
    </w:tbl>
    <w:p w14:paraId="133B56EC" w14:textId="77777777" w:rsidR="00ED11A2" w:rsidRDefault="00ED11A2" w:rsidP="00ED11A2"/>
    <w:p w14:paraId="118A59C6" w14:textId="77777777" w:rsidR="00ED11A2" w:rsidRPr="00BF1390" w:rsidRDefault="00ED11A2" w:rsidP="00ED11A2">
      <w:pPr>
        <w:pStyle w:val="BoxHeading"/>
        <w:shd w:val="clear" w:color="auto" w:fill="D9D9D9" w:themeFill="background1" w:themeFillShade="D9"/>
        <w:rPr>
          <w:sz w:val="22"/>
        </w:rPr>
      </w:pPr>
      <w:bookmarkStart w:id="143" w:name="_Ref482710104"/>
      <w:bookmarkStart w:id="144" w:name="_Toc467231876"/>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22</w:t>
      </w:r>
      <w:r w:rsidR="00C72264" w:rsidRPr="00BF1390">
        <w:rPr>
          <w:noProof/>
          <w:sz w:val="22"/>
        </w:rPr>
        <w:fldChar w:fldCharType="end"/>
      </w:r>
      <w:bookmarkEnd w:id="143"/>
    </w:p>
    <w:p w14:paraId="0780244F" w14:textId="37D1C2DE" w:rsidR="00ED11A2" w:rsidRPr="00BF1390" w:rsidRDefault="00ED11A2" w:rsidP="00ED11A2">
      <w:pPr>
        <w:pStyle w:val="BoxText"/>
        <w:shd w:val="clear" w:color="auto" w:fill="D9D9D9" w:themeFill="background1" w:themeFillShade="D9"/>
        <w:rPr>
          <w:sz w:val="22"/>
        </w:rPr>
      </w:pPr>
      <w:r w:rsidRPr="00BF1390">
        <w:rPr>
          <w:sz w:val="22"/>
        </w:rPr>
        <w:t xml:space="preserve">AGSOC should establish and oversee an independent IGAB Evaluation Program to assess and report on implementation of </w:t>
      </w:r>
      <w:r w:rsidRPr="007A47B2">
        <w:rPr>
          <w:sz w:val="22"/>
        </w:rPr>
        <w:t>each jurisdiction</w:t>
      </w:r>
      <w:r w:rsidR="00224B91" w:rsidRPr="007A47B2">
        <w:rPr>
          <w:sz w:val="22"/>
        </w:rPr>
        <w:t>’</w:t>
      </w:r>
      <w:r w:rsidRPr="007A47B2">
        <w:rPr>
          <w:sz w:val="22"/>
        </w:rPr>
        <w:t>s</w:t>
      </w:r>
      <w:r w:rsidRPr="00BF1390">
        <w:rPr>
          <w:sz w:val="22"/>
        </w:rPr>
        <w:t xml:space="preserve"> core commitments under IGAB2. Each evaluation, or a comprehensive summary, should be made public following ministerial consideration.</w:t>
      </w:r>
    </w:p>
    <w:p w14:paraId="5A0F65A3" w14:textId="77777777" w:rsidR="00ED11A2" w:rsidRPr="00BF1390" w:rsidRDefault="00ED11A2" w:rsidP="00ED11A2">
      <w:pPr>
        <w:pStyle w:val="BoxHeading"/>
        <w:shd w:val="clear" w:color="auto" w:fill="D9D9D9" w:themeFill="background1" w:themeFillShade="D9"/>
        <w:rPr>
          <w:sz w:val="22"/>
        </w:rPr>
      </w:pPr>
      <w:bookmarkStart w:id="145" w:name="_Ref482710115"/>
      <w:bookmarkEnd w:id="144"/>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23</w:t>
      </w:r>
      <w:r w:rsidR="00C72264" w:rsidRPr="00BF1390">
        <w:rPr>
          <w:noProof/>
          <w:sz w:val="22"/>
        </w:rPr>
        <w:fldChar w:fldCharType="end"/>
      </w:r>
      <w:bookmarkEnd w:id="145"/>
    </w:p>
    <w:p w14:paraId="3D4CB85B" w14:textId="3213B1EE" w:rsidR="00D97D98" w:rsidRPr="00BF1390" w:rsidRDefault="00ED11A2" w:rsidP="00ED11A2">
      <w:pPr>
        <w:pStyle w:val="BoxText"/>
        <w:shd w:val="clear" w:color="auto" w:fill="D9D9D9" w:themeFill="background1" w:themeFillShade="D9"/>
        <w:rPr>
          <w:sz w:val="22"/>
        </w:rPr>
      </w:pPr>
      <w:r w:rsidRPr="00BF1390">
        <w:rPr>
          <w:sz w:val="22"/>
        </w:rPr>
        <w:t>The NBC should define the ‘core’ or ‘normal’ commitmen</w:t>
      </w:r>
      <w:r w:rsidR="007A47B2">
        <w:rPr>
          <w:sz w:val="22"/>
        </w:rPr>
        <w:t>ts of jurisdictions under IGAB2</w:t>
      </w:r>
      <w:r w:rsidRPr="00BF1390">
        <w:rPr>
          <w:sz w:val="22"/>
        </w:rPr>
        <w:t xml:space="preserve"> for use in the independent IGAB Evaluation Program.</w:t>
      </w:r>
    </w:p>
    <w:p w14:paraId="2BF1D8BB" w14:textId="77777777" w:rsidR="00ED11A2" w:rsidRPr="00BF1390" w:rsidRDefault="00ED11A2" w:rsidP="00BC28A1">
      <w:pPr>
        <w:pStyle w:val="BoxHeading"/>
        <w:keepNext/>
        <w:keepLines/>
        <w:shd w:val="clear" w:color="auto" w:fill="D9D9D9" w:themeFill="background1" w:themeFillShade="D9"/>
        <w:rPr>
          <w:sz w:val="22"/>
        </w:rPr>
      </w:pPr>
      <w:bookmarkStart w:id="146" w:name="_Ref482710127"/>
      <w:r w:rsidRPr="00BF1390">
        <w:rPr>
          <w:sz w:val="22"/>
        </w:rPr>
        <w:lastRenderedPageBreak/>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24</w:t>
      </w:r>
      <w:r w:rsidR="00C72264" w:rsidRPr="00BF1390">
        <w:rPr>
          <w:noProof/>
          <w:sz w:val="22"/>
        </w:rPr>
        <w:fldChar w:fldCharType="end"/>
      </w:r>
      <w:bookmarkEnd w:id="146"/>
    </w:p>
    <w:p w14:paraId="116A2031" w14:textId="321C733B" w:rsidR="00ED11A2" w:rsidRPr="00BF1390" w:rsidRDefault="00ED11A2" w:rsidP="00BC28A1">
      <w:pPr>
        <w:pStyle w:val="BoxText"/>
        <w:keepNext/>
        <w:keepLines/>
        <w:shd w:val="clear" w:color="auto" w:fill="D9D9D9" w:themeFill="background1" w:themeFillShade="D9"/>
        <w:rPr>
          <w:sz w:val="22"/>
        </w:rPr>
      </w:pPr>
      <w:r w:rsidRPr="00BF1390">
        <w:rPr>
          <w:sz w:val="22"/>
        </w:rPr>
        <w:t>The NBC should report annually to AGMIN on its progress against priority reform areas outlined in Chapter 10. The NBC’s annual report should be made public upon ministerial consideration.</w:t>
      </w:r>
    </w:p>
    <w:p w14:paraId="59F038AC" w14:textId="27111E16" w:rsidR="00AD25F0" w:rsidRDefault="00AD25F0" w:rsidP="00AD25F0">
      <w:pPr>
        <w:pStyle w:val="Heading3"/>
      </w:pPr>
      <w:bookmarkStart w:id="147" w:name="_Bringing_others_into"/>
      <w:bookmarkStart w:id="148" w:name="_Toc486236054"/>
      <w:bookmarkEnd w:id="147"/>
      <w:r>
        <w:t xml:space="preserve">Bringing </w:t>
      </w:r>
      <w:r w:rsidR="003A2D9C">
        <w:t>other</w:t>
      </w:r>
      <w:r w:rsidR="003C6172">
        <w:t>s</w:t>
      </w:r>
      <w:r>
        <w:t xml:space="preserve"> into the </w:t>
      </w:r>
      <w:r w:rsidR="003C6172">
        <w:t>fold</w:t>
      </w:r>
      <w:bookmarkEnd w:id="148"/>
    </w:p>
    <w:p w14:paraId="5F40B23B" w14:textId="00C0491A" w:rsidR="00E07062" w:rsidRDefault="00E07062" w:rsidP="00B91BBF">
      <w:r w:rsidRPr="00ED11A2">
        <w:t xml:space="preserve">Throughout this </w:t>
      </w:r>
      <w:r w:rsidR="00D726CA">
        <w:t>r</w:t>
      </w:r>
      <w:r w:rsidRPr="00ED11A2">
        <w:t xml:space="preserve">eview, many stakeholders were critical of the level of engagement with industry and community groups by governments in both the construct and </w:t>
      </w:r>
      <w:r w:rsidR="00D726CA">
        <w:t>implementation of the IGAB:</w:t>
      </w:r>
    </w:p>
    <w:p w14:paraId="766770B2" w14:textId="7347F82F" w:rsidR="00B91BBF" w:rsidRDefault="00B91BBF" w:rsidP="00B91BBF">
      <w:pPr>
        <w:pStyle w:val="Quote"/>
      </w:pPr>
      <w:r>
        <w:t>The IGAB construct is still based on the past 200 years of managing biosecurity across Australia with the participants being restricted to government agencies with the exclusion of other stakeholders. This also extends</w:t>
      </w:r>
      <w:r w:rsidR="00307000">
        <w:t xml:space="preserve"> to the various committees, sub</w:t>
      </w:r>
      <w:r>
        <w:t>committees and working groups that operate under the remit of IGAB</w:t>
      </w:r>
      <w:r w:rsidR="00003A8A">
        <w:t xml:space="preserve"> … </w:t>
      </w:r>
      <w:r>
        <w:t xml:space="preserve">NGIA does not consider ‘engagement or having input’ as being a part of the decision making apparatus as history has shown this is often ‘process’ driven with decisions still made by government to suit government agendas (Nursery and Garden Industry </w:t>
      </w:r>
      <w:r w:rsidRPr="00ED11A2">
        <w:t>Australia sub</w:t>
      </w:r>
      <w:r w:rsidR="00C71ECE" w:rsidRPr="00ED11A2">
        <w:t>. DP23</w:t>
      </w:r>
      <w:r>
        <w:t>)</w:t>
      </w:r>
    </w:p>
    <w:p w14:paraId="795B5645" w14:textId="6A7D562E" w:rsidR="00B91BBF" w:rsidRDefault="00B91BBF" w:rsidP="00B91BBF">
      <w:r>
        <w:t xml:space="preserve">Jurisdictions acknowledge the desire of peak industry bodies and community groups to be part of the biosecurity decision-making process but defend the need for </w:t>
      </w:r>
      <w:r w:rsidR="009828F8">
        <w:t xml:space="preserve">a </w:t>
      </w:r>
      <w:r w:rsidR="00D726CA">
        <w:t>government-</w:t>
      </w:r>
      <w:r>
        <w:t>only agreement in the first instance:</w:t>
      </w:r>
    </w:p>
    <w:p w14:paraId="40098DC7" w14:textId="6E3CB620" w:rsidR="00B91BBF" w:rsidRDefault="00B91BBF" w:rsidP="00B91BBF">
      <w:pPr>
        <w:pStyle w:val="Quote"/>
      </w:pPr>
      <w:r>
        <w:t xml:space="preserve">The IGAB was developed in order to allow Commonwealth, </w:t>
      </w:r>
      <w:r w:rsidR="00D8123E">
        <w:t>s</w:t>
      </w:r>
      <w:r>
        <w:t>tate and territory government</w:t>
      </w:r>
      <w:r w:rsidR="00D8123E">
        <w:t>s</w:t>
      </w:r>
      <w:r>
        <w:t xml:space="preserve"> to agree on what the national biosecurity system should encompass</w:t>
      </w:r>
      <w:r w:rsidR="00003A8A">
        <w:t xml:space="preserve"> … </w:t>
      </w:r>
      <w:r>
        <w:t>The IGAB was not intended to be the only document or mechanism to underpin the national biosecurity system. It was always envisage that there should be a higher level document outlining the national biosecurity system including stakeholders and partnerships (N</w:t>
      </w:r>
      <w:r w:rsidR="009828F8">
        <w:t xml:space="preserve">ew </w:t>
      </w:r>
      <w:r>
        <w:t>S</w:t>
      </w:r>
      <w:r w:rsidR="009828F8">
        <w:t>outh Wales</w:t>
      </w:r>
      <w:r>
        <w:t xml:space="preserve"> Government </w:t>
      </w:r>
      <w:r w:rsidRPr="00ED11A2">
        <w:t>sub</w:t>
      </w:r>
      <w:r w:rsidR="00C71ECE" w:rsidRPr="00ED11A2">
        <w:t>. DP58</w:t>
      </w:r>
      <w:r>
        <w:t>)</w:t>
      </w:r>
    </w:p>
    <w:p w14:paraId="4990D6BF" w14:textId="602255C1" w:rsidR="00B91BBF" w:rsidRDefault="00B91BBF" w:rsidP="00B91BBF">
      <w:pPr>
        <w:pStyle w:val="Quote"/>
      </w:pPr>
      <w:r>
        <w:t xml:space="preserve">The IGAB does not provide a means to adequately address the need to engage with industry and other stakeholders in implementing the national biosecurity system. However, this relationship between government and stakeholders within the national biosecurity system is important and should be captured through other mechanisms, rather than seeking to amend the primary purpose of the IGAB (Australian Government </w:t>
      </w:r>
      <w:r w:rsidRPr="00ED11A2">
        <w:t>sub</w:t>
      </w:r>
      <w:r w:rsidR="00C71ECE" w:rsidRPr="00ED11A2">
        <w:t>. DP65</w:t>
      </w:r>
      <w:r>
        <w:t>)</w:t>
      </w:r>
    </w:p>
    <w:p w14:paraId="6F5B2592" w14:textId="78C2FCFB" w:rsidR="00FB38D3" w:rsidRDefault="00FB38D3" w:rsidP="001312E0">
      <w:r w:rsidRPr="00ED11A2">
        <w:lastRenderedPageBreak/>
        <w:t xml:space="preserve">The </w:t>
      </w:r>
      <w:r w:rsidR="00D726CA">
        <w:t>p</w:t>
      </w:r>
      <w:r w:rsidRPr="00ED11A2">
        <w:t xml:space="preserve">anel strongly supports a greater role for non-government stakeholders in policy design and implementation of national biosecurity arrangements. However, in the </w:t>
      </w:r>
      <w:r w:rsidR="00D726CA">
        <w:t>p</w:t>
      </w:r>
      <w:r w:rsidRPr="00ED11A2">
        <w:t xml:space="preserve">anel’s view, the IGAB is not the appropriate mechanism for achieving this. As highlighted by this report, jurisdictions are yet to fully ‘network’ their biosecurity policies and systems to forge a truly national biosecurity capacity. As a result, the IGAB must remain a </w:t>
      </w:r>
      <w:r w:rsidR="00D726CA">
        <w:t>forward-</w:t>
      </w:r>
      <w:r>
        <w:t>facing agreement among governments on national reform priorities.</w:t>
      </w:r>
    </w:p>
    <w:p w14:paraId="3AF5718E" w14:textId="4D9FCB93" w:rsidR="001312E0" w:rsidRDefault="00ED11A2" w:rsidP="001312E0">
      <w:r w:rsidRPr="00ED11A2">
        <w:t>The IGAB promotes shared responsibility for biosecurity among a diverse range of participants and provides (under clause 2.3) opportunities for governments and other parties to work together to strengthen the national biosecurity system. While jurisdictions have developed a National Biosecurity Engagement and Communications Framework, they recognise this area is significantly underdone and there is considerable room for improvement to more effectively engage with a greater range of stakeholders on biosecurity.</w:t>
      </w:r>
      <w:r w:rsidR="004816E6">
        <w:t xml:space="preserve"> </w:t>
      </w:r>
      <w:r w:rsidR="003D336E" w:rsidRPr="003D336E">
        <w:t>T</w:t>
      </w:r>
      <w:r w:rsidR="00A019A3" w:rsidRPr="003D336E">
        <w:t>his was strongly brought out in the social attitudes survey</w:t>
      </w:r>
      <w:r w:rsidR="003D336E">
        <w:t xml:space="preserve">s conducted by </w:t>
      </w:r>
      <w:r w:rsidR="001312E0" w:rsidRPr="00D726CA">
        <w:t>the Australian</w:t>
      </w:r>
      <w:r w:rsidR="001312E0">
        <w:t xml:space="preserve"> and N</w:t>
      </w:r>
      <w:r w:rsidR="00D726CA">
        <w:t xml:space="preserve">ew </w:t>
      </w:r>
      <w:r w:rsidR="001312E0">
        <w:t>S</w:t>
      </w:r>
      <w:r w:rsidR="00D726CA">
        <w:t xml:space="preserve">outh </w:t>
      </w:r>
      <w:r w:rsidR="001312E0">
        <w:t>W</w:t>
      </w:r>
      <w:r w:rsidR="00D726CA">
        <w:t>ales</w:t>
      </w:r>
      <w:r w:rsidR="001312E0">
        <w:t xml:space="preserve"> </w:t>
      </w:r>
      <w:r w:rsidR="009C3250">
        <w:t>g</w:t>
      </w:r>
      <w:r w:rsidR="001312E0">
        <w:t>overnments</w:t>
      </w:r>
      <w:r w:rsidR="00806CD4">
        <w:t xml:space="preserve"> (</w:t>
      </w:r>
      <w:hyperlink w:anchor="Mercer_et_al_2016" w:history="1">
        <w:r w:rsidR="00806CD4" w:rsidRPr="00EB44A7">
          <w:rPr>
            <w:rStyle w:val="Hyperlink"/>
          </w:rPr>
          <w:t>Mercer et al. 2016</w:t>
        </w:r>
      </w:hyperlink>
      <w:r w:rsidR="00806CD4">
        <w:t xml:space="preserve">; </w:t>
      </w:r>
      <w:hyperlink w:anchor="Colmar_Brunton_2017" w:history="1">
        <w:r w:rsidR="00806CD4" w:rsidRPr="00F64E93">
          <w:rPr>
            <w:rStyle w:val="Hyperlink"/>
          </w:rPr>
          <w:t>Colmar Brunton 2017</w:t>
        </w:r>
      </w:hyperlink>
      <w:r w:rsidR="00806CD4">
        <w:t>)</w:t>
      </w:r>
      <w:r w:rsidR="00A019A3" w:rsidRPr="003D336E">
        <w:t>.</w:t>
      </w:r>
    </w:p>
    <w:p w14:paraId="7B51238F" w14:textId="2CEEA639" w:rsidR="00B91BBF" w:rsidRPr="003A10ED" w:rsidRDefault="00B91BBF" w:rsidP="007146B3">
      <w:r w:rsidRPr="003A10ED">
        <w:t xml:space="preserve">The </w:t>
      </w:r>
      <w:r w:rsidR="00D726CA">
        <w:t>p</w:t>
      </w:r>
      <w:r w:rsidRPr="003A10ED">
        <w:t xml:space="preserve">anel has </w:t>
      </w:r>
      <w:r w:rsidR="003035B0">
        <w:t>recommended</w:t>
      </w:r>
      <w:r w:rsidRPr="003A10ED">
        <w:t xml:space="preserve"> the development of a </w:t>
      </w:r>
      <w:r w:rsidR="006072E1" w:rsidRPr="003A10ED">
        <w:t>N</w:t>
      </w:r>
      <w:r w:rsidRPr="003A10ED">
        <w:t xml:space="preserve">ational </w:t>
      </w:r>
      <w:r w:rsidR="009828F8">
        <w:t xml:space="preserve">Biosecurity </w:t>
      </w:r>
      <w:r w:rsidRPr="003A10ED">
        <w:t>Statement</w:t>
      </w:r>
      <w:r w:rsidR="003035B0">
        <w:t xml:space="preserve"> </w:t>
      </w:r>
      <w:r w:rsidRPr="003A10ED">
        <w:t>for the biosecurity system to be endorsed by major stakeholders in the</w:t>
      </w:r>
      <w:r w:rsidR="009828F8">
        <w:t xml:space="preserve"> national</w:t>
      </w:r>
      <w:r w:rsidRPr="003A10ED">
        <w:t xml:space="preserve"> </w:t>
      </w:r>
      <w:r w:rsidRPr="00BF6D58">
        <w:t>system</w:t>
      </w:r>
      <w:r w:rsidR="002A746B" w:rsidRPr="00BF6D58">
        <w:t xml:space="preserve"> (</w:t>
      </w:r>
      <w:r w:rsidR="002A746B" w:rsidRPr="00BF6D58">
        <w:fldChar w:fldCharType="begin"/>
      </w:r>
      <w:r w:rsidR="002A746B" w:rsidRPr="00BF6D58">
        <w:instrText xml:space="preserve"> REF _Ref482708799 \h  \* MERGEFORMAT </w:instrText>
      </w:r>
      <w:r w:rsidR="002A746B" w:rsidRPr="00BF6D58">
        <w:fldChar w:fldCharType="separate"/>
      </w:r>
      <w:r w:rsidR="009F6923" w:rsidRPr="008F351A">
        <w:t xml:space="preserve">Recommendation </w:t>
      </w:r>
      <w:r w:rsidR="009F6923">
        <w:rPr>
          <w:noProof/>
        </w:rPr>
        <w:t>2</w:t>
      </w:r>
      <w:r w:rsidR="002A746B" w:rsidRPr="00BF6D58">
        <w:fldChar w:fldCharType="end"/>
      </w:r>
      <w:r w:rsidR="002A746B" w:rsidRPr="00BF6D58">
        <w:t>)</w:t>
      </w:r>
      <w:r w:rsidRPr="00BF6D58">
        <w:t>. The statement would</w:t>
      </w:r>
      <w:r w:rsidRPr="002A746B">
        <w:t xml:space="preserve"> sit alongside the IGAB, the emergency response deeds and jurisdictional</w:t>
      </w:r>
      <w:r w:rsidRPr="003A10ED">
        <w:t xml:space="preserve"> biosecurity strategies as foundations of t</w:t>
      </w:r>
      <w:r w:rsidR="003C4248">
        <w:t>he national biosecurity system.</w:t>
      </w:r>
    </w:p>
    <w:p w14:paraId="686E869B" w14:textId="67A63AEF" w:rsidR="00B91BBF" w:rsidRDefault="00B91BBF" w:rsidP="00B91BBF">
      <w:r>
        <w:t xml:space="preserve">The </w:t>
      </w:r>
      <w:r w:rsidR="00D726CA">
        <w:t>p</w:t>
      </w:r>
      <w:r>
        <w:t>anel also recognises the efforts made by governments to engage with non-government stakeholders through the state and national B</w:t>
      </w:r>
      <w:r w:rsidR="00D726CA">
        <w:t>iosecurity Roundtables. The p</w:t>
      </w:r>
      <w:r>
        <w:t>anel received consistent comment from non-government stakeholders on the positive nature of these events and the improvements in more recent times to effect genuine consultation through more open and robust discussion.</w:t>
      </w:r>
      <w:r w:rsidR="004816E6">
        <w:t xml:space="preserve"> </w:t>
      </w:r>
      <w:r>
        <w:t xml:space="preserve">There is, however, scope for non-government stakeholders to be afforded a more direct means of input to the work of </w:t>
      </w:r>
      <w:r w:rsidR="006072E1">
        <w:t xml:space="preserve">the </w:t>
      </w:r>
      <w:r>
        <w:t>NBC.</w:t>
      </w:r>
    </w:p>
    <w:p w14:paraId="732EDF84" w14:textId="20EA3C6D" w:rsidR="00B91BBF" w:rsidRDefault="00ED11A2" w:rsidP="00B91BBF">
      <w:r w:rsidRPr="00ED11A2">
        <w:t xml:space="preserve">The </w:t>
      </w:r>
      <w:r w:rsidR="00D726CA">
        <w:t>p</w:t>
      </w:r>
      <w:r w:rsidRPr="00ED11A2">
        <w:t xml:space="preserve">anel recommends </w:t>
      </w:r>
      <w:r w:rsidR="00D726CA">
        <w:t xml:space="preserve">that </w:t>
      </w:r>
      <w:r w:rsidRPr="00ED11A2">
        <w:t xml:space="preserve">AGSOC establish a </w:t>
      </w:r>
      <w:r w:rsidR="00D726CA">
        <w:t>fifteen</w:t>
      </w:r>
      <w:r w:rsidRPr="00ED11A2">
        <w:t xml:space="preserve">-person (minimum) Industry and Community </w:t>
      </w:r>
      <w:r w:rsidR="00E72125">
        <w:t xml:space="preserve">Biosecurity </w:t>
      </w:r>
      <w:r w:rsidRPr="00ED11A2">
        <w:t xml:space="preserve">Committee to sit alongside the NBC under the IGAB governance arrangements. The committee would provide initial views to the NBC on proposed key policies and activities, including the National </w:t>
      </w:r>
      <w:r w:rsidR="008515CC">
        <w:t xml:space="preserve">Biosecurity </w:t>
      </w:r>
      <w:r w:rsidRPr="00ED11A2">
        <w:t xml:space="preserve">Statement, and meet jointly with the NBC at least twice per year. Membership of the committee should comprise peak industry and community bodies, which should include shipping, tourism, trade, </w:t>
      </w:r>
      <w:r w:rsidR="008515CC">
        <w:t xml:space="preserve">agriculture, </w:t>
      </w:r>
      <w:r w:rsidRPr="00ED11A2">
        <w:t xml:space="preserve">environment and community representatives. Consideration should be </w:t>
      </w:r>
      <w:r w:rsidRPr="00ED11A2">
        <w:lastRenderedPageBreak/>
        <w:t>given to rotating membership every three years. The Australian Government agriculture department should provide the secretariat for the committee.</w:t>
      </w:r>
    </w:p>
    <w:p w14:paraId="262B290D" w14:textId="2C595CE1" w:rsidR="00ED11A2" w:rsidRPr="00ED11A2" w:rsidRDefault="00ED11A2" w:rsidP="00ED11A2">
      <w:r w:rsidRPr="00ED11A2">
        <w:t xml:space="preserve">To further strengthen the NBC’s consideration of the views of signatories to the emergency response deeds, the </w:t>
      </w:r>
      <w:r w:rsidR="00D726CA">
        <w:t>p</w:t>
      </w:r>
      <w:r w:rsidRPr="00ED11A2">
        <w:t xml:space="preserve">anel recommends </w:t>
      </w:r>
      <w:r w:rsidR="00D726CA">
        <w:t xml:space="preserve">that </w:t>
      </w:r>
      <w:r w:rsidRPr="00ED11A2">
        <w:t xml:space="preserve">the full membership of the NBC meet annually with AHA and PHA members to discuss key policy issues and reforms. The </w:t>
      </w:r>
      <w:r w:rsidR="00D726CA">
        <w:t>p</w:t>
      </w:r>
      <w:r w:rsidRPr="00ED11A2">
        <w:t xml:space="preserve">anel understands </w:t>
      </w:r>
      <w:r w:rsidR="00D726CA">
        <w:t xml:space="preserve">that </w:t>
      </w:r>
      <w:r w:rsidRPr="00ED11A2">
        <w:t>a joint AHA</w:t>
      </w:r>
      <w:r w:rsidR="00364DFC">
        <w:t>/</w:t>
      </w:r>
      <w:r w:rsidR="00D726CA">
        <w:t>PHA annual forum already exists—</w:t>
      </w:r>
      <w:r w:rsidRPr="00ED11A2">
        <w:t>this would be one obvious opportunity. Information discussed and received will feed directly into the NBC, including relevant sectoral committee(s).</w:t>
      </w:r>
    </w:p>
    <w:p w14:paraId="1B637658" w14:textId="4C514856" w:rsidR="00ED11A2" w:rsidRPr="00BF1390" w:rsidRDefault="00ED11A2" w:rsidP="00BB577E">
      <w:pPr>
        <w:pStyle w:val="BoxHeading"/>
        <w:shd w:val="clear" w:color="auto" w:fill="D9D9D9" w:themeFill="background1" w:themeFillShade="D9"/>
        <w:rPr>
          <w:sz w:val="22"/>
        </w:rPr>
      </w:pPr>
      <w:bookmarkStart w:id="149" w:name="_Ref482710140"/>
      <w:bookmarkStart w:id="150" w:name="_Toc467231879"/>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25</w:t>
      </w:r>
      <w:r w:rsidR="00C72264" w:rsidRPr="00BF1390">
        <w:rPr>
          <w:noProof/>
          <w:sz w:val="22"/>
        </w:rPr>
        <w:fldChar w:fldCharType="end"/>
      </w:r>
      <w:bookmarkEnd w:id="149"/>
    </w:p>
    <w:bookmarkEnd w:id="150"/>
    <w:p w14:paraId="38DA054C" w14:textId="2087F064" w:rsidR="00A13328" w:rsidRPr="00473CF9" w:rsidRDefault="00A13328" w:rsidP="00BB577E">
      <w:pPr>
        <w:pStyle w:val="BoxText"/>
        <w:shd w:val="clear" w:color="auto" w:fill="D9D9D9" w:themeFill="background1" w:themeFillShade="D9"/>
        <w:rPr>
          <w:sz w:val="22"/>
        </w:rPr>
      </w:pPr>
      <w:r w:rsidRPr="00473CF9">
        <w:rPr>
          <w:sz w:val="22"/>
        </w:rPr>
        <w:t xml:space="preserve">AGSOC should establish, as a priority, an Industry and Community </w:t>
      </w:r>
      <w:r w:rsidR="00E72125" w:rsidRPr="00473CF9">
        <w:rPr>
          <w:sz w:val="22"/>
        </w:rPr>
        <w:t xml:space="preserve">Biosecurity </w:t>
      </w:r>
      <w:r w:rsidRPr="00473CF9">
        <w:rPr>
          <w:sz w:val="22"/>
        </w:rPr>
        <w:t>Committee as a forum for NBC to discuss key national biosecurity policies and reforms.</w:t>
      </w:r>
    </w:p>
    <w:p w14:paraId="09D3A649" w14:textId="77777777" w:rsidR="00ED11A2" w:rsidRPr="00BF1390" w:rsidRDefault="00ED11A2" w:rsidP="00ED11A2">
      <w:pPr>
        <w:pStyle w:val="BoxHeading"/>
        <w:shd w:val="clear" w:color="auto" w:fill="D9D9D9" w:themeFill="background1" w:themeFillShade="D9"/>
        <w:rPr>
          <w:sz w:val="22"/>
        </w:rPr>
      </w:pPr>
      <w:bookmarkStart w:id="151" w:name="_Ref482710152"/>
      <w:r w:rsidRPr="00BF1390">
        <w:rPr>
          <w:sz w:val="22"/>
        </w:rPr>
        <w:t xml:space="preserve">Recommendation </w:t>
      </w:r>
      <w:r w:rsidR="00C72264" w:rsidRPr="00BF1390">
        <w:rPr>
          <w:sz w:val="22"/>
        </w:rPr>
        <w:fldChar w:fldCharType="begin"/>
      </w:r>
      <w:r w:rsidR="00C72264" w:rsidRPr="00BF1390">
        <w:rPr>
          <w:sz w:val="22"/>
        </w:rPr>
        <w:instrText xml:space="preserve"> SEQ Recommendation \* ARABIC </w:instrText>
      </w:r>
      <w:r w:rsidR="00C72264" w:rsidRPr="00BF1390">
        <w:rPr>
          <w:sz w:val="22"/>
        </w:rPr>
        <w:fldChar w:fldCharType="separate"/>
      </w:r>
      <w:r w:rsidR="009F6923">
        <w:rPr>
          <w:noProof/>
          <w:sz w:val="22"/>
        </w:rPr>
        <w:t>26</w:t>
      </w:r>
      <w:r w:rsidR="00C72264" w:rsidRPr="00BF1390">
        <w:rPr>
          <w:noProof/>
          <w:sz w:val="22"/>
        </w:rPr>
        <w:fldChar w:fldCharType="end"/>
      </w:r>
      <w:bookmarkEnd w:id="151"/>
    </w:p>
    <w:p w14:paraId="512159C1" w14:textId="5718DFB4" w:rsidR="00ED11A2" w:rsidRPr="00BF1390" w:rsidRDefault="00ED11A2" w:rsidP="00ED11A2">
      <w:pPr>
        <w:pStyle w:val="BoxText"/>
        <w:shd w:val="clear" w:color="auto" w:fill="D9D9D9" w:themeFill="background1" w:themeFillShade="D9"/>
        <w:rPr>
          <w:sz w:val="22"/>
        </w:rPr>
      </w:pPr>
      <w:r w:rsidRPr="00BF1390">
        <w:rPr>
          <w:sz w:val="22"/>
        </w:rPr>
        <w:t xml:space="preserve">The full membership of </w:t>
      </w:r>
      <w:r w:rsidR="00C71520">
        <w:rPr>
          <w:sz w:val="22"/>
        </w:rPr>
        <w:t xml:space="preserve">the </w:t>
      </w:r>
      <w:r w:rsidRPr="00BF1390">
        <w:rPr>
          <w:sz w:val="22"/>
        </w:rPr>
        <w:t>NBC should meet annually with AHA and PHA members to discuss key national biosecurity policies and reforms.</w:t>
      </w:r>
    </w:p>
    <w:p w14:paraId="4A51D7B9" w14:textId="4D459D5E" w:rsidR="00ED11A2" w:rsidRPr="00ED11A2" w:rsidRDefault="00E708F6" w:rsidP="00ED11A2">
      <w:r>
        <w:t>T</w:t>
      </w:r>
      <w:r w:rsidR="00ED11A2" w:rsidRPr="00ED11A2">
        <w:t xml:space="preserve">here </w:t>
      </w:r>
      <w:r w:rsidR="00FB38D3">
        <w:t>is also a potential</w:t>
      </w:r>
      <w:r w:rsidR="00ED11A2" w:rsidRPr="00ED11A2">
        <w:t xml:space="preserve"> range of alternative mechanisms for providing industry and community groups with a ‘seat at the decision-making table’ other than populating the NBC</w:t>
      </w:r>
      <w:r w:rsidR="00D726CA">
        <w:t xml:space="preserve"> and</w:t>
      </w:r>
      <w:r w:rsidR="00ED11A2" w:rsidRPr="00ED11A2">
        <w:t xml:space="preserve"> its subcommittees and working groups with non-government representatives. Preliminary steps in this process would need to include: broad agreement to the respective roles and responsibilities of the major parties in the national system; and</w:t>
      </w:r>
      <w:r w:rsidR="00580F90">
        <w:t>,</w:t>
      </w:r>
      <w:r w:rsidR="00ED11A2" w:rsidRPr="00ED11A2">
        <w:t xml:space="preserve"> agreement to a </w:t>
      </w:r>
      <w:r w:rsidR="00B17C1B">
        <w:t>N</w:t>
      </w:r>
      <w:r w:rsidR="00ED11A2" w:rsidRPr="00ED11A2">
        <w:t xml:space="preserve">ational </w:t>
      </w:r>
      <w:r w:rsidR="00B17C1B">
        <w:t>B</w:t>
      </w:r>
      <w:r w:rsidR="003035B0">
        <w:t xml:space="preserve">iosecurity </w:t>
      </w:r>
      <w:r w:rsidR="00B17C1B">
        <w:t>S</w:t>
      </w:r>
      <w:r w:rsidR="00ED11A2" w:rsidRPr="00ED11A2">
        <w:t xml:space="preserve">tatement such as that proposed by this </w:t>
      </w:r>
      <w:r w:rsidR="00D726CA">
        <w:t>r</w:t>
      </w:r>
      <w:r w:rsidR="00ED11A2" w:rsidRPr="00ED11A2">
        <w:t>eview. Building upon these steps, and to further facilitate the sharing of control and influence, the parties might explore negotiation of national animal, plant and environment ‘Preparedness Agreements’ to augment the emergency response deeds; Inter-Industry Agreements on Biosecurity focused on data sharing</w:t>
      </w:r>
      <w:r w:rsidR="00D726CA">
        <w:t xml:space="preserve"> and</w:t>
      </w:r>
      <w:r w:rsidR="00ED11A2" w:rsidRPr="00ED11A2">
        <w:t xml:space="preserve"> surveillance or to support claims of area freedom; and</w:t>
      </w:r>
      <w:r w:rsidR="00D726CA">
        <w:t xml:space="preserve"> industry–</w:t>
      </w:r>
      <w:r w:rsidR="00ED11A2" w:rsidRPr="00ED11A2">
        <w:t>government partnership agreements with priorities and joint actions to drive national system imp</w:t>
      </w:r>
      <w:r w:rsidR="00357FC9">
        <w:t>rovements and joint investment.</w:t>
      </w:r>
    </w:p>
    <w:p w14:paraId="40CDA25C" w14:textId="77777777" w:rsidR="00ED11A2" w:rsidRPr="00ED11A2" w:rsidRDefault="00ED11A2" w:rsidP="00ED11A2">
      <w:r w:rsidRPr="00ED11A2">
        <w:t>Future IGABs provide the platform for governments to commit to such mechanisms. Industry and community groups must similarly be held to account for their decisions, commitments and actions.</w:t>
      </w:r>
    </w:p>
    <w:p w14:paraId="13EBA91E" w14:textId="7B930FA3" w:rsidR="00AD25F0" w:rsidRDefault="003C6172" w:rsidP="00AD25F0">
      <w:pPr>
        <w:pStyle w:val="Heading3"/>
      </w:pPr>
      <w:bookmarkStart w:id="152" w:name="_Toc486236055"/>
      <w:r>
        <w:t>U</w:t>
      </w:r>
      <w:r w:rsidR="00AD25F0">
        <w:t xml:space="preserve">pdated governance </w:t>
      </w:r>
      <w:r>
        <w:t>arrangements</w:t>
      </w:r>
      <w:bookmarkEnd w:id="152"/>
    </w:p>
    <w:p w14:paraId="075F5475" w14:textId="37F9D9A5" w:rsidR="00DB4B8D" w:rsidRPr="00DB4B8D" w:rsidRDefault="00DB4B8D" w:rsidP="00DB4B8D">
      <w:r w:rsidRPr="00DB4B8D">
        <w:t xml:space="preserve">Effective governance of the national biosecurity system requires a strong mandate, strong leadership, a sound strategy, and supporting arrangements that are finely tuned </w:t>
      </w:r>
      <w:r w:rsidRPr="00DB4B8D">
        <w:lastRenderedPageBreak/>
        <w:t xml:space="preserve">and focused. This chapter, along </w:t>
      </w:r>
      <w:r w:rsidRPr="00364DFC">
        <w:t>with</w:t>
      </w:r>
      <w:r w:rsidR="008B37D9">
        <w:t xml:space="preserve"> the </w:t>
      </w:r>
      <w:r w:rsidR="00D726CA">
        <w:t>p</w:t>
      </w:r>
      <w:r w:rsidR="008B37D9">
        <w:t>anel’s discussion on environmental biosecurity</w:t>
      </w:r>
      <w:r w:rsidRPr="00364DFC">
        <w:t xml:space="preserve"> </w:t>
      </w:r>
      <w:r w:rsidR="008B37D9">
        <w:t>(</w:t>
      </w:r>
      <w:hyperlink w:anchor="_Stronger_Environmental_biosecurity" w:history="1">
        <w:r w:rsidRPr="00364DFC">
          <w:rPr>
            <w:rStyle w:val="Hyperlink"/>
          </w:rPr>
          <w:t>Chapter</w:t>
        </w:r>
        <w:r w:rsidR="00844D1B">
          <w:rPr>
            <w:rStyle w:val="Hyperlink"/>
          </w:rPr>
          <w:t> </w:t>
        </w:r>
        <w:r w:rsidRPr="00364DFC">
          <w:rPr>
            <w:rStyle w:val="Hyperlink"/>
          </w:rPr>
          <w:t>4</w:t>
        </w:r>
      </w:hyperlink>
      <w:r w:rsidR="008B37D9">
        <w:rPr>
          <w:rStyle w:val="Hyperlink"/>
        </w:rPr>
        <w:t>)</w:t>
      </w:r>
      <w:r w:rsidRPr="00364DFC">
        <w:t>, has</w:t>
      </w:r>
      <w:r w:rsidRPr="00DB4B8D">
        <w:t xml:space="preserve"> proposed a number of modifications to existing governance arrangements and these are summarised and illustrated</w:t>
      </w:r>
      <w:r w:rsidR="00844D1B">
        <w:t xml:space="preserve"> </w:t>
      </w:r>
      <w:r w:rsidR="00844D1B" w:rsidRPr="00D41CF5">
        <w:t>below</w:t>
      </w:r>
      <w:r w:rsidRPr="00D41CF5">
        <w:t xml:space="preserve"> </w:t>
      </w:r>
      <w:r w:rsidR="00844D1B" w:rsidRPr="00D41CF5">
        <w:t>(</w:t>
      </w:r>
      <w:r w:rsidR="00D41CF5" w:rsidRPr="00D41CF5">
        <w:fldChar w:fldCharType="begin"/>
      </w:r>
      <w:r w:rsidR="00D41CF5" w:rsidRPr="00D41CF5">
        <w:instrText xml:space="preserve"> REF _Ref482181348 \h </w:instrText>
      </w:r>
      <w:r w:rsidR="00D41CF5">
        <w:instrText xml:space="preserve"> \* MERGEFORMAT </w:instrText>
      </w:r>
      <w:r w:rsidR="00D41CF5" w:rsidRPr="00D41CF5">
        <w:fldChar w:fldCharType="separate"/>
      </w:r>
      <w:r w:rsidR="009F6923" w:rsidRPr="00D41CF5">
        <w:t xml:space="preserve">Figure </w:t>
      </w:r>
      <w:r w:rsidR="009F6923">
        <w:rPr>
          <w:noProof/>
        </w:rPr>
        <w:t>8</w:t>
      </w:r>
      <w:r w:rsidR="00D41CF5" w:rsidRPr="00D41CF5">
        <w:fldChar w:fldCharType="end"/>
      </w:r>
      <w:r w:rsidR="00844D1B" w:rsidRPr="00D41CF5">
        <w:t>)</w:t>
      </w:r>
      <w:r w:rsidR="00364DFC" w:rsidRPr="00D41CF5">
        <w:t>:</w:t>
      </w:r>
    </w:p>
    <w:p w14:paraId="6F37BF4E" w14:textId="1AFD1707" w:rsidR="00DB4B8D" w:rsidRPr="00DB4B8D" w:rsidRDefault="00D726CA" w:rsidP="001312E0">
      <w:pPr>
        <w:pStyle w:val="ListBullet"/>
      </w:pPr>
      <w:r>
        <w:t>a</w:t>
      </w:r>
      <w:r w:rsidR="00DB4B8D" w:rsidRPr="00DB4B8D">
        <w:t xml:space="preserve"> </w:t>
      </w:r>
      <w:r w:rsidR="003A117D">
        <w:t>refreshed</w:t>
      </w:r>
      <w:r w:rsidR="003A117D" w:rsidRPr="00DB4B8D">
        <w:t xml:space="preserve"> </w:t>
      </w:r>
      <w:r w:rsidR="00DB4B8D" w:rsidRPr="00DB4B8D">
        <w:t>IGAB agreed by First Ministers of all jurisdictions</w:t>
      </w:r>
    </w:p>
    <w:p w14:paraId="48B2F305" w14:textId="4242EB05" w:rsidR="00DB4B8D" w:rsidRPr="00DB4B8D" w:rsidRDefault="00D726CA" w:rsidP="001312E0">
      <w:pPr>
        <w:pStyle w:val="ListBullet"/>
      </w:pPr>
      <w:r>
        <w:t>i</w:t>
      </w:r>
      <w:r w:rsidR="00DB4B8D" w:rsidRPr="00DB4B8D">
        <w:t>dentification by First Ministers of lead ministers and agencies for biosecurity from each jurisdiction, and jurisdictional arrangements that facilitate whole-of-government support</w:t>
      </w:r>
    </w:p>
    <w:p w14:paraId="1421DF03" w14:textId="4CD5495A" w:rsidR="00DB4B8D" w:rsidRPr="00DB4B8D" w:rsidRDefault="00DB4B8D" w:rsidP="001312E0">
      <w:pPr>
        <w:pStyle w:val="ListBullet"/>
      </w:pPr>
      <w:r w:rsidRPr="00DB4B8D">
        <w:t xml:space="preserve">AGMIN and AGSOC being the operational ministerial and senior officials </w:t>
      </w:r>
      <w:r w:rsidR="00364DFC">
        <w:t>for</w:t>
      </w:r>
      <w:r w:rsidR="00B038C7">
        <w:t>a</w:t>
      </w:r>
    </w:p>
    <w:p w14:paraId="7275218C" w14:textId="7E64A109" w:rsidR="00DB4B8D" w:rsidRPr="00DB4B8D" w:rsidRDefault="00D726CA" w:rsidP="001312E0">
      <w:pPr>
        <w:pStyle w:val="ListBullet"/>
      </w:pPr>
      <w:r>
        <w:t>a</w:t>
      </w:r>
      <w:r w:rsidR="00364DFC">
        <w:t xml:space="preserve"> </w:t>
      </w:r>
      <w:r w:rsidR="00DB4B8D" w:rsidRPr="00DB4B8D">
        <w:t>stronger and more transparent NBC authorised by First Ministers under the IGAB, with updated terms of reference and expanded membership (including local government)</w:t>
      </w:r>
    </w:p>
    <w:p w14:paraId="1294DF30" w14:textId="368A7BCB" w:rsidR="00DB4B8D" w:rsidRPr="00DB4B8D" w:rsidRDefault="00D726CA" w:rsidP="001312E0">
      <w:pPr>
        <w:pStyle w:val="ListBullet"/>
      </w:pPr>
      <w:r>
        <w:t>t</w:t>
      </w:r>
      <w:r w:rsidR="00DB4B8D" w:rsidRPr="00DB4B8D">
        <w:t xml:space="preserve">he establishment by AGSOC of the Industry and Community </w:t>
      </w:r>
      <w:r w:rsidR="00580F90">
        <w:t xml:space="preserve">Biosecurity </w:t>
      </w:r>
      <w:r w:rsidR="00DB4B8D" w:rsidRPr="00DB4B8D">
        <w:t>Committee to sit alongside the NBC</w:t>
      </w:r>
    </w:p>
    <w:p w14:paraId="7442FA7E" w14:textId="380DCDE9" w:rsidR="00DB4B8D" w:rsidRPr="00DB4B8D" w:rsidRDefault="00D726CA" w:rsidP="001312E0">
      <w:pPr>
        <w:pStyle w:val="ListBullet"/>
      </w:pPr>
      <w:r>
        <w:t>a</w:t>
      </w:r>
      <w:r w:rsidR="00DB4B8D" w:rsidRPr="00DB4B8D">
        <w:t xml:space="preserve"> new position of Chief Community and Environmental Biosecurity Officer within the Australian Government environment department</w:t>
      </w:r>
    </w:p>
    <w:p w14:paraId="4890AD9B" w14:textId="6CDA5510" w:rsidR="00DB4B8D" w:rsidRPr="00DB4B8D" w:rsidRDefault="00D726CA" w:rsidP="001312E0">
      <w:pPr>
        <w:pStyle w:val="ListBullet"/>
      </w:pPr>
      <w:r>
        <w:t>m</w:t>
      </w:r>
      <w:r w:rsidR="00DB4B8D" w:rsidRPr="00DB4B8D">
        <w:t>odified arrangements for sectoral committees</w:t>
      </w:r>
      <w:r>
        <w:t>,</w:t>
      </w:r>
      <w:r w:rsidR="00DB4B8D" w:rsidRPr="00DB4B8D">
        <w:t xml:space="preserve"> including a new Community and Environmental Biosecurity Committee responsible for nationally significant exotic pests and diseases (terrestrial, </w:t>
      </w:r>
      <w:r w:rsidR="00B17C1B">
        <w:t>freshwater</w:t>
      </w:r>
      <w:r w:rsidR="00240446">
        <w:t>, estuarine, marine and airborne</w:t>
      </w:r>
      <w:r w:rsidR="00E708F6">
        <w:t>)</w:t>
      </w:r>
      <w:r>
        <w:t>,</w:t>
      </w:r>
      <w:r w:rsidR="00DB4B8D" w:rsidRPr="00DB4B8D">
        <w:t xml:space="preserve"> where the impact is primarily environm</w:t>
      </w:r>
      <w:r>
        <w:t>ental or affects social amenity,</w:t>
      </w:r>
      <w:r w:rsidR="00DB4B8D" w:rsidRPr="00DB4B8D">
        <w:t xml:space="preserve"> and nationally significant established pests and weeds (production and non-production). The committee will be supported by a Priority Risks Subcommittee, </w:t>
      </w:r>
      <w:r>
        <w:t xml:space="preserve">the </w:t>
      </w:r>
      <w:r w:rsidR="00DB4B8D" w:rsidRPr="00DB4B8D">
        <w:t xml:space="preserve">Marine Pest Subcommittee and the Invasive </w:t>
      </w:r>
      <w:r>
        <w:t>Plants and Animals Subcommittee</w:t>
      </w:r>
    </w:p>
    <w:p w14:paraId="307C0533" w14:textId="0E9946A6" w:rsidR="00DB4B8D" w:rsidRPr="00DB4B8D" w:rsidRDefault="00D726CA" w:rsidP="001312E0">
      <w:pPr>
        <w:pStyle w:val="ListBullet"/>
      </w:pPr>
      <w:r>
        <w:t>e</w:t>
      </w:r>
      <w:r w:rsidR="00DB4B8D" w:rsidRPr="00DB4B8D">
        <w:t xml:space="preserve">nsuring </w:t>
      </w:r>
      <w:r>
        <w:t xml:space="preserve">that </w:t>
      </w:r>
      <w:r w:rsidR="00DB4B8D" w:rsidRPr="00DB4B8D">
        <w:t>NBC sectoral committees have a clear and transparent division of</w:t>
      </w:r>
      <w:r w:rsidR="003035B0">
        <w:t xml:space="preserve"> responsibilities for</w:t>
      </w:r>
      <w:r w:rsidR="00DB4B8D" w:rsidRPr="00DB4B8D">
        <w:t xml:space="preserve"> pest and disease risk</w:t>
      </w:r>
      <w:r w:rsidR="003035B0">
        <w:t>s</w:t>
      </w:r>
    </w:p>
    <w:p w14:paraId="20E0422E" w14:textId="3BFF3EF9" w:rsidR="00DB4B8D" w:rsidRPr="00DB4B8D" w:rsidRDefault="00D726CA" w:rsidP="001312E0">
      <w:pPr>
        <w:pStyle w:val="ListBullet"/>
      </w:pPr>
      <w:r>
        <w:t>e</w:t>
      </w:r>
      <w:r w:rsidR="00DB4B8D" w:rsidRPr="00DB4B8D">
        <w:t xml:space="preserve">nsuring </w:t>
      </w:r>
      <w:r>
        <w:t xml:space="preserve">that </w:t>
      </w:r>
      <w:r w:rsidR="00DB4B8D" w:rsidRPr="00DB4B8D">
        <w:t>cross-system groups established by the NBC (existing and new) are task-specific and, wherever possible, time-limited</w:t>
      </w:r>
    </w:p>
    <w:p w14:paraId="7D4476EB" w14:textId="21FE0840" w:rsidR="00DB4B8D" w:rsidRPr="00DB4B8D" w:rsidRDefault="00C81049" w:rsidP="004A22B3">
      <w:pPr>
        <w:pStyle w:val="ListBullet"/>
        <w:sectPr w:rsidR="00DB4B8D" w:rsidRPr="00DB4B8D" w:rsidSect="00635857">
          <w:pgSz w:w="11906" w:h="16838"/>
          <w:pgMar w:top="1418" w:right="1418" w:bottom="1418" w:left="1418" w:header="567" w:footer="283" w:gutter="0"/>
          <w:cols w:space="708"/>
          <w:docGrid w:linePitch="360"/>
        </w:sectPr>
      </w:pPr>
      <w:r>
        <w:t>t</w:t>
      </w:r>
      <w:r w:rsidR="00DB4B8D" w:rsidRPr="00DB4B8D">
        <w:t>he participation of partner agencies (AHA and PHA) and other bodies (R</w:t>
      </w:r>
      <w:r>
        <w:t xml:space="preserve">esearch and </w:t>
      </w:r>
      <w:r w:rsidR="00DB4B8D" w:rsidRPr="00DB4B8D">
        <w:t>D</w:t>
      </w:r>
      <w:r>
        <w:t xml:space="preserve">evelopment </w:t>
      </w:r>
      <w:r w:rsidR="00DB4B8D" w:rsidRPr="00DB4B8D">
        <w:t>C</w:t>
      </w:r>
      <w:r>
        <w:t>orporation</w:t>
      </w:r>
      <w:r w:rsidR="00DB4B8D" w:rsidRPr="00DB4B8D">
        <w:t xml:space="preserve">s, </w:t>
      </w:r>
      <w:r>
        <w:t xml:space="preserve">the </w:t>
      </w:r>
      <w:r w:rsidR="00DB4B8D" w:rsidRPr="00DB4B8D">
        <w:t>C</w:t>
      </w:r>
      <w:r>
        <w:t xml:space="preserve">ommonwealth </w:t>
      </w:r>
      <w:r w:rsidR="00DB4B8D" w:rsidRPr="00DB4B8D">
        <w:t>S</w:t>
      </w:r>
      <w:r>
        <w:t>cientific and Industrial Research Organisation (CS</w:t>
      </w:r>
      <w:r w:rsidR="00DB4B8D" w:rsidRPr="00DB4B8D">
        <w:t>IRO</w:t>
      </w:r>
      <w:r>
        <w:t>)</w:t>
      </w:r>
      <w:r w:rsidR="00DB4B8D" w:rsidRPr="00DB4B8D">
        <w:t xml:space="preserve">, </w:t>
      </w:r>
      <w:r>
        <w:t>the Centre of Excellence for Biosecurity Risk Analysis</w:t>
      </w:r>
      <w:r w:rsidR="00DB4B8D" w:rsidRPr="00DB4B8D">
        <w:t xml:space="preserve">, </w:t>
      </w:r>
      <w:r>
        <w:t xml:space="preserve">the </w:t>
      </w:r>
      <w:r w:rsidR="00DB4B8D" w:rsidRPr="00DB4B8D">
        <w:t>Plant Biosecurity CRC</w:t>
      </w:r>
      <w:r>
        <w:t xml:space="preserve"> and the </w:t>
      </w:r>
      <w:r w:rsidR="00DB4B8D" w:rsidRPr="00DB4B8D">
        <w:t>Invasive Animals CRC/Centre for Invasive Species Solutions, among others) in subcommittees to be further considered by the NBC.</w:t>
      </w:r>
    </w:p>
    <w:p w14:paraId="06FB3532" w14:textId="7CE7BA03" w:rsidR="0054638E" w:rsidRDefault="0054638E" w:rsidP="0054638E">
      <w:pPr>
        <w:pStyle w:val="Caption"/>
      </w:pPr>
      <w:bookmarkStart w:id="153" w:name="_Ref482181348"/>
      <w:bookmarkStart w:id="154" w:name="_Ref467225851"/>
      <w:bookmarkStart w:id="155" w:name="_Toc468176742"/>
      <w:r w:rsidRPr="00D41CF5">
        <w:lastRenderedPageBreak/>
        <w:t xml:space="preserve">Figure </w:t>
      </w:r>
      <w:fldSimple w:instr=" SEQ Figure \* ARABIC ">
        <w:r w:rsidR="009F6923">
          <w:rPr>
            <w:noProof/>
          </w:rPr>
          <w:t>8</w:t>
        </w:r>
      </w:fldSimple>
      <w:bookmarkEnd w:id="153"/>
      <w:r w:rsidRPr="00D41CF5">
        <w:rPr>
          <w:szCs w:val="22"/>
        </w:rPr>
        <w:t xml:space="preserve"> Proposed IGAB and related </w:t>
      </w:r>
      <w:bookmarkEnd w:id="154"/>
      <w:bookmarkEnd w:id="155"/>
      <w:r w:rsidRPr="00D41CF5">
        <w:rPr>
          <w:szCs w:val="22"/>
        </w:rPr>
        <w:t>governance arrangements</w:t>
      </w:r>
    </w:p>
    <w:p w14:paraId="3644CE89" w14:textId="68A487C2" w:rsidR="00CC5EA7" w:rsidRDefault="00B20600" w:rsidP="00F077CF">
      <w:pPr>
        <w:pStyle w:val="Picture"/>
        <w:ind w:left="142"/>
      </w:pPr>
      <w:r>
        <w:drawing>
          <wp:inline distT="0" distB="0" distL="0" distR="0" wp14:anchorId="0AF91BCF" wp14:editId="514F2DEF">
            <wp:extent cx="7594600" cy="5580317"/>
            <wp:effectExtent l="0" t="0" r="6350" b="1905"/>
            <wp:docPr id="39" name="Picture 39" descr="Shows a proposed new committee structure for the NBC. The NBC’s reporting lines remain unchanged, to the Agriculture Senior Officials Committee (AGSOC) and Agriculture Ministers’ Forum (AGMIN). Under the proposed structure: the NBC has a revised terms of reference and membership (the CEO of the Australian Local Government Association is now a member of the committee) to elevate consideration of market access and environmental biosecurity issues, and to reduce the NBC’s focus on asset-protection and productivity issues; a new Industry and Community Biosecurity Committee is established, to provide input to the work of the NBC; three primary sectoral committees are established, the existing Plant and Animal Health committees are retained and a new Community and Environmental Biosecurity Committee (CEBC) is established; the four existing subcommittees of the Plant and Animal Health committees are retained; two previous sectoral committees (Marine Pests, and Invasive Plants &amp; Animals) become subcommittees of the CEBC, and a new Priority Risks Subcommittee is established under the CEBC; and, the NBC’s working and expert group structure is to be determined by the IGAB2 priority areas and NBC directed activities—these groups are to be outcome-focused and time-limited. In addition, the NBC can establish cross-system working groups as determined by the IGAB2 priority areas and NBC directed activities. The Biosecurity Incident National Communication Network is retained. The National Management Group, activated in the event of an emergency response, is consolidated into one entity—by enacting the required changes to the relevant response d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7636711" cy="5611259"/>
                    </a:xfrm>
                    <a:prstGeom prst="rect">
                      <a:avLst/>
                    </a:prstGeom>
                  </pic:spPr>
                </pic:pic>
              </a:graphicData>
            </a:graphic>
          </wp:inline>
        </w:drawing>
      </w:r>
    </w:p>
    <w:p w14:paraId="728992E5" w14:textId="33395E1E" w:rsidR="005D7B49" w:rsidRPr="00767F57" w:rsidRDefault="00CC5EA7" w:rsidP="00250BF3">
      <w:pPr>
        <w:pStyle w:val="FigureTableNoteSource"/>
        <w:sectPr w:rsidR="005D7B49" w:rsidRPr="00767F57" w:rsidSect="00AD79D3">
          <w:pgSz w:w="16838" w:h="11906" w:orient="landscape"/>
          <w:pgMar w:top="993" w:right="1418" w:bottom="851" w:left="1418" w:header="567" w:footer="283" w:gutter="0"/>
          <w:cols w:space="708"/>
          <w:docGrid w:linePitch="360"/>
        </w:sectPr>
      </w:pPr>
      <w:r w:rsidRPr="00CC5EA7">
        <w:t>ALGA: Australian Local Government Association; CSIRO: Commonwealth Scientific and Industrial Research Organisation; CEBRA: Centre of Excellence for Biosecurity Risk Analysis; EADRA: Emergency Animal Disease Response Agreement; EPPRD: Emergency Plant Pest Response Deed; IA CRC (CISS): Invasive Animals CRC (Centre for Invasive Species Solutions; NBC: National</w:t>
      </w:r>
      <w:r>
        <w:t xml:space="preserve"> </w:t>
      </w:r>
      <w:r w:rsidRPr="00CC5EA7">
        <w:t>Biosecurity Committee; NEBRA: National Environmental Biosecurity Response Agreement; PB CRC: Plant Biosecurity CRC; RDCs: Researc</w:t>
      </w:r>
      <w:r w:rsidR="00250BF3">
        <w:t>h and Development Corporations.</w:t>
      </w:r>
    </w:p>
    <w:p w14:paraId="616B7B30" w14:textId="3061ADB8" w:rsidR="00596255" w:rsidRDefault="00754BEB" w:rsidP="00596255">
      <w:pPr>
        <w:pStyle w:val="Heading2"/>
      </w:pPr>
      <w:bookmarkStart w:id="156" w:name="_Funding_the_national"/>
      <w:bookmarkStart w:id="157" w:name="_Toc486236056"/>
      <w:bookmarkEnd w:id="156"/>
      <w:r>
        <w:lastRenderedPageBreak/>
        <w:t xml:space="preserve">Funding </w:t>
      </w:r>
      <w:r w:rsidR="003C6172">
        <w:t>the</w:t>
      </w:r>
      <w:r>
        <w:t xml:space="preserve"> n</w:t>
      </w:r>
      <w:r w:rsidR="00596255">
        <w:t>a</w:t>
      </w:r>
      <w:r>
        <w:t>tional s</w:t>
      </w:r>
      <w:r w:rsidR="00596255">
        <w:t>ystem</w:t>
      </w:r>
      <w:bookmarkEnd w:id="157"/>
    </w:p>
    <w:p w14:paraId="7361CD9B" w14:textId="77777777" w:rsidR="00AD25F0" w:rsidRPr="002F06C5" w:rsidRDefault="00AD25F0" w:rsidP="00AD25F0">
      <w:pPr>
        <w:pStyle w:val="BoxHeading"/>
        <w:rPr>
          <w:sz w:val="22"/>
          <w:lang w:eastAsia="ja-JP"/>
        </w:rPr>
      </w:pPr>
      <w:r w:rsidRPr="002F06C5">
        <w:rPr>
          <w:sz w:val="22"/>
          <w:lang w:eastAsia="ja-JP"/>
        </w:rPr>
        <w:t>Key points</w:t>
      </w:r>
    </w:p>
    <w:p w14:paraId="3C1474FB" w14:textId="7D9790FF" w:rsidR="00F94C1B" w:rsidRPr="00BF4186" w:rsidRDefault="00F94C1B" w:rsidP="00F94C1B">
      <w:pPr>
        <w:pStyle w:val="BoxTextBullet"/>
        <w:rPr>
          <w:sz w:val="22"/>
          <w:lang w:eastAsia="ja-JP"/>
        </w:rPr>
      </w:pPr>
      <w:r w:rsidRPr="00BF4186">
        <w:rPr>
          <w:sz w:val="22"/>
          <w:lang w:eastAsia="ja-JP"/>
        </w:rPr>
        <w:t>Governments and industry are facing, and will continue to face,</w:t>
      </w:r>
      <w:r w:rsidR="009A5BDC">
        <w:rPr>
          <w:sz w:val="22"/>
          <w:lang w:eastAsia="ja-JP"/>
        </w:rPr>
        <w:t xml:space="preserve"> ongoing resourcing challenges.</w:t>
      </w:r>
    </w:p>
    <w:p w14:paraId="6BCECF1E" w14:textId="3614B422" w:rsidR="004E4323" w:rsidRPr="00BF4186" w:rsidRDefault="004E4323" w:rsidP="004E4323">
      <w:pPr>
        <w:pStyle w:val="BoxTextBullet"/>
        <w:rPr>
          <w:sz w:val="22"/>
          <w:lang w:eastAsia="ja-JP"/>
        </w:rPr>
      </w:pPr>
      <w:r w:rsidRPr="00BF4186">
        <w:rPr>
          <w:sz w:val="22"/>
          <w:lang w:eastAsia="ja-JP"/>
        </w:rPr>
        <w:t>Some aspects of the national system continue to be funded throu</w:t>
      </w:r>
      <w:r w:rsidR="00F248D6">
        <w:rPr>
          <w:sz w:val="22"/>
          <w:lang w:eastAsia="ja-JP"/>
        </w:rPr>
        <w:t>gh agreed arrangements and long-</w:t>
      </w:r>
      <w:r w:rsidRPr="00BF4186">
        <w:rPr>
          <w:sz w:val="22"/>
          <w:lang w:eastAsia="ja-JP"/>
        </w:rPr>
        <w:t>standing commitments, whereas other biosecurity priorities fall short of appropriate levels of funding.</w:t>
      </w:r>
    </w:p>
    <w:p w14:paraId="77D88A29" w14:textId="4DB9AD82" w:rsidR="00F94C1B" w:rsidRPr="00CE3CB8" w:rsidRDefault="00F94C1B" w:rsidP="004E4323">
      <w:pPr>
        <w:pStyle w:val="BoxTextBullet"/>
        <w:rPr>
          <w:sz w:val="22"/>
          <w:lang w:eastAsia="ja-JP"/>
        </w:rPr>
      </w:pPr>
      <w:r w:rsidRPr="00CE3CB8">
        <w:rPr>
          <w:sz w:val="22"/>
          <w:lang w:eastAsia="ja-JP"/>
        </w:rPr>
        <w:t xml:space="preserve">States and territories need to </w:t>
      </w:r>
      <w:r w:rsidR="00564FDE" w:rsidRPr="00CE3CB8">
        <w:rPr>
          <w:sz w:val="22"/>
          <w:lang w:eastAsia="ja-JP"/>
        </w:rPr>
        <w:t xml:space="preserve">increase </w:t>
      </w:r>
      <w:r w:rsidR="00495752" w:rsidRPr="00CE3CB8">
        <w:rPr>
          <w:sz w:val="22"/>
          <w:lang w:eastAsia="ja-JP"/>
        </w:rPr>
        <w:t xml:space="preserve">funding </w:t>
      </w:r>
      <w:r w:rsidRPr="00CE3CB8">
        <w:rPr>
          <w:sz w:val="22"/>
          <w:lang w:eastAsia="ja-JP"/>
        </w:rPr>
        <w:t>if they are to fulfil their obligations to the national biosecurity system.</w:t>
      </w:r>
      <w:r w:rsidR="009F670F" w:rsidRPr="00CE3CB8">
        <w:rPr>
          <w:sz w:val="22"/>
          <w:lang w:eastAsia="ja-JP"/>
        </w:rPr>
        <w:t xml:space="preserve"> At the same time, there needs to be greater sharing of responsibility for established pests and weeds among government and non-government parties in the national system.</w:t>
      </w:r>
    </w:p>
    <w:p w14:paraId="4AEA2A43" w14:textId="5C26542D" w:rsidR="004E4323" w:rsidRPr="00BF4186" w:rsidRDefault="004E4323" w:rsidP="004E4323">
      <w:pPr>
        <w:pStyle w:val="BoxTextBullet"/>
        <w:rPr>
          <w:sz w:val="22"/>
          <w:lang w:eastAsia="ja-JP"/>
        </w:rPr>
      </w:pPr>
      <w:r w:rsidRPr="00BF4186">
        <w:rPr>
          <w:sz w:val="22"/>
          <w:lang w:eastAsia="ja-JP"/>
        </w:rPr>
        <w:t>The Parliament of Australia has legislated Australia’s Appropriate Level of Protection</w:t>
      </w:r>
      <w:r w:rsidR="0044446B">
        <w:rPr>
          <w:sz w:val="22"/>
          <w:lang w:eastAsia="ja-JP"/>
        </w:rPr>
        <w:t xml:space="preserve"> (ALOP)</w:t>
      </w:r>
      <w:r w:rsidRPr="00BF4186">
        <w:rPr>
          <w:sz w:val="22"/>
          <w:lang w:eastAsia="ja-JP"/>
        </w:rPr>
        <w:t xml:space="preserve">. </w:t>
      </w:r>
      <w:r w:rsidR="00F94C1B" w:rsidRPr="00BF4186">
        <w:rPr>
          <w:sz w:val="22"/>
          <w:lang w:eastAsia="ja-JP"/>
        </w:rPr>
        <w:t>F</w:t>
      </w:r>
      <w:r w:rsidRPr="00BF4186">
        <w:rPr>
          <w:sz w:val="22"/>
          <w:lang w:eastAsia="ja-JP"/>
        </w:rPr>
        <w:t>unding</w:t>
      </w:r>
      <w:r w:rsidR="00F94C1B" w:rsidRPr="00BF4186">
        <w:rPr>
          <w:sz w:val="22"/>
          <w:lang w:eastAsia="ja-JP"/>
        </w:rPr>
        <w:t xml:space="preserve"> for the Australian Government’s components of the national system </w:t>
      </w:r>
      <w:r w:rsidRPr="00BF4186">
        <w:rPr>
          <w:sz w:val="22"/>
          <w:lang w:eastAsia="ja-JP"/>
        </w:rPr>
        <w:t>needs to be sufficient to achieve this requirement.</w:t>
      </w:r>
    </w:p>
    <w:p w14:paraId="146435C4" w14:textId="77777777" w:rsidR="004E4323" w:rsidRPr="0053117D" w:rsidRDefault="004E4323" w:rsidP="004E4323">
      <w:pPr>
        <w:pStyle w:val="BoxTextBullet"/>
        <w:rPr>
          <w:sz w:val="22"/>
          <w:lang w:eastAsia="ja-JP"/>
        </w:rPr>
      </w:pPr>
      <w:r>
        <w:rPr>
          <w:sz w:val="22"/>
          <w:lang w:eastAsia="ja-JP"/>
        </w:rPr>
        <w:t>N</w:t>
      </w:r>
      <w:r w:rsidRPr="0053117D">
        <w:rPr>
          <w:sz w:val="22"/>
          <w:lang w:eastAsia="ja-JP"/>
        </w:rPr>
        <w:t xml:space="preserve">ational investment principles and frameworks </w:t>
      </w:r>
      <w:r>
        <w:rPr>
          <w:sz w:val="22"/>
          <w:lang w:eastAsia="ja-JP"/>
        </w:rPr>
        <w:t xml:space="preserve">have been agreed by jurisdictions </w:t>
      </w:r>
      <w:r w:rsidRPr="0053117D">
        <w:rPr>
          <w:sz w:val="22"/>
          <w:lang w:eastAsia="ja-JP"/>
        </w:rPr>
        <w:t>under the IGAB. The challenge is building support within governments for</w:t>
      </w:r>
      <w:r>
        <w:rPr>
          <w:sz w:val="22"/>
          <w:lang w:eastAsia="ja-JP"/>
        </w:rPr>
        <w:t xml:space="preserve"> their</w:t>
      </w:r>
      <w:r w:rsidRPr="0053117D">
        <w:rPr>
          <w:sz w:val="22"/>
          <w:lang w:eastAsia="ja-JP"/>
        </w:rPr>
        <w:t xml:space="preserve"> implementation.</w:t>
      </w:r>
    </w:p>
    <w:p w14:paraId="0B86C860" w14:textId="525C16E0" w:rsidR="00BD35C9" w:rsidRPr="0053117D" w:rsidRDefault="00BD35C9" w:rsidP="00BD35C9">
      <w:pPr>
        <w:pStyle w:val="BoxTextBullet"/>
        <w:rPr>
          <w:sz w:val="22"/>
          <w:lang w:eastAsia="ja-JP"/>
        </w:rPr>
      </w:pPr>
      <w:r w:rsidRPr="0053117D">
        <w:rPr>
          <w:sz w:val="22"/>
          <w:lang w:eastAsia="ja-JP"/>
        </w:rPr>
        <w:t>Investment</w:t>
      </w:r>
      <w:r>
        <w:rPr>
          <w:sz w:val="22"/>
          <w:lang w:eastAsia="ja-JP"/>
        </w:rPr>
        <w:t>s</w:t>
      </w:r>
      <w:r w:rsidRPr="0053117D">
        <w:rPr>
          <w:sz w:val="22"/>
          <w:lang w:eastAsia="ja-JP"/>
        </w:rPr>
        <w:t xml:space="preserve"> by industry and contributions from community, espec</w:t>
      </w:r>
      <w:r w:rsidR="00452310">
        <w:rPr>
          <w:sz w:val="22"/>
          <w:lang w:eastAsia="ja-JP"/>
        </w:rPr>
        <w:t>ially through rates and levies,</w:t>
      </w:r>
      <w:r>
        <w:rPr>
          <w:sz w:val="22"/>
          <w:lang w:eastAsia="ja-JP"/>
        </w:rPr>
        <w:t xml:space="preserve"> </w:t>
      </w:r>
      <w:r w:rsidRPr="0053117D">
        <w:rPr>
          <w:sz w:val="22"/>
          <w:lang w:eastAsia="ja-JP"/>
        </w:rPr>
        <w:t>warrant greater acknowledgement.</w:t>
      </w:r>
      <w:r>
        <w:rPr>
          <w:sz w:val="22"/>
          <w:lang w:eastAsia="ja-JP"/>
        </w:rPr>
        <w:t xml:space="preserve"> </w:t>
      </w:r>
      <w:r w:rsidR="003035B0">
        <w:rPr>
          <w:sz w:val="22"/>
          <w:lang w:eastAsia="ja-JP"/>
        </w:rPr>
        <w:t>In 2015–16, around</w:t>
      </w:r>
      <w:r w:rsidR="00A8440A">
        <w:rPr>
          <w:sz w:val="22"/>
          <w:lang w:eastAsia="ja-JP"/>
        </w:rPr>
        <w:t xml:space="preserve"> 57 </w:t>
      </w:r>
      <w:r>
        <w:rPr>
          <w:sz w:val="22"/>
          <w:lang w:eastAsia="ja-JP"/>
        </w:rPr>
        <w:t>per</w:t>
      </w:r>
      <w:r w:rsidR="00A8440A">
        <w:rPr>
          <w:sz w:val="22"/>
          <w:lang w:eastAsia="ja-JP"/>
        </w:rPr>
        <w:t> </w:t>
      </w:r>
      <w:r>
        <w:rPr>
          <w:sz w:val="22"/>
          <w:lang w:eastAsia="ja-JP"/>
        </w:rPr>
        <w:t>cent of national system expenditure was funded by industry.</w:t>
      </w:r>
    </w:p>
    <w:p w14:paraId="442E8640" w14:textId="5BA15D4B" w:rsidR="004E4323" w:rsidRPr="0053117D" w:rsidRDefault="004E4323" w:rsidP="004E4323">
      <w:pPr>
        <w:pStyle w:val="BoxTextBullet"/>
        <w:rPr>
          <w:sz w:val="22"/>
          <w:lang w:eastAsia="ja-JP"/>
        </w:rPr>
      </w:pPr>
      <w:r>
        <w:rPr>
          <w:sz w:val="22"/>
          <w:lang w:eastAsia="ja-JP"/>
        </w:rPr>
        <w:t>At the Australian Government level the contribution by industry is even greater</w:t>
      </w:r>
      <w:r w:rsidR="003035B0">
        <w:rPr>
          <w:sz w:val="22"/>
          <w:lang w:eastAsia="ja-JP"/>
        </w:rPr>
        <w:t>,</w:t>
      </w:r>
      <w:r>
        <w:rPr>
          <w:sz w:val="22"/>
          <w:lang w:eastAsia="ja-JP"/>
        </w:rPr>
        <w:t xml:space="preserve"> wi</w:t>
      </w:r>
      <w:r w:rsidR="00A8440A">
        <w:rPr>
          <w:sz w:val="22"/>
          <w:lang w:eastAsia="ja-JP"/>
        </w:rPr>
        <w:t>th over 70 </w:t>
      </w:r>
      <w:r>
        <w:rPr>
          <w:sz w:val="22"/>
          <w:lang w:eastAsia="ja-JP"/>
        </w:rPr>
        <w:t>per</w:t>
      </w:r>
      <w:r w:rsidR="00A8440A">
        <w:rPr>
          <w:sz w:val="22"/>
          <w:lang w:eastAsia="ja-JP"/>
        </w:rPr>
        <w:t> </w:t>
      </w:r>
      <w:r>
        <w:rPr>
          <w:sz w:val="22"/>
          <w:lang w:eastAsia="ja-JP"/>
        </w:rPr>
        <w:t>cent of total biosecurity-related expenditure</w:t>
      </w:r>
      <w:r w:rsidR="003035B0">
        <w:rPr>
          <w:sz w:val="22"/>
          <w:lang w:eastAsia="ja-JP"/>
        </w:rPr>
        <w:t xml:space="preserve"> funded by industry</w:t>
      </w:r>
      <w:r w:rsidR="0044446B">
        <w:rPr>
          <w:sz w:val="22"/>
          <w:lang w:eastAsia="ja-JP"/>
        </w:rPr>
        <w:t xml:space="preserve"> in 2015–16.</w:t>
      </w:r>
    </w:p>
    <w:p w14:paraId="47E114AD" w14:textId="5884FC7B" w:rsidR="004E4323" w:rsidRPr="0053117D" w:rsidRDefault="004E4323" w:rsidP="004E4323">
      <w:pPr>
        <w:pStyle w:val="BoxTextBullet"/>
        <w:rPr>
          <w:sz w:val="22"/>
          <w:lang w:eastAsia="ja-JP"/>
        </w:rPr>
      </w:pPr>
      <w:r w:rsidRPr="0053117D">
        <w:rPr>
          <w:sz w:val="22"/>
          <w:lang w:eastAsia="ja-JP"/>
        </w:rPr>
        <w:t>Industry inv</w:t>
      </w:r>
      <w:r w:rsidR="00E61317">
        <w:rPr>
          <w:sz w:val="22"/>
          <w:lang w:eastAsia="ja-JP"/>
        </w:rPr>
        <w:t xml:space="preserve">olvement in investment decision </w:t>
      </w:r>
      <w:r w:rsidRPr="0053117D">
        <w:rPr>
          <w:sz w:val="22"/>
          <w:lang w:eastAsia="ja-JP"/>
        </w:rPr>
        <w:t>making is primarily confined to emergency responses</w:t>
      </w:r>
      <w:r w:rsidRPr="00104049">
        <w:rPr>
          <w:sz w:val="22"/>
          <w:lang w:eastAsia="ja-JP"/>
        </w:rPr>
        <w:t xml:space="preserve"> </w:t>
      </w:r>
      <w:r>
        <w:rPr>
          <w:sz w:val="22"/>
          <w:lang w:eastAsia="ja-JP"/>
        </w:rPr>
        <w:t>and sectoral activities in some cases</w:t>
      </w:r>
      <w:r w:rsidRPr="0053117D">
        <w:rPr>
          <w:sz w:val="22"/>
          <w:lang w:eastAsia="ja-JP"/>
        </w:rPr>
        <w:t>.</w:t>
      </w:r>
      <w:r>
        <w:rPr>
          <w:sz w:val="22"/>
          <w:lang w:eastAsia="ja-JP"/>
        </w:rPr>
        <w:t xml:space="preserve"> There is a strong case to increase industry’s involvement in decision making more broadly given its sizeable contribution.</w:t>
      </w:r>
    </w:p>
    <w:p w14:paraId="20E2F901" w14:textId="58FC2C79" w:rsidR="004E4323" w:rsidRPr="0053117D" w:rsidRDefault="004E4323" w:rsidP="004E4323">
      <w:pPr>
        <w:pStyle w:val="BoxTextBullet"/>
        <w:rPr>
          <w:sz w:val="22"/>
          <w:lang w:eastAsia="ja-JP"/>
        </w:rPr>
      </w:pPr>
      <w:r w:rsidRPr="0053117D">
        <w:rPr>
          <w:sz w:val="22"/>
          <w:lang w:eastAsia="ja-JP"/>
        </w:rPr>
        <w:t>Governments have options available to support a more sustainable funding base</w:t>
      </w:r>
      <w:r>
        <w:rPr>
          <w:sz w:val="22"/>
          <w:lang w:eastAsia="ja-JP"/>
        </w:rPr>
        <w:t xml:space="preserve"> for </w:t>
      </w:r>
      <w:r w:rsidR="003035B0">
        <w:rPr>
          <w:sz w:val="22"/>
          <w:lang w:eastAsia="ja-JP"/>
        </w:rPr>
        <w:t xml:space="preserve">the national </w:t>
      </w:r>
      <w:r>
        <w:rPr>
          <w:sz w:val="22"/>
          <w:lang w:eastAsia="ja-JP"/>
        </w:rPr>
        <w:t>biosecurity</w:t>
      </w:r>
      <w:r w:rsidR="003035B0">
        <w:rPr>
          <w:sz w:val="22"/>
          <w:lang w:eastAsia="ja-JP"/>
        </w:rPr>
        <w:t xml:space="preserve"> system</w:t>
      </w:r>
      <w:r w:rsidRPr="0053117D">
        <w:rPr>
          <w:sz w:val="22"/>
          <w:lang w:eastAsia="ja-JP"/>
        </w:rPr>
        <w:t>.</w:t>
      </w:r>
    </w:p>
    <w:p w14:paraId="5FEF208C" w14:textId="6F234EC5" w:rsidR="004E4323" w:rsidRDefault="004E4323" w:rsidP="004E4323">
      <w:pPr>
        <w:rPr>
          <w:lang w:eastAsia="ja-JP"/>
        </w:rPr>
      </w:pPr>
      <w:r>
        <w:rPr>
          <w:lang w:eastAsia="ja-JP"/>
        </w:rPr>
        <w:t xml:space="preserve">The </w:t>
      </w:r>
      <w:r w:rsidR="00514D55">
        <w:rPr>
          <w:lang w:eastAsia="ja-JP"/>
        </w:rPr>
        <w:t>r</w:t>
      </w:r>
      <w:r>
        <w:rPr>
          <w:lang w:eastAsia="ja-JP"/>
        </w:rPr>
        <w:t xml:space="preserve">eview’s </w:t>
      </w:r>
      <w:r w:rsidR="00514D55">
        <w:rPr>
          <w:lang w:eastAsia="ja-JP"/>
        </w:rPr>
        <w:t>t</w:t>
      </w:r>
      <w:r>
        <w:rPr>
          <w:lang w:eastAsia="ja-JP"/>
        </w:rPr>
        <w:t xml:space="preserve">erms of </w:t>
      </w:r>
      <w:r w:rsidR="00514D55">
        <w:rPr>
          <w:lang w:eastAsia="ja-JP"/>
        </w:rPr>
        <w:t>r</w:t>
      </w:r>
      <w:r>
        <w:rPr>
          <w:lang w:eastAsia="ja-JP"/>
        </w:rPr>
        <w:t xml:space="preserve">eference require the </w:t>
      </w:r>
      <w:r w:rsidR="00514D55">
        <w:rPr>
          <w:lang w:eastAsia="ja-JP"/>
        </w:rPr>
        <w:t>p</w:t>
      </w:r>
      <w:r>
        <w:rPr>
          <w:lang w:eastAsia="ja-JP"/>
        </w:rPr>
        <w:t>anel to examine existing cost</w:t>
      </w:r>
      <w:r w:rsidR="00514D55">
        <w:rPr>
          <w:lang w:eastAsia="ja-JP"/>
        </w:rPr>
        <w:t>-</w:t>
      </w:r>
      <w:r>
        <w:rPr>
          <w:lang w:eastAsia="ja-JP"/>
        </w:rPr>
        <w:t xml:space="preserve">sharing arrangements and the potential for implementation of new funding arrangements for all </w:t>
      </w:r>
      <w:r>
        <w:rPr>
          <w:lang w:eastAsia="ja-JP"/>
        </w:rPr>
        <w:lastRenderedPageBreak/>
        <w:t>biosecurity activities. In doing so</w:t>
      </w:r>
      <w:r w:rsidR="00A962E3">
        <w:rPr>
          <w:lang w:eastAsia="ja-JP"/>
        </w:rPr>
        <w:t>,</w:t>
      </w:r>
      <w:r>
        <w:rPr>
          <w:lang w:eastAsia="ja-JP"/>
        </w:rPr>
        <w:t xml:space="preserve"> the </w:t>
      </w:r>
      <w:r w:rsidR="00A962E3">
        <w:rPr>
          <w:lang w:eastAsia="ja-JP"/>
        </w:rPr>
        <w:t>p</w:t>
      </w:r>
      <w:r>
        <w:rPr>
          <w:lang w:eastAsia="ja-JP"/>
        </w:rPr>
        <w:t xml:space="preserve">anel </w:t>
      </w:r>
      <w:r w:rsidR="00BD35C9" w:rsidRPr="00BD35C9">
        <w:rPr>
          <w:rFonts w:eastAsia="Calibri" w:cs="Times New Roman"/>
          <w:lang w:eastAsia="ja-JP"/>
        </w:rPr>
        <w:t xml:space="preserve">was </w:t>
      </w:r>
      <w:r w:rsidR="00452310">
        <w:rPr>
          <w:rFonts w:eastAsia="Calibri" w:cs="Times New Roman"/>
          <w:lang w:eastAsia="ja-JP"/>
        </w:rPr>
        <w:t xml:space="preserve">asked </w:t>
      </w:r>
      <w:r>
        <w:rPr>
          <w:lang w:eastAsia="ja-JP"/>
        </w:rPr>
        <w:t xml:space="preserve">to </w:t>
      </w:r>
      <w:r w:rsidR="00452310">
        <w:rPr>
          <w:lang w:eastAsia="ja-JP"/>
        </w:rPr>
        <w:t>consider</w:t>
      </w:r>
      <w:r>
        <w:rPr>
          <w:lang w:eastAsia="ja-JP"/>
        </w:rPr>
        <w:t xml:space="preserve"> the N</w:t>
      </w:r>
      <w:r w:rsidR="00A962E3">
        <w:rPr>
          <w:lang w:eastAsia="ja-JP"/>
        </w:rPr>
        <w:t xml:space="preserve">ational </w:t>
      </w:r>
      <w:r>
        <w:rPr>
          <w:lang w:eastAsia="ja-JP"/>
        </w:rPr>
        <w:t>B</w:t>
      </w:r>
      <w:r w:rsidR="00A962E3">
        <w:rPr>
          <w:lang w:eastAsia="ja-JP"/>
        </w:rPr>
        <w:t xml:space="preserve">iosecurity </w:t>
      </w:r>
      <w:r>
        <w:rPr>
          <w:lang w:eastAsia="ja-JP"/>
        </w:rPr>
        <w:t>C</w:t>
      </w:r>
      <w:r w:rsidR="00A962E3">
        <w:rPr>
          <w:lang w:eastAsia="ja-JP"/>
        </w:rPr>
        <w:t>ommittee</w:t>
      </w:r>
      <w:r>
        <w:rPr>
          <w:lang w:eastAsia="ja-JP"/>
        </w:rPr>
        <w:t xml:space="preserve">’s </w:t>
      </w:r>
      <w:r w:rsidR="00A962E3">
        <w:rPr>
          <w:lang w:eastAsia="ja-JP"/>
        </w:rPr>
        <w:t xml:space="preserve">(NBC) </w:t>
      </w:r>
      <w:r>
        <w:rPr>
          <w:lang w:eastAsia="ja-JP"/>
        </w:rPr>
        <w:t>projects</w:t>
      </w:r>
      <w:r w:rsidR="00A962E3">
        <w:rPr>
          <w:lang w:eastAsia="ja-JP"/>
        </w:rPr>
        <w:t>,</w:t>
      </w:r>
      <w:r>
        <w:rPr>
          <w:lang w:eastAsia="ja-JP"/>
        </w:rPr>
        <w:t xml:space="preserve"> including the National Framework for Cost</w:t>
      </w:r>
      <w:r w:rsidR="00CB21E8">
        <w:rPr>
          <w:lang w:eastAsia="ja-JP"/>
        </w:rPr>
        <w:t xml:space="preserve"> </w:t>
      </w:r>
      <w:r>
        <w:rPr>
          <w:lang w:eastAsia="ja-JP"/>
        </w:rPr>
        <w:t>Sharing Biosecurity Activities, the National Portfoli</w:t>
      </w:r>
      <w:r w:rsidR="00A962E3">
        <w:rPr>
          <w:lang w:eastAsia="ja-JP"/>
        </w:rPr>
        <w:t>o Investment Optimisation Model</w:t>
      </w:r>
      <w:r>
        <w:rPr>
          <w:lang w:eastAsia="ja-JP"/>
        </w:rPr>
        <w:t xml:space="preserve"> and the National Stocktake of Biosecurity Investment.</w:t>
      </w:r>
    </w:p>
    <w:p w14:paraId="48FF05E2" w14:textId="2107BF09" w:rsidR="00BC544F" w:rsidRDefault="00BC544F" w:rsidP="00BC544F">
      <w:pPr>
        <w:pStyle w:val="Heading3"/>
        <w:rPr>
          <w:lang w:eastAsia="ja-JP"/>
        </w:rPr>
      </w:pPr>
      <w:bookmarkStart w:id="158" w:name="_Toc486236057"/>
      <w:r>
        <w:rPr>
          <w:lang w:eastAsia="ja-JP"/>
        </w:rPr>
        <w:t>The shared funding challenge</w:t>
      </w:r>
      <w:bookmarkEnd w:id="158"/>
    </w:p>
    <w:p w14:paraId="7A91900E" w14:textId="0F80DA56" w:rsidR="00BC544F" w:rsidRDefault="00BC544F" w:rsidP="00BC544F">
      <w:pPr>
        <w:rPr>
          <w:lang w:eastAsia="ja-JP"/>
        </w:rPr>
      </w:pPr>
      <w:r>
        <w:rPr>
          <w:lang w:eastAsia="ja-JP"/>
        </w:rPr>
        <w:t xml:space="preserve">The success of </w:t>
      </w:r>
      <w:r w:rsidR="003035B0">
        <w:rPr>
          <w:lang w:eastAsia="ja-JP"/>
        </w:rPr>
        <w:t xml:space="preserve">Australia’s </w:t>
      </w:r>
      <w:r>
        <w:rPr>
          <w:lang w:eastAsia="ja-JP"/>
        </w:rPr>
        <w:t>biosecurity system is reliant on sustained levels of well-targeted investment over time, underpinned by strong funding principles and arrangements that are nationally coordinated, consistently applied and well communicated.</w:t>
      </w:r>
    </w:p>
    <w:p w14:paraId="46389AFE" w14:textId="69534893" w:rsidR="00BC544F" w:rsidRDefault="00BC544F" w:rsidP="00BC544F">
      <w:pPr>
        <w:rPr>
          <w:lang w:eastAsia="ja-JP"/>
        </w:rPr>
      </w:pPr>
      <w:r>
        <w:rPr>
          <w:lang w:eastAsia="ja-JP"/>
        </w:rPr>
        <w:t xml:space="preserve">The majority of submissions to the </w:t>
      </w:r>
      <w:r w:rsidR="0097325D">
        <w:rPr>
          <w:lang w:eastAsia="ja-JP"/>
        </w:rPr>
        <w:t>r</w:t>
      </w:r>
      <w:r>
        <w:rPr>
          <w:lang w:eastAsia="ja-JP"/>
        </w:rPr>
        <w:t xml:space="preserve">eview agreed that the national system has experienced a period of declining budgets and that the national system is increasingly underfunded. </w:t>
      </w:r>
      <w:r w:rsidR="0097325D">
        <w:rPr>
          <w:lang w:eastAsia="ja-JP"/>
        </w:rPr>
        <w:t>However, t</w:t>
      </w:r>
      <w:r>
        <w:rPr>
          <w:lang w:eastAsia="ja-JP"/>
        </w:rPr>
        <w:t>hey did not agree on how this problem should be rectified.</w:t>
      </w:r>
    </w:p>
    <w:p w14:paraId="6E0582A8" w14:textId="78130765" w:rsidR="004E4323" w:rsidRDefault="004E4323" w:rsidP="00363605">
      <w:pPr>
        <w:pStyle w:val="Heading4"/>
        <w:keepNext/>
        <w:rPr>
          <w:lang w:eastAsia="ja-JP"/>
        </w:rPr>
      </w:pPr>
      <w:r>
        <w:rPr>
          <w:lang w:eastAsia="ja-JP"/>
        </w:rPr>
        <w:t>Government funding</w:t>
      </w:r>
    </w:p>
    <w:p w14:paraId="6A742C99" w14:textId="01657436" w:rsidR="004E4323" w:rsidRDefault="00BC544F" w:rsidP="00363605">
      <w:pPr>
        <w:keepNext/>
        <w:rPr>
          <w:lang w:eastAsia="ja-JP"/>
        </w:rPr>
      </w:pPr>
      <w:r>
        <w:rPr>
          <w:lang w:eastAsia="ja-JP"/>
        </w:rPr>
        <w:t>T</w:t>
      </w:r>
      <w:r w:rsidR="004E4323">
        <w:rPr>
          <w:lang w:eastAsia="ja-JP"/>
        </w:rPr>
        <w:t xml:space="preserve">here are obvious government funding pressures across the national biosecurity system, and these are not limited to a particular jurisdiction. Reports from the </w:t>
      </w:r>
      <w:r w:rsidR="004E4323" w:rsidRPr="001D4B87">
        <w:rPr>
          <w:lang w:eastAsia="ja-JP"/>
        </w:rPr>
        <w:t>Australian</w:t>
      </w:r>
      <w:r w:rsidR="004E4323" w:rsidRPr="00150693">
        <w:rPr>
          <w:lang w:eastAsia="ja-JP"/>
        </w:rPr>
        <w:t xml:space="preserve"> (</w:t>
      </w:r>
      <w:hyperlink w:anchor="Commonwealth_of_Australia_2015" w:history="1">
        <w:r w:rsidR="004E4323" w:rsidRPr="00447677">
          <w:rPr>
            <w:rStyle w:val="Hyperlink"/>
            <w:lang w:eastAsia="ja-JP"/>
          </w:rPr>
          <w:t>Commonwealth of Australia 2015</w:t>
        </w:r>
      </w:hyperlink>
      <w:r w:rsidR="004E4323" w:rsidRPr="00150693">
        <w:rPr>
          <w:lang w:eastAsia="ja-JP"/>
        </w:rPr>
        <w:t>), Victorian (</w:t>
      </w:r>
      <w:hyperlink w:anchor="VAGO_2015" w:history="1">
        <w:r w:rsidR="004E4323" w:rsidRPr="00447677">
          <w:rPr>
            <w:rStyle w:val="Hyperlink"/>
            <w:lang w:eastAsia="ja-JP"/>
          </w:rPr>
          <w:t>VAGO 2015</w:t>
        </w:r>
      </w:hyperlink>
      <w:r w:rsidR="004E4323" w:rsidRPr="00150693">
        <w:rPr>
          <w:lang w:eastAsia="ja-JP"/>
        </w:rPr>
        <w:t>) and Queensland (</w:t>
      </w:r>
      <w:hyperlink w:anchor="Brooks_2015" w:history="1">
        <w:r w:rsidR="004E4323" w:rsidRPr="00447677">
          <w:rPr>
            <w:rStyle w:val="Hyperlink"/>
            <w:lang w:eastAsia="ja-JP"/>
          </w:rPr>
          <w:t>Brooks et al. 2015</w:t>
        </w:r>
      </w:hyperlink>
      <w:r w:rsidR="004E4323" w:rsidRPr="00150693">
        <w:rPr>
          <w:lang w:eastAsia="ja-JP"/>
        </w:rPr>
        <w:t xml:space="preserve">) </w:t>
      </w:r>
      <w:r w:rsidR="003035B0">
        <w:rPr>
          <w:lang w:eastAsia="ja-JP"/>
        </w:rPr>
        <w:t>g</w:t>
      </w:r>
      <w:r w:rsidR="004E4323" w:rsidRPr="00150693">
        <w:rPr>
          <w:lang w:eastAsia="ja-JP"/>
        </w:rPr>
        <w:t>overnments have identified that reductions to core government biosecurity resourcing (that is, overall financial</w:t>
      </w:r>
      <w:r w:rsidR="004E4323">
        <w:rPr>
          <w:lang w:eastAsia="ja-JP"/>
        </w:rPr>
        <w:t xml:space="preserve"> and staffing levels) are placing further pressures on the national system to manage biosecurity risks; and several governments have responded to these reports with additional targeted funding injections.</w:t>
      </w:r>
    </w:p>
    <w:p w14:paraId="41C9D7FD" w14:textId="5AD2102A" w:rsidR="00726AB4" w:rsidRDefault="00726AB4" w:rsidP="00726AB4">
      <w:pPr>
        <w:rPr>
          <w:lang w:eastAsia="ja-JP"/>
        </w:rPr>
      </w:pPr>
      <w:r>
        <w:rPr>
          <w:lang w:eastAsia="ja-JP"/>
        </w:rPr>
        <w:t xml:space="preserve">From the </w:t>
      </w:r>
      <w:r w:rsidR="001D4B87">
        <w:rPr>
          <w:lang w:eastAsia="ja-JP"/>
        </w:rPr>
        <w:t>p</w:t>
      </w:r>
      <w:r>
        <w:rPr>
          <w:lang w:eastAsia="ja-JP"/>
        </w:rPr>
        <w:t xml:space="preserve">anel’s perspective, funding pressures arise primarily from a combination of the following </w:t>
      </w:r>
      <w:r w:rsidR="004E4323">
        <w:rPr>
          <w:lang w:eastAsia="ja-JP"/>
        </w:rPr>
        <w:t>factors</w:t>
      </w:r>
      <w:r>
        <w:rPr>
          <w:lang w:eastAsia="ja-JP"/>
        </w:rPr>
        <w:t>:</w:t>
      </w:r>
    </w:p>
    <w:p w14:paraId="26D8370C" w14:textId="5DD0A942" w:rsidR="004E4323" w:rsidRDefault="001D4B87" w:rsidP="004E4323">
      <w:pPr>
        <w:pStyle w:val="ListBullet"/>
        <w:rPr>
          <w:lang w:eastAsia="ja-JP"/>
        </w:rPr>
      </w:pPr>
      <w:r>
        <w:rPr>
          <w:lang w:eastAsia="ja-JP"/>
        </w:rPr>
        <w:t>i</w:t>
      </w:r>
      <w:r w:rsidR="004E4323">
        <w:rPr>
          <w:lang w:eastAsia="ja-JP"/>
        </w:rPr>
        <w:t>ncreased government spending on competing priorities (for example, health, welfare and education) needing to be offset by reductions in other areas of government spending, including biosecurity</w:t>
      </w:r>
    </w:p>
    <w:p w14:paraId="4FC48F5D" w14:textId="237A6B09" w:rsidR="004E4323" w:rsidRDefault="001D4B87" w:rsidP="004E4323">
      <w:pPr>
        <w:pStyle w:val="ListBullet"/>
        <w:rPr>
          <w:lang w:eastAsia="ja-JP"/>
        </w:rPr>
      </w:pPr>
      <w:r>
        <w:rPr>
          <w:lang w:eastAsia="ja-JP"/>
        </w:rPr>
        <w:t>t</w:t>
      </w:r>
      <w:r w:rsidR="004E4323">
        <w:rPr>
          <w:lang w:eastAsia="ja-JP"/>
        </w:rPr>
        <w:t>he absence of an agreed suite of high-priority pests and diseases and their biosecurity requirements</w:t>
      </w:r>
    </w:p>
    <w:p w14:paraId="42BCD1FB" w14:textId="08521565" w:rsidR="004E4323" w:rsidRDefault="001D4B87" w:rsidP="004E4323">
      <w:pPr>
        <w:pStyle w:val="ListBullet"/>
        <w:rPr>
          <w:lang w:eastAsia="ja-JP"/>
        </w:rPr>
      </w:pPr>
      <w:r>
        <w:rPr>
          <w:lang w:eastAsia="ja-JP"/>
        </w:rPr>
        <w:t>i</w:t>
      </w:r>
      <w:r w:rsidR="004E4323">
        <w:rPr>
          <w:lang w:eastAsia="ja-JP"/>
        </w:rPr>
        <w:t>nefficient resource allocation (investments with low returns)</w:t>
      </w:r>
    </w:p>
    <w:p w14:paraId="60D052F0" w14:textId="6368D879" w:rsidR="004E4323" w:rsidRDefault="001D4B87" w:rsidP="004E4323">
      <w:pPr>
        <w:pStyle w:val="ListBullet"/>
        <w:rPr>
          <w:lang w:eastAsia="ja-JP"/>
        </w:rPr>
      </w:pPr>
      <w:r>
        <w:rPr>
          <w:lang w:eastAsia="ja-JP"/>
        </w:rPr>
        <w:t>a</w:t>
      </w:r>
      <w:r w:rsidR="004E4323">
        <w:rPr>
          <w:lang w:eastAsia="ja-JP"/>
        </w:rPr>
        <w:t>n over</w:t>
      </w:r>
      <w:r w:rsidR="004E4323">
        <w:rPr>
          <w:lang w:eastAsia="ja-JP"/>
        </w:rPr>
        <w:noBreakHyphen/>
        <w:t>dependence on public investment due to immature cost</w:t>
      </w:r>
      <w:r>
        <w:rPr>
          <w:lang w:eastAsia="ja-JP"/>
        </w:rPr>
        <w:t>-</w:t>
      </w:r>
      <w:r w:rsidR="004E4323">
        <w:rPr>
          <w:lang w:eastAsia="ja-JP"/>
        </w:rPr>
        <w:t>sharing arrangements</w:t>
      </w:r>
    </w:p>
    <w:p w14:paraId="330AA957" w14:textId="2C5B4091" w:rsidR="004E4323" w:rsidRPr="00364DFC" w:rsidRDefault="001D4B87" w:rsidP="004E4323">
      <w:pPr>
        <w:pStyle w:val="ListBullet"/>
        <w:rPr>
          <w:lang w:eastAsia="ja-JP"/>
        </w:rPr>
      </w:pPr>
      <w:r>
        <w:rPr>
          <w:lang w:eastAsia="ja-JP"/>
        </w:rPr>
        <w:t>i</w:t>
      </w:r>
      <w:r w:rsidR="004E4323">
        <w:rPr>
          <w:lang w:eastAsia="ja-JP"/>
        </w:rPr>
        <w:t xml:space="preserve">ncreasing biosecurity risks and efforts </w:t>
      </w:r>
      <w:r w:rsidR="004E4323" w:rsidRPr="00040C89">
        <w:rPr>
          <w:lang w:eastAsia="ja-JP"/>
        </w:rPr>
        <w:t>(</w:t>
      </w:r>
      <w:hyperlink w:anchor="_Australia’s_biosecurity_system" w:history="1">
        <w:r w:rsidR="004E4323" w:rsidRPr="00364DFC">
          <w:rPr>
            <w:rStyle w:val="Hyperlink"/>
            <w:lang w:eastAsia="ja-JP"/>
          </w:rPr>
          <w:t>Chapter 1</w:t>
        </w:r>
      </w:hyperlink>
      <w:r w:rsidR="004E4323" w:rsidRPr="00364DFC">
        <w:rPr>
          <w:lang w:eastAsia="ja-JP"/>
        </w:rPr>
        <w:t>)</w:t>
      </w:r>
    </w:p>
    <w:p w14:paraId="3B0F3484" w14:textId="07B09E9B" w:rsidR="004E4323" w:rsidRDefault="001D4B87" w:rsidP="004E4323">
      <w:pPr>
        <w:pStyle w:val="ListBullet"/>
        <w:rPr>
          <w:lang w:eastAsia="ja-JP"/>
        </w:rPr>
      </w:pPr>
      <w:r>
        <w:rPr>
          <w:lang w:eastAsia="ja-JP"/>
        </w:rPr>
        <w:t>g</w:t>
      </w:r>
      <w:r w:rsidR="004E4323">
        <w:rPr>
          <w:lang w:eastAsia="ja-JP"/>
        </w:rPr>
        <w:t>rowing demand for biosecurity services (for example, export/domestic certification).</w:t>
      </w:r>
    </w:p>
    <w:p w14:paraId="5C8D23E0" w14:textId="12667DC3" w:rsidR="00726AB4" w:rsidRDefault="004E4323" w:rsidP="00052D79">
      <w:pPr>
        <w:rPr>
          <w:lang w:eastAsia="ja-JP"/>
        </w:rPr>
      </w:pPr>
      <w:r w:rsidRPr="004E4323">
        <w:rPr>
          <w:lang w:eastAsia="ja-JP"/>
        </w:rPr>
        <w:lastRenderedPageBreak/>
        <w:t xml:space="preserve">It is now generally accepted that resourcing the national biosecurity system is not the responsibility of governments alone. The </w:t>
      </w:r>
      <w:r w:rsidR="00137234">
        <w:rPr>
          <w:lang w:eastAsia="ja-JP"/>
        </w:rPr>
        <w:t>p</w:t>
      </w:r>
      <w:r w:rsidRPr="004E4323">
        <w:rPr>
          <w:lang w:eastAsia="ja-JP"/>
        </w:rPr>
        <w:t xml:space="preserve">anel acknowledges that the </w:t>
      </w:r>
      <w:r w:rsidR="00547BB4">
        <w:rPr>
          <w:lang w:eastAsia="ja-JP"/>
        </w:rPr>
        <w:t xml:space="preserve">national </w:t>
      </w:r>
      <w:r w:rsidRPr="004E4323">
        <w:rPr>
          <w:lang w:eastAsia="ja-JP"/>
        </w:rPr>
        <w:t>system is funded through a variety of m</w:t>
      </w:r>
      <w:r w:rsidR="00137234">
        <w:rPr>
          <w:lang w:eastAsia="ja-JP"/>
        </w:rPr>
        <w:t>eans: government appropriations,</w:t>
      </w:r>
      <w:r w:rsidRPr="004E4323">
        <w:rPr>
          <w:lang w:eastAsia="ja-JP"/>
        </w:rPr>
        <w:t xml:space="preserve"> fees and charges for services</w:t>
      </w:r>
      <w:r w:rsidR="00137234">
        <w:rPr>
          <w:lang w:eastAsia="ja-JP"/>
        </w:rPr>
        <w:t>,</w:t>
      </w:r>
      <w:r w:rsidRPr="004E4323">
        <w:rPr>
          <w:lang w:eastAsia="ja-JP"/>
        </w:rPr>
        <w:t xml:space="preserve"> levies</w:t>
      </w:r>
      <w:r w:rsidR="00137234">
        <w:rPr>
          <w:lang w:eastAsia="ja-JP"/>
        </w:rPr>
        <w:t xml:space="preserve"> and</w:t>
      </w:r>
      <w:r w:rsidRPr="004E4323">
        <w:rPr>
          <w:lang w:eastAsia="ja-JP"/>
        </w:rPr>
        <w:t xml:space="preserve"> other financial contributions. There are also noteworthy financial, in-kind and voluntary contributions made by landholders and other industry participants.</w:t>
      </w:r>
    </w:p>
    <w:p w14:paraId="5E18D47F" w14:textId="76F0C26D" w:rsidR="00726AB4" w:rsidRDefault="006A37B5" w:rsidP="00726AB4">
      <w:pPr>
        <w:rPr>
          <w:lang w:eastAsia="ja-JP"/>
        </w:rPr>
      </w:pPr>
      <w:r w:rsidRPr="006A37B5">
        <w:rPr>
          <w:lang w:eastAsia="ja-JP"/>
        </w:rPr>
        <w:t xml:space="preserve">The </w:t>
      </w:r>
      <w:r w:rsidR="00137234">
        <w:rPr>
          <w:lang w:eastAsia="ja-JP"/>
        </w:rPr>
        <w:t>p</w:t>
      </w:r>
      <w:r w:rsidRPr="006A37B5">
        <w:rPr>
          <w:lang w:eastAsia="ja-JP"/>
        </w:rPr>
        <w:t>anel received comments from across governments, industry, community org</w:t>
      </w:r>
      <w:r w:rsidR="00137234">
        <w:rPr>
          <w:lang w:eastAsia="ja-JP"/>
        </w:rPr>
        <w:t>anisations and individuals</w:t>
      </w:r>
      <w:r w:rsidRPr="006A37B5">
        <w:rPr>
          <w:lang w:eastAsia="ja-JP"/>
        </w:rPr>
        <w:t xml:space="preserve"> suggesting broad concern that existing funding and resourcing arrangements are inadequate and </w:t>
      </w:r>
      <w:r w:rsidRPr="006A37B5">
        <w:rPr>
          <w:i/>
          <w:lang w:eastAsia="ja-JP"/>
        </w:rPr>
        <w:t>ad hoc</w:t>
      </w:r>
      <w:r w:rsidRPr="006A37B5">
        <w:rPr>
          <w:lang w:eastAsia="ja-JP"/>
        </w:rPr>
        <w:t xml:space="preserve"> and, if continued, </w:t>
      </w:r>
      <w:r w:rsidR="00137234">
        <w:rPr>
          <w:lang w:eastAsia="ja-JP"/>
        </w:rPr>
        <w:t xml:space="preserve">they </w:t>
      </w:r>
      <w:r w:rsidRPr="006A37B5">
        <w:rPr>
          <w:lang w:eastAsia="ja-JP"/>
        </w:rPr>
        <w:t>will not be able to support the national system into the future. Many industry members have commented that reductions in government expenditure on biosecurity</w:t>
      </w:r>
      <w:r w:rsidR="00137234">
        <w:rPr>
          <w:lang w:eastAsia="ja-JP"/>
        </w:rPr>
        <w:t xml:space="preserve"> correlate with increased ‘cost-</w:t>
      </w:r>
      <w:r w:rsidRPr="006A37B5">
        <w:rPr>
          <w:lang w:eastAsia="ja-JP"/>
        </w:rPr>
        <w:t xml:space="preserve">shifting’ to industry. Industry has raised concerns about a decline in the number of specialists (including, for example, government veterinarians and plant pathologists). A </w:t>
      </w:r>
      <w:r w:rsidR="00183DA7">
        <w:rPr>
          <w:lang w:eastAsia="ja-JP"/>
        </w:rPr>
        <w:t>selection</w:t>
      </w:r>
      <w:r w:rsidRPr="006A37B5">
        <w:rPr>
          <w:lang w:eastAsia="ja-JP"/>
        </w:rPr>
        <w:t xml:space="preserve"> of these comments</w:t>
      </w:r>
      <w:r w:rsidR="00183DA7">
        <w:rPr>
          <w:lang w:eastAsia="ja-JP"/>
        </w:rPr>
        <w:t>, which other biosecurity stakeholders may dispute,</w:t>
      </w:r>
      <w:r w:rsidRPr="006A37B5">
        <w:rPr>
          <w:lang w:eastAsia="ja-JP"/>
        </w:rPr>
        <w:t xml:space="preserve"> is </w:t>
      </w:r>
      <w:r w:rsidR="00183DA7">
        <w:rPr>
          <w:lang w:eastAsia="ja-JP"/>
        </w:rPr>
        <w:t xml:space="preserve">provided </w:t>
      </w:r>
      <w:r w:rsidRPr="006A37B5">
        <w:rPr>
          <w:lang w:eastAsia="ja-JP"/>
        </w:rPr>
        <w:t>below:</w:t>
      </w:r>
    </w:p>
    <w:p w14:paraId="799D061E" w14:textId="6C506AF7" w:rsidR="00726AB4" w:rsidRDefault="00726AB4" w:rsidP="00854465">
      <w:pPr>
        <w:pStyle w:val="Quote"/>
        <w:rPr>
          <w:lang w:eastAsia="ja-JP"/>
        </w:rPr>
      </w:pPr>
      <w:r>
        <w:rPr>
          <w:lang w:eastAsia="ja-JP"/>
        </w:rPr>
        <w:t>[There is] no overall funding model for a national framework/and system. Individual components maybe funded but how the system should operate and be paid for has not been addressed. Under the current framework, initiatives are funded piecemeal and under ephemeral funding models. These initiatives run the risk of falling by the wayside when the focus turns to other aspects (other ‘hot topics’) of biosecurity. Logically, agreement on operation and funding cannot occur until there is some agreement amongst parties as to what a national framework should be</w:t>
      </w:r>
      <w:r w:rsidR="001312E0">
        <w:rPr>
          <w:lang w:eastAsia="ja-JP"/>
        </w:rPr>
        <w:t xml:space="preserve"> </w:t>
      </w:r>
      <w:r>
        <w:rPr>
          <w:lang w:eastAsia="ja-JP"/>
        </w:rPr>
        <w:t xml:space="preserve">… In many cases we have seen a diminution of capacity as jurisdictions have reduced commitments and funding to biosecurity. Similarly the resources at the Commonwealth level have not kept pace with the increase in risk as trade and passenger movements increase (Voice of </w:t>
      </w:r>
      <w:r w:rsidRPr="006C644B">
        <w:rPr>
          <w:lang w:eastAsia="ja-JP"/>
        </w:rPr>
        <w:t>Horticulture</w:t>
      </w:r>
      <w:r w:rsidR="00995F28" w:rsidRPr="006C644B">
        <w:rPr>
          <w:lang w:eastAsia="ja-JP"/>
        </w:rPr>
        <w:t xml:space="preserve"> sub</w:t>
      </w:r>
      <w:r w:rsidR="0046590C" w:rsidRPr="006C644B">
        <w:rPr>
          <w:lang w:eastAsia="ja-JP"/>
        </w:rPr>
        <w:t>. DP11</w:t>
      </w:r>
      <w:r>
        <w:rPr>
          <w:lang w:eastAsia="ja-JP"/>
        </w:rPr>
        <w:t>)</w:t>
      </w:r>
    </w:p>
    <w:p w14:paraId="1800A204" w14:textId="79F5F8A2" w:rsidR="00726AB4" w:rsidRDefault="00726AB4" w:rsidP="00854465">
      <w:pPr>
        <w:pStyle w:val="Quote"/>
        <w:rPr>
          <w:lang w:eastAsia="ja-JP"/>
        </w:rPr>
      </w:pPr>
      <w:r>
        <w:rPr>
          <w:lang w:eastAsia="ja-JP"/>
        </w:rPr>
        <w:t>Industry has also witnessed the disproportionate reduction in government investment in plant biosecurity across Australia relevant to animal biosecurity which questions state/territory government capacity to meet their obligations. Industry faces significant pressure in sourcing general funding with most relying on industry RD&amp;E levies</w:t>
      </w:r>
      <w:r w:rsidR="001312E0">
        <w:rPr>
          <w:lang w:eastAsia="ja-JP"/>
        </w:rPr>
        <w:t xml:space="preserve"> </w:t>
      </w:r>
      <w:r w:rsidR="00040C89">
        <w:rPr>
          <w:lang w:eastAsia="ja-JP"/>
        </w:rPr>
        <w:t>…</w:t>
      </w:r>
      <w:r w:rsidR="00A30CC2">
        <w:rPr>
          <w:lang w:eastAsia="ja-JP"/>
        </w:rPr>
        <w:t xml:space="preserve"> </w:t>
      </w:r>
      <w:r>
        <w:rPr>
          <w:lang w:eastAsia="ja-JP"/>
        </w:rPr>
        <w:t>(Nursery and Garden Industry Australia</w:t>
      </w:r>
      <w:r w:rsidR="00995F28">
        <w:rPr>
          <w:lang w:eastAsia="ja-JP"/>
        </w:rPr>
        <w:t>n sub</w:t>
      </w:r>
      <w:r w:rsidR="0046590C">
        <w:rPr>
          <w:lang w:eastAsia="ja-JP"/>
        </w:rPr>
        <w:t>. DP23</w:t>
      </w:r>
      <w:r>
        <w:rPr>
          <w:lang w:eastAsia="ja-JP"/>
        </w:rPr>
        <w:t>)</w:t>
      </w:r>
    </w:p>
    <w:p w14:paraId="45005821" w14:textId="5A58B165" w:rsidR="00BD35C9" w:rsidRPr="00BD35C9" w:rsidRDefault="00726AB4" w:rsidP="00BD35C9">
      <w:pPr>
        <w:pStyle w:val="Quote"/>
        <w:rPr>
          <w:rFonts w:eastAsia="Calibri" w:cs="Times New Roman"/>
          <w:lang w:eastAsia="ja-JP"/>
        </w:rPr>
      </w:pPr>
      <w:r>
        <w:rPr>
          <w:lang w:eastAsia="ja-JP"/>
        </w:rPr>
        <w:t xml:space="preserve">Substantial reductions in State government services </w:t>
      </w:r>
      <w:r w:rsidRPr="00452310">
        <w:rPr>
          <w:lang w:eastAsia="ja-JP"/>
        </w:rPr>
        <w:t xml:space="preserve">and </w:t>
      </w:r>
      <w:r w:rsidR="00BD35C9" w:rsidRPr="00452310">
        <w:rPr>
          <w:rFonts w:eastAsia="Calibri" w:cs="Times New Roman"/>
        </w:rPr>
        <w:t xml:space="preserve">funding now jeopardise our national system of biosecurity. For example, our experts dispute </w:t>
      </w:r>
      <w:r w:rsidR="00BD35C9" w:rsidRPr="00452310">
        <w:rPr>
          <w:rFonts w:eastAsia="Calibri" w:cs="Times New Roman"/>
        </w:rPr>
        <w:lastRenderedPageBreak/>
        <w:t xml:space="preserve">the claim [from the IGAB </w:t>
      </w:r>
      <w:r w:rsidR="00646B3C">
        <w:rPr>
          <w:rFonts w:eastAsia="Calibri" w:cs="Times New Roman"/>
        </w:rPr>
        <w:t>r</w:t>
      </w:r>
      <w:r w:rsidR="00BD35C9" w:rsidRPr="00452310">
        <w:rPr>
          <w:rFonts w:eastAsia="Calibri" w:cs="Times New Roman"/>
        </w:rPr>
        <w:t xml:space="preserve">eview </w:t>
      </w:r>
      <w:r w:rsidR="00646B3C">
        <w:rPr>
          <w:rFonts w:eastAsia="Calibri" w:cs="Times New Roman"/>
        </w:rPr>
        <w:t>d</w:t>
      </w:r>
      <w:r w:rsidR="00BD35C9" w:rsidRPr="00452310">
        <w:rPr>
          <w:rFonts w:eastAsia="Calibri" w:cs="Times New Roman"/>
        </w:rPr>
        <w:t xml:space="preserve">iscussion </w:t>
      </w:r>
      <w:r w:rsidR="00646B3C">
        <w:rPr>
          <w:rFonts w:eastAsia="Calibri" w:cs="Times New Roman"/>
        </w:rPr>
        <w:t>p</w:t>
      </w:r>
      <w:r w:rsidR="00BD35C9" w:rsidRPr="00452310">
        <w:rPr>
          <w:rFonts w:eastAsia="Calibri" w:cs="Times New Roman"/>
        </w:rPr>
        <w:t>aper] that Australia enjoys a ‘robust diagnostic systems and capacity’ compared to international benchmarks. The national veterinary diagnostic system has been degraded as a result of State government funding cuts</w:t>
      </w:r>
      <w:r w:rsidR="001312E0">
        <w:rPr>
          <w:rFonts w:eastAsia="Calibri" w:cs="Times New Roman"/>
        </w:rPr>
        <w:t xml:space="preserve"> </w:t>
      </w:r>
      <w:r w:rsidR="00BD35C9" w:rsidRPr="00452310">
        <w:rPr>
          <w:rFonts w:eastAsia="Calibri" w:cs="Times New Roman"/>
        </w:rPr>
        <w:t xml:space="preserve">… (The University of Sydney sub. </w:t>
      </w:r>
      <w:r w:rsidR="00BD35C9" w:rsidRPr="00452310">
        <w:rPr>
          <w:rFonts w:eastAsia="Calibri" w:cs="Times New Roman"/>
          <w:lang w:eastAsia="ja-JP"/>
        </w:rPr>
        <w:t>DP14).</w:t>
      </w:r>
    </w:p>
    <w:p w14:paraId="7A5248AE" w14:textId="2D137387" w:rsidR="006C644B" w:rsidRDefault="006C644B" w:rsidP="006C644B">
      <w:pPr>
        <w:rPr>
          <w:lang w:eastAsia="ja-JP"/>
        </w:rPr>
      </w:pPr>
      <w:r>
        <w:rPr>
          <w:lang w:eastAsia="ja-JP"/>
        </w:rPr>
        <w:t>On the other hand, some of the apparent reductions in biosecurity services by governments across the country have occurred when new systems</w:t>
      </w:r>
      <w:r w:rsidR="00547BB4">
        <w:rPr>
          <w:lang w:eastAsia="ja-JP"/>
        </w:rPr>
        <w:t>,</w:t>
      </w:r>
      <w:r w:rsidR="00137234">
        <w:rPr>
          <w:lang w:eastAsia="ja-JP"/>
        </w:rPr>
        <w:t xml:space="preserve"> with built-</w:t>
      </w:r>
      <w:r>
        <w:rPr>
          <w:lang w:eastAsia="ja-JP"/>
        </w:rPr>
        <w:t>in efficiencies that reduce costs to governments and at the same time maintain or enhance the service</w:t>
      </w:r>
      <w:r w:rsidR="00137234">
        <w:rPr>
          <w:lang w:eastAsia="ja-JP"/>
        </w:rPr>
        <w:t>,</w:t>
      </w:r>
      <w:r>
        <w:rPr>
          <w:lang w:eastAsia="ja-JP"/>
        </w:rPr>
        <w:t xml:space="preserve"> have been implemented. For example, the reduction in the number of small veterinary laboratories has been addressed by significant capital investments in large</w:t>
      </w:r>
      <w:r w:rsidR="00137234">
        <w:rPr>
          <w:lang w:eastAsia="ja-JP"/>
        </w:rPr>
        <w:t>,</w:t>
      </w:r>
      <w:r>
        <w:rPr>
          <w:lang w:eastAsia="ja-JP"/>
        </w:rPr>
        <w:t xml:space="preserve"> centralised and modern facilities with significant</w:t>
      </w:r>
      <w:r w:rsidR="00137234">
        <w:rPr>
          <w:lang w:eastAsia="ja-JP"/>
        </w:rPr>
        <w:t>ly superior diagnostic capacity and</w:t>
      </w:r>
      <w:r>
        <w:rPr>
          <w:lang w:eastAsia="ja-JP"/>
        </w:rPr>
        <w:t xml:space="preserve"> utilising modern transport logistics.</w:t>
      </w:r>
    </w:p>
    <w:p w14:paraId="4D1CA442" w14:textId="052CF289" w:rsidR="005B1353" w:rsidRDefault="00763953" w:rsidP="006C644B">
      <w:pPr>
        <w:rPr>
          <w:lang w:eastAsia="ja-JP"/>
        </w:rPr>
      </w:pPr>
      <w:r>
        <w:rPr>
          <w:lang w:eastAsia="ja-JP"/>
        </w:rPr>
        <w:t>Also</w:t>
      </w:r>
      <w:r w:rsidR="006C644B">
        <w:rPr>
          <w:lang w:eastAsia="ja-JP"/>
        </w:rPr>
        <w:t xml:space="preserve">, state and territory treasuries rightly look to ensure that all system participants are sharing in the costs of the national biosecurity system. It is appropriate for governments to continually question whether all system participants are pulling their weight and to be assured that governments are not being used as automatic default funders. If this process is conducted in partnership with all system participants, it should be </w:t>
      </w:r>
      <w:r w:rsidR="00BD35C9" w:rsidRPr="00BD35C9">
        <w:rPr>
          <w:rFonts w:eastAsia="Calibri" w:cs="Times New Roman"/>
          <w:lang w:eastAsia="ja-JP"/>
        </w:rPr>
        <w:t>possible</w:t>
      </w:r>
      <w:r w:rsidR="006C644B">
        <w:rPr>
          <w:lang w:eastAsia="ja-JP"/>
        </w:rPr>
        <w:t xml:space="preserve"> to identify appropriate cost</w:t>
      </w:r>
      <w:r w:rsidR="00CA1E99">
        <w:rPr>
          <w:lang w:eastAsia="ja-JP"/>
        </w:rPr>
        <w:t>-</w:t>
      </w:r>
      <w:r w:rsidR="006C644B">
        <w:rPr>
          <w:lang w:eastAsia="ja-JP"/>
        </w:rPr>
        <w:t>sharing versu</w:t>
      </w:r>
      <w:r w:rsidR="00CA1E99">
        <w:rPr>
          <w:lang w:eastAsia="ja-JP"/>
        </w:rPr>
        <w:t>s inappropriate cost-</w:t>
      </w:r>
      <w:r w:rsidR="006C644B">
        <w:rPr>
          <w:lang w:eastAsia="ja-JP"/>
        </w:rPr>
        <w:t>shifting.</w:t>
      </w:r>
    </w:p>
    <w:p w14:paraId="1D914BF2" w14:textId="7F36627C" w:rsidR="006C644B" w:rsidRDefault="006C644B" w:rsidP="006C644B">
      <w:pPr>
        <w:rPr>
          <w:lang w:eastAsia="ja-JP"/>
        </w:rPr>
      </w:pPr>
      <w:r w:rsidRPr="006C644B">
        <w:rPr>
          <w:lang w:eastAsia="ja-JP"/>
        </w:rPr>
        <w:t xml:space="preserve">Given the comments and concerns expressed in submissions, the </w:t>
      </w:r>
      <w:r w:rsidR="00CA1E99">
        <w:rPr>
          <w:lang w:eastAsia="ja-JP"/>
        </w:rPr>
        <w:t>p</w:t>
      </w:r>
      <w:r w:rsidRPr="006C644B">
        <w:rPr>
          <w:lang w:eastAsia="ja-JP"/>
        </w:rPr>
        <w:t xml:space="preserve">anel has attempted to quantify the extent of the funding problem. The Australian Government </w:t>
      </w:r>
      <w:r w:rsidR="00CA1E99">
        <w:rPr>
          <w:lang w:eastAsia="ja-JP"/>
        </w:rPr>
        <w:t>Department of Agriculture and Water Resource</w:t>
      </w:r>
      <w:r w:rsidRPr="006C644B">
        <w:rPr>
          <w:lang w:eastAsia="ja-JP"/>
        </w:rPr>
        <w:t>s funding for biosecurity has been estimated using figures from its Portfolio Budget Statements (Outcome 2), being:</w:t>
      </w:r>
    </w:p>
    <w:p w14:paraId="1A955A5A" w14:textId="71084B6C" w:rsidR="006C644B" w:rsidRDefault="006C644B" w:rsidP="006C644B">
      <w:pPr>
        <w:pStyle w:val="Quote"/>
        <w:rPr>
          <w:lang w:eastAsia="ja-JP"/>
        </w:rPr>
      </w:pPr>
      <w:r w:rsidRPr="006C644B">
        <w:rPr>
          <w:lang w:eastAsia="ja-JP"/>
        </w:rPr>
        <w:t>Outcome 2: Safeguard Australia’s animal and plant health status to maintain overseas markets and protect the economy and environment from the impact of exotic pests and diseases, through risk assessment, inspection and certification, and the implementation of emergency response arrangements for Australian agricultural, food and fibre industries.</w:t>
      </w:r>
    </w:p>
    <w:p w14:paraId="241E27DF" w14:textId="5298417F" w:rsidR="006C644B" w:rsidRDefault="0021150E" w:rsidP="006C644B">
      <w:pPr>
        <w:rPr>
          <w:lang w:eastAsia="ja-JP"/>
        </w:rPr>
      </w:pPr>
      <w:r w:rsidRPr="0021150E">
        <w:rPr>
          <w:lang w:eastAsia="ja-JP"/>
        </w:rPr>
        <w:t xml:space="preserve">The </w:t>
      </w:r>
      <w:r w:rsidR="00CA1E99">
        <w:rPr>
          <w:lang w:eastAsia="ja-JP"/>
        </w:rPr>
        <w:t>p</w:t>
      </w:r>
      <w:r w:rsidRPr="0021150E">
        <w:rPr>
          <w:lang w:eastAsia="ja-JP"/>
        </w:rPr>
        <w:t xml:space="preserve">anel has </w:t>
      </w:r>
      <w:r w:rsidR="0000605B">
        <w:rPr>
          <w:lang w:eastAsia="ja-JP"/>
        </w:rPr>
        <w:t>examined</w:t>
      </w:r>
      <w:r w:rsidRPr="0021150E">
        <w:rPr>
          <w:lang w:eastAsia="ja-JP"/>
        </w:rPr>
        <w:t xml:space="preserve"> </w:t>
      </w:r>
      <w:r>
        <w:rPr>
          <w:lang w:eastAsia="ja-JP"/>
        </w:rPr>
        <w:t xml:space="preserve">the </w:t>
      </w:r>
      <w:r w:rsidR="006C644B" w:rsidRPr="006C644B">
        <w:rPr>
          <w:lang w:eastAsia="ja-JP"/>
        </w:rPr>
        <w:t>department’s actual expenditure by funding source fr</w:t>
      </w:r>
      <w:r>
        <w:rPr>
          <w:lang w:eastAsia="ja-JP"/>
        </w:rPr>
        <w:t>om</w:t>
      </w:r>
      <w:r w:rsidR="006C644B" w:rsidRPr="006C644B">
        <w:rPr>
          <w:lang w:eastAsia="ja-JP"/>
        </w:rPr>
        <w:t xml:space="preserve"> 2011</w:t>
      </w:r>
      <w:r w:rsidR="006C644B">
        <w:rPr>
          <w:lang w:eastAsia="ja-JP"/>
        </w:rPr>
        <w:t>–</w:t>
      </w:r>
      <w:r w:rsidR="006C644B" w:rsidRPr="006C644B">
        <w:rPr>
          <w:lang w:eastAsia="ja-JP"/>
        </w:rPr>
        <w:t>12 to 2015–16</w:t>
      </w:r>
      <w:r w:rsidR="00CA1E99">
        <w:rPr>
          <w:lang w:eastAsia="ja-JP"/>
        </w:rPr>
        <w:t>,</w:t>
      </w:r>
      <w:r w:rsidR="006C644B" w:rsidRPr="006C644B">
        <w:rPr>
          <w:lang w:eastAsia="ja-JP"/>
        </w:rPr>
        <w:t xml:space="preserve"> and</w:t>
      </w:r>
      <w:r w:rsidR="0000605B">
        <w:rPr>
          <w:lang w:eastAsia="ja-JP"/>
        </w:rPr>
        <w:t xml:space="preserve"> the</w:t>
      </w:r>
      <w:r w:rsidR="006C644B" w:rsidRPr="006C644B">
        <w:rPr>
          <w:lang w:eastAsia="ja-JP"/>
        </w:rPr>
        <w:t xml:space="preserve"> budgeted expenditure f</w:t>
      </w:r>
      <w:r>
        <w:rPr>
          <w:lang w:eastAsia="ja-JP"/>
        </w:rPr>
        <w:t>or</w:t>
      </w:r>
      <w:r w:rsidR="006C644B" w:rsidRPr="006C644B">
        <w:rPr>
          <w:lang w:eastAsia="ja-JP"/>
        </w:rPr>
        <w:t xml:space="preserve"> 2016–17, in 2011–12 dollars</w:t>
      </w:r>
      <w:r>
        <w:rPr>
          <w:lang w:eastAsia="ja-JP"/>
        </w:rPr>
        <w:t xml:space="preserve"> (</w:t>
      </w:r>
      <w:r>
        <w:rPr>
          <w:highlight w:val="yellow"/>
          <w:lang w:eastAsia="ja-JP"/>
        </w:rPr>
        <w:fldChar w:fldCharType="begin"/>
      </w:r>
      <w:r>
        <w:rPr>
          <w:lang w:eastAsia="ja-JP"/>
        </w:rPr>
        <w:instrText xml:space="preserve"> REF _Ref481741825 \h </w:instrText>
      </w:r>
      <w:r>
        <w:rPr>
          <w:highlight w:val="yellow"/>
          <w:lang w:eastAsia="ja-JP"/>
        </w:rPr>
      </w:r>
      <w:r>
        <w:rPr>
          <w:highlight w:val="yellow"/>
          <w:lang w:eastAsia="ja-JP"/>
        </w:rPr>
        <w:fldChar w:fldCharType="separate"/>
      </w:r>
      <w:r w:rsidR="009F6923">
        <w:t xml:space="preserve">Table </w:t>
      </w:r>
      <w:r w:rsidR="009F6923">
        <w:rPr>
          <w:noProof/>
        </w:rPr>
        <w:t>7</w:t>
      </w:r>
      <w:r>
        <w:rPr>
          <w:highlight w:val="yellow"/>
          <w:lang w:eastAsia="ja-JP"/>
        </w:rPr>
        <w:fldChar w:fldCharType="end"/>
      </w:r>
      <w:r>
        <w:rPr>
          <w:lang w:eastAsia="ja-JP"/>
        </w:rPr>
        <w:t>)</w:t>
      </w:r>
      <w:r w:rsidR="006C644B" w:rsidRPr="006C644B">
        <w:rPr>
          <w:lang w:eastAsia="ja-JP"/>
        </w:rPr>
        <w:t>. Th</w:t>
      </w:r>
      <w:r w:rsidR="0000605B">
        <w:rPr>
          <w:lang w:eastAsia="ja-JP"/>
        </w:rPr>
        <w:t>is analysis</w:t>
      </w:r>
      <w:r w:rsidR="006C644B" w:rsidRPr="006C644B">
        <w:rPr>
          <w:lang w:eastAsia="ja-JP"/>
        </w:rPr>
        <w:t xml:space="preserve"> indicate</w:t>
      </w:r>
      <w:r w:rsidR="0000605B">
        <w:rPr>
          <w:lang w:eastAsia="ja-JP"/>
        </w:rPr>
        <w:t>s</w:t>
      </w:r>
      <w:r w:rsidR="006C644B" w:rsidRPr="006C644B">
        <w:rPr>
          <w:lang w:eastAsia="ja-JP"/>
        </w:rPr>
        <w:t xml:space="preserve"> that appropriation funding declined markedly from 2011–12 to 2014–15</w:t>
      </w:r>
      <w:r w:rsidR="00CA1E99">
        <w:rPr>
          <w:lang w:eastAsia="ja-JP"/>
        </w:rPr>
        <w:t>,</w:t>
      </w:r>
      <w:r w:rsidR="006C644B" w:rsidRPr="006C644B">
        <w:rPr>
          <w:lang w:eastAsia="ja-JP"/>
        </w:rPr>
        <w:t xml:space="preserve"> falling by almost 30</w:t>
      </w:r>
      <w:r w:rsidR="00A8440A">
        <w:rPr>
          <w:lang w:eastAsia="ja-JP"/>
        </w:rPr>
        <w:t> </w:t>
      </w:r>
      <w:r w:rsidR="006C644B" w:rsidRPr="006C644B">
        <w:rPr>
          <w:lang w:eastAsia="ja-JP"/>
        </w:rPr>
        <w:t>per</w:t>
      </w:r>
      <w:r w:rsidR="00A8440A">
        <w:rPr>
          <w:lang w:eastAsia="ja-JP"/>
        </w:rPr>
        <w:t> </w:t>
      </w:r>
      <w:r w:rsidR="006C644B" w:rsidRPr="006C644B">
        <w:rPr>
          <w:lang w:eastAsia="ja-JP"/>
        </w:rPr>
        <w:t>cent in real terms in just three years. While appropriation expenditure has increased since then, budgeted appropriation expenditure for 2016–17 remains approximately $26</w:t>
      </w:r>
      <w:r w:rsidR="00B942A2">
        <w:rPr>
          <w:lang w:eastAsia="ja-JP"/>
        </w:rPr>
        <w:t> </w:t>
      </w:r>
      <w:r w:rsidR="00A8440A">
        <w:rPr>
          <w:lang w:eastAsia="ja-JP"/>
        </w:rPr>
        <w:t>million</w:t>
      </w:r>
      <w:r w:rsidR="00CA1E99">
        <w:rPr>
          <w:lang w:eastAsia="ja-JP"/>
        </w:rPr>
        <w:t>,</w:t>
      </w:r>
      <w:r w:rsidR="00A8440A">
        <w:rPr>
          <w:lang w:eastAsia="ja-JP"/>
        </w:rPr>
        <w:t xml:space="preserve"> or around 10 </w:t>
      </w:r>
      <w:r w:rsidR="006C644B" w:rsidRPr="006C644B">
        <w:rPr>
          <w:lang w:eastAsia="ja-JP"/>
        </w:rPr>
        <w:t>per</w:t>
      </w:r>
      <w:r w:rsidR="00A8440A">
        <w:rPr>
          <w:lang w:eastAsia="ja-JP"/>
        </w:rPr>
        <w:t> </w:t>
      </w:r>
      <w:r w:rsidR="006C644B" w:rsidRPr="006C644B">
        <w:rPr>
          <w:lang w:eastAsia="ja-JP"/>
        </w:rPr>
        <w:t>cent below 2011–12 levels in real terms.</w:t>
      </w:r>
    </w:p>
    <w:p w14:paraId="0B10AE72" w14:textId="10CAB971" w:rsidR="006C644B" w:rsidRPr="006C644B" w:rsidRDefault="00CA1E99" w:rsidP="006C644B">
      <w:pPr>
        <w:rPr>
          <w:lang w:eastAsia="ja-JP"/>
        </w:rPr>
      </w:pPr>
      <w:r>
        <w:rPr>
          <w:lang w:eastAsia="ja-JP"/>
        </w:rPr>
        <w:lastRenderedPageBreak/>
        <w:t>By comparison, cost-</w:t>
      </w:r>
      <w:r w:rsidR="006A37B5" w:rsidRPr="006A37B5">
        <w:rPr>
          <w:lang w:eastAsia="ja-JP"/>
        </w:rPr>
        <w:t xml:space="preserve">recovered funding has increased every year in real terms, illustrating the rising proportion of the biosecurity system being funded by industry. The </w:t>
      </w:r>
      <w:r>
        <w:rPr>
          <w:lang w:eastAsia="ja-JP"/>
        </w:rPr>
        <w:t>p</w:t>
      </w:r>
      <w:r w:rsidR="006A37B5" w:rsidRPr="006A37B5">
        <w:rPr>
          <w:lang w:eastAsia="ja-JP"/>
        </w:rPr>
        <w:t>anel notes, though, that this is not necessarily inappropriate. As trade volumes grow and fee-for-service activities become a larger part of the overall biosecurity task</w:t>
      </w:r>
      <w:r>
        <w:rPr>
          <w:lang w:eastAsia="ja-JP"/>
        </w:rPr>
        <w:t>,</w:t>
      </w:r>
      <w:r w:rsidR="006A37B5" w:rsidRPr="006A37B5">
        <w:rPr>
          <w:lang w:eastAsia="ja-JP"/>
        </w:rPr>
        <w:t xml:space="preserve"> it </w:t>
      </w:r>
      <w:r>
        <w:rPr>
          <w:lang w:eastAsia="ja-JP"/>
        </w:rPr>
        <w:t>is to be expected that the cost-</w:t>
      </w:r>
      <w:r w:rsidR="006A37B5" w:rsidRPr="006A37B5">
        <w:rPr>
          <w:lang w:eastAsia="ja-JP"/>
        </w:rPr>
        <w:t>recovered proportion will increase. Indeed, in 2015 the department conducted an extensive review of its fees and charges. The review saw the cost base to be recovered increase by 8.6</w:t>
      </w:r>
      <w:r w:rsidR="00A8440A">
        <w:rPr>
          <w:lang w:eastAsia="ja-JP"/>
        </w:rPr>
        <w:t> </w:t>
      </w:r>
      <w:r w:rsidR="006A37B5" w:rsidRPr="006A37B5">
        <w:rPr>
          <w:lang w:eastAsia="ja-JP"/>
        </w:rPr>
        <w:t>per</w:t>
      </w:r>
      <w:r w:rsidR="00A8440A">
        <w:rPr>
          <w:lang w:eastAsia="ja-JP"/>
        </w:rPr>
        <w:t> </w:t>
      </w:r>
      <w:r w:rsidR="006A37B5" w:rsidRPr="006A37B5">
        <w:rPr>
          <w:lang w:eastAsia="ja-JP"/>
        </w:rPr>
        <w:t xml:space="preserve">cent, a substantial reduction in the number of fees and charges to streamline the system, and significant changes in magnitude of fees </w:t>
      </w:r>
      <w:r w:rsidR="006A37B5" w:rsidRPr="005956CE">
        <w:rPr>
          <w:lang w:eastAsia="ja-JP"/>
        </w:rPr>
        <w:t>(</w:t>
      </w:r>
      <w:hyperlink w:anchor="DAWR_2015a" w:history="1">
        <w:r w:rsidR="006A37B5" w:rsidRPr="00651AC0">
          <w:rPr>
            <w:rStyle w:val="Hyperlink"/>
            <w:lang w:eastAsia="ja-JP"/>
          </w:rPr>
          <w:t>DAWR 2015</w:t>
        </w:r>
        <w:r w:rsidR="00651AC0" w:rsidRPr="00651AC0">
          <w:rPr>
            <w:rStyle w:val="Hyperlink"/>
            <w:lang w:eastAsia="ja-JP"/>
          </w:rPr>
          <w:t>a</w:t>
        </w:r>
      </w:hyperlink>
      <w:r w:rsidR="006A37B5" w:rsidRPr="005956CE">
        <w:rPr>
          <w:lang w:eastAsia="ja-JP"/>
        </w:rPr>
        <w:t>).</w:t>
      </w:r>
    </w:p>
    <w:p w14:paraId="3F24EEC8" w14:textId="587FE58C" w:rsidR="006C644B" w:rsidRDefault="006C644B" w:rsidP="006C644B">
      <w:pPr>
        <w:rPr>
          <w:lang w:eastAsia="ja-JP"/>
        </w:rPr>
      </w:pPr>
      <w:r w:rsidRPr="006C644B">
        <w:rPr>
          <w:lang w:eastAsia="ja-JP"/>
        </w:rPr>
        <w:t xml:space="preserve">In total (appropriation plus cost recovered funds), the Australian Government </w:t>
      </w:r>
      <w:r w:rsidR="00CA1E99">
        <w:rPr>
          <w:lang w:eastAsia="ja-JP"/>
        </w:rPr>
        <w:t>Department of Agriculture and Water Resources</w:t>
      </w:r>
      <w:r w:rsidRPr="006C644B">
        <w:rPr>
          <w:lang w:eastAsia="ja-JP"/>
        </w:rPr>
        <w:t xml:space="preserve"> budgeted expenditure for 2016–17 is now above the 2011–12 levels in real terms.</w:t>
      </w:r>
    </w:p>
    <w:p w14:paraId="38FE765D" w14:textId="27FC05FB" w:rsidR="006C644B" w:rsidRPr="006C644B" w:rsidRDefault="006C644B" w:rsidP="006C644B">
      <w:pPr>
        <w:pStyle w:val="Caption"/>
        <w:rPr>
          <w:rFonts w:eastAsia="Calibri" w:cs="Times New Roman"/>
        </w:rPr>
      </w:pPr>
      <w:bookmarkStart w:id="159" w:name="_Ref481741825"/>
      <w:r>
        <w:t xml:space="preserve">Table </w:t>
      </w:r>
      <w:fldSimple w:instr=" SEQ Table \* ARABIC ">
        <w:r w:rsidR="009F6923">
          <w:rPr>
            <w:noProof/>
          </w:rPr>
          <w:t>7</w:t>
        </w:r>
      </w:fldSimple>
      <w:bookmarkEnd w:id="159"/>
      <w:r w:rsidRPr="006C644B">
        <w:rPr>
          <w:rFonts w:eastAsia="Calibri" w:cs="Times New Roman"/>
        </w:rPr>
        <w:t xml:space="preserve"> Australian Government </w:t>
      </w:r>
      <w:r w:rsidR="00CA1E99">
        <w:rPr>
          <w:rFonts w:eastAsia="Calibri" w:cs="Times New Roman"/>
        </w:rPr>
        <w:t>Department of Agriculture and Water Resources</w:t>
      </w:r>
      <w:r w:rsidRPr="006C644B">
        <w:rPr>
          <w:rFonts w:eastAsia="Calibri" w:cs="Times New Roman"/>
        </w:rPr>
        <w:t xml:space="preserve"> selected financial information for P</w:t>
      </w:r>
      <w:r w:rsidR="00CA1E99">
        <w:rPr>
          <w:rFonts w:eastAsia="Calibri" w:cs="Times New Roman"/>
        </w:rPr>
        <w:t xml:space="preserve">ortfolio </w:t>
      </w:r>
      <w:r w:rsidRPr="006C644B">
        <w:rPr>
          <w:rFonts w:eastAsia="Calibri" w:cs="Times New Roman"/>
        </w:rPr>
        <w:t>B</w:t>
      </w:r>
      <w:r w:rsidR="00CA1E99">
        <w:rPr>
          <w:rFonts w:eastAsia="Calibri" w:cs="Times New Roman"/>
        </w:rPr>
        <w:t xml:space="preserve">udget </w:t>
      </w:r>
      <w:r w:rsidRPr="006C644B">
        <w:rPr>
          <w:rFonts w:eastAsia="Calibri" w:cs="Times New Roman"/>
        </w:rPr>
        <w:t>S</w:t>
      </w:r>
      <w:r w:rsidR="00CA1E99">
        <w:rPr>
          <w:rFonts w:eastAsia="Calibri" w:cs="Times New Roman"/>
        </w:rPr>
        <w:t>tatement</w:t>
      </w:r>
      <w:r w:rsidRPr="006C644B">
        <w:rPr>
          <w:rFonts w:eastAsia="Calibri" w:cs="Times New Roman"/>
        </w:rPr>
        <w:t xml:space="preserve"> Outcome 2 ($</w:t>
      </w:r>
      <w:r w:rsidR="00A57526">
        <w:rPr>
          <w:rFonts w:eastAsia="Calibri" w:cs="Times New Roman"/>
        </w:rPr>
        <w:t xml:space="preserve"> </w:t>
      </w:r>
      <w:r w:rsidR="00651AC0">
        <w:rPr>
          <w:rFonts w:eastAsia="Calibri" w:cs="Times New Roman"/>
        </w:rPr>
        <w:t>million</w:t>
      </w:r>
      <w:r w:rsidR="00A57526">
        <w:rPr>
          <w:rFonts w:eastAsia="Calibri" w:cs="Times New Roman"/>
        </w:rPr>
        <w:t>,</w:t>
      </w:r>
      <w:r w:rsidRPr="006C644B">
        <w:rPr>
          <w:rFonts w:eastAsia="Calibri" w:cs="Times New Roman"/>
        </w:rPr>
        <w:t xml:space="preserve"> real terms)</w:t>
      </w:r>
    </w:p>
    <w:tbl>
      <w:tblPr>
        <w:tblStyle w:val="TableGrid3"/>
        <w:tblW w:w="88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192"/>
        <w:gridCol w:w="1193"/>
        <w:gridCol w:w="1193"/>
        <w:gridCol w:w="1193"/>
        <w:gridCol w:w="1193"/>
        <w:gridCol w:w="1193"/>
      </w:tblGrid>
      <w:tr w:rsidR="006C644B" w:rsidRPr="006C644B" w14:paraId="74A9EBAE" w14:textId="77777777" w:rsidTr="00D24C39">
        <w:trPr>
          <w:tblHeader/>
        </w:trPr>
        <w:tc>
          <w:tcPr>
            <w:tcW w:w="1701" w:type="dxa"/>
          </w:tcPr>
          <w:p w14:paraId="150F9EB6" w14:textId="77777777" w:rsidR="006C644B" w:rsidRPr="006C644B" w:rsidRDefault="006C644B" w:rsidP="002561E5">
            <w:pPr>
              <w:pStyle w:val="TableHeading"/>
              <w:rPr>
                <w:lang w:eastAsia="en-AU"/>
              </w:rPr>
            </w:pPr>
            <w:r w:rsidRPr="006C644B">
              <w:rPr>
                <w:lang w:eastAsia="en-AU"/>
              </w:rPr>
              <w:t>Funding source</w:t>
            </w:r>
          </w:p>
        </w:tc>
        <w:tc>
          <w:tcPr>
            <w:tcW w:w="1192" w:type="dxa"/>
          </w:tcPr>
          <w:p w14:paraId="13486631" w14:textId="23A0134E" w:rsidR="006C644B" w:rsidRPr="006C644B" w:rsidRDefault="004F70B7" w:rsidP="002561E5">
            <w:pPr>
              <w:pStyle w:val="TableHeading"/>
              <w:rPr>
                <w:lang w:eastAsia="en-AU"/>
              </w:rPr>
            </w:pPr>
            <w:r>
              <w:rPr>
                <w:lang w:eastAsia="en-AU"/>
              </w:rPr>
              <w:t>2011–12</w:t>
            </w:r>
            <w:r w:rsidRPr="004F70B7">
              <w:rPr>
                <w:vertAlign w:val="superscript"/>
                <w:lang w:eastAsia="en-AU"/>
              </w:rPr>
              <w:t>1</w:t>
            </w:r>
          </w:p>
        </w:tc>
        <w:tc>
          <w:tcPr>
            <w:tcW w:w="1193" w:type="dxa"/>
          </w:tcPr>
          <w:p w14:paraId="5B851082" w14:textId="3EC9485F" w:rsidR="006C644B" w:rsidRPr="006C644B" w:rsidRDefault="006C644B" w:rsidP="002561E5">
            <w:pPr>
              <w:pStyle w:val="TableHeading"/>
              <w:rPr>
                <w:lang w:eastAsia="en-AU"/>
              </w:rPr>
            </w:pPr>
            <w:r w:rsidRPr="006C644B">
              <w:rPr>
                <w:lang w:eastAsia="en-AU"/>
              </w:rPr>
              <w:t>2012–13</w:t>
            </w:r>
            <w:r w:rsidR="004F70B7" w:rsidRPr="004F70B7">
              <w:rPr>
                <w:vertAlign w:val="superscript"/>
                <w:lang w:eastAsia="en-AU"/>
              </w:rPr>
              <w:t>1</w:t>
            </w:r>
          </w:p>
        </w:tc>
        <w:tc>
          <w:tcPr>
            <w:tcW w:w="1193" w:type="dxa"/>
          </w:tcPr>
          <w:p w14:paraId="1AD73999" w14:textId="196C3D17" w:rsidR="006C644B" w:rsidRPr="006C644B" w:rsidRDefault="006C644B" w:rsidP="002561E5">
            <w:pPr>
              <w:pStyle w:val="TableHeading"/>
              <w:rPr>
                <w:lang w:eastAsia="en-AU"/>
              </w:rPr>
            </w:pPr>
            <w:r w:rsidRPr="006C644B">
              <w:rPr>
                <w:lang w:eastAsia="en-AU"/>
              </w:rPr>
              <w:t>2013–14</w:t>
            </w:r>
            <w:r w:rsidR="004F70B7" w:rsidRPr="004F70B7">
              <w:rPr>
                <w:vertAlign w:val="superscript"/>
                <w:lang w:eastAsia="en-AU"/>
              </w:rPr>
              <w:t>1</w:t>
            </w:r>
          </w:p>
        </w:tc>
        <w:tc>
          <w:tcPr>
            <w:tcW w:w="1193" w:type="dxa"/>
          </w:tcPr>
          <w:p w14:paraId="4DC96B69" w14:textId="3B4D27DB" w:rsidR="006C644B" w:rsidRPr="006C644B" w:rsidRDefault="006C644B" w:rsidP="002561E5">
            <w:pPr>
              <w:pStyle w:val="TableHeading"/>
              <w:rPr>
                <w:lang w:eastAsia="en-AU"/>
              </w:rPr>
            </w:pPr>
            <w:r w:rsidRPr="006C644B">
              <w:rPr>
                <w:lang w:eastAsia="en-AU"/>
              </w:rPr>
              <w:t>2014–15</w:t>
            </w:r>
            <w:r w:rsidR="004F70B7" w:rsidRPr="004F70B7">
              <w:rPr>
                <w:vertAlign w:val="superscript"/>
                <w:lang w:eastAsia="en-AU"/>
              </w:rPr>
              <w:t>1</w:t>
            </w:r>
          </w:p>
        </w:tc>
        <w:tc>
          <w:tcPr>
            <w:tcW w:w="1193" w:type="dxa"/>
          </w:tcPr>
          <w:p w14:paraId="432A8A43" w14:textId="6114D17C" w:rsidR="006C644B" w:rsidRPr="006C644B" w:rsidRDefault="006C644B" w:rsidP="002561E5">
            <w:pPr>
              <w:pStyle w:val="TableHeading"/>
              <w:rPr>
                <w:lang w:eastAsia="en-AU"/>
              </w:rPr>
            </w:pPr>
            <w:r w:rsidRPr="006C644B">
              <w:rPr>
                <w:lang w:eastAsia="en-AU"/>
              </w:rPr>
              <w:t>2015–16</w:t>
            </w:r>
            <w:r w:rsidR="004F70B7" w:rsidRPr="004F70B7">
              <w:rPr>
                <w:vertAlign w:val="superscript"/>
                <w:lang w:eastAsia="en-AU"/>
              </w:rPr>
              <w:t>1</w:t>
            </w:r>
          </w:p>
        </w:tc>
        <w:tc>
          <w:tcPr>
            <w:tcW w:w="1193" w:type="dxa"/>
          </w:tcPr>
          <w:p w14:paraId="5207147D" w14:textId="096DFC33" w:rsidR="006C644B" w:rsidRPr="006C644B" w:rsidRDefault="006C644B" w:rsidP="002561E5">
            <w:pPr>
              <w:pStyle w:val="TableHeading"/>
              <w:rPr>
                <w:lang w:eastAsia="en-AU"/>
              </w:rPr>
            </w:pPr>
            <w:r w:rsidRPr="006C644B">
              <w:rPr>
                <w:lang w:eastAsia="en-AU"/>
              </w:rPr>
              <w:t>2016–17</w:t>
            </w:r>
            <w:r w:rsidR="004F70B7">
              <w:rPr>
                <w:vertAlign w:val="superscript"/>
                <w:lang w:eastAsia="en-AU"/>
              </w:rPr>
              <w:t>2</w:t>
            </w:r>
          </w:p>
        </w:tc>
      </w:tr>
      <w:tr w:rsidR="006C644B" w:rsidRPr="006C644B" w14:paraId="4CAF37F1" w14:textId="77777777" w:rsidTr="00D24C39">
        <w:tc>
          <w:tcPr>
            <w:tcW w:w="1701" w:type="dxa"/>
          </w:tcPr>
          <w:p w14:paraId="35C35E1C" w14:textId="77777777" w:rsidR="006C644B" w:rsidRPr="006C644B" w:rsidRDefault="006C644B" w:rsidP="002561E5">
            <w:pPr>
              <w:pStyle w:val="TableText"/>
              <w:rPr>
                <w:lang w:eastAsia="en-AU"/>
              </w:rPr>
            </w:pPr>
            <w:r w:rsidRPr="006C644B">
              <w:rPr>
                <w:lang w:eastAsia="en-AU"/>
              </w:rPr>
              <w:t>Appropriation</w:t>
            </w:r>
          </w:p>
        </w:tc>
        <w:tc>
          <w:tcPr>
            <w:tcW w:w="1192" w:type="dxa"/>
          </w:tcPr>
          <w:p w14:paraId="22FE213B" w14:textId="7449C686" w:rsidR="006C644B" w:rsidRPr="006C644B" w:rsidRDefault="006C644B" w:rsidP="002561E5">
            <w:pPr>
              <w:pStyle w:val="TableText"/>
              <w:jc w:val="center"/>
              <w:rPr>
                <w:lang w:eastAsia="en-AU"/>
              </w:rPr>
            </w:pPr>
            <w:r w:rsidRPr="006C644B">
              <w:rPr>
                <w:lang w:eastAsia="en-AU"/>
              </w:rPr>
              <w:t>254</w:t>
            </w:r>
            <w:r w:rsidR="009A64E8">
              <w:rPr>
                <w:lang w:eastAsia="en-AU"/>
              </w:rPr>
              <w:t>.08</w:t>
            </w:r>
          </w:p>
        </w:tc>
        <w:tc>
          <w:tcPr>
            <w:tcW w:w="1193" w:type="dxa"/>
          </w:tcPr>
          <w:p w14:paraId="0A4D8BBC" w14:textId="51A014F9" w:rsidR="006C644B" w:rsidRPr="006C644B" w:rsidRDefault="006C644B" w:rsidP="002561E5">
            <w:pPr>
              <w:pStyle w:val="TableText"/>
              <w:jc w:val="center"/>
              <w:rPr>
                <w:lang w:eastAsia="en-AU"/>
              </w:rPr>
            </w:pPr>
            <w:r w:rsidRPr="006C644B">
              <w:rPr>
                <w:lang w:eastAsia="en-AU"/>
              </w:rPr>
              <w:t>203</w:t>
            </w:r>
            <w:r w:rsidR="009A64E8">
              <w:rPr>
                <w:lang w:eastAsia="en-AU"/>
              </w:rPr>
              <w:t>.</w:t>
            </w:r>
            <w:r w:rsidRPr="006C644B">
              <w:rPr>
                <w:lang w:eastAsia="en-AU"/>
              </w:rPr>
              <w:t>39</w:t>
            </w:r>
          </w:p>
        </w:tc>
        <w:tc>
          <w:tcPr>
            <w:tcW w:w="1193" w:type="dxa"/>
          </w:tcPr>
          <w:p w14:paraId="5BF660B8" w14:textId="4001C675" w:rsidR="006C644B" w:rsidRPr="006C644B" w:rsidRDefault="006C644B" w:rsidP="002561E5">
            <w:pPr>
              <w:pStyle w:val="TableText"/>
              <w:jc w:val="center"/>
              <w:rPr>
                <w:lang w:eastAsia="en-AU"/>
              </w:rPr>
            </w:pPr>
            <w:r w:rsidRPr="006C644B">
              <w:rPr>
                <w:lang w:eastAsia="en-AU"/>
              </w:rPr>
              <w:t>188</w:t>
            </w:r>
            <w:r w:rsidR="009A64E8">
              <w:rPr>
                <w:lang w:eastAsia="en-AU"/>
              </w:rPr>
              <w:t>.</w:t>
            </w:r>
            <w:r w:rsidRPr="006C644B">
              <w:rPr>
                <w:lang w:eastAsia="en-AU"/>
              </w:rPr>
              <w:t>96</w:t>
            </w:r>
          </w:p>
        </w:tc>
        <w:tc>
          <w:tcPr>
            <w:tcW w:w="1193" w:type="dxa"/>
          </w:tcPr>
          <w:p w14:paraId="15E9603E" w14:textId="79E8BC71" w:rsidR="006C644B" w:rsidRPr="006C644B" w:rsidRDefault="006C644B" w:rsidP="002561E5">
            <w:pPr>
              <w:pStyle w:val="TableText"/>
              <w:jc w:val="center"/>
              <w:rPr>
                <w:lang w:eastAsia="en-AU"/>
              </w:rPr>
            </w:pPr>
            <w:r w:rsidRPr="006C644B">
              <w:rPr>
                <w:lang w:eastAsia="en-AU"/>
              </w:rPr>
              <w:t>178</w:t>
            </w:r>
            <w:r w:rsidR="009A64E8">
              <w:rPr>
                <w:lang w:eastAsia="en-AU"/>
              </w:rPr>
              <w:t>.</w:t>
            </w:r>
            <w:r w:rsidRPr="006C644B">
              <w:rPr>
                <w:lang w:eastAsia="en-AU"/>
              </w:rPr>
              <w:t>49</w:t>
            </w:r>
          </w:p>
        </w:tc>
        <w:tc>
          <w:tcPr>
            <w:tcW w:w="1193" w:type="dxa"/>
          </w:tcPr>
          <w:p w14:paraId="351DE57E" w14:textId="68FB5446" w:rsidR="006C644B" w:rsidRPr="006C644B" w:rsidRDefault="006C644B" w:rsidP="002561E5">
            <w:pPr>
              <w:pStyle w:val="TableText"/>
              <w:jc w:val="center"/>
              <w:rPr>
                <w:lang w:eastAsia="en-AU"/>
              </w:rPr>
            </w:pPr>
            <w:r w:rsidRPr="006C644B">
              <w:rPr>
                <w:lang w:eastAsia="en-AU"/>
              </w:rPr>
              <w:t>201</w:t>
            </w:r>
            <w:r w:rsidR="009A64E8">
              <w:rPr>
                <w:lang w:eastAsia="en-AU"/>
              </w:rPr>
              <w:t>.</w:t>
            </w:r>
            <w:r w:rsidRPr="006C644B">
              <w:rPr>
                <w:lang w:eastAsia="en-AU"/>
              </w:rPr>
              <w:t>16</w:t>
            </w:r>
          </w:p>
        </w:tc>
        <w:tc>
          <w:tcPr>
            <w:tcW w:w="1193" w:type="dxa"/>
          </w:tcPr>
          <w:p w14:paraId="56F9EABD" w14:textId="2463A08E" w:rsidR="006C644B" w:rsidRPr="006C644B" w:rsidRDefault="006C644B" w:rsidP="002561E5">
            <w:pPr>
              <w:pStyle w:val="TableText"/>
              <w:jc w:val="center"/>
              <w:rPr>
                <w:lang w:eastAsia="en-AU"/>
              </w:rPr>
            </w:pPr>
            <w:r w:rsidRPr="006C644B">
              <w:rPr>
                <w:lang w:eastAsia="en-AU"/>
              </w:rPr>
              <w:t>227</w:t>
            </w:r>
            <w:r w:rsidR="009A64E8">
              <w:rPr>
                <w:lang w:eastAsia="en-AU"/>
              </w:rPr>
              <w:t>.</w:t>
            </w:r>
            <w:r w:rsidRPr="006C644B">
              <w:rPr>
                <w:lang w:eastAsia="en-AU"/>
              </w:rPr>
              <w:t>6</w:t>
            </w:r>
            <w:r w:rsidR="009A64E8">
              <w:rPr>
                <w:lang w:eastAsia="en-AU"/>
              </w:rPr>
              <w:t>5</w:t>
            </w:r>
          </w:p>
        </w:tc>
      </w:tr>
      <w:tr w:rsidR="006C644B" w:rsidRPr="006C644B" w14:paraId="6812605B" w14:textId="77777777" w:rsidTr="00D24C39">
        <w:tc>
          <w:tcPr>
            <w:tcW w:w="1701" w:type="dxa"/>
          </w:tcPr>
          <w:p w14:paraId="7901E5E0" w14:textId="77777777" w:rsidR="006C644B" w:rsidRPr="006C644B" w:rsidRDefault="006C644B" w:rsidP="002561E5">
            <w:pPr>
              <w:pStyle w:val="TableText"/>
              <w:rPr>
                <w:lang w:eastAsia="en-AU"/>
              </w:rPr>
            </w:pPr>
            <w:r w:rsidRPr="006C644B">
              <w:rPr>
                <w:lang w:eastAsia="en-AU"/>
              </w:rPr>
              <w:t>Cost recovered</w:t>
            </w:r>
          </w:p>
        </w:tc>
        <w:tc>
          <w:tcPr>
            <w:tcW w:w="1192" w:type="dxa"/>
          </w:tcPr>
          <w:p w14:paraId="58DCAD99" w14:textId="66F953D5" w:rsidR="006C644B" w:rsidRPr="006C644B" w:rsidRDefault="006C644B" w:rsidP="002561E5">
            <w:pPr>
              <w:pStyle w:val="TableText"/>
              <w:jc w:val="center"/>
              <w:rPr>
                <w:lang w:eastAsia="en-AU"/>
              </w:rPr>
            </w:pPr>
            <w:r w:rsidRPr="006C644B">
              <w:rPr>
                <w:lang w:eastAsia="en-AU"/>
              </w:rPr>
              <w:t>293</w:t>
            </w:r>
            <w:r w:rsidR="009A64E8">
              <w:rPr>
                <w:lang w:eastAsia="en-AU"/>
              </w:rPr>
              <w:t>.</w:t>
            </w:r>
            <w:r w:rsidRPr="006C644B">
              <w:rPr>
                <w:lang w:eastAsia="en-AU"/>
              </w:rPr>
              <w:t>2</w:t>
            </w:r>
            <w:r w:rsidR="009A64E8">
              <w:rPr>
                <w:lang w:eastAsia="en-AU"/>
              </w:rPr>
              <w:t>7</w:t>
            </w:r>
          </w:p>
        </w:tc>
        <w:tc>
          <w:tcPr>
            <w:tcW w:w="1193" w:type="dxa"/>
          </w:tcPr>
          <w:p w14:paraId="24FC9DBA" w14:textId="5F71949D" w:rsidR="006C644B" w:rsidRPr="006C644B" w:rsidRDefault="006C644B" w:rsidP="002561E5">
            <w:pPr>
              <w:pStyle w:val="TableText"/>
              <w:jc w:val="center"/>
              <w:rPr>
                <w:lang w:eastAsia="en-AU"/>
              </w:rPr>
            </w:pPr>
            <w:r w:rsidRPr="006C644B">
              <w:rPr>
                <w:lang w:eastAsia="en-AU"/>
              </w:rPr>
              <w:t>299</w:t>
            </w:r>
            <w:r w:rsidR="009A64E8">
              <w:rPr>
                <w:lang w:eastAsia="en-AU"/>
              </w:rPr>
              <w:t>.60</w:t>
            </w:r>
          </w:p>
        </w:tc>
        <w:tc>
          <w:tcPr>
            <w:tcW w:w="1193" w:type="dxa"/>
          </w:tcPr>
          <w:p w14:paraId="0A3BA591" w14:textId="6B32093F" w:rsidR="006C644B" w:rsidRPr="006C644B" w:rsidRDefault="006C644B" w:rsidP="002561E5">
            <w:pPr>
              <w:pStyle w:val="TableText"/>
              <w:jc w:val="center"/>
              <w:rPr>
                <w:lang w:eastAsia="en-AU"/>
              </w:rPr>
            </w:pPr>
            <w:r w:rsidRPr="006C644B">
              <w:rPr>
                <w:lang w:eastAsia="en-AU"/>
              </w:rPr>
              <w:t>299</w:t>
            </w:r>
            <w:r w:rsidR="009A64E8">
              <w:rPr>
                <w:lang w:eastAsia="en-AU"/>
              </w:rPr>
              <w:t>.</w:t>
            </w:r>
            <w:r w:rsidRPr="006C644B">
              <w:rPr>
                <w:lang w:eastAsia="en-AU"/>
              </w:rPr>
              <w:t>8</w:t>
            </w:r>
            <w:r w:rsidR="009A64E8">
              <w:rPr>
                <w:lang w:eastAsia="en-AU"/>
              </w:rPr>
              <w:t>5</w:t>
            </w:r>
          </w:p>
        </w:tc>
        <w:tc>
          <w:tcPr>
            <w:tcW w:w="1193" w:type="dxa"/>
          </w:tcPr>
          <w:p w14:paraId="2D4B599C" w14:textId="5E700980" w:rsidR="006C644B" w:rsidRPr="006C644B" w:rsidRDefault="006C644B" w:rsidP="002561E5">
            <w:pPr>
              <w:pStyle w:val="TableText"/>
              <w:jc w:val="center"/>
              <w:rPr>
                <w:lang w:eastAsia="en-AU"/>
              </w:rPr>
            </w:pPr>
            <w:r w:rsidRPr="006C644B">
              <w:rPr>
                <w:lang w:eastAsia="en-AU"/>
              </w:rPr>
              <w:t>325</w:t>
            </w:r>
            <w:r w:rsidR="009A64E8">
              <w:rPr>
                <w:lang w:eastAsia="en-AU"/>
              </w:rPr>
              <w:t>.</w:t>
            </w:r>
            <w:r w:rsidRPr="006C644B">
              <w:rPr>
                <w:lang w:eastAsia="en-AU"/>
              </w:rPr>
              <w:t>83</w:t>
            </w:r>
          </w:p>
        </w:tc>
        <w:tc>
          <w:tcPr>
            <w:tcW w:w="1193" w:type="dxa"/>
          </w:tcPr>
          <w:p w14:paraId="3EB97669" w14:textId="3E486BC3" w:rsidR="006C644B" w:rsidRPr="006C644B" w:rsidRDefault="006C644B" w:rsidP="002561E5">
            <w:pPr>
              <w:pStyle w:val="TableText"/>
              <w:jc w:val="center"/>
              <w:rPr>
                <w:lang w:eastAsia="en-AU"/>
              </w:rPr>
            </w:pPr>
            <w:r w:rsidRPr="006C644B">
              <w:rPr>
                <w:lang w:eastAsia="en-AU"/>
              </w:rPr>
              <w:t>335</w:t>
            </w:r>
            <w:r w:rsidR="009A64E8">
              <w:rPr>
                <w:lang w:eastAsia="en-AU"/>
              </w:rPr>
              <w:t>.</w:t>
            </w:r>
            <w:r w:rsidRPr="006C644B">
              <w:rPr>
                <w:lang w:eastAsia="en-AU"/>
              </w:rPr>
              <w:t>6</w:t>
            </w:r>
            <w:r w:rsidR="009A64E8">
              <w:rPr>
                <w:lang w:eastAsia="en-AU"/>
              </w:rPr>
              <w:t>8</w:t>
            </w:r>
          </w:p>
        </w:tc>
        <w:tc>
          <w:tcPr>
            <w:tcW w:w="1193" w:type="dxa"/>
          </w:tcPr>
          <w:p w14:paraId="6C007195" w14:textId="41D2B734" w:rsidR="006C644B" w:rsidRPr="006C644B" w:rsidRDefault="006C644B" w:rsidP="002561E5">
            <w:pPr>
              <w:pStyle w:val="TableText"/>
              <w:jc w:val="center"/>
              <w:rPr>
                <w:lang w:eastAsia="en-AU"/>
              </w:rPr>
            </w:pPr>
            <w:r w:rsidRPr="006C644B">
              <w:rPr>
                <w:lang w:eastAsia="en-AU"/>
              </w:rPr>
              <w:t>345</w:t>
            </w:r>
            <w:r w:rsidR="009A64E8">
              <w:rPr>
                <w:lang w:eastAsia="en-AU"/>
              </w:rPr>
              <w:t>.</w:t>
            </w:r>
            <w:r w:rsidRPr="006C644B">
              <w:rPr>
                <w:lang w:eastAsia="en-AU"/>
              </w:rPr>
              <w:t>02</w:t>
            </w:r>
          </w:p>
        </w:tc>
      </w:tr>
      <w:tr w:rsidR="006C644B" w:rsidRPr="006C644B" w14:paraId="4CF4CB3F" w14:textId="77777777" w:rsidTr="00D24C39">
        <w:tc>
          <w:tcPr>
            <w:tcW w:w="1701" w:type="dxa"/>
          </w:tcPr>
          <w:p w14:paraId="24076D62" w14:textId="77777777" w:rsidR="006C644B" w:rsidRPr="002561E5" w:rsidRDefault="006C644B" w:rsidP="002561E5">
            <w:pPr>
              <w:pStyle w:val="TableBullet"/>
              <w:rPr>
                <w:i/>
                <w:lang w:eastAsia="en-AU"/>
              </w:rPr>
            </w:pPr>
            <w:r w:rsidRPr="002561E5">
              <w:rPr>
                <w:i/>
                <w:lang w:eastAsia="en-AU"/>
              </w:rPr>
              <w:t>import services</w:t>
            </w:r>
          </w:p>
        </w:tc>
        <w:tc>
          <w:tcPr>
            <w:tcW w:w="1192" w:type="dxa"/>
          </w:tcPr>
          <w:p w14:paraId="4BFC18C6" w14:textId="4AF3F5D6" w:rsidR="006C644B" w:rsidRPr="002561E5" w:rsidRDefault="006C644B" w:rsidP="002561E5">
            <w:pPr>
              <w:pStyle w:val="TableText"/>
              <w:jc w:val="right"/>
              <w:rPr>
                <w:i/>
                <w:lang w:eastAsia="en-AU"/>
              </w:rPr>
            </w:pPr>
            <w:r w:rsidRPr="002561E5">
              <w:rPr>
                <w:i/>
                <w:lang w:eastAsia="en-AU"/>
              </w:rPr>
              <w:t>185</w:t>
            </w:r>
            <w:r w:rsidR="009A64E8" w:rsidRPr="002561E5">
              <w:rPr>
                <w:i/>
                <w:lang w:eastAsia="en-AU"/>
              </w:rPr>
              <w:t>.</w:t>
            </w:r>
            <w:r w:rsidRPr="002561E5">
              <w:rPr>
                <w:i/>
                <w:lang w:eastAsia="en-AU"/>
              </w:rPr>
              <w:t>34</w:t>
            </w:r>
          </w:p>
        </w:tc>
        <w:tc>
          <w:tcPr>
            <w:tcW w:w="1193" w:type="dxa"/>
          </w:tcPr>
          <w:p w14:paraId="214F4B68" w14:textId="3844281C" w:rsidR="006C644B" w:rsidRPr="002561E5" w:rsidRDefault="006C644B" w:rsidP="002561E5">
            <w:pPr>
              <w:pStyle w:val="TableText"/>
              <w:jc w:val="right"/>
              <w:rPr>
                <w:i/>
                <w:lang w:eastAsia="en-AU"/>
              </w:rPr>
            </w:pPr>
            <w:r w:rsidRPr="002561E5">
              <w:rPr>
                <w:i/>
                <w:lang w:eastAsia="en-AU"/>
              </w:rPr>
              <w:t>177</w:t>
            </w:r>
            <w:r w:rsidR="009A64E8" w:rsidRPr="002561E5">
              <w:rPr>
                <w:i/>
                <w:lang w:eastAsia="en-AU"/>
              </w:rPr>
              <w:t>.</w:t>
            </w:r>
            <w:r w:rsidRPr="002561E5">
              <w:rPr>
                <w:i/>
                <w:lang w:eastAsia="en-AU"/>
              </w:rPr>
              <w:t>6</w:t>
            </w:r>
            <w:r w:rsidR="009A64E8" w:rsidRPr="002561E5">
              <w:rPr>
                <w:i/>
                <w:lang w:eastAsia="en-AU"/>
              </w:rPr>
              <w:t>7</w:t>
            </w:r>
          </w:p>
        </w:tc>
        <w:tc>
          <w:tcPr>
            <w:tcW w:w="1193" w:type="dxa"/>
          </w:tcPr>
          <w:p w14:paraId="7A0CA8B3" w14:textId="47269B97" w:rsidR="006C644B" w:rsidRPr="002561E5" w:rsidRDefault="006C644B" w:rsidP="002561E5">
            <w:pPr>
              <w:pStyle w:val="TableText"/>
              <w:jc w:val="right"/>
              <w:rPr>
                <w:i/>
                <w:lang w:eastAsia="en-AU"/>
              </w:rPr>
            </w:pPr>
            <w:r w:rsidRPr="002561E5">
              <w:rPr>
                <w:i/>
                <w:lang w:eastAsia="en-AU"/>
              </w:rPr>
              <w:t>175</w:t>
            </w:r>
            <w:r w:rsidR="009A64E8" w:rsidRPr="002561E5">
              <w:rPr>
                <w:i/>
                <w:lang w:eastAsia="en-AU"/>
              </w:rPr>
              <w:t>.</w:t>
            </w:r>
            <w:r w:rsidRPr="002561E5">
              <w:rPr>
                <w:i/>
                <w:lang w:eastAsia="en-AU"/>
              </w:rPr>
              <w:t>4</w:t>
            </w:r>
            <w:r w:rsidR="009A64E8" w:rsidRPr="002561E5">
              <w:rPr>
                <w:i/>
                <w:lang w:eastAsia="en-AU"/>
              </w:rPr>
              <w:t>6</w:t>
            </w:r>
          </w:p>
        </w:tc>
        <w:tc>
          <w:tcPr>
            <w:tcW w:w="1193" w:type="dxa"/>
          </w:tcPr>
          <w:p w14:paraId="52B0C5A6" w14:textId="75135D05" w:rsidR="006C644B" w:rsidRPr="002561E5" w:rsidRDefault="006C644B" w:rsidP="002561E5">
            <w:pPr>
              <w:pStyle w:val="TableText"/>
              <w:jc w:val="right"/>
              <w:rPr>
                <w:i/>
                <w:lang w:eastAsia="en-AU"/>
              </w:rPr>
            </w:pPr>
            <w:r w:rsidRPr="002561E5">
              <w:rPr>
                <w:i/>
                <w:lang w:eastAsia="en-AU"/>
              </w:rPr>
              <w:t>189</w:t>
            </w:r>
            <w:r w:rsidR="009A64E8" w:rsidRPr="002561E5">
              <w:rPr>
                <w:i/>
                <w:lang w:eastAsia="en-AU"/>
              </w:rPr>
              <w:t>.</w:t>
            </w:r>
            <w:r w:rsidRPr="002561E5">
              <w:rPr>
                <w:i/>
                <w:lang w:eastAsia="en-AU"/>
              </w:rPr>
              <w:t>8</w:t>
            </w:r>
            <w:r w:rsidR="009A64E8" w:rsidRPr="002561E5">
              <w:rPr>
                <w:i/>
                <w:lang w:eastAsia="en-AU"/>
              </w:rPr>
              <w:t>5</w:t>
            </w:r>
          </w:p>
        </w:tc>
        <w:tc>
          <w:tcPr>
            <w:tcW w:w="1193" w:type="dxa"/>
          </w:tcPr>
          <w:p w14:paraId="629B5D6D" w14:textId="6C149AC3" w:rsidR="006C644B" w:rsidRPr="002561E5" w:rsidRDefault="006C644B" w:rsidP="002561E5">
            <w:pPr>
              <w:pStyle w:val="TableText"/>
              <w:jc w:val="right"/>
              <w:rPr>
                <w:i/>
                <w:lang w:eastAsia="en-AU"/>
              </w:rPr>
            </w:pPr>
            <w:r w:rsidRPr="002561E5">
              <w:rPr>
                <w:i/>
                <w:lang w:eastAsia="en-AU"/>
              </w:rPr>
              <w:t>202</w:t>
            </w:r>
            <w:r w:rsidR="009A64E8" w:rsidRPr="002561E5">
              <w:rPr>
                <w:i/>
                <w:lang w:eastAsia="en-AU"/>
              </w:rPr>
              <w:t>.</w:t>
            </w:r>
            <w:r w:rsidRPr="002561E5">
              <w:rPr>
                <w:i/>
                <w:lang w:eastAsia="en-AU"/>
              </w:rPr>
              <w:t>71</w:t>
            </w:r>
          </w:p>
        </w:tc>
        <w:tc>
          <w:tcPr>
            <w:tcW w:w="1193" w:type="dxa"/>
          </w:tcPr>
          <w:p w14:paraId="7D5BFC8E" w14:textId="25098A48" w:rsidR="006C644B" w:rsidRPr="002561E5" w:rsidRDefault="006C644B" w:rsidP="002561E5">
            <w:pPr>
              <w:pStyle w:val="TableText"/>
              <w:jc w:val="right"/>
              <w:rPr>
                <w:i/>
                <w:lang w:eastAsia="en-AU"/>
              </w:rPr>
            </w:pPr>
            <w:r w:rsidRPr="002561E5">
              <w:rPr>
                <w:i/>
                <w:lang w:eastAsia="en-AU"/>
              </w:rPr>
              <w:t>216</w:t>
            </w:r>
            <w:r w:rsidR="009A64E8" w:rsidRPr="002561E5">
              <w:rPr>
                <w:i/>
                <w:lang w:eastAsia="en-AU"/>
              </w:rPr>
              <w:t>.</w:t>
            </w:r>
            <w:r w:rsidRPr="002561E5">
              <w:rPr>
                <w:i/>
                <w:lang w:eastAsia="en-AU"/>
              </w:rPr>
              <w:t>5</w:t>
            </w:r>
            <w:r w:rsidR="009A64E8" w:rsidRPr="002561E5">
              <w:rPr>
                <w:i/>
                <w:lang w:eastAsia="en-AU"/>
              </w:rPr>
              <w:t>6</w:t>
            </w:r>
          </w:p>
        </w:tc>
      </w:tr>
      <w:tr w:rsidR="006C644B" w:rsidRPr="006C644B" w14:paraId="6FA1BE6E" w14:textId="77777777" w:rsidTr="00D24C39">
        <w:tc>
          <w:tcPr>
            <w:tcW w:w="1701" w:type="dxa"/>
          </w:tcPr>
          <w:p w14:paraId="66260CDF" w14:textId="77777777" w:rsidR="006C644B" w:rsidRPr="002561E5" w:rsidRDefault="006C644B" w:rsidP="002561E5">
            <w:pPr>
              <w:pStyle w:val="TableBullet"/>
              <w:rPr>
                <w:i/>
                <w:lang w:eastAsia="en-AU"/>
              </w:rPr>
            </w:pPr>
            <w:r w:rsidRPr="002561E5">
              <w:rPr>
                <w:i/>
                <w:lang w:eastAsia="en-AU"/>
              </w:rPr>
              <w:t>export services</w:t>
            </w:r>
          </w:p>
        </w:tc>
        <w:tc>
          <w:tcPr>
            <w:tcW w:w="1192" w:type="dxa"/>
          </w:tcPr>
          <w:p w14:paraId="5CC8B0CF" w14:textId="758A4331" w:rsidR="006C644B" w:rsidRPr="002561E5" w:rsidRDefault="006C644B" w:rsidP="002561E5">
            <w:pPr>
              <w:pStyle w:val="TableText"/>
              <w:jc w:val="right"/>
              <w:rPr>
                <w:i/>
                <w:lang w:eastAsia="en-AU"/>
              </w:rPr>
            </w:pPr>
            <w:r w:rsidRPr="002561E5">
              <w:rPr>
                <w:i/>
                <w:lang w:eastAsia="en-AU"/>
              </w:rPr>
              <w:t>93</w:t>
            </w:r>
            <w:r w:rsidR="009A64E8" w:rsidRPr="002561E5">
              <w:rPr>
                <w:i/>
                <w:lang w:eastAsia="en-AU"/>
              </w:rPr>
              <w:t>.</w:t>
            </w:r>
            <w:r w:rsidRPr="002561E5">
              <w:rPr>
                <w:i/>
                <w:lang w:eastAsia="en-AU"/>
              </w:rPr>
              <w:t>88</w:t>
            </w:r>
          </w:p>
        </w:tc>
        <w:tc>
          <w:tcPr>
            <w:tcW w:w="1193" w:type="dxa"/>
          </w:tcPr>
          <w:p w14:paraId="1A33E153" w14:textId="2F974969" w:rsidR="006C644B" w:rsidRPr="002561E5" w:rsidRDefault="006C644B" w:rsidP="002561E5">
            <w:pPr>
              <w:pStyle w:val="TableText"/>
              <w:jc w:val="right"/>
              <w:rPr>
                <w:i/>
                <w:lang w:eastAsia="en-AU"/>
              </w:rPr>
            </w:pPr>
            <w:r w:rsidRPr="002561E5">
              <w:rPr>
                <w:i/>
                <w:lang w:eastAsia="en-AU"/>
              </w:rPr>
              <w:t>108</w:t>
            </w:r>
            <w:r w:rsidR="009A64E8" w:rsidRPr="002561E5">
              <w:rPr>
                <w:i/>
                <w:lang w:eastAsia="en-AU"/>
              </w:rPr>
              <w:t>.</w:t>
            </w:r>
            <w:r w:rsidRPr="002561E5">
              <w:rPr>
                <w:i/>
                <w:lang w:eastAsia="en-AU"/>
              </w:rPr>
              <w:t>59</w:t>
            </w:r>
          </w:p>
        </w:tc>
        <w:tc>
          <w:tcPr>
            <w:tcW w:w="1193" w:type="dxa"/>
          </w:tcPr>
          <w:p w14:paraId="5357E4C0" w14:textId="6AF8D852" w:rsidR="006C644B" w:rsidRPr="002561E5" w:rsidRDefault="006C644B" w:rsidP="002561E5">
            <w:pPr>
              <w:pStyle w:val="TableText"/>
              <w:jc w:val="right"/>
              <w:rPr>
                <w:i/>
                <w:lang w:eastAsia="en-AU"/>
              </w:rPr>
            </w:pPr>
            <w:r w:rsidRPr="002561E5">
              <w:rPr>
                <w:i/>
                <w:lang w:eastAsia="en-AU"/>
              </w:rPr>
              <w:t>110</w:t>
            </w:r>
            <w:r w:rsidR="009A64E8" w:rsidRPr="002561E5">
              <w:rPr>
                <w:i/>
                <w:lang w:eastAsia="en-AU"/>
              </w:rPr>
              <w:t>.</w:t>
            </w:r>
            <w:r w:rsidRPr="002561E5">
              <w:rPr>
                <w:i/>
                <w:lang w:eastAsia="en-AU"/>
              </w:rPr>
              <w:t>8</w:t>
            </w:r>
            <w:r w:rsidR="009A64E8" w:rsidRPr="002561E5">
              <w:rPr>
                <w:i/>
                <w:lang w:eastAsia="en-AU"/>
              </w:rPr>
              <w:t>9</w:t>
            </w:r>
          </w:p>
        </w:tc>
        <w:tc>
          <w:tcPr>
            <w:tcW w:w="1193" w:type="dxa"/>
          </w:tcPr>
          <w:p w14:paraId="6DEF6B0B" w14:textId="66F9066D" w:rsidR="006C644B" w:rsidRPr="002561E5" w:rsidRDefault="006C644B" w:rsidP="002561E5">
            <w:pPr>
              <w:pStyle w:val="TableText"/>
              <w:jc w:val="right"/>
              <w:rPr>
                <w:i/>
                <w:lang w:eastAsia="en-AU"/>
              </w:rPr>
            </w:pPr>
            <w:r w:rsidRPr="002561E5">
              <w:rPr>
                <w:i/>
                <w:lang w:eastAsia="en-AU"/>
              </w:rPr>
              <w:t>122</w:t>
            </w:r>
            <w:r w:rsidR="009A64E8" w:rsidRPr="002561E5">
              <w:rPr>
                <w:i/>
                <w:lang w:eastAsia="en-AU"/>
              </w:rPr>
              <w:t>.</w:t>
            </w:r>
            <w:r w:rsidRPr="002561E5">
              <w:rPr>
                <w:i/>
                <w:lang w:eastAsia="en-AU"/>
              </w:rPr>
              <w:t>15</w:t>
            </w:r>
          </w:p>
        </w:tc>
        <w:tc>
          <w:tcPr>
            <w:tcW w:w="1193" w:type="dxa"/>
          </w:tcPr>
          <w:p w14:paraId="14EA8846" w14:textId="58386F3E" w:rsidR="006C644B" w:rsidRPr="002561E5" w:rsidRDefault="006C644B" w:rsidP="002561E5">
            <w:pPr>
              <w:pStyle w:val="TableText"/>
              <w:jc w:val="right"/>
              <w:rPr>
                <w:i/>
                <w:lang w:eastAsia="en-AU"/>
              </w:rPr>
            </w:pPr>
            <w:r w:rsidRPr="002561E5">
              <w:rPr>
                <w:i/>
                <w:lang w:eastAsia="en-AU"/>
              </w:rPr>
              <w:t>119</w:t>
            </w:r>
            <w:r w:rsidR="009A64E8" w:rsidRPr="002561E5">
              <w:rPr>
                <w:i/>
                <w:lang w:eastAsia="en-AU"/>
              </w:rPr>
              <w:t>.</w:t>
            </w:r>
            <w:r w:rsidRPr="002561E5">
              <w:rPr>
                <w:i/>
                <w:lang w:eastAsia="en-AU"/>
              </w:rPr>
              <w:t>0</w:t>
            </w:r>
            <w:r w:rsidR="009A64E8" w:rsidRPr="002561E5">
              <w:rPr>
                <w:i/>
                <w:lang w:eastAsia="en-AU"/>
              </w:rPr>
              <w:t>5</w:t>
            </w:r>
          </w:p>
        </w:tc>
        <w:tc>
          <w:tcPr>
            <w:tcW w:w="1193" w:type="dxa"/>
          </w:tcPr>
          <w:p w14:paraId="047AA1E7" w14:textId="09D06FBA" w:rsidR="006C644B" w:rsidRPr="002561E5" w:rsidRDefault="006C644B" w:rsidP="002561E5">
            <w:pPr>
              <w:pStyle w:val="TableText"/>
              <w:jc w:val="right"/>
              <w:rPr>
                <w:i/>
                <w:lang w:eastAsia="en-AU"/>
              </w:rPr>
            </w:pPr>
            <w:r w:rsidRPr="002561E5">
              <w:rPr>
                <w:i/>
                <w:lang w:eastAsia="en-AU"/>
              </w:rPr>
              <w:t>115</w:t>
            </w:r>
            <w:r w:rsidR="009A64E8" w:rsidRPr="002561E5">
              <w:rPr>
                <w:i/>
                <w:lang w:eastAsia="en-AU"/>
              </w:rPr>
              <w:t>.</w:t>
            </w:r>
            <w:r w:rsidRPr="002561E5">
              <w:rPr>
                <w:i/>
                <w:lang w:eastAsia="en-AU"/>
              </w:rPr>
              <w:t>9</w:t>
            </w:r>
            <w:r w:rsidR="009A64E8" w:rsidRPr="002561E5">
              <w:rPr>
                <w:i/>
                <w:lang w:eastAsia="en-AU"/>
              </w:rPr>
              <w:t>2</w:t>
            </w:r>
          </w:p>
        </w:tc>
      </w:tr>
      <w:tr w:rsidR="006C644B" w:rsidRPr="006C644B" w14:paraId="5AD95729" w14:textId="77777777" w:rsidTr="00D24C39">
        <w:tc>
          <w:tcPr>
            <w:tcW w:w="1701" w:type="dxa"/>
          </w:tcPr>
          <w:p w14:paraId="2B1385E9" w14:textId="77777777" w:rsidR="006C644B" w:rsidRPr="002561E5" w:rsidRDefault="006C644B" w:rsidP="002561E5">
            <w:pPr>
              <w:pStyle w:val="TableBullet"/>
              <w:rPr>
                <w:i/>
                <w:lang w:eastAsia="en-AU"/>
              </w:rPr>
            </w:pPr>
            <w:r w:rsidRPr="002561E5">
              <w:rPr>
                <w:i/>
                <w:lang w:eastAsia="en-AU"/>
              </w:rPr>
              <w:t>other</w:t>
            </w:r>
          </w:p>
        </w:tc>
        <w:tc>
          <w:tcPr>
            <w:tcW w:w="1192" w:type="dxa"/>
          </w:tcPr>
          <w:p w14:paraId="2705108A" w14:textId="0D5ABC59" w:rsidR="006C644B" w:rsidRPr="002561E5" w:rsidRDefault="006C644B" w:rsidP="002561E5">
            <w:pPr>
              <w:pStyle w:val="TableText"/>
              <w:jc w:val="right"/>
              <w:rPr>
                <w:i/>
                <w:lang w:eastAsia="en-AU"/>
              </w:rPr>
            </w:pPr>
            <w:r w:rsidRPr="002561E5">
              <w:rPr>
                <w:i/>
                <w:lang w:eastAsia="en-AU"/>
              </w:rPr>
              <w:t>14</w:t>
            </w:r>
            <w:r w:rsidR="009A64E8" w:rsidRPr="002561E5">
              <w:rPr>
                <w:i/>
                <w:lang w:eastAsia="en-AU"/>
              </w:rPr>
              <w:t>.</w:t>
            </w:r>
            <w:r w:rsidRPr="002561E5">
              <w:rPr>
                <w:i/>
                <w:lang w:eastAsia="en-AU"/>
              </w:rPr>
              <w:t>0</w:t>
            </w:r>
            <w:r w:rsidR="009A64E8" w:rsidRPr="002561E5">
              <w:rPr>
                <w:i/>
                <w:lang w:eastAsia="en-AU"/>
              </w:rPr>
              <w:t>5</w:t>
            </w:r>
          </w:p>
        </w:tc>
        <w:tc>
          <w:tcPr>
            <w:tcW w:w="1193" w:type="dxa"/>
          </w:tcPr>
          <w:p w14:paraId="08585042" w14:textId="7F64FF63" w:rsidR="006C644B" w:rsidRPr="002561E5" w:rsidRDefault="006C644B" w:rsidP="002561E5">
            <w:pPr>
              <w:pStyle w:val="TableText"/>
              <w:jc w:val="right"/>
              <w:rPr>
                <w:i/>
                <w:lang w:eastAsia="en-AU"/>
              </w:rPr>
            </w:pPr>
            <w:r w:rsidRPr="002561E5">
              <w:rPr>
                <w:i/>
                <w:lang w:eastAsia="en-AU"/>
              </w:rPr>
              <w:t>13</w:t>
            </w:r>
            <w:r w:rsidR="009A64E8" w:rsidRPr="002561E5">
              <w:rPr>
                <w:i/>
                <w:lang w:eastAsia="en-AU"/>
              </w:rPr>
              <w:t>.</w:t>
            </w:r>
            <w:r w:rsidRPr="002561E5">
              <w:rPr>
                <w:i/>
                <w:lang w:eastAsia="en-AU"/>
              </w:rPr>
              <w:t>34</w:t>
            </w:r>
          </w:p>
        </w:tc>
        <w:tc>
          <w:tcPr>
            <w:tcW w:w="1193" w:type="dxa"/>
          </w:tcPr>
          <w:p w14:paraId="3F0BAA73" w14:textId="4B084F67" w:rsidR="006C644B" w:rsidRPr="002561E5" w:rsidRDefault="006C644B" w:rsidP="002561E5">
            <w:pPr>
              <w:pStyle w:val="TableText"/>
              <w:jc w:val="right"/>
              <w:rPr>
                <w:i/>
                <w:lang w:eastAsia="en-AU"/>
              </w:rPr>
            </w:pPr>
            <w:r w:rsidRPr="002561E5">
              <w:rPr>
                <w:i/>
                <w:lang w:eastAsia="en-AU"/>
              </w:rPr>
              <w:t>13</w:t>
            </w:r>
            <w:r w:rsidR="009A64E8" w:rsidRPr="002561E5">
              <w:rPr>
                <w:i/>
                <w:lang w:eastAsia="en-AU"/>
              </w:rPr>
              <w:t>.</w:t>
            </w:r>
            <w:r w:rsidRPr="002561E5">
              <w:rPr>
                <w:i/>
                <w:lang w:eastAsia="en-AU"/>
              </w:rPr>
              <w:t>50</w:t>
            </w:r>
          </w:p>
        </w:tc>
        <w:tc>
          <w:tcPr>
            <w:tcW w:w="1193" w:type="dxa"/>
          </w:tcPr>
          <w:p w14:paraId="3D96D9A4" w14:textId="37C39409" w:rsidR="006C644B" w:rsidRPr="002561E5" w:rsidRDefault="006C644B" w:rsidP="002561E5">
            <w:pPr>
              <w:pStyle w:val="TableText"/>
              <w:jc w:val="right"/>
              <w:rPr>
                <w:i/>
                <w:lang w:eastAsia="en-AU"/>
              </w:rPr>
            </w:pPr>
            <w:r w:rsidRPr="002561E5">
              <w:rPr>
                <w:i/>
                <w:lang w:eastAsia="en-AU"/>
              </w:rPr>
              <w:t>13</w:t>
            </w:r>
            <w:r w:rsidR="009A64E8" w:rsidRPr="002561E5">
              <w:rPr>
                <w:i/>
                <w:lang w:eastAsia="en-AU"/>
              </w:rPr>
              <w:t>.</w:t>
            </w:r>
            <w:r w:rsidRPr="002561E5">
              <w:rPr>
                <w:i/>
                <w:lang w:eastAsia="en-AU"/>
              </w:rPr>
              <w:t>83</w:t>
            </w:r>
          </w:p>
        </w:tc>
        <w:tc>
          <w:tcPr>
            <w:tcW w:w="1193" w:type="dxa"/>
          </w:tcPr>
          <w:p w14:paraId="5F283694" w14:textId="30C0FD01" w:rsidR="006C644B" w:rsidRPr="002561E5" w:rsidRDefault="006C644B" w:rsidP="002561E5">
            <w:pPr>
              <w:pStyle w:val="TableText"/>
              <w:jc w:val="right"/>
              <w:rPr>
                <w:i/>
                <w:lang w:eastAsia="en-AU"/>
              </w:rPr>
            </w:pPr>
            <w:r w:rsidRPr="002561E5">
              <w:rPr>
                <w:i/>
                <w:lang w:eastAsia="en-AU"/>
              </w:rPr>
              <w:t>13</w:t>
            </w:r>
            <w:r w:rsidR="009A64E8" w:rsidRPr="002561E5">
              <w:rPr>
                <w:i/>
                <w:lang w:eastAsia="en-AU"/>
              </w:rPr>
              <w:t>.</w:t>
            </w:r>
            <w:r w:rsidRPr="002561E5">
              <w:rPr>
                <w:i/>
                <w:lang w:eastAsia="en-AU"/>
              </w:rPr>
              <w:t>9</w:t>
            </w:r>
            <w:r w:rsidR="009A64E8" w:rsidRPr="002561E5">
              <w:rPr>
                <w:i/>
                <w:lang w:eastAsia="en-AU"/>
              </w:rPr>
              <w:t>2</w:t>
            </w:r>
          </w:p>
        </w:tc>
        <w:tc>
          <w:tcPr>
            <w:tcW w:w="1193" w:type="dxa"/>
          </w:tcPr>
          <w:p w14:paraId="24C2A8FA" w14:textId="33158194" w:rsidR="006C644B" w:rsidRPr="002561E5" w:rsidRDefault="006C644B" w:rsidP="002561E5">
            <w:pPr>
              <w:pStyle w:val="TableText"/>
              <w:jc w:val="right"/>
              <w:rPr>
                <w:i/>
                <w:lang w:eastAsia="en-AU"/>
              </w:rPr>
            </w:pPr>
            <w:r w:rsidRPr="002561E5">
              <w:rPr>
                <w:i/>
                <w:lang w:eastAsia="en-AU"/>
              </w:rPr>
              <w:t>12</w:t>
            </w:r>
            <w:r w:rsidR="009A64E8" w:rsidRPr="002561E5">
              <w:rPr>
                <w:i/>
                <w:lang w:eastAsia="en-AU"/>
              </w:rPr>
              <w:t>.</w:t>
            </w:r>
            <w:r w:rsidRPr="002561E5">
              <w:rPr>
                <w:i/>
                <w:lang w:eastAsia="en-AU"/>
              </w:rPr>
              <w:t>5</w:t>
            </w:r>
            <w:r w:rsidR="003766C0" w:rsidRPr="002561E5">
              <w:rPr>
                <w:i/>
                <w:lang w:eastAsia="en-AU"/>
              </w:rPr>
              <w:t>4</w:t>
            </w:r>
          </w:p>
        </w:tc>
      </w:tr>
      <w:tr w:rsidR="006C644B" w:rsidRPr="006C644B" w14:paraId="3295FE89" w14:textId="77777777" w:rsidTr="00D24C39">
        <w:tc>
          <w:tcPr>
            <w:tcW w:w="1701" w:type="dxa"/>
          </w:tcPr>
          <w:p w14:paraId="5EF19FA7" w14:textId="0DBAEF25" w:rsidR="006C644B" w:rsidRPr="006C644B" w:rsidRDefault="006C644B" w:rsidP="002561E5">
            <w:pPr>
              <w:pStyle w:val="TableText"/>
              <w:rPr>
                <w:lang w:eastAsia="en-AU"/>
              </w:rPr>
            </w:pPr>
            <w:r w:rsidRPr="006C644B">
              <w:rPr>
                <w:lang w:eastAsia="en-AU"/>
              </w:rPr>
              <w:t>Total (</w:t>
            </w:r>
            <w:r w:rsidR="007402A9">
              <w:rPr>
                <w:lang w:eastAsia="en-AU"/>
              </w:rPr>
              <w:t>appro. and</w:t>
            </w:r>
            <w:r w:rsidRPr="006C644B">
              <w:rPr>
                <w:lang w:eastAsia="en-AU"/>
              </w:rPr>
              <w:t xml:space="preserve"> cost recovered) </w:t>
            </w:r>
          </w:p>
        </w:tc>
        <w:tc>
          <w:tcPr>
            <w:tcW w:w="1192" w:type="dxa"/>
          </w:tcPr>
          <w:p w14:paraId="7686A8C0" w14:textId="3E519A40" w:rsidR="006C644B" w:rsidRPr="006C644B" w:rsidRDefault="006C644B" w:rsidP="002561E5">
            <w:pPr>
              <w:pStyle w:val="TableText"/>
              <w:jc w:val="center"/>
              <w:rPr>
                <w:lang w:eastAsia="en-AU"/>
              </w:rPr>
            </w:pPr>
            <w:r w:rsidRPr="006C644B">
              <w:rPr>
                <w:lang w:eastAsia="en-AU"/>
              </w:rPr>
              <w:t>547</w:t>
            </w:r>
            <w:r w:rsidR="009A64E8">
              <w:rPr>
                <w:lang w:eastAsia="en-AU"/>
              </w:rPr>
              <w:t>.</w:t>
            </w:r>
            <w:r w:rsidRPr="006C644B">
              <w:rPr>
                <w:lang w:eastAsia="en-AU"/>
              </w:rPr>
              <w:t>35</w:t>
            </w:r>
          </w:p>
        </w:tc>
        <w:tc>
          <w:tcPr>
            <w:tcW w:w="1193" w:type="dxa"/>
          </w:tcPr>
          <w:p w14:paraId="2704BAD9" w14:textId="5BD4F2FE" w:rsidR="006C644B" w:rsidRPr="006C644B" w:rsidRDefault="006C644B" w:rsidP="002561E5">
            <w:pPr>
              <w:pStyle w:val="TableText"/>
              <w:jc w:val="center"/>
              <w:rPr>
                <w:lang w:eastAsia="en-AU"/>
              </w:rPr>
            </w:pPr>
            <w:r w:rsidRPr="006C644B">
              <w:rPr>
                <w:lang w:eastAsia="en-AU"/>
              </w:rPr>
              <w:t>502</w:t>
            </w:r>
            <w:r w:rsidR="009A64E8">
              <w:rPr>
                <w:lang w:eastAsia="en-AU"/>
              </w:rPr>
              <w:t>.</w:t>
            </w:r>
            <w:r w:rsidRPr="006C644B">
              <w:rPr>
                <w:lang w:eastAsia="en-AU"/>
              </w:rPr>
              <w:t>99</w:t>
            </w:r>
          </w:p>
        </w:tc>
        <w:tc>
          <w:tcPr>
            <w:tcW w:w="1193" w:type="dxa"/>
          </w:tcPr>
          <w:p w14:paraId="7B80DC4A" w14:textId="17564421" w:rsidR="006C644B" w:rsidRPr="006C644B" w:rsidRDefault="006C644B" w:rsidP="002561E5">
            <w:pPr>
              <w:pStyle w:val="TableText"/>
              <w:jc w:val="center"/>
              <w:rPr>
                <w:lang w:eastAsia="en-AU"/>
              </w:rPr>
            </w:pPr>
            <w:r w:rsidRPr="006C644B">
              <w:rPr>
                <w:lang w:eastAsia="en-AU"/>
              </w:rPr>
              <w:t>488</w:t>
            </w:r>
            <w:r w:rsidR="009A64E8">
              <w:rPr>
                <w:lang w:eastAsia="en-AU"/>
              </w:rPr>
              <w:t>.</w:t>
            </w:r>
            <w:r w:rsidRPr="006C644B">
              <w:rPr>
                <w:lang w:eastAsia="en-AU"/>
              </w:rPr>
              <w:t>81</w:t>
            </w:r>
          </w:p>
        </w:tc>
        <w:tc>
          <w:tcPr>
            <w:tcW w:w="1193" w:type="dxa"/>
          </w:tcPr>
          <w:p w14:paraId="198FEB56" w14:textId="6210E04F" w:rsidR="006C644B" w:rsidRPr="006C644B" w:rsidRDefault="006C644B" w:rsidP="002561E5">
            <w:pPr>
              <w:pStyle w:val="TableText"/>
              <w:jc w:val="center"/>
              <w:rPr>
                <w:lang w:eastAsia="en-AU"/>
              </w:rPr>
            </w:pPr>
            <w:r w:rsidRPr="006C644B">
              <w:rPr>
                <w:lang w:eastAsia="en-AU"/>
              </w:rPr>
              <w:t>504</w:t>
            </w:r>
            <w:r w:rsidR="009A64E8">
              <w:rPr>
                <w:lang w:eastAsia="en-AU"/>
              </w:rPr>
              <w:t>.</w:t>
            </w:r>
            <w:r w:rsidRPr="006C644B">
              <w:rPr>
                <w:lang w:eastAsia="en-AU"/>
              </w:rPr>
              <w:t>3</w:t>
            </w:r>
            <w:r w:rsidR="003766C0">
              <w:rPr>
                <w:lang w:eastAsia="en-AU"/>
              </w:rPr>
              <w:t>2</w:t>
            </w:r>
          </w:p>
        </w:tc>
        <w:tc>
          <w:tcPr>
            <w:tcW w:w="1193" w:type="dxa"/>
          </w:tcPr>
          <w:p w14:paraId="4143FDCF" w14:textId="03A04396" w:rsidR="006C644B" w:rsidRPr="006C644B" w:rsidRDefault="006C644B" w:rsidP="002561E5">
            <w:pPr>
              <w:pStyle w:val="TableText"/>
              <w:jc w:val="center"/>
              <w:rPr>
                <w:lang w:eastAsia="en-AU"/>
              </w:rPr>
            </w:pPr>
            <w:r w:rsidRPr="006C644B">
              <w:rPr>
                <w:lang w:eastAsia="en-AU"/>
              </w:rPr>
              <w:t>536</w:t>
            </w:r>
            <w:r w:rsidR="009A64E8">
              <w:rPr>
                <w:lang w:eastAsia="en-AU"/>
              </w:rPr>
              <w:t>.</w:t>
            </w:r>
            <w:r w:rsidRPr="006C644B">
              <w:rPr>
                <w:lang w:eastAsia="en-AU"/>
              </w:rPr>
              <w:t>8</w:t>
            </w:r>
            <w:r w:rsidR="009A64E8">
              <w:rPr>
                <w:lang w:eastAsia="en-AU"/>
              </w:rPr>
              <w:t>4</w:t>
            </w:r>
          </w:p>
        </w:tc>
        <w:tc>
          <w:tcPr>
            <w:tcW w:w="1193" w:type="dxa"/>
          </w:tcPr>
          <w:p w14:paraId="686CD78C" w14:textId="674C8937" w:rsidR="006C644B" w:rsidRPr="006C644B" w:rsidRDefault="006C644B" w:rsidP="002561E5">
            <w:pPr>
              <w:pStyle w:val="TableText"/>
              <w:jc w:val="center"/>
              <w:rPr>
                <w:lang w:eastAsia="en-AU"/>
              </w:rPr>
            </w:pPr>
            <w:r w:rsidRPr="006C644B">
              <w:rPr>
                <w:lang w:eastAsia="en-AU"/>
              </w:rPr>
              <w:t>572</w:t>
            </w:r>
            <w:r w:rsidR="009A64E8">
              <w:rPr>
                <w:lang w:eastAsia="en-AU"/>
              </w:rPr>
              <w:t>.</w:t>
            </w:r>
            <w:r w:rsidRPr="006C644B">
              <w:rPr>
                <w:lang w:eastAsia="en-AU"/>
              </w:rPr>
              <w:t>67</w:t>
            </w:r>
          </w:p>
        </w:tc>
      </w:tr>
      <w:tr w:rsidR="00683481" w:rsidRPr="0021150E" w14:paraId="23D042ED" w14:textId="77777777" w:rsidTr="00D24C39">
        <w:tc>
          <w:tcPr>
            <w:tcW w:w="1701" w:type="dxa"/>
          </w:tcPr>
          <w:p w14:paraId="0C57FA8B" w14:textId="51008F36" w:rsidR="00683481" w:rsidRPr="006C644B" w:rsidRDefault="00137C0E" w:rsidP="002561E5">
            <w:pPr>
              <w:pStyle w:val="TableText"/>
              <w:rPr>
                <w:lang w:eastAsia="en-AU"/>
              </w:rPr>
            </w:pPr>
            <w:r>
              <w:rPr>
                <w:lang w:eastAsia="en-AU"/>
              </w:rPr>
              <w:t>Proportion c</w:t>
            </w:r>
            <w:r w:rsidR="00550A94">
              <w:rPr>
                <w:lang w:eastAsia="en-AU"/>
              </w:rPr>
              <w:t>ost recovered</w:t>
            </w:r>
          </w:p>
        </w:tc>
        <w:tc>
          <w:tcPr>
            <w:tcW w:w="1192" w:type="dxa"/>
          </w:tcPr>
          <w:p w14:paraId="26336A29" w14:textId="137BC67B" w:rsidR="00683481" w:rsidRPr="006C644B" w:rsidRDefault="00683481" w:rsidP="002561E5">
            <w:pPr>
              <w:pStyle w:val="TableText"/>
              <w:jc w:val="center"/>
              <w:rPr>
                <w:lang w:eastAsia="en-AU"/>
              </w:rPr>
            </w:pPr>
            <w:r>
              <w:rPr>
                <w:lang w:eastAsia="en-AU"/>
              </w:rPr>
              <w:t>53.6%</w:t>
            </w:r>
          </w:p>
        </w:tc>
        <w:tc>
          <w:tcPr>
            <w:tcW w:w="1193" w:type="dxa"/>
          </w:tcPr>
          <w:p w14:paraId="1D7C5B32" w14:textId="64E0BFA6" w:rsidR="00683481" w:rsidRPr="006C644B" w:rsidRDefault="00683481" w:rsidP="002561E5">
            <w:pPr>
              <w:pStyle w:val="TableText"/>
              <w:jc w:val="center"/>
              <w:rPr>
                <w:lang w:eastAsia="en-AU"/>
              </w:rPr>
            </w:pPr>
            <w:r>
              <w:rPr>
                <w:lang w:eastAsia="en-AU"/>
              </w:rPr>
              <w:t>59.6%</w:t>
            </w:r>
          </w:p>
        </w:tc>
        <w:tc>
          <w:tcPr>
            <w:tcW w:w="1193" w:type="dxa"/>
          </w:tcPr>
          <w:p w14:paraId="46C35EC3" w14:textId="1A4306DC" w:rsidR="00683481" w:rsidRPr="006C644B" w:rsidRDefault="00683481" w:rsidP="002561E5">
            <w:pPr>
              <w:pStyle w:val="TableText"/>
              <w:jc w:val="center"/>
              <w:rPr>
                <w:lang w:eastAsia="en-AU"/>
              </w:rPr>
            </w:pPr>
            <w:r>
              <w:rPr>
                <w:lang w:eastAsia="en-AU"/>
              </w:rPr>
              <w:t>61.3%</w:t>
            </w:r>
          </w:p>
        </w:tc>
        <w:tc>
          <w:tcPr>
            <w:tcW w:w="1193" w:type="dxa"/>
          </w:tcPr>
          <w:p w14:paraId="50173143" w14:textId="11FCBD49" w:rsidR="00683481" w:rsidRPr="006C644B" w:rsidRDefault="00683481" w:rsidP="002561E5">
            <w:pPr>
              <w:pStyle w:val="TableText"/>
              <w:jc w:val="center"/>
              <w:rPr>
                <w:lang w:eastAsia="en-AU"/>
              </w:rPr>
            </w:pPr>
            <w:r>
              <w:rPr>
                <w:lang w:eastAsia="en-AU"/>
              </w:rPr>
              <w:t>64.6%</w:t>
            </w:r>
          </w:p>
        </w:tc>
        <w:tc>
          <w:tcPr>
            <w:tcW w:w="1193" w:type="dxa"/>
          </w:tcPr>
          <w:p w14:paraId="24C9A9B0" w14:textId="70396BA0" w:rsidR="00683481" w:rsidRPr="006C644B" w:rsidRDefault="00683481" w:rsidP="002561E5">
            <w:pPr>
              <w:pStyle w:val="TableText"/>
              <w:jc w:val="center"/>
              <w:rPr>
                <w:lang w:eastAsia="en-AU"/>
              </w:rPr>
            </w:pPr>
            <w:r>
              <w:rPr>
                <w:lang w:eastAsia="en-AU"/>
              </w:rPr>
              <w:t>62.5%</w:t>
            </w:r>
          </w:p>
        </w:tc>
        <w:tc>
          <w:tcPr>
            <w:tcW w:w="1193" w:type="dxa"/>
          </w:tcPr>
          <w:p w14:paraId="677F9050" w14:textId="319C306A" w:rsidR="00683481" w:rsidRPr="006C644B" w:rsidRDefault="00683481" w:rsidP="002561E5">
            <w:pPr>
              <w:pStyle w:val="TableText"/>
              <w:jc w:val="center"/>
              <w:rPr>
                <w:lang w:eastAsia="en-AU"/>
              </w:rPr>
            </w:pPr>
            <w:r>
              <w:rPr>
                <w:lang w:eastAsia="en-AU"/>
              </w:rPr>
              <w:t>60.2%</w:t>
            </w:r>
          </w:p>
        </w:tc>
      </w:tr>
    </w:tbl>
    <w:p w14:paraId="3F529E18" w14:textId="09476346" w:rsidR="006C644B" w:rsidRPr="006C644B" w:rsidRDefault="00CA1E99" w:rsidP="00142CCA">
      <w:pPr>
        <w:pStyle w:val="FigureTableNoteSource"/>
        <w:rPr>
          <w:lang w:eastAsia="ja-JP"/>
        </w:rPr>
      </w:pPr>
      <w:r>
        <w:rPr>
          <w:lang w:eastAsia="ja-JP"/>
        </w:rPr>
        <w:t>1. A</w:t>
      </w:r>
      <w:r w:rsidR="006C644B" w:rsidRPr="006C644B">
        <w:rPr>
          <w:lang w:eastAsia="ja-JP"/>
        </w:rPr>
        <w:t>ctual expenditure</w:t>
      </w:r>
      <w:r>
        <w:rPr>
          <w:lang w:eastAsia="ja-JP"/>
        </w:rPr>
        <w:t>;</w:t>
      </w:r>
      <w:r w:rsidR="006C644B" w:rsidRPr="006C644B">
        <w:rPr>
          <w:lang w:eastAsia="ja-JP"/>
        </w:rPr>
        <w:t xml:space="preserve"> </w:t>
      </w:r>
      <w:r>
        <w:rPr>
          <w:lang w:eastAsia="ja-JP"/>
        </w:rPr>
        <w:t>2. B</w:t>
      </w:r>
      <w:r w:rsidR="006C644B" w:rsidRPr="006C644B">
        <w:rPr>
          <w:lang w:eastAsia="ja-JP"/>
        </w:rPr>
        <w:t>udgeted expenditure. Figures converted to 2011–12 dollars using CPI.</w:t>
      </w:r>
    </w:p>
    <w:p w14:paraId="5F87CDC4" w14:textId="6245D8A7" w:rsidR="006C644B" w:rsidRPr="006C644B" w:rsidRDefault="006C644B" w:rsidP="00142CCA">
      <w:pPr>
        <w:pStyle w:val="FigureTableNoteSource"/>
        <w:rPr>
          <w:lang w:eastAsia="ja-JP"/>
        </w:rPr>
      </w:pPr>
      <w:r w:rsidRPr="00B1041E">
        <w:rPr>
          <w:lang w:eastAsia="ja-JP"/>
        </w:rPr>
        <w:t>Source: Australian</w:t>
      </w:r>
      <w:r w:rsidRPr="006C644B">
        <w:rPr>
          <w:lang w:eastAsia="ja-JP"/>
        </w:rPr>
        <w:t xml:space="preserve"> Government </w:t>
      </w:r>
      <w:r w:rsidR="00CA1E99">
        <w:rPr>
          <w:lang w:eastAsia="ja-JP"/>
        </w:rPr>
        <w:t xml:space="preserve">Department of Agriculture and Water Resources </w:t>
      </w:r>
      <w:r w:rsidRPr="006C644B">
        <w:rPr>
          <w:lang w:eastAsia="ja-JP"/>
        </w:rPr>
        <w:t>Portfolio Budget Statements, various.</w:t>
      </w:r>
    </w:p>
    <w:p w14:paraId="665D4315" w14:textId="2D5FFF15" w:rsidR="006C644B" w:rsidRPr="006C644B" w:rsidRDefault="006A37B5" w:rsidP="00F163A5">
      <w:pPr>
        <w:spacing w:before="120"/>
        <w:rPr>
          <w:lang w:eastAsia="ja-JP"/>
        </w:rPr>
      </w:pPr>
      <w:r w:rsidRPr="006A37B5">
        <w:rPr>
          <w:lang w:eastAsia="ja-JP"/>
        </w:rPr>
        <w:t xml:space="preserve">The </w:t>
      </w:r>
      <w:r w:rsidR="00482B41">
        <w:rPr>
          <w:lang w:eastAsia="ja-JP"/>
        </w:rPr>
        <w:t>p</w:t>
      </w:r>
      <w:r w:rsidRPr="006A37B5">
        <w:rPr>
          <w:lang w:eastAsia="ja-JP"/>
        </w:rPr>
        <w:t xml:space="preserve">anel notes, however, that </w:t>
      </w:r>
      <w:r w:rsidR="00601B27">
        <w:rPr>
          <w:lang w:eastAsia="ja-JP"/>
        </w:rPr>
        <w:t>this</w:t>
      </w:r>
      <w:r w:rsidRPr="006A37B5">
        <w:rPr>
          <w:lang w:eastAsia="ja-JP"/>
        </w:rPr>
        <w:t xml:space="preserve"> level of funding is not assured into the future. Some funding for biosecurity flowing from the 2015 Agricultural Competitiveness White Paper is scheduled to end in 2018–19. The Australian Government </w:t>
      </w:r>
      <w:r w:rsidR="00601B27">
        <w:rPr>
          <w:lang w:eastAsia="ja-JP"/>
        </w:rPr>
        <w:t xml:space="preserve">Department of Agriculture and Water Resources </w:t>
      </w:r>
      <w:r w:rsidRPr="006A37B5">
        <w:rPr>
          <w:lang w:eastAsia="ja-JP"/>
        </w:rPr>
        <w:t>Portfolio Budget Statement for 2016–</w:t>
      </w:r>
      <w:r w:rsidRPr="009177F0">
        <w:rPr>
          <w:lang w:eastAsia="ja-JP"/>
        </w:rPr>
        <w:t>17 (</w:t>
      </w:r>
      <w:hyperlink w:anchor="DAWR_2016d" w:history="1">
        <w:r w:rsidR="009177F0" w:rsidRPr="009177F0">
          <w:rPr>
            <w:rStyle w:val="Hyperlink"/>
            <w:lang w:eastAsia="ja-JP"/>
          </w:rPr>
          <w:t>DAWR 2016d</w:t>
        </w:r>
      </w:hyperlink>
      <w:r w:rsidR="009177F0" w:rsidRPr="009177F0">
        <w:rPr>
          <w:lang w:eastAsia="ja-JP"/>
        </w:rPr>
        <w:t xml:space="preserve">, </w:t>
      </w:r>
      <w:r w:rsidR="0021150E" w:rsidRPr="009177F0">
        <w:rPr>
          <w:lang w:eastAsia="ja-JP"/>
        </w:rPr>
        <w:t>Ta</w:t>
      </w:r>
      <w:r w:rsidR="0021150E">
        <w:rPr>
          <w:lang w:eastAsia="ja-JP"/>
        </w:rPr>
        <w:t>ble 2.2.1</w:t>
      </w:r>
      <w:r w:rsidRPr="006A37B5">
        <w:rPr>
          <w:lang w:eastAsia="ja-JP"/>
        </w:rPr>
        <w:t>) lists departmental appropriation funding for Outcome 2 falling from $213</w:t>
      </w:r>
      <w:r w:rsidR="006E6916">
        <w:rPr>
          <w:lang w:eastAsia="ja-JP"/>
        </w:rPr>
        <w:t> </w:t>
      </w:r>
      <w:r w:rsidRPr="006A37B5">
        <w:rPr>
          <w:lang w:eastAsia="ja-JP"/>
        </w:rPr>
        <w:t>million in 2018–19 to $186</w:t>
      </w:r>
      <w:r w:rsidR="006E6916">
        <w:rPr>
          <w:lang w:eastAsia="ja-JP"/>
        </w:rPr>
        <w:t> </w:t>
      </w:r>
      <w:r w:rsidRPr="006A37B5">
        <w:rPr>
          <w:lang w:eastAsia="ja-JP"/>
        </w:rPr>
        <w:t>million in 2019–20. This represents a fall o</w:t>
      </w:r>
      <w:r w:rsidR="006E6916">
        <w:rPr>
          <w:lang w:eastAsia="ja-JP"/>
        </w:rPr>
        <w:t>f approximately $27 </w:t>
      </w:r>
      <w:r w:rsidR="00A8440A">
        <w:rPr>
          <w:lang w:eastAsia="ja-JP"/>
        </w:rPr>
        <w:t>million</w:t>
      </w:r>
      <w:r w:rsidR="00601B27">
        <w:rPr>
          <w:lang w:eastAsia="ja-JP"/>
        </w:rPr>
        <w:t>,</w:t>
      </w:r>
      <w:r w:rsidR="00A8440A">
        <w:rPr>
          <w:lang w:eastAsia="ja-JP"/>
        </w:rPr>
        <w:t xml:space="preserve"> or around 12.6 </w:t>
      </w:r>
      <w:r w:rsidRPr="006A37B5">
        <w:rPr>
          <w:lang w:eastAsia="ja-JP"/>
        </w:rPr>
        <w:t>per</w:t>
      </w:r>
      <w:r w:rsidR="00A8440A">
        <w:rPr>
          <w:lang w:eastAsia="ja-JP"/>
        </w:rPr>
        <w:t> </w:t>
      </w:r>
      <w:r w:rsidRPr="006A37B5">
        <w:rPr>
          <w:lang w:eastAsia="ja-JP"/>
        </w:rPr>
        <w:t>cent</w:t>
      </w:r>
      <w:r w:rsidR="00601B27">
        <w:rPr>
          <w:lang w:eastAsia="ja-JP"/>
        </w:rPr>
        <w:t>,</w:t>
      </w:r>
      <w:r w:rsidRPr="006A37B5">
        <w:rPr>
          <w:lang w:eastAsia="ja-JP"/>
        </w:rPr>
        <w:t xml:space="preserve"> in just one year. Given the increasing level of risk, this is a significant reduction even taking increased efficiency into account.</w:t>
      </w:r>
    </w:p>
    <w:p w14:paraId="22E373EB" w14:textId="528526BB" w:rsidR="006C644B" w:rsidRPr="006C644B" w:rsidRDefault="006C644B" w:rsidP="006C644B">
      <w:pPr>
        <w:rPr>
          <w:lang w:eastAsia="ja-JP"/>
        </w:rPr>
      </w:pPr>
      <w:r w:rsidRPr="006C644B">
        <w:rPr>
          <w:lang w:eastAsia="ja-JP"/>
        </w:rPr>
        <w:t xml:space="preserve">It needs to be acknowledged that other Australian Government agencies, such as the </w:t>
      </w:r>
      <w:r w:rsidR="00601B27">
        <w:rPr>
          <w:lang w:eastAsia="ja-JP"/>
        </w:rPr>
        <w:t>Department</w:t>
      </w:r>
      <w:r w:rsidRPr="006C644B">
        <w:rPr>
          <w:lang w:eastAsia="ja-JP"/>
        </w:rPr>
        <w:t xml:space="preserve"> of </w:t>
      </w:r>
      <w:r w:rsidR="00601B27">
        <w:rPr>
          <w:lang w:eastAsia="ja-JP"/>
        </w:rPr>
        <w:t>D</w:t>
      </w:r>
      <w:r w:rsidRPr="006C644B">
        <w:rPr>
          <w:lang w:eastAsia="ja-JP"/>
        </w:rPr>
        <w:t xml:space="preserve">efence and the </w:t>
      </w:r>
      <w:r w:rsidR="00601B27">
        <w:rPr>
          <w:lang w:eastAsia="ja-JP"/>
        </w:rPr>
        <w:t>Department of the Environment and Energy</w:t>
      </w:r>
      <w:r w:rsidRPr="006C644B">
        <w:rPr>
          <w:lang w:eastAsia="ja-JP"/>
        </w:rPr>
        <w:t xml:space="preserve">, also contribute to some biosecurity-related activities and their spending is in addition to </w:t>
      </w:r>
      <w:r w:rsidR="00601B27">
        <w:rPr>
          <w:lang w:eastAsia="ja-JP"/>
        </w:rPr>
        <w:t xml:space="preserve">that of </w:t>
      </w:r>
      <w:r w:rsidR="00601B27">
        <w:rPr>
          <w:lang w:eastAsia="ja-JP"/>
        </w:rPr>
        <w:lastRenderedPageBreak/>
        <w:t>the Department of Agriculture and Water Resources</w:t>
      </w:r>
      <w:r w:rsidRPr="006C644B">
        <w:rPr>
          <w:lang w:eastAsia="ja-JP"/>
        </w:rPr>
        <w:t>. However, their Portfolio Budget Statements do not provide sufficient information to be able to determine how much they may spend on biosecurity-related activities.</w:t>
      </w:r>
    </w:p>
    <w:p w14:paraId="6E254F83" w14:textId="64120A68" w:rsidR="006C644B" w:rsidRDefault="006C644B" w:rsidP="006C644B">
      <w:pPr>
        <w:rPr>
          <w:lang w:eastAsia="ja-JP"/>
        </w:rPr>
      </w:pPr>
      <w:r w:rsidRPr="006C644B">
        <w:rPr>
          <w:lang w:eastAsia="ja-JP"/>
        </w:rPr>
        <w:t xml:space="preserve">The </w:t>
      </w:r>
      <w:r w:rsidR="00B75CEF">
        <w:rPr>
          <w:lang w:eastAsia="ja-JP"/>
        </w:rPr>
        <w:t>p</w:t>
      </w:r>
      <w:r w:rsidRPr="006C644B">
        <w:rPr>
          <w:lang w:eastAsia="ja-JP"/>
        </w:rPr>
        <w:t xml:space="preserve">anel has been unable to carry out a similar analysis across all jurisdictions due to the different reporting methods. As a proxy for biosecurity spending, an analysis of information collected by the Australian Bureau of Statistics on jurisdictions’ general government expenditure on agriculture, fisheries and forestry </w:t>
      </w:r>
      <w:r w:rsidR="00044579" w:rsidRPr="006D022E">
        <w:rPr>
          <w:rFonts w:eastAsia="Calibri" w:cs="Times New Roman"/>
          <w:lang w:eastAsia="ja-JP"/>
        </w:rPr>
        <w:t>and</w:t>
      </w:r>
      <w:r w:rsidR="006D022E" w:rsidRPr="006D022E">
        <w:rPr>
          <w:rFonts w:eastAsia="Calibri" w:cs="Times New Roman"/>
          <w:lang w:eastAsia="ja-JP"/>
        </w:rPr>
        <w:t xml:space="preserve"> other data</w:t>
      </w:r>
      <w:r w:rsidR="00044579" w:rsidRPr="006D022E">
        <w:rPr>
          <w:rFonts w:eastAsia="Calibri" w:cs="Times New Roman"/>
          <w:lang w:eastAsia="ja-JP"/>
        </w:rPr>
        <w:t xml:space="preserve"> </w:t>
      </w:r>
      <w:r w:rsidRPr="006D022E">
        <w:rPr>
          <w:lang w:eastAsia="ja-JP"/>
        </w:rPr>
        <w:t>between 2001–02 and 201</w:t>
      </w:r>
      <w:r w:rsidR="003A5963">
        <w:rPr>
          <w:lang w:eastAsia="ja-JP"/>
        </w:rPr>
        <w:t>5</w:t>
      </w:r>
      <w:r w:rsidRPr="006D022E">
        <w:rPr>
          <w:lang w:eastAsia="ja-JP"/>
        </w:rPr>
        <w:t>–1</w:t>
      </w:r>
      <w:r w:rsidR="003A5963">
        <w:rPr>
          <w:lang w:eastAsia="ja-JP"/>
        </w:rPr>
        <w:t>6</w:t>
      </w:r>
      <w:r w:rsidRPr="006D022E">
        <w:rPr>
          <w:lang w:eastAsia="ja-JP"/>
        </w:rPr>
        <w:t xml:space="preserve"> was </w:t>
      </w:r>
      <w:r w:rsidRPr="006D022E">
        <w:t>undertaken (</w:t>
      </w:r>
      <w:r w:rsidR="00595FB0" w:rsidRPr="006D022E">
        <w:fldChar w:fldCharType="begin"/>
      </w:r>
      <w:r w:rsidR="00595FB0" w:rsidRPr="006D022E">
        <w:instrText xml:space="preserve"> REF _Ref481060946 \h  \* MERGEFORMAT </w:instrText>
      </w:r>
      <w:r w:rsidR="00595FB0" w:rsidRPr="006D022E">
        <w:fldChar w:fldCharType="separate"/>
      </w:r>
      <w:r w:rsidR="009F6923" w:rsidRPr="006C644B">
        <w:t xml:space="preserve">Table </w:t>
      </w:r>
      <w:r w:rsidR="009F6923">
        <w:t>8</w:t>
      </w:r>
      <w:r w:rsidR="00595FB0" w:rsidRPr="006D022E">
        <w:fldChar w:fldCharType="end"/>
      </w:r>
      <w:r w:rsidRPr="006D022E">
        <w:t>).</w:t>
      </w:r>
      <w:r w:rsidRPr="006D022E">
        <w:rPr>
          <w:lang w:eastAsia="ja-JP"/>
        </w:rPr>
        <w:t xml:space="preserve"> This analysis </w:t>
      </w:r>
      <w:r w:rsidR="00044579" w:rsidRPr="006D022E">
        <w:rPr>
          <w:rFonts w:eastAsia="Calibri" w:cs="Times New Roman"/>
          <w:lang w:eastAsia="ja-JP"/>
        </w:rPr>
        <w:t>showed</w:t>
      </w:r>
      <w:r w:rsidRPr="006D022E">
        <w:rPr>
          <w:lang w:eastAsia="ja-JP"/>
        </w:rPr>
        <w:t xml:space="preserve"> that, </w:t>
      </w:r>
      <w:r w:rsidR="006D022E">
        <w:rPr>
          <w:lang w:eastAsia="ja-JP"/>
        </w:rPr>
        <w:t>apart from</w:t>
      </w:r>
      <w:r w:rsidR="00044579" w:rsidRPr="006D022E">
        <w:rPr>
          <w:rFonts w:eastAsia="Calibri" w:cs="Times New Roman"/>
          <w:lang w:eastAsia="ja-JP"/>
        </w:rPr>
        <w:t xml:space="preserve"> Tasmania,</w:t>
      </w:r>
      <w:r w:rsidRPr="006D022E">
        <w:rPr>
          <w:lang w:eastAsia="ja-JP"/>
        </w:rPr>
        <w:t xml:space="preserve"> the Northern Territory, </w:t>
      </w:r>
      <w:r w:rsidR="00044579" w:rsidRPr="006D022E">
        <w:rPr>
          <w:rFonts w:eastAsia="Calibri" w:cs="Times New Roman"/>
          <w:lang w:eastAsia="ja-JP"/>
        </w:rPr>
        <w:t>and the Australian Capital Territory</w:t>
      </w:r>
      <w:r w:rsidR="00B75CEF">
        <w:rPr>
          <w:rFonts w:eastAsia="Calibri" w:cs="Times New Roman"/>
          <w:lang w:eastAsia="ja-JP"/>
        </w:rPr>
        <w:t>,</w:t>
      </w:r>
      <w:r w:rsidR="00044579" w:rsidRPr="006D022E">
        <w:rPr>
          <w:lang w:eastAsia="ja-JP"/>
        </w:rPr>
        <w:t xml:space="preserve"> </w:t>
      </w:r>
      <w:r w:rsidRPr="006D022E">
        <w:rPr>
          <w:lang w:eastAsia="ja-JP"/>
        </w:rPr>
        <w:t>general</w:t>
      </w:r>
      <w:r w:rsidRPr="006C644B">
        <w:rPr>
          <w:lang w:eastAsia="ja-JP"/>
        </w:rPr>
        <w:t xml:space="preserve"> government expenditure on agriculture, fisheries and forestry has </w:t>
      </w:r>
      <w:r w:rsidRPr="006D022E">
        <w:rPr>
          <w:lang w:eastAsia="ja-JP"/>
        </w:rPr>
        <w:t xml:space="preserve">declined </w:t>
      </w:r>
      <w:r w:rsidR="00967D78" w:rsidRPr="006D022E">
        <w:rPr>
          <w:rFonts w:eastAsia="Calibri" w:cs="Times New Roman"/>
          <w:lang w:eastAsia="ja-JP"/>
        </w:rPr>
        <w:t>in real terms</w:t>
      </w:r>
      <w:r w:rsidR="00967D78" w:rsidRPr="006D022E">
        <w:rPr>
          <w:lang w:eastAsia="ja-JP"/>
        </w:rPr>
        <w:t xml:space="preserve"> </w:t>
      </w:r>
      <w:r w:rsidRPr="006D022E">
        <w:rPr>
          <w:lang w:eastAsia="ja-JP"/>
        </w:rPr>
        <w:t xml:space="preserve">in </w:t>
      </w:r>
      <w:r w:rsidR="00967D78" w:rsidRPr="006D022E">
        <w:rPr>
          <w:lang w:eastAsia="ja-JP"/>
        </w:rPr>
        <w:t>most</w:t>
      </w:r>
      <w:r w:rsidR="00967D78" w:rsidRPr="006C644B">
        <w:rPr>
          <w:lang w:eastAsia="ja-JP"/>
        </w:rPr>
        <w:t xml:space="preserve"> </w:t>
      </w:r>
      <w:r w:rsidRPr="006C644B">
        <w:rPr>
          <w:lang w:eastAsia="ja-JP"/>
        </w:rPr>
        <w:t>jurisdiction</w:t>
      </w:r>
      <w:r w:rsidR="00967D78">
        <w:rPr>
          <w:lang w:eastAsia="ja-JP"/>
        </w:rPr>
        <w:t>s</w:t>
      </w:r>
      <w:r w:rsidRPr="006C644B">
        <w:rPr>
          <w:lang w:eastAsia="ja-JP"/>
        </w:rPr>
        <w:t xml:space="preserve"> on an average annual basis. As noted above, several jurisdictions have increased spending since 2014–15 following various reviews. </w:t>
      </w:r>
      <w:r w:rsidR="00651AC0">
        <w:rPr>
          <w:lang w:eastAsia="ja-JP"/>
        </w:rPr>
        <w:t>E</w:t>
      </w:r>
      <w:r w:rsidRPr="006C644B">
        <w:rPr>
          <w:lang w:eastAsia="ja-JP"/>
        </w:rPr>
        <w:t>xpenditure on agriculture, fisheries and forestry is in stark contrast to the major budget categories of education, health, and social security, which have all experienced average annual increases in spending in real terms, well above population growth.</w:t>
      </w:r>
    </w:p>
    <w:p w14:paraId="621D90BB" w14:textId="271CA215" w:rsidR="006C644B" w:rsidRPr="006C644B" w:rsidRDefault="006C644B" w:rsidP="00C8060F">
      <w:pPr>
        <w:pStyle w:val="Caption"/>
        <w:rPr>
          <w:lang w:eastAsia="ja-JP"/>
        </w:rPr>
      </w:pPr>
      <w:bookmarkStart w:id="160" w:name="_Ref481060946"/>
      <w:r w:rsidRPr="006C644B">
        <w:t xml:space="preserve">Table </w:t>
      </w:r>
      <w:fldSimple w:instr=" SEQ Table \* ARABIC ">
        <w:r w:rsidR="009F6923">
          <w:rPr>
            <w:noProof/>
          </w:rPr>
          <w:t>8</w:t>
        </w:r>
      </w:fldSimple>
      <w:bookmarkEnd w:id="160"/>
      <w:r w:rsidR="00A57526">
        <w:rPr>
          <w:noProof/>
        </w:rPr>
        <w:t xml:space="preserve"> </w:t>
      </w:r>
      <w:r w:rsidR="001751E1">
        <w:t>G</w:t>
      </w:r>
      <w:r w:rsidR="00C8060F" w:rsidRPr="00C8060F">
        <w:t>overnment expenditure</w:t>
      </w:r>
      <w:r w:rsidR="001751E1">
        <w:t xml:space="preserve"> and comparative changes with time (%)</w:t>
      </w:r>
      <w:r w:rsidR="00BD35C9">
        <w:t xml:space="preserve"> </w:t>
      </w:r>
      <w:r w:rsidR="00C8060F" w:rsidRPr="00C8060F">
        <w:t xml:space="preserve">for selected </w:t>
      </w:r>
      <w:r w:rsidR="001751E1">
        <w:t xml:space="preserve">portfolio areas </w:t>
      </w:r>
      <w:r w:rsidR="002418EC">
        <w:t>by</w:t>
      </w:r>
      <w:r w:rsidR="001751E1">
        <w:t xml:space="preserve"> Australian </w:t>
      </w:r>
      <w:r w:rsidR="00651AC0">
        <w:t>governments</w:t>
      </w:r>
      <w:r w:rsidR="001751E1">
        <w:t>:</w:t>
      </w:r>
      <w:r w:rsidR="00C8060F" w:rsidRPr="00C8060F">
        <w:t xml:space="preserve"> 2001–02 </w:t>
      </w:r>
      <w:r w:rsidR="001751E1">
        <w:t>to</w:t>
      </w:r>
      <w:r w:rsidR="001D4159">
        <w:t xml:space="preserve"> 2015–16</w:t>
      </w:r>
      <w:r w:rsidR="00C8060F" w:rsidRPr="00C8060F">
        <w:t xml:space="preserve"> ($ million, real terms)</w:t>
      </w:r>
    </w:p>
    <w:tbl>
      <w:tblPr>
        <w:tblStyle w:val="TableGrid7"/>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2"/>
        <w:gridCol w:w="1094"/>
        <w:gridCol w:w="1339"/>
        <w:gridCol w:w="1232"/>
        <w:gridCol w:w="1281"/>
        <w:gridCol w:w="1317"/>
        <w:gridCol w:w="1415"/>
      </w:tblGrid>
      <w:tr w:rsidR="00AD046E" w:rsidRPr="00582F88" w14:paraId="79859CF4" w14:textId="77777777" w:rsidTr="00891B32">
        <w:trPr>
          <w:cantSplit/>
          <w:tblHeader/>
        </w:trPr>
        <w:tc>
          <w:tcPr>
            <w:tcW w:w="767" w:type="pct"/>
            <w:tcBorders>
              <w:top w:val="single" w:sz="4" w:space="0" w:color="auto"/>
              <w:bottom w:val="dotted" w:sz="4" w:space="0" w:color="auto"/>
            </w:tcBorders>
          </w:tcPr>
          <w:p w14:paraId="76AE3F00" w14:textId="77777777" w:rsidR="00AD046E" w:rsidRPr="00582F88" w:rsidRDefault="00AD046E" w:rsidP="00463949">
            <w:pPr>
              <w:pStyle w:val="TableHeading"/>
              <w:rPr>
                <w:szCs w:val="18"/>
                <w:lang w:eastAsia="en-AU"/>
              </w:rPr>
            </w:pPr>
            <w:r w:rsidRPr="00582F88">
              <w:rPr>
                <w:szCs w:val="18"/>
                <w:lang w:eastAsia="en-AU"/>
              </w:rPr>
              <w:t>Jurisdiction</w:t>
            </w:r>
          </w:p>
        </w:tc>
        <w:tc>
          <w:tcPr>
            <w:tcW w:w="603" w:type="pct"/>
            <w:tcBorders>
              <w:top w:val="single" w:sz="4" w:space="0" w:color="auto"/>
              <w:bottom w:val="dotted" w:sz="4" w:space="0" w:color="auto"/>
            </w:tcBorders>
          </w:tcPr>
          <w:p w14:paraId="15B3D485" w14:textId="77777777" w:rsidR="00AD046E" w:rsidRPr="00582F88" w:rsidRDefault="00AD046E" w:rsidP="00F9205C">
            <w:pPr>
              <w:pStyle w:val="TableHeading"/>
              <w:jc w:val="center"/>
              <w:rPr>
                <w:szCs w:val="18"/>
                <w:lang w:eastAsia="en-AU"/>
              </w:rPr>
            </w:pPr>
            <w:r w:rsidRPr="00582F88">
              <w:rPr>
                <w:szCs w:val="18"/>
                <w:lang w:eastAsia="en-AU"/>
              </w:rPr>
              <w:t>Year</w:t>
            </w:r>
          </w:p>
        </w:tc>
        <w:tc>
          <w:tcPr>
            <w:tcW w:w="738" w:type="pct"/>
            <w:tcBorders>
              <w:top w:val="single" w:sz="4" w:space="0" w:color="auto"/>
              <w:bottom w:val="dotted" w:sz="4" w:space="0" w:color="auto"/>
            </w:tcBorders>
          </w:tcPr>
          <w:p w14:paraId="2EECACFD" w14:textId="77777777" w:rsidR="00AD046E" w:rsidRPr="00582F88" w:rsidRDefault="00AD046E" w:rsidP="00F9205C">
            <w:pPr>
              <w:pStyle w:val="TableHeading"/>
              <w:jc w:val="center"/>
              <w:rPr>
                <w:szCs w:val="18"/>
                <w:lang w:eastAsia="en-AU"/>
              </w:rPr>
            </w:pPr>
            <w:r w:rsidRPr="00582F88">
              <w:rPr>
                <w:szCs w:val="18"/>
                <w:lang w:eastAsia="en-AU"/>
              </w:rPr>
              <w:t>Education</w:t>
            </w:r>
          </w:p>
        </w:tc>
        <w:tc>
          <w:tcPr>
            <w:tcW w:w="679" w:type="pct"/>
            <w:tcBorders>
              <w:top w:val="single" w:sz="4" w:space="0" w:color="auto"/>
              <w:bottom w:val="dotted" w:sz="4" w:space="0" w:color="auto"/>
            </w:tcBorders>
          </w:tcPr>
          <w:p w14:paraId="48B52201" w14:textId="77777777" w:rsidR="00AD046E" w:rsidRPr="00582F88" w:rsidRDefault="00AD046E" w:rsidP="00F9205C">
            <w:pPr>
              <w:pStyle w:val="TableHeading"/>
              <w:jc w:val="center"/>
              <w:rPr>
                <w:szCs w:val="18"/>
                <w:lang w:eastAsia="en-AU"/>
              </w:rPr>
            </w:pPr>
            <w:r w:rsidRPr="00582F88">
              <w:rPr>
                <w:szCs w:val="18"/>
                <w:lang w:eastAsia="en-AU"/>
              </w:rPr>
              <w:t>Health</w:t>
            </w:r>
          </w:p>
        </w:tc>
        <w:tc>
          <w:tcPr>
            <w:tcW w:w="706" w:type="pct"/>
            <w:tcBorders>
              <w:top w:val="single" w:sz="4" w:space="0" w:color="auto"/>
              <w:bottom w:val="dotted" w:sz="4" w:space="0" w:color="auto"/>
            </w:tcBorders>
          </w:tcPr>
          <w:p w14:paraId="67E64DC3" w14:textId="1163EC1E" w:rsidR="00AD046E" w:rsidRPr="00582F88" w:rsidRDefault="00B75CEF" w:rsidP="00F9205C">
            <w:pPr>
              <w:pStyle w:val="TableHeading"/>
              <w:jc w:val="center"/>
              <w:rPr>
                <w:szCs w:val="18"/>
                <w:lang w:eastAsia="en-AU"/>
              </w:rPr>
            </w:pPr>
            <w:r>
              <w:rPr>
                <w:szCs w:val="18"/>
                <w:lang w:eastAsia="en-AU"/>
              </w:rPr>
              <w:t>Social s</w:t>
            </w:r>
            <w:r w:rsidR="00AD046E" w:rsidRPr="00582F88">
              <w:rPr>
                <w:szCs w:val="18"/>
                <w:lang w:eastAsia="en-AU"/>
              </w:rPr>
              <w:t>ecurity</w:t>
            </w:r>
          </w:p>
        </w:tc>
        <w:tc>
          <w:tcPr>
            <w:tcW w:w="726" w:type="pct"/>
            <w:tcBorders>
              <w:top w:val="single" w:sz="4" w:space="0" w:color="auto"/>
              <w:bottom w:val="dotted" w:sz="4" w:space="0" w:color="auto"/>
            </w:tcBorders>
          </w:tcPr>
          <w:p w14:paraId="09422409" w14:textId="549DDC16" w:rsidR="00AD046E" w:rsidRPr="00582F88" w:rsidRDefault="00B75CEF" w:rsidP="00B75CEF">
            <w:pPr>
              <w:pStyle w:val="TableHeading"/>
              <w:jc w:val="center"/>
              <w:rPr>
                <w:szCs w:val="18"/>
                <w:lang w:eastAsia="en-AU"/>
              </w:rPr>
            </w:pPr>
            <w:r>
              <w:rPr>
                <w:szCs w:val="18"/>
                <w:lang w:eastAsia="en-AU"/>
              </w:rPr>
              <w:t>A</w:t>
            </w:r>
            <w:r w:rsidR="00AD046E" w:rsidRPr="00582F88">
              <w:rPr>
                <w:szCs w:val="18"/>
                <w:lang w:eastAsia="en-AU"/>
              </w:rPr>
              <w:t xml:space="preserve">g., </w:t>
            </w:r>
            <w:r>
              <w:rPr>
                <w:szCs w:val="18"/>
                <w:lang w:eastAsia="en-AU"/>
              </w:rPr>
              <w:t>f</w:t>
            </w:r>
            <w:r w:rsidR="00AD046E" w:rsidRPr="00582F88">
              <w:rPr>
                <w:szCs w:val="18"/>
                <w:lang w:eastAsia="en-AU"/>
              </w:rPr>
              <w:t>ish</w:t>
            </w:r>
            <w:r>
              <w:rPr>
                <w:szCs w:val="18"/>
                <w:lang w:eastAsia="en-AU"/>
              </w:rPr>
              <w:t>eries</w:t>
            </w:r>
            <w:r w:rsidR="00AD046E" w:rsidRPr="00582F88">
              <w:rPr>
                <w:szCs w:val="18"/>
                <w:lang w:eastAsia="en-AU"/>
              </w:rPr>
              <w:t xml:space="preserve"> &amp; </w:t>
            </w:r>
            <w:r>
              <w:rPr>
                <w:szCs w:val="18"/>
                <w:lang w:eastAsia="en-AU"/>
              </w:rPr>
              <w:t>f</w:t>
            </w:r>
            <w:r w:rsidR="00AD046E" w:rsidRPr="00582F88">
              <w:rPr>
                <w:szCs w:val="18"/>
                <w:lang w:eastAsia="en-AU"/>
              </w:rPr>
              <w:t>orestry</w:t>
            </w:r>
          </w:p>
        </w:tc>
        <w:tc>
          <w:tcPr>
            <w:tcW w:w="780" w:type="pct"/>
            <w:tcBorders>
              <w:top w:val="single" w:sz="4" w:space="0" w:color="auto"/>
              <w:bottom w:val="dotted" w:sz="4" w:space="0" w:color="auto"/>
            </w:tcBorders>
          </w:tcPr>
          <w:p w14:paraId="496D19DA" w14:textId="77777777" w:rsidR="00AD046E" w:rsidRPr="00582F88" w:rsidRDefault="00AD046E" w:rsidP="00F9205C">
            <w:pPr>
              <w:pStyle w:val="TableHeading"/>
              <w:jc w:val="center"/>
              <w:rPr>
                <w:szCs w:val="18"/>
                <w:lang w:eastAsia="en-AU"/>
              </w:rPr>
            </w:pPr>
            <w:r w:rsidRPr="00582F88">
              <w:rPr>
                <w:szCs w:val="18"/>
                <w:lang w:eastAsia="en-AU"/>
              </w:rPr>
              <w:t>Population (No.)</w:t>
            </w:r>
          </w:p>
        </w:tc>
      </w:tr>
      <w:tr w:rsidR="00AD046E" w:rsidRPr="00582F88" w14:paraId="6DB15A0E" w14:textId="77777777" w:rsidTr="00891B32">
        <w:trPr>
          <w:cantSplit/>
        </w:trPr>
        <w:tc>
          <w:tcPr>
            <w:tcW w:w="767" w:type="pct"/>
            <w:tcBorders>
              <w:top w:val="dotted" w:sz="4" w:space="0" w:color="auto"/>
            </w:tcBorders>
          </w:tcPr>
          <w:p w14:paraId="15E337E7" w14:textId="77777777" w:rsidR="00AD046E" w:rsidRPr="00582F88" w:rsidRDefault="00AD046E" w:rsidP="00F9205C">
            <w:pPr>
              <w:pStyle w:val="TableText"/>
              <w:rPr>
                <w:lang w:eastAsia="en-AU"/>
              </w:rPr>
            </w:pPr>
            <w:r w:rsidRPr="00582F88">
              <w:rPr>
                <w:lang w:eastAsia="en-AU"/>
              </w:rPr>
              <w:t>Aust. Govt.</w:t>
            </w:r>
          </w:p>
        </w:tc>
        <w:tc>
          <w:tcPr>
            <w:tcW w:w="603" w:type="pct"/>
            <w:tcBorders>
              <w:top w:val="dotted" w:sz="4" w:space="0" w:color="auto"/>
            </w:tcBorders>
          </w:tcPr>
          <w:p w14:paraId="48E444C0" w14:textId="6B4F2634" w:rsidR="00AD046E" w:rsidRPr="00582F88" w:rsidRDefault="00AD046E" w:rsidP="00F9205C">
            <w:pPr>
              <w:pStyle w:val="TableText"/>
              <w:jc w:val="center"/>
              <w:rPr>
                <w:lang w:eastAsia="en-AU"/>
              </w:rPr>
            </w:pPr>
            <w:r w:rsidRPr="00582F88">
              <w:rPr>
                <w:lang w:eastAsia="en-AU"/>
              </w:rPr>
              <w:t>2001</w:t>
            </w:r>
            <w:r w:rsidR="001A59CF" w:rsidRPr="00582F88">
              <w:rPr>
                <w:lang w:eastAsia="en-AU"/>
              </w:rPr>
              <w:t>–</w:t>
            </w:r>
            <w:r w:rsidRPr="00582F88">
              <w:rPr>
                <w:lang w:eastAsia="en-AU"/>
              </w:rPr>
              <w:t>02</w:t>
            </w:r>
          </w:p>
        </w:tc>
        <w:tc>
          <w:tcPr>
            <w:tcW w:w="738" w:type="pct"/>
            <w:tcBorders>
              <w:top w:val="dotted" w:sz="4" w:space="0" w:color="auto"/>
            </w:tcBorders>
          </w:tcPr>
          <w:p w14:paraId="782E5D8D" w14:textId="77777777" w:rsidR="00AD046E" w:rsidRPr="00582F88" w:rsidRDefault="00AD046E" w:rsidP="00BF13F3">
            <w:pPr>
              <w:pStyle w:val="TableText"/>
              <w:jc w:val="right"/>
              <w:rPr>
                <w:lang w:eastAsia="en-AU"/>
              </w:rPr>
            </w:pPr>
            <w:r w:rsidRPr="00582F88">
              <w:rPr>
                <w:lang w:eastAsia="en-AU"/>
              </w:rPr>
              <w:t>12,174</w:t>
            </w:r>
          </w:p>
        </w:tc>
        <w:tc>
          <w:tcPr>
            <w:tcW w:w="679" w:type="pct"/>
            <w:tcBorders>
              <w:top w:val="dotted" w:sz="4" w:space="0" w:color="auto"/>
            </w:tcBorders>
          </w:tcPr>
          <w:p w14:paraId="25C7E854" w14:textId="77777777" w:rsidR="00AD046E" w:rsidRPr="00582F88" w:rsidRDefault="00AD046E" w:rsidP="00BF13F3">
            <w:pPr>
              <w:pStyle w:val="TableText"/>
              <w:jc w:val="right"/>
              <w:rPr>
                <w:lang w:eastAsia="en-AU"/>
              </w:rPr>
            </w:pPr>
            <w:r w:rsidRPr="00582F88">
              <w:rPr>
                <w:lang w:eastAsia="en-AU"/>
              </w:rPr>
              <w:t>27,615</w:t>
            </w:r>
          </w:p>
        </w:tc>
        <w:tc>
          <w:tcPr>
            <w:tcW w:w="706" w:type="pct"/>
            <w:tcBorders>
              <w:top w:val="dotted" w:sz="4" w:space="0" w:color="auto"/>
            </w:tcBorders>
          </w:tcPr>
          <w:p w14:paraId="0128ACF8" w14:textId="77777777" w:rsidR="00AD046E" w:rsidRPr="00582F88" w:rsidRDefault="00AD046E" w:rsidP="00BF13F3">
            <w:pPr>
              <w:pStyle w:val="TableText"/>
              <w:jc w:val="right"/>
              <w:rPr>
                <w:lang w:eastAsia="en-AU"/>
              </w:rPr>
            </w:pPr>
            <w:r w:rsidRPr="00582F88">
              <w:rPr>
                <w:lang w:eastAsia="en-AU"/>
              </w:rPr>
              <w:t>69,081</w:t>
            </w:r>
          </w:p>
        </w:tc>
        <w:tc>
          <w:tcPr>
            <w:tcW w:w="726" w:type="pct"/>
            <w:tcBorders>
              <w:top w:val="dotted" w:sz="4" w:space="0" w:color="auto"/>
            </w:tcBorders>
          </w:tcPr>
          <w:p w14:paraId="10806064" w14:textId="77777777" w:rsidR="00AD046E" w:rsidRPr="00582F88" w:rsidRDefault="00AD046E" w:rsidP="00BF13F3">
            <w:pPr>
              <w:pStyle w:val="TableText"/>
              <w:jc w:val="right"/>
              <w:rPr>
                <w:lang w:eastAsia="en-AU"/>
              </w:rPr>
            </w:pPr>
            <w:r w:rsidRPr="00582F88">
              <w:rPr>
                <w:lang w:eastAsia="en-AU"/>
              </w:rPr>
              <w:t>1,753</w:t>
            </w:r>
          </w:p>
        </w:tc>
        <w:tc>
          <w:tcPr>
            <w:tcW w:w="780" w:type="pct"/>
            <w:tcBorders>
              <w:top w:val="dotted" w:sz="4" w:space="0" w:color="auto"/>
            </w:tcBorders>
          </w:tcPr>
          <w:p w14:paraId="27FE9BF2" w14:textId="77777777" w:rsidR="00AD046E" w:rsidRPr="00582F88" w:rsidRDefault="00AD046E" w:rsidP="00BF13F3">
            <w:pPr>
              <w:pStyle w:val="TableText"/>
              <w:jc w:val="right"/>
              <w:rPr>
                <w:lang w:eastAsia="en-AU"/>
              </w:rPr>
            </w:pPr>
            <w:r w:rsidRPr="00582F88">
              <w:rPr>
                <w:lang w:eastAsia="en-AU"/>
              </w:rPr>
              <w:t>19,495,210</w:t>
            </w:r>
          </w:p>
        </w:tc>
      </w:tr>
      <w:tr w:rsidR="00AD046E" w:rsidRPr="00582F88" w14:paraId="46912B7A" w14:textId="77777777" w:rsidTr="00891B32">
        <w:trPr>
          <w:cantSplit/>
        </w:trPr>
        <w:tc>
          <w:tcPr>
            <w:tcW w:w="767" w:type="pct"/>
            <w:tcBorders>
              <w:bottom w:val="nil"/>
            </w:tcBorders>
          </w:tcPr>
          <w:p w14:paraId="47D8CA0D" w14:textId="027C2C17"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62CC39CD" w14:textId="0E32EAAA"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4FD24896" w14:textId="77777777" w:rsidR="00AD046E" w:rsidRPr="00582F88" w:rsidRDefault="00AD046E" w:rsidP="00BF13F3">
            <w:pPr>
              <w:pStyle w:val="TableText"/>
              <w:jc w:val="right"/>
              <w:rPr>
                <w:lang w:eastAsia="en-AU"/>
              </w:rPr>
            </w:pPr>
            <w:r w:rsidRPr="00582F88">
              <w:rPr>
                <w:lang w:eastAsia="en-AU"/>
              </w:rPr>
              <w:t>22,586</w:t>
            </w:r>
          </w:p>
        </w:tc>
        <w:tc>
          <w:tcPr>
            <w:tcW w:w="679" w:type="pct"/>
            <w:tcBorders>
              <w:bottom w:val="nil"/>
            </w:tcBorders>
          </w:tcPr>
          <w:p w14:paraId="51377789" w14:textId="77777777" w:rsidR="00AD046E" w:rsidRPr="00582F88" w:rsidRDefault="00AD046E" w:rsidP="00BF13F3">
            <w:pPr>
              <w:pStyle w:val="TableText"/>
              <w:jc w:val="right"/>
              <w:rPr>
                <w:lang w:eastAsia="en-AU"/>
              </w:rPr>
            </w:pPr>
            <w:r w:rsidRPr="00582F88">
              <w:rPr>
                <w:lang w:eastAsia="en-AU"/>
              </w:rPr>
              <w:t>48,444</w:t>
            </w:r>
          </w:p>
        </w:tc>
        <w:tc>
          <w:tcPr>
            <w:tcW w:w="706" w:type="pct"/>
            <w:tcBorders>
              <w:bottom w:val="nil"/>
            </w:tcBorders>
          </w:tcPr>
          <w:p w14:paraId="57F1A2D4" w14:textId="77777777" w:rsidR="00AD046E" w:rsidRPr="00582F88" w:rsidRDefault="00AD046E" w:rsidP="00BF13F3">
            <w:pPr>
              <w:pStyle w:val="TableText"/>
              <w:jc w:val="right"/>
              <w:rPr>
                <w:lang w:eastAsia="en-AU"/>
              </w:rPr>
            </w:pPr>
            <w:r w:rsidRPr="00582F88">
              <w:rPr>
                <w:lang w:eastAsia="en-AU"/>
              </w:rPr>
              <w:t>106,279</w:t>
            </w:r>
          </w:p>
        </w:tc>
        <w:tc>
          <w:tcPr>
            <w:tcW w:w="726" w:type="pct"/>
            <w:tcBorders>
              <w:bottom w:val="nil"/>
            </w:tcBorders>
          </w:tcPr>
          <w:p w14:paraId="6C00739B" w14:textId="77777777" w:rsidR="00AD046E" w:rsidRPr="00582F88" w:rsidRDefault="00AD046E" w:rsidP="00BF13F3">
            <w:pPr>
              <w:pStyle w:val="TableText"/>
              <w:jc w:val="right"/>
              <w:rPr>
                <w:lang w:eastAsia="en-AU"/>
              </w:rPr>
            </w:pPr>
            <w:r w:rsidRPr="00582F88">
              <w:rPr>
                <w:lang w:eastAsia="en-AU"/>
              </w:rPr>
              <w:t>1,568</w:t>
            </w:r>
          </w:p>
        </w:tc>
        <w:tc>
          <w:tcPr>
            <w:tcW w:w="780" w:type="pct"/>
            <w:tcBorders>
              <w:bottom w:val="nil"/>
            </w:tcBorders>
          </w:tcPr>
          <w:p w14:paraId="68600448" w14:textId="77777777" w:rsidR="00AD046E" w:rsidRPr="00582F88" w:rsidRDefault="00AD046E" w:rsidP="00BF13F3">
            <w:pPr>
              <w:pStyle w:val="TableText"/>
              <w:jc w:val="right"/>
              <w:rPr>
                <w:lang w:eastAsia="en-AU"/>
              </w:rPr>
            </w:pPr>
            <w:r w:rsidRPr="00582F88">
              <w:rPr>
                <w:lang w:eastAsia="en-AU"/>
              </w:rPr>
              <w:t>24,128,876</w:t>
            </w:r>
          </w:p>
        </w:tc>
      </w:tr>
      <w:tr w:rsidR="00AD046E" w:rsidRPr="00582F88" w14:paraId="328A673B" w14:textId="77777777" w:rsidTr="00891B32">
        <w:trPr>
          <w:cantSplit/>
        </w:trPr>
        <w:tc>
          <w:tcPr>
            <w:tcW w:w="767" w:type="pct"/>
            <w:tcBorders>
              <w:top w:val="nil"/>
              <w:bottom w:val="dotted" w:sz="4" w:space="0" w:color="auto"/>
            </w:tcBorders>
          </w:tcPr>
          <w:p w14:paraId="4A3DC1AF" w14:textId="70B41F48"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3E3C32A9"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2670604D" w14:textId="77777777" w:rsidR="00AD046E" w:rsidRPr="00582F88" w:rsidRDefault="00AD046E" w:rsidP="00BF13F3">
            <w:pPr>
              <w:pStyle w:val="TableText"/>
              <w:jc w:val="right"/>
              <w:rPr>
                <w:lang w:eastAsia="en-AU"/>
              </w:rPr>
            </w:pPr>
            <w:r w:rsidRPr="00582F88">
              <w:rPr>
                <w:lang w:eastAsia="en-AU"/>
              </w:rPr>
              <w:t>4.51%</w:t>
            </w:r>
          </w:p>
        </w:tc>
        <w:tc>
          <w:tcPr>
            <w:tcW w:w="679" w:type="pct"/>
            <w:tcBorders>
              <w:top w:val="nil"/>
              <w:bottom w:val="dotted" w:sz="4" w:space="0" w:color="auto"/>
            </w:tcBorders>
          </w:tcPr>
          <w:p w14:paraId="402B3AD2" w14:textId="77777777" w:rsidR="00AD046E" w:rsidRPr="00582F88" w:rsidRDefault="00AD046E" w:rsidP="00BF13F3">
            <w:pPr>
              <w:pStyle w:val="TableText"/>
              <w:jc w:val="right"/>
              <w:rPr>
                <w:lang w:eastAsia="en-AU"/>
              </w:rPr>
            </w:pPr>
            <w:r w:rsidRPr="00582F88">
              <w:rPr>
                <w:lang w:eastAsia="en-AU"/>
              </w:rPr>
              <w:t>4.10%</w:t>
            </w:r>
          </w:p>
        </w:tc>
        <w:tc>
          <w:tcPr>
            <w:tcW w:w="706" w:type="pct"/>
            <w:tcBorders>
              <w:top w:val="nil"/>
              <w:bottom w:val="dotted" w:sz="4" w:space="0" w:color="auto"/>
            </w:tcBorders>
          </w:tcPr>
          <w:p w14:paraId="557C63C1" w14:textId="77777777" w:rsidR="00AD046E" w:rsidRPr="00582F88" w:rsidRDefault="00AD046E" w:rsidP="00BF13F3">
            <w:pPr>
              <w:pStyle w:val="TableText"/>
              <w:jc w:val="right"/>
              <w:rPr>
                <w:lang w:eastAsia="en-AU"/>
              </w:rPr>
            </w:pPr>
            <w:r w:rsidRPr="00582F88">
              <w:rPr>
                <w:lang w:eastAsia="en-AU"/>
              </w:rPr>
              <w:t>3.12%</w:t>
            </w:r>
          </w:p>
        </w:tc>
        <w:tc>
          <w:tcPr>
            <w:tcW w:w="726" w:type="pct"/>
            <w:tcBorders>
              <w:top w:val="nil"/>
              <w:bottom w:val="dotted" w:sz="4" w:space="0" w:color="auto"/>
            </w:tcBorders>
          </w:tcPr>
          <w:p w14:paraId="200BB84F" w14:textId="77777777" w:rsidR="00AD046E" w:rsidRPr="00582F88" w:rsidRDefault="00AD046E" w:rsidP="00BF13F3">
            <w:pPr>
              <w:pStyle w:val="TableText"/>
              <w:jc w:val="right"/>
              <w:rPr>
                <w:lang w:eastAsia="en-AU"/>
              </w:rPr>
            </w:pPr>
            <w:r w:rsidRPr="00582F88">
              <w:rPr>
                <w:lang w:eastAsia="en-AU"/>
              </w:rPr>
              <w:t>-0.79%</w:t>
            </w:r>
          </w:p>
        </w:tc>
        <w:tc>
          <w:tcPr>
            <w:tcW w:w="780" w:type="pct"/>
            <w:tcBorders>
              <w:top w:val="nil"/>
              <w:bottom w:val="dotted" w:sz="4" w:space="0" w:color="auto"/>
            </w:tcBorders>
          </w:tcPr>
          <w:p w14:paraId="7CAA7654" w14:textId="77777777" w:rsidR="00AD046E" w:rsidRPr="00582F88" w:rsidRDefault="00AD046E" w:rsidP="00BF13F3">
            <w:pPr>
              <w:pStyle w:val="TableText"/>
              <w:jc w:val="right"/>
              <w:rPr>
                <w:lang w:eastAsia="en-AU"/>
              </w:rPr>
            </w:pPr>
            <w:r w:rsidRPr="00582F88">
              <w:rPr>
                <w:lang w:eastAsia="en-AU"/>
              </w:rPr>
              <w:t>1.54%</w:t>
            </w:r>
          </w:p>
        </w:tc>
      </w:tr>
      <w:tr w:rsidR="00AD046E" w:rsidRPr="00582F88" w14:paraId="057E1BF2" w14:textId="77777777" w:rsidTr="00891B32">
        <w:trPr>
          <w:cantSplit/>
        </w:trPr>
        <w:tc>
          <w:tcPr>
            <w:tcW w:w="767" w:type="pct"/>
            <w:tcBorders>
              <w:top w:val="dotted" w:sz="4" w:space="0" w:color="auto"/>
            </w:tcBorders>
          </w:tcPr>
          <w:p w14:paraId="02A71FE0" w14:textId="77777777" w:rsidR="00AD046E" w:rsidRPr="00582F88" w:rsidRDefault="00AD046E" w:rsidP="00F9205C">
            <w:pPr>
              <w:pStyle w:val="TableText"/>
              <w:rPr>
                <w:lang w:eastAsia="en-AU"/>
              </w:rPr>
            </w:pPr>
            <w:r w:rsidRPr="00582F88">
              <w:rPr>
                <w:lang w:eastAsia="en-AU"/>
              </w:rPr>
              <w:t>NSW</w:t>
            </w:r>
          </w:p>
        </w:tc>
        <w:tc>
          <w:tcPr>
            <w:tcW w:w="603" w:type="pct"/>
            <w:tcBorders>
              <w:top w:val="dotted" w:sz="4" w:space="0" w:color="auto"/>
            </w:tcBorders>
          </w:tcPr>
          <w:p w14:paraId="607E74E4" w14:textId="78B4A239"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6E574896" w14:textId="77777777" w:rsidR="00AD046E" w:rsidRPr="00582F88" w:rsidRDefault="00AD046E" w:rsidP="00BF13F3">
            <w:pPr>
              <w:pStyle w:val="TableText"/>
              <w:jc w:val="right"/>
              <w:rPr>
                <w:lang w:eastAsia="en-AU"/>
              </w:rPr>
            </w:pPr>
            <w:r w:rsidRPr="00582F88">
              <w:rPr>
                <w:lang w:eastAsia="en-AU"/>
              </w:rPr>
              <w:t>9,003</w:t>
            </w:r>
          </w:p>
        </w:tc>
        <w:tc>
          <w:tcPr>
            <w:tcW w:w="679" w:type="pct"/>
            <w:tcBorders>
              <w:top w:val="dotted" w:sz="4" w:space="0" w:color="auto"/>
            </w:tcBorders>
          </w:tcPr>
          <w:p w14:paraId="258899B4" w14:textId="77777777" w:rsidR="00AD046E" w:rsidRPr="00582F88" w:rsidRDefault="00AD046E" w:rsidP="00BF13F3">
            <w:pPr>
              <w:pStyle w:val="TableText"/>
              <w:jc w:val="right"/>
              <w:rPr>
                <w:lang w:eastAsia="en-AU"/>
              </w:rPr>
            </w:pPr>
            <w:r w:rsidRPr="00582F88">
              <w:rPr>
                <w:lang w:eastAsia="en-AU"/>
              </w:rPr>
              <w:t>8,341</w:t>
            </w:r>
          </w:p>
        </w:tc>
        <w:tc>
          <w:tcPr>
            <w:tcW w:w="706" w:type="pct"/>
            <w:tcBorders>
              <w:top w:val="dotted" w:sz="4" w:space="0" w:color="auto"/>
            </w:tcBorders>
          </w:tcPr>
          <w:p w14:paraId="047D67EF" w14:textId="77777777" w:rsidR="00AD046E" w:rsidRPr="00582F88" w:rsidRDefault="00AD046E" w:rsidP="00BF13F3">
            <w:pPr>
              <w:pStyle w:val="TableText"/>
              <w:jc w:val="right"/>
              <w:rPr>
                <w:lang w:eastAsia="en-AU"/>
              </w:rPr>
            </w:pPr>
            <w:r w:rsidRPr="00582F88">
              <w:rPr>
                <w:lang w:eastAsia="en-AU"/>
              </w:rPr>
              <w:t>2,406</w:t>
            </w:r>
          </w:p>
        </w:tc>
        <w:tc>
          <w:tcPr>
            <w:tcW w:w="726" w:type="pct"/>
            <w:tcBorders>
              <w:top w:val="dotted" w:sz="4" w:space="0" w:color="auto"/>
            </w:tcBorders>
          </w:tcPr>
          <w:p w14:paraId="5A08F19F" w14:textId="77777777" w:rsidR="00AD046E" w:rsidRPr="00582F88" w:rsidRDefault="00AD046E" w:rsidP="00BF13F3">
            <w:pPr>
              <w:pStyle w:val="TableText"/>
              <w:jc w:val="right"/>
              <w:rPr>
                <w:lang w:eastAsia="en-AU"/>
              </w:rPr>
            </w:pPr>
            <w:r w:rsidRPr="00582F88">
              <w:rPr>
                <w:lang w:eastAsia="en-AU"/>
              </w:rPr>
              <w:t>562</w:t>
            </w:r>
          </w:p>
        </w:tc>
        <w:tc>
          <w:tcPr>
            <w:tcW w:w="780" w:type="pct"/>
            <w:tcBorders>
              <w:top w:val="dotted" w:sz="4" w:space="0" w:color="auto"/>
            </w:tcBorders>
          </w:tcPr>
          <w:p w14:paraId="242A4AA3" w14:textId="77777777" w:rsidR="00AD046E" w:rsidRPr="00582F88" w:rsidRDefault="00AD046E" w:rsidP="00BF13F3">
            <w:pPr>
              <w:pStyle w:val="TableText"/>
              <w:jc w:val="right"/>
              <w:rPr>
                <w:lang w:eastAsia="en-AU"/>
              </w:rPr>
            </w:pPr>
            <w:r w:rsidRPr="00582F88">
              <w:rPr>
                <w:lang w:eastAsia="en-AU"/>
              </w:rPr>
              <w:t>6,580,807</w:t>
            </w:r>
          </w:p>
        </w:tc>
      </w:tr>
      <w:tr w:rsidR="00AD046E" w:rsidRPr="00582F88" w14:paraId="25634F9C" w14:textId="77777777" w:rsidTr="00891B32">
        <w:trPr>
          <w:cantSplit/>
        </w:trPr>
        <w:tc>
          <w:tcPr>
            <w:tcW w:w="767" w:type="pct"/>
            <w:tcBorders>
              <w:bottom w:val="nil"/>
            </w:tcBorders>
          </w:tcPr>
          <w:p w14:paraId="5202C664" w14:textId="4920FE73"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4F81BC00" w14:textId="0E8C4642"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3F162564" w14:textId="77777777" w:rsidR="00AD046E" w:rsidRPr="00582F88" w:rsidRDefault="00AD046E" w:rsidP="00BF13F3">
            <w:pPr>
              <w:pStyle w:val="TableText"/>
              <w:jc w:val="right"/>
              <w:rPr>
                <w:lang w:eastAsia="en-AU"/>
              </w:rPr>
            </w:pPr>
            <w:r w:rsidRPr="00582F88">
              <w:rPr>
                <w:lang w:eastAsia="en-AU"/>
              </w:rPr>
              <w:t>12,603</w:t>
            </w:r>
          </w:p>
        </w:tc>
        <w:tc>
          <w:tcPr>
            <w:tcW w:w="679" w:type="pct"/>
            <w:tcBorders>
              <w:bottom w:val="nil"/>
            </w:tcBorders>
          </w:tcPr>
          <w:p w14:paraId="4FA53B8D" w14:textId="77777777" w:rsidR="00AD046E" w:rsidRPr="00582F88" w:rsidRDefault="00AD046E" w:rsidP="00BF13F3">
            <w:pPr>
              <w:pStyle w:val="TableText"/>
              <w:jc w:val="right"/>
              <w:rPr>
                <w:lang w:eastAsia="en-AU"/>
              </w:rPr>
            </w:pPr>
            <w:r w:rsidRPr="00582F88">
              <w:rPr>
                <w:lang w:eastAsia="en-AU"/>
              </w:rPr>
              <w:t>13,611</w:t>
            </w:r>
          </w:p>
        </w:tc>
        <w:tc>
          <w:tcPr>
            <w:tcW w:w="706" w:type="pct"/>
            <w:tcBorders>
              <w:bottom w:val="nil"/>
            </w:tcBorders>
          </w:tcPr>
          <w:p w14:paraId="10EA8257" w14:textId="77777777" w:rsidR="00AD046E" w:rsidRPr="00582F88" w:rsidRDefault="00AD046E" w:rsidP="00BF13F3">
            <w:pPr>
              <w:pStyle w:val="TableText"/>
              <w:jc w:val="right"/>
              <w:rPr>
                <w:lang w:eastAsia="en-AU"/>
              </w:rPr>
            </w:pPr>
            <w:r w:rsidRPr="00582F88">
              <w:rPr>
                <w:lang w:eastAsia="en-AU"/>
              </w:rPr>
              <w:t>4,451</w:t>
            </w:r>
          </w:p>
        </w:tc>
        <w:tc>
          <w:tcPr>
            <w:tcW w:w="726" w:type="pct"/>
            <w:tcBorders>
              <w:bottom w:val="nil"/>
            </w:tcBorders>
          </w:tcPr>
          <w:p w14:paraId="0F970F96" w14:textId="77777777" w:rsidR="00AD046E" w:rsidRPr="00582F88" w:rsidRDefault="00AD046E" w:rsidP="00BF13F3">
            <w:pPr>
              <w:pStyle w:val="TableText"/>
              <w:jc w:val="right"/>
              <w:rPr>
                <w:lang w:eastAsia="en-AU"/>
              </w:rPr>
            </w:pPr>
            <w:r w:rsidRPr="00582F88">
              <w:rPr>
                <w:lang w:eastAsia="en-AU"/>
              </w:rPr>
              <w:t>525</w:t>
            </w:r>
          </w:p>
        </w:tc>
        <w:tc>
          <w:tcPr>
            <w:tcW w:w="780" w:type="pct"/>
            <w:tcBorders>
              <w:bottom w:val="nil"/>
            </w:tcBorders>
          </w:tcPr>
          <w:p w14:paraId="313DA803" w14:textId="77777777" w:rsidR="00AD046E" w:rsidRPr="00582F88" w:rsidRDefault="00AD046E" w:rsidP="00BF13F3">
            <w:pPr>
              <w:pStyle w:val="TableText"/>
              <w:jc w:val="right"/>
              <w:rPr>
                <w:lang w:eastAsia="en-AU"/>
              </w:rPr>
            </w:pPr>
            <w:r w:rsidRPr="00582F88">
              <w:rPr>
                <w:lang w:eastAsia="en-AU"/>
              </w:rPr>
              <w:t>7,726,924</w:t>
            </w:r>
          </w:p>
        </w:tc>
      </w:tr>
      <w:tr w:rsidR="00AD046E" w:rsidRPr="00582F88" w14:paraId="6F939FA3" w14:textId="77777777" w:rsidTr="00891B32">
        <w:trPr>
          <w:cantSplit/>
        </w:trPr>
        <w:tc>
          <w:tcPr>
            <w:tcW w:w="767" w:type="pct"/>
            <w:tcBorders>
              <w:top w:val="nil"/>
              <w:bottom w:val="dotted" w:sz="4" w:space="0" w:color="auto"/>
            </w:tcBorders>
          </w:tcPr>
          <w:p w14:paraId="6DF1E950" w14:textId="11CE64E9"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74909380"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69779600" w14:textId="77777777" w:rsidR="00AD046E" w:rsidRPr="00582F88" w:rsidRDefault="00AD046E" w:rsidP="00BF13F3">
            <w:pPr>
              <w:pStyle w:val="TableText"/>
              <w:jc w:val="right"/>
              <w:rPr>
                <w:lang w:eastAsia="en-AU"/>
              </w:rPr>
            </w:pPr>
            <w:r w:rsidRPr="00582F88">
              <w:rPr>
                <w:lang w:eastAsia="en-AU"/>
              </w:rPr>
              <w:t>2.43%</w:t>
            </w:r>
          </w:p>
        </w:tc>
        <w:tc>
          <w:tcPr>
            <w:tcW w:w="679" w:type="pct"/>
            <w:tcBorders>
              <w:top w:val="nil"/>
              <w:bottom w:val="dotted" w:sz="4" w:space="0" w:color="auto"/>
            </w:tcBorders>
          </w:tcPr>
          <w:p w14:paraId="2BC26B9F" w14:textId="77777777" w:rsidR="00AD046E" w:rsidRPr="00582F88" w:rsidRDefault="00AD046E" w:rsidP="00BF13F3">
            <w:pPr>
              <w:pStyle w:val="TableText"/>
              <w:jc w:val="right"/>
              <w:rPr>
                <w:lang w:eastAsia="en-AU"/>
              </w:rPr>
            </w:pPr>
            <w:r w:rsidRPr="00582F88">
              <w:rPr>
                <w:lang w:eastAsia="en-AU"/>
              </w:rPr>
              <w:t>3.56%</w:t>
            </w:r>
          </w:p>
        </w:tc>
        <w:tc>
          <w:tcPr>
            <w:tcW w:w="706" w:type="pct"/>
            <w:tcBorders>
              <w:top w:val="nil"/>
              <w:bottom w:val="dotted" w:sz="4" w:space="0" w:color="auto"/>
            </w:tcBorders>
          </w:tcPr>
          <w:p w14:paraId="5CA782A2" w14:textId="77777777" w:rsidR="00AD046E" w:rsidRPr="00582F88" w:rsidRDefault="00AD046E" w:rsidP="00BF13F3">
            <w:pPr>
              <w:pStyle w:val="TableText"/>
              <w:jc w:val="right"/>
              <w:rPr>
                <w:lang w:eastAsia="en-AU"/>
              </w:rPr>
            </w:pPr>
            <w:r w:rsidRPr="00582F88">
              <w:rPr>
                <w:lang w:eastAsia="en-AU"/>
              </w:rPr>
              <w:t>4.49%</w:t>
            </w:r>
          </w:p>
        </w:tc>
        <w:tc>
          <w:tcPr>
            <w:tcW w:w="726" w:type="pct"/>
            <w:tcBorders>
              <w:top w:val="nil"/>
              <w:bottom w:val="dotted" w:sz="4" w:space="0" w:color="auto"/>
            </w:tcBorders>
          </w:tcPr>
          <w:p w14:paraId="214B72D2" w14:textId="77777777" w:rsidR="00AD046E" w:rsidRPr="00582F88" w:rsidRDefault="00AD046E" w:rsidP="00BF13F3">
            <w:pPr>
              <w:pStyle w:val="TableText"/>
              <w:jc w:val="right"/>
              <w:rPr>
                <w:lang w:eastAsia="en-AU"/>
              </w:rPr>
            </w:pPr>
            <w:r w:rsidRPr="00582F88">
              <w:rPr>
                <w:lang w:eastAsia="en-AU"/>
              </w:rPr>
              <w:t>-0.49%</w:t>
            </w:r>
          </w:p>
        </w:tc>
        <w:tc>
          <w:tcPr>
            <w:tcW w:w="780" w:type="pct"/>
            <w:tcBorders>
              <w:top w:val="nil"/>
              <w:bottom w:val="dotted" w:sz="4" w:space="0" w:color="auto"/>
            </w:tcBorders>
          </w:tcPr>
          <w:p w14:paraId="6680A054" w14:textId="77777777" w:rsidR="00AD046E" w:rsidRPr="00582F88" w:rsidRDefault="00AD046E" w:rsidP="00BF13F3">
            <w:pPr>
              <w:pStyle w:val="TableText"/>
              <w:jc w:val="right"/>
              <w:rPr>
                <w:lang w:eastAsia="en-AU"/>
              </w:rPr>
            </w:pPr>
            <w:r w:rsidRPr="00582F88">
              <w:rPr>
                <w:lang w:eastAsia="en-AU"/>
              </w:rPr>
              <w:t>1.15%</w:t>
            </w:r>
          </w:p>
        </w:tc>
      </w:tr>
      <w:tr w:rsidR="00AD046E" w:rsidRPr="00582F88" w14:paraId="307BD498" w14:textId="77777777" w:rsidTr="00891B32">
        <w:trPr>
          <w:cantSplit/>
        </w:trPr>
        <w:tc>
          <w:tcPr>
            <w:tcW w:w="767" w:type="pct"/>
            <w:tcBorders>
              <w:top w:val="dotted" w:sz="4" w:space="0" w:color="auto"/>
            </w:tcBorders>
          </w:tcPr>
          <w:p w14:paraId="0D602A5A" w14:textId="05EB4E9B" w:rsidR="00AD046E" w:rsidRPr="00582F88" w:rsidRDefault="00AD046E" w:rsidP="00F9205C">
            <w:pPr>
              <w:pStyle w:val="TableText"/>
              <w:rPr>
                <w:lang w:eastAsia="en-AU"/>
              </w:rPr>
            </w:pPr>
            <w:r w:rsidRPr="00582F88">
              <w:rPr>
                <w:lang w:eastAsia="en-AU"/>
              </w:rPr>
              <w:t>V</w:t>
            </w:r>
            <w:r w:rsidR="00F83170" w:rsidRPr="00582F88">
              <w:rPr>
                <w:lang w:eastAsia="en-AU"/>
              </w:rPr>
              <w:t>ic.</w:t>
            </w:r>
          </w:p>
        </w:tc>
        <w:tc>
          <w:tcPr>
            <w:tcW w:w="603" w:type="pct"/>
            <w:tcBorders>
              <w:top w:val="dotted" w:sz="4" w:space="0" w:color="auto"/>
            </w:tcBorders>
          </w:tcPr>
          <w:p w14:paraId="3D45752B" w14:textId="1070951F"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2CACCE7C" w14:textId="77777777" w:rsidR="00AD046E" w:rsidRPr="00582F88" w:rsidRDefault="00AD046E" w:rsidP="00BF13F3">
            <w:pPr>
              <w:pStyle w:val="TableText"/>
              <w:jc w:val="right"/>
              <w:rPr>
                <w:lang w:eastAsia="en-AU"/>
              </w:rPr>
            </w:pPr>
            <w:r w:rsidRPr="00582F88">
              <w:rPr>
                <w:lang w:eastAsia="en-AU"/>
              </w:rPr>
              <w:t>6,679</w:t>
            </w:r>
          </w:p>
        </w:tc>
        <w:tc>
          <w:tcPr>
            <w:tcW w:w="679" w:type="pct"/>
            <w:tcBorders>
              <w:top w:val="dotted" w:sz="4" w:space="0" w:color="auto"/>
            </w:tcBorders>
          </w:tcPr>
          <w:p w14:paraId="7C7A390B" w14:textId="77777777" w:rsidR="00AD046E" w:rsidRPr="00582F88" w:rsidRDefault="00AD046E" w:rsidP="00BF13F3">
            <w:pPr>
              <w:pStyle w:val="TableText"/>
              <w:jc w:val="right"/>
              <w:rPr>
                <w:lang w:eastAsia="en-AU"/>
              </w:rPr>
            </w:pPr>
            <w:r w:rsidRPr="00582F88">
              <w:rPr>
                <w:lang w:eastAsia="en-AU"/>
              </w:rPr>
              <w:t>6,102</w:t>
            </w:r>
          </w:p>
        </w:tc>
        <w:tc>
          <w:tcPr>
            <w:tcW w:w="706" w:type="pct"/>
            <w:tcBorders>
              <w:top w:val="dotted" w:sz="4" w:space="0" w:color="auto"/>
            </w:tcBorders>
          </w:tcPr>
          <w:p w14:paraId="77EB5E91" w14:textId="77777777" w:rsidR="00AD046E" w:rsidRPr="00582F88" w:rsidRDefault="00AD046E" w:rsidP="00BF13F3">
            <w:pPr>
              <w:pStyle w:val="TableText"/>
              <w:jc w:val="right"/>
              <w:rPr>
                <w:lang w:eastAsia="en-AU"/>
              </w:rPr>
            </w:pPr>
            <w:r w:rsidRPr="00582F88">
              <w:rPr>
                <w:lang w:eastAsia="en-AU"/>
              </w:rPr>
              <w:t>2,080</w:t>
            </w:r>
          </w:p>
        </w:tc>
        <w:tc>
          <w:tcPr>
            <w:tcW w:w="726" w:type="pct"/>
            <w:tcBorders>
              <w:top w:val="dotted" w:sz="4" w:space="0" w:color="auto"/>
            </w:tcBorders>
          </w:tcPr>
          <w:p w14:paraId="1B97DF62" w14:textId="77777777" w:rsidR="00AD046E" w:rsidRPr="00582F88" w:rsidRDefault="00AD046E" w:rsidP="00BF13F3">
            <w:pPr>
              <w:pStyle w:val="TableText"/>
              <w:jc w:val="right"/>
              <w:rPr>
                <w:lang w:eastAsia="en-AU"/>
              </w:rPr>
            </w:pPr>
            <w:r w:rsidRPr="00582F88">
              <w:rPr>
                <w:lang w:eastAsia="en-AU"/>
              </w:rPr>
              <w:t>433</w:t>
            </w:r>
          </w:p>
        </w:tc>
        <w:tc>
          <w:tcPr>
            <w:tcW w:w="780" w:type="pct"/>
            <w:tcBorders>
              <w:top w:val="dotted" w:sz="4" w:space="0" w:color="auto"/>
            </w:tcBorders>
            <w:shd w:val="clear" w:color="auto" w:fill="auto"/>
          </w:tcPr>
          <w:p w14:paraId="2C616C13" w14:textId="77777777" w:rsidR="00AD046E" w:rsidRPr="00582F88" w:rsidRDefault="00AD046E" w:rsidP="00BF13F3">
            <w:pPr>
              <w:pStyle w:val="TableText"/>
              <w:jc w:val="right"/>
              <w:rPr>
                <w:lang w:eastAsia="en-AU"/>
              </w:rPr>
            </w:pPr>
            <w:r w:rsidRPr="00582F88">
              <w:rPr>
                <w:lang w:eastAsia="en-AU"/>
              </w:rPr>
              <w:t>4,817,774</w:t>
            </w:r>
          </w:p>
        </w:tc>
      </w:tr>
      <w:tr w:rsidR="00AD046E" w:rsidRPr="00582F88" w14:paraId="48D4F279" w14:textId="77777777" w:rsidTr="00891B32">
        <w:trPr>
          <w:cantSplit/>
        </w:trPr>
        <w:tc>
          <w:tcPr>
            <w:tcW w:w="767" w:type="pct"/>
            <w:tcBorders>
              <w:bottom w:val="nil"/>
            </w:tcBorders>
          </w:tcPr>
          <w:p w14:paraId="19978DD5" w14:textId="3601FE09"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6628EA36" w14:textId="79E9D1A1"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4AADFE8C" w14:textId="77777777" w:rsidR="00AD046E" w:rsidRPr="00582F88" w:rsidRDefault="00AD046E" w:rsidP="00BF13F3">
            <w:pPr>
              <w:pStyle w:val="TableText"/>
              <w:jc w:val="right"/>
              <w:rPr>
                <w:lang w:eastAsia="en-AU"/>
              </w:rPr>
            </w:pPr>
            <w:r w:rsidRPr="00582F88">
              <w:rPr>
                <w:lang w:eastAsia="en-AU"/>
              </w:rPr>
              <w:t>9,432</w:t>
            </w:r>
          </w:p>
        </w:tc>
        <w:tc>
          <w:tcPr>
            <w:tcW w:w="679" w:type="pct"/>
            <w:tcBorders>
              <w:bottom w:val="nil"/>
            </w:tcBorders>
          </w:tcPr>
          <w:p w14:paraId="100B0E0A" w14:textId="77777777" w:rsidR="00AD046E" w:rsidRPr="00582F88" w:rsidRDefault="00AD046E" w:rsidP="00BF13F3">
            <w:pPr>
              <w:pStyle w:val="TableText"/>
              <w:jc w:val="right"/>
              <w:rPr>
                <w:lang w:eastAsia="en-AU"/>
              </w:rPr>
            </w:pPr>
            <w:r w:rsidRPr="00582F88">
              <w:rPr>
                <w:lang w:eastAsia="en-AU"/>
              </w:rPr>
              <w:t>10,600</w:t>
            </w:r>
          </w:p>
        </w:tc>
        <w:tc>
          <w:tcPr>
            <w:tcW w:w="706" w:type="pct"/>
            <w:tcBorders>
              <w:bottom w:val="nil"/>
            </w:tcBorders>
          </w:tcPr>
          <w:p w14:paraId="13264C8F" w14:textId="77777777" w:rsidR="00AD046E" w:rsidRPr="00582F88" w:rsidRDefault="00AD046E" w:rsidP="00BF13F3">
            <w:pPr>
              <w:pStyle w:val="TableText"/>
              <w:jc w:val="right"/>
              <w:rPr>
                <w:lang w:eastAsia="en-AU"/>
              </w:rPr>
            </w:pPr>
            <w:r w:rsidRPr="00582F88">
              <w:rPr>
                <w:lang w:eastAsia="en-AU"/>
              </w:rPr>
              <w:t>3,150</w:t>
            </w:r>
          </w:p>
        </w:tc>
        <w:tc>
          <w:tcPr>
            <w:tcW w:w="726" w:type="pct"/>
            <w:tcBorders>
              <w:bottom w:val="nil"/>
            </w:tcBorders>
          </w:tcPr>
          <w:p w14:paraId="3F53C2E5" w14:textId="77777777" w:rsidR="00AD046E" w:rsidRPr="00582F88" w:rsidRDefault="00AD046E" w:rsidP="00BF13F3">
            <w:pPr>
              <w:pStyle w:val="TableText"/>
              <w:jc w:val="right"/>
              <w:rPr>
                <w:lang w:eastAsia="en-AU"/>
              </w:rPr>
            </w:pPr>
            <w:r w:rsidRPr="00582F88">
              <w:rPr>
                <w:lang w:eastAsia="en-AU"/>
              </w:rPr>
              <w:t>264</w:t>
            </w:r>
          </w:p>
        </w:tc>
        <w:tc>
          <w:tcPr>
            <w:tcW w:w="780" w:type="pct"/>
            <w:tcBorders>
              <w:bottom w:val="nil"/>
            </w:tcBorders>
            <w:shd w:val="clear" w:color="auto" w:fill="auto"/>
          </w:tcPr>
          <w:p w14:paraId="0B68A6D5" w14:textId="77777777" w:rsidR="00AD046E" w:rsidRPr="00582F88" w:rsidRDefault="00AD046E" w:rsidP="00BF13F3">
            <w:pPr>
              <w:pStyle w:val="TableText"/>
              <w:jc w:val="right"/>
              <w:rPr>
                <w:lang w:eastAsia="en-AU"/>
              </w:rPr>
            </w:pPr>
            <w:r w:rsidRPr="00582F88">
              <w:rPr>
                <w:lang w:eastAsia="en-AU"/>
              </w:rPr>
              <w:t>6,069,636</w:t>
            </w:r>
          </w:p>
        </w:tc>
      </w:tr>
      <w:tr w:rsidR="00AD046E" w:rsidRPr="00582F88" w14:paraId="6426D4FD" w14:textId="77777777" w:rsidTr="00891B32">
        <w:trPr>
          <w:cantSplit/>
        </w:trPr>
        <w:tc>
          <w:tcPr>
            <w:tcW w:w="767" w:type="pct"/>
            <w:tcBorders>
              <w:top w:val="nil"/>
              <w:bottom w:val="dotted" w:sz="4" w:space="0" w:color="auto"/>
            </w:tcBorders>
          </w:tcPr>
          <w:p w14:paraId="2C66F588" w14:textId="057B6C60"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04E639A0"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0F3D7317" w14:textId="77777777" w:rsidR="00AD046E" w:rsidRPr="00582F88" w:rsidRDefault="00AD046E" w:rsidP="00BF13F3">
            <w:pPr>
              <w:pStyle w:val="TableText"/>
              <w:jc w:val="right"/>
              <w:rPr>
                <w:lang w:eastAsia="en-AU"/>
              </w:rPr>
            </w:pPr>
            <w:r w:rsidRPr="00582F88">
              <w:rPr>
                <w:lang w:eastAsia="en-AU"/>
              </w:rPr>
              <w:t>2.50%</w:t>
            </w:r>
          </w:p>
        </w:tc>
        <w:tc>
          <w:tcPr>
            <w:tcW w:w="679" w:type="pct"/>
            <w:tcBorders>
              <w:top w:val="nil"/>
              <w:bottom w:val="dotted" w:sz="4" w:space="0" w:color="auto"/>
            </w:tcBorders>
          </w:tcPr>
          <w:p w14:paraId="4374E32A" w14:textId="77777777" w:rsidR="00AD046E" w:rsidRPr="00582F88" w:rsidRDefault="00AD046E" w:rsidP="00BF13F3">
            <w:pPr>
              <w:pStyle w:val="TableText"/>
              <w:jc w:val="right"/>
              <w:rPr>
                <w:lang w:eastAsia="en-AU"/>
              </w:rPr>
            </w:pPr>
            <w:r w:rsidRPr="00582F88">
              <w:rPr>
                <w:lang w:eastAsia="en-AU"/>
              </w:rPr>
              <w:t>4.02%</w:t>
            </w:r>
          </w:p>
        </w:tc>
        <w:tc>
          <w:tcPr>
            <w:tcW w:w="706" w:type="pct"/>
            <w:tcBorders>
              <w:top w:val="nil"/>
              <w:bottom w:val="dotted" w:sz="4" w:space="0" w:color="auto"/>
            </w:tcBorders>
          </w:tcPr>
          <w:p w14:paraId="763BA9BB" w14:textId="77777777" w:rsidR="00AD046E" w:rsidRPr="00582F88" w:rsidRDefault="00AD046E" w:rsidP="00BF13F3">
            <w:pPr>
              <w:pStyle w:val="TableText"/>
              <w:jc w:val="right"/>
              <w:rPr>
                <w:lang w:eastAsia="en-AU"/>
              </w:rPr>
            </w:pPr>
            <w:r w:rsidRPr="00582F88">
              <w:rPr>
                <w:lang w:eastAsia="en-AU"/>
              </w:rPr>
              <w:t>3.01%</w:t>
            </w:r>
          </w:p>
        </w:tc>
        <w:tc>
          <w:tcPr>
            <w:tcW w:w="726" w:type="pct"/>
            <w:tcBorders>
              <w:top w:val="nil"/>
              <w:bottom w:val="dotted" w:sz="4" w:space="0" w:color="auto"/>
            </w:tcBorders>
          </w:tcPr>
          <w:p w14:paraId="69EB6537" w14:textId="77777777" w:rsidR="00AD046E" w:rsidRPr="00582F88" w:rsidRDefault="00AD046E" w:rsidP="00BF13F3">
            <w:pPr>
              <w:pStyle w:val="TableText"/>
              <w:jc w:val="right"/>
              <w:rPr>
                <w:lang w:eastAsia="en-AU"/>
              </w:rPr>
            </w:pPr>
            <w:r w:rsidRPr="00582F88">
              <w:rPr>
                <w:lang w:eastAsia="en-AU"/>
              </w:rPr>
              <w:t>-3.49%</w:t>
            </w:r>
          </w:p>
        </w:tc>
        <w:tc>
          <w:tcPr>
            <w:tcW w:w="780" w:type="pct"/>
            <w:tcBorders>
              <w:top w:val="nil"/>
              <w:bottom w:val="dotted" w:sz="4" w:space="0" w:color="auto"/>
            </w:tcBorders>
            <w:shd w:val="clear" w:color="auto" w:fill="auto"/>
          </w:tcPr>
          <w:p w14:paraId="0696D99B" w14:textId="77777777" w:rsidR="00AD046E" w:rsidRPr="00582F88" w:rsidRDefault="00AD046E" w:rsidP="00BF13F3">
            <w:pPr>
              <w:pStyle w:val="TableText"/>
              <w:jc w:val="right"/>
              <w:rPr>
                <w:lang w:eastAsia="en-AU"/>
              </w:rPr>
            </w:pPr>
            <w:r w:rsidRPr="00582F88">
              <w:rPr>
                <w:lang w:eastAsia="en-AU"/>
              </w:rPr>
              <w:t>1.66%</w:t>
            </w:r>
          </w:p>
        </w:tc>
      </w:tr>
      <w:tr w:rsidR="00AD046E" w:rsidRPr="00582F88" w14:paraId="4DD3FDB5" w14:textId="77777777" w:rsidTr="00891B32">
        <w:trPr>
          <w:cantSplit/>
        </w:trPr>
        <w:tc>
          <w:tcPr>
            <w:tcW w:w="767" w:type="pct"/>
            <w:tcBorders>
              <w:top w:val="dotted" w:sz="4" w:space="0" w:color="auto"/>
            </w:tcBorders>
          </w:tcPr>
          <w:p w14:paraId="40C5EB44" w14:textId="7BF38C09" w:rsidR="00AD046E" w:rsidRPr="00582F88" w:rsidRDefault="00AD046E" w:rsidP="00F9205C">
            <w:pPr>
              <w:pStyle w:val="TableText"/>
              <w:rPr>
                <w:lang w:eastAsia="en-AU"/>
              </w:rPr>
            </w:pPr>
            <w:r w:rsidRPr="00582F88">
              <w:rPr>
                <w:lang w:eastAsia="en-AU"/>
              </w:rPr>
              <w:t>Q</w:t>
            </w:r>
            <w:r w:rsidR="00F83170" w:rsidRPr="00582F88">
              <w:rPr>
                <w:lang w:eastAsia="en-AU"/>
              </w:rPr>
              <w:t>ld</w:t>
            </w:r>
          </w:p>
        </w:tc>
        <w:tc>
          <w:tcPr>
            <w:tcW w:w="603" w:type="pct"/>
            <w:tcBorders>
              <w:top w:val="dotted" w:sz="4" w:space="0" w:color="auto"/>
            </w:tcBorders>
          </w:tcPr>
          <w:p w14:paraId="03DF6520" w14:textId="41D00AD7"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2C3732CD" w14:textId="77777777" w:rsidR="00AD046E" w:rsidRPr="00582F88" w:rsidRDefault="00AD046E" w:rsidP="00BF13F3">
            <w:pPr>
              <w:pStyle w:val="TableText"/>
              <w:jc w:val="right"/>
              <w:rPr>
                <w:lang w:eastAsia="en-AU"/>
              </w:rPr>
            </w:pPr>
            <w:r w:rsidRPr="00582F88">
              <w:rPr>
                <w:lang w:eastAsia="en-AU"/>
              </w:rPr>
              <w:t>4,945</w:t>
            </w:r>
          </w:p>
        </w:tc>
        <w:tc>
          <w:tcPr>
            <w:tcW w:w="679" w:type="pct"/>
            <w:tcBorders>
              <w:top w:val="dotted" w:sz="4" w:space="0" w:color="auto"/>
            </w:tcBorders>
          </w:tcPr>
          <w:p w14:paraId="5CA4A276" w14:textId="77777777" w:rsidR="00AD046E" w:rsidRPr="00582F88" w:rsidRDefault="00AD046E" w:rsidP="00BF13F3">
            <w:pPr>
              <w:pStyle w:val="TableText"/>
              <w:jc w:val="right"/>
              <w:rPr>
                <w:lang w:eastAsia="en-AU"/>
              </w:rPr>
            </w:pPr>
            <w:r w:rsidRPr="00582F88">
              <w:rPr>
                <w:lang w:eastAsia="en-AU"/>
              </w:rPr>
              <w:t>3,793</w:t>
            </w:r>
          </w:p>
        </w:tc>
        <w:tc>
          <w:tcPr>
            <w:tcW w:w="706" w:type="pct"/>
            <w:tcBorders>
              <w:top w:val="dotted" w:sz="4" w:space="0" w:color="auto"/>
            </w:tcBorders>
          </w:tcPr>
          <w:p w14:paraId="32F9675A" w14:textId="77777777" w:rsidR="00AD046E" w:rsidRPr="00582F88" w:rsidRDefault="00AD046E" w:rsidP="00BF13F3">
            <w:pPr>
              <w:pStyle w:val="TableText"/>
              <w:jc w:val="right"/>
              <w:rPr>
                <w:lang w:eastAsia="en-AU"/>
              </w:rPr>
            </w:pPr>
            <w:r w:rsidRPr="00582F88">
              <w:rPr>
                <w:lang w:eastAsia="en-AU"/>
              </w:rPr>
              <w:t>728</w:t>
            </w:r>
          </w:p>
        </w:tc>
        <w:tc>
          <w:tcPr>
            <w:tcW w:w="726" w:type="pct"/>
            <w:tcBorders>
              <w:top w:val="dotted" w:sz="4" w:space="0" w:color="auto"/>
            </w:tcBorders>
          </w:tcPr>
          <w:p w14:paraId="24FEC369" w14:textId="77777777" w:rsidR="00AD046E" w:rsidRPr="00582F88" w:rsidRDefault="00AD046E" w:rsidP="00BF13F3">
            <w:pPr>
              <w:pStyle w:val="TableText"/>
              <w:jc w:val="right"/>
              <w:rPr>
                <w:lang w:eastAsia="en-AU"/>
              </w:rPr>
            </w:pPr>
            <w:r w:rsidRPr="00582F88">
              <w:rPr>
                <w:lang w:eastAsia="en-AU"/>
              </w:rPr>
              <w:t>614</w:t>
            </w:r>
          </w:p>
        </w:tc>
        <w:tc>
          <w:tcPr>
            <w:tcW w:w="780" w:type="pct"/>
            <w:tcBorders>
              <w:top w:val="dotted" w:sz="4" w:space="0" w:color="auto"/>
            </w:tcBorders>
          </w:tcPr>
          <w:p w14:paraId="5C9B5335" w14:textId="77777777" w:rsidR="00AD046E" w:rsidRPr="00582F88" w:rsidRDefault="00AD046E" w:rsidP="00BF13F3">
            <w:pPr>
              <w:pStyle w:val="TableText"/>
              <w:jc w:val="right"/>
              <w:rPr>
                <w:lang w:eastAsia="en-AU"/>
              </w:rPr>
            </w:pPr>
            <w:r w:rsidRPr="00582F88">
              <w:rPr>
                <w:lang w:eastAsia="en-AU"/>
              </w:rPr>
              <w:t>3,653,123</w:t>
            </w:r>
          </w:p>
        </w:tc>
      </w:tr>
      <w:tr w:rsidR="00AD046E" w:rsidRPr="00582F88" w14:paraId="0AA38478" w14:textId="77777777" w:rsidTr="00891B32">
        <w:trPr>
          <w:cantSplit/>
        </w:trPr>
        <w:tc>
          <w:tcPr>
            <w:tcW w:w="767" w:type="pct"/>
            <w:tcBorders>
              <w:bottom w:val="nil"/>
            </w:tcBorders>
          </w:tcPr>
          <w:p w14:paraId="58B8E058" w14:textId="6AF94ED4"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478376C5" w14:textId="22D2651E"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19704580" w14:textId="77777777" w:rsidR="00AD046E" w:rsidRPr="00582F88" w:rsidRDefault="00AD046E" w:rsidP="00BF13F3">
            <w:pPr>
              <w:pStyle w:val="TableText"/>
              <w:jc w:val="right"/>
              <w:rPr>
                <w:lang w:eastAsia="en-AU"/>
              </w:rPr>
            </w:pPr>
            <w:r w:rsidRPr="00582F88">
              <w:rPr>
                <w:lang w:eastAsia="en-AU"/>
              </w:rPr>
              <w:t>8,254</w:t>
            </w:r>
          </w:p>
        </w:tc>
        <w:tc>
          <w:tcPr>
            <w:tcW w:w="679" w:type="pct"/>
            <w:tcBorders>
              <w:bottom w:val="nil"/>
            </w:tcBorders>
          </w:tcPr>
          <w:p w14:paraId="0327027D" w14:textId="77777777" w:rsidR="00AD046E" w:rsidRPr="00582F88" w:rsidRDefault="00AD046E" w:rsidP="00BF13F3">
            <w:pPr>
              <w:pStyle w:val="TableText"/>
              <w:jc w:val="right"/>
              <w:rPr>
                <w:lang w:eastAsia="en-AU"/>
              </w:rPr>
            </w:pPr>
            <w:r w:rsidRPr="00582F88">
              <w:rPr>
                <w:lang w:eastAsia="en-AU"/>
              </w:rPr>
              <w:t>10,642</w:t>
            </w:r>
          </w:p>
        </w:tc>
        <w:tc>
          <w:tcPr>
            <w:tcW w:w="706" w:type="pct"/>
            <w:tcBorders>
              <w:bottom w:val="nil"/>
            </w:tcBorders>
          </w:tcPr>
          <w:p w14:paraId="0A9737BA" w14:textId="77777777" w:rsidR="00AD046E" w:rsidRPr="00582F88" w:rsidRDefault="00AD046E" w:rsidP="00BF13F3">
            <w:pPr>
              <w:pStyle w:val="TableText"/>
              <w:jc w:val="right"/>
              <w:rPr>
                <w:lang w:eastAsia="en-AU"/>
              </w:rPr>
            </w:pPr>
            <w:r w:rsidRPr="00582F88">
              <w:rPr>
                <w:lang w:eastAsia="en-AU"/>
              </w:rPr>
              <w:t>1,970</w:t>
            </w:r>
          </w:p>
        </w:tc>
        <w:tc>
          <w:tcPr>
            <w:tcW w:w="726" w:type="pct"/>
            <w:tcBorders>
              <w:bottom w:val="nil"/>
            </w:tcBorders>
          </w:tcPr>
          <w:p w14:paraId="66418488" w14:textId="77777777" w:rsidR="00AD046E" w:rsidRPr="00582F88" w:rsidRDefault="00AD046E" w:rsidP="00BF13F3">
            <w:pPr>
              <w:pStyle w:val="TableText"/>
              <w:jc w:val="right"/>
              <w:rPr>
                <w:lang w:eastAsia="en-AU"/>
              </w:rPr>
            </w:pPr>
            <w:r w:rsidRPr="00582F88">
              <w:rPr>
                <w:lang w:eastAsia="en-AU"/>
              </w:rPr>
              <w:t>484</w:t>
            </w:r>
          </w:p>
        </w:tc>
        <w:tc>
          <w:tcPr>
            <w:tcW w:w="780" w:type="pct"/>
            <w:tcBorders>
              <w:bottom w:val="nil"/>
            </w:tcBorders>
          </w:tcPr>
          <w:p w14:paraId="7A863B72" w14:textId="77777777" w:rsidR="00AD046E" w:rsidRPr="00582F88" w:rsidRDefault="00AD046E" w:rsidP="00BF13F3">
            <w:pPr>
              <w:pStyle w:val="TableText"/>
              <w:jc w:val="right"/>
              <w:rPr>
                <w:lang w:eastAsia="en-AU"/>
              </w:rPr>
            </w:pPr>
            <w:r w:rsidRPr="00582F88">
              <w:rPr>
                <w:lang w:eastAsia="en-AU"/>
              </w:rPr>
              <w:t>4,843,303</w:t>
            </w:r>
          </w:p>
        </w:tc>
      </w:tr>
      <w:tr w:rsidR="00AD046E" w:rsidRPr="00582F88" w14:paraId="6E0A5D1E" w14:textId="77777777" w:rsidTr="00891B32">
        <w:trPr>
          <w:cantSplit/>
        </w:trPr>
        <w:tc>
          <w:tcPr>
            <w:tcW w:w="767" w:type="pct"/>
            <w:tcBorders>
              <w:top w:val="nil"/>
              <w:bottom w:val="dotted" w:sz="4" w:space="0" w:color="auto"/>
            </w:tcBorders>
          </w:tcPr>
          <w:p w14:paraId="3E1DB368" w14:textId="7951FE71"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14785F05"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68E20C2B" w14:textId="77777777" w:rsidR="00AD046E" w:rsidRPr="00582F88" w:rsidRDefault="00AD046E" w:rsidP="00BF13F3">
            <w:pPr>
              <w:pStyle w:val="TableText"/>
              <w:jc w:val="right"/>
              <w:rPr>
                <w:lang w:eastAsia="en-AU"/>
              </w:rPr>
            </w:pPr>
            <w:r w:rsidRPr="00582F88">
              <w:rPr>
                <w:lang w:eastAsia="en-AU"/>
              </w:rPr>
              <w:t>3.73%</w:t>
            </w:r>
          </w:p>
        </w:tc>
        <w:tc>
          <w:tcPr>
            <w:tcW w:w="679" w:type="pct"/>
            <w:tcBorders>
              <w:top w:val="nil"/>
              <w:bottom w:val="dotted" w:sz="4" w:space="0" w:color="auto"/>
            </w:tcBorders>
          </w:tcPr>
          <w:p w14:paraId="42F9C728" w14:textId="77777777" w:rsidR="00AD046E" w:rsidRPr="00582F88" w:rsidRDefault="00AD046E" w:rsidP="00BF13F3">
            <w:pPr>
              <w:pStyle w:val="TableText"/>
              <w:jc w:val="right"/>
              <w:rPr>
                <w:lang w:eastAsia="en-AU"/>
              </w:rPr>
            </w:pPr>
            <w:r w:rsidRPr="00582F88">
              <w:rPr>
                <w:lang w:eastAsia="en-AU"/>
              </w:rPr>
              <w:t>7.65%</w:t>
            </w:r>
          </w:p>
        </w:tc>
        <w:tc>
          <w:tcPr>
            <w:tcW w:w="706" w:type="pct"/>
            <w:tcBorders>
              <w:top w:val="nil"/>
              <w:bottom w:val="dotted" w:sz="4" w:space="0" w:color="auto"/>
            </w:tcBorders>
          </w:tcPr>
          <w:p w14:paraId="035A14D7" w14:textId="77777777" w:rsidR="00AD046E" w:rsidRPr="00582F88" w:rsidRDefault="00AD046E" w:rsidP="00BF13F3">
            <w:pPr>
              <w:pStyle w:val="TableText"/>
              <w:jc w:val="right"/>
              <w:rPr>
                <w:lang w:eastAsia="en-AU"/>
              </w:rPr>
            </w:pPr>
            <w:r w:rsidRPr="00582F88">
              <w:rPr>
                <w:lang w:eastAsia="en-AU"/>
              </w:rPr>
              <w:t>7.37%</w:t>
            </w:r>
          </w:p>
        </w:tc>
        <w:tc>
          <w:tcPr>
            <w:tcW w:w="726" w:type="pct"/>
            <w:tcBorders>
              <w:top w:val="nil"/>
              <w:bottom w:val="dotted" w:sz="4" w:space="0" w:color="auto"/>
            </w:tcBorders>
          </w:tcPr>
          <w:p w14:paraId="31DE1E46" w14:textId="77777777" w:rsidR="00AD046E" w:rsidRPr="00582F88" w:rsidRDefault="00AD046E" w:rsidP="00BF13F3">
            <w:pPr>
              <w:pStyle w:val="TableText"/>
              <w:jc w:val="right"/>
              <w:rPr>
                <w:lang w:eastAsia="en-AU"/>
              </w:rPr>
            </w:pPr>
            <w:r w:rsidRPr="00582F88">
              <w:rPr>
                <w:lang w:eastAsia="en-AU"/>
              </w:rPr>
              <w:t>-1.69%</w:t>
            </w:r>
          </w:p>
        </w:tc>
        <w:tc>
          <w:tcPr>
            <w:tcW w:w="780" w:type="pct"/>
            <w:tcBorders>
              <w:top w:val="nil"/>
              <w:bottom w:val="dotted" w:sz="4" w:space="0" w:color="auto"/>
            </w:tcBorders>
          </w:tcPr>
          <w:p w14:paraId="313C36AD" w14:textId="77777777" w:rsidR="00AD046E" w:rsidRPr="00582F88" w:rsidRDefault="00AD046E" w:rsidP="00BF13F3">
            <w:pPr>
              <w:pStyle w:val="TableText"/>
              <w:jc w:val="right"/>
              <w:rPr>
                <w:lang w:eastAsia="en-AU"/>
              </w:rPr>
            </w:pPr>
            <w:r w:rsidRPr="00582F88">
              <w:rPr>
                <w:lang w:eastAsia="en-AU"/>
              </w:rPr>
              <w:t>2.04%</w:t>
            </w:r>
          </w:p>
        </w:tc>
      </w:tr>
      <w:tr w:rsidR="00AD046E" w:rsidRPr="00582F88" w14:paraId="17298D8F" w14:textId="77777777" w:rsidTr="00891B32">
        <w:trPr>
          <w:cantSplit/>
        </w:trPr>
        <w:tc>
          <w:tcPr>
            <w:tcW w:w="767" w:type="pct"/>
            <w:tcBorders>
              <w:top w:val="dotted" w:sz="4" w:space="0" w:color="auto"/>
            </w:tcBorders>
          </w:tcPr>
          <w:p w14:paraId="1EA332AC" w14:textId="77777777" w:rsidR="00AD046E" w:rsidRPr="00582F88" w:rsidRDefault="00AD046E" w:rsidP="00F9205C">
            <w:pPr>
              <w:pStyle w:val="TableText"/>
              <w:rPr>
                <w:lang w:eastAsia="en-AU"/>
              </w:rPr>
            </w:pPr>
            <w:r w:rsidRPr="00582F88">
              <w:rPr>
                <w:lang w:eastAsia="en-AU"/>
              </w:rPr>
              <w:t>WA</w:t>
            </w:r>
          </w:p>
        </w:tc>
        <w:tc>
          <w:tcPr>
            <w:tcW w:w="603" w:type="pct"/>
            <w:tcBorders>
              <w:top w:val="dotted" w:sz="4" w:space="0" w:color="auto"/>
            </w:tcBorders>
          </w:tcPr>
          <w:p w14:paraId="75DBC42D" w14:textId="08EF78DB"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0B01EE6F" w14:textId="77777777" w:rsidR="00AD046E" w:rsidRPr="00582F88" w:rsidRDefault="00AD046E" w:rsidP="00BF13F3">
            <w:pPr>
              <w:pStyle w:val="TableText"/>
              <w:jc w:val="right"/>
              <w:rPr>
                <w:lang w:eastAsia="en-AU"/>
              </w:rPr>
            </w:pPr>
            <w:r w:rsidRPr="00582F88">
              <w:rPr>
                <w:lang w:eastAsia="en-AU"/>
              </w:rPr>
              <w:t>2,951</w:t>
            </w:r>
          </w:p>
        </w:tc>
        <w:tc>
          <w:tcPr>
            <w:tcW w:w="679" w:type="pct"/>
            <w:tcBorders>
              <w:top w:val="dotted" w:sz="4" w:space="0" w:color="auto"/>
            </w:tcBorders>
          </w:tcPr>
          <w:p w14:paraId="6424C401" w14:textId="77777777" w:rsidR="00AD046E" w:rsidRPr="00582F88" w:rsidRDefault="00AD046E" w:rsidP="00BF13F3">
            <w:pPr>
              <w:pStyle w:val="TableText"/>
              <w:jc w:val="right"/>
              <w:rPr>
                <w:lang w:eastAsia="en-AU"/>
              </w:rPr>
            </w:pPr>
            <w:r w:rsidRPr="00582F88">
              <w:rPr>
                <w:lang w:eastAsia="en-AU"/>
              </w:rPr>
              <w:t>2,557</w:t>
            </w:r>
          </w:p>
        </w:tc>
        <w:tc>
          <w:tcPr>
            <w:tcW w:w="706" w:type="pct"/>
            <w:tcBorders>
              <w:top w:val="dotted" w:sz="4" w:space="0" w:color="auto"/>
            </w:tcBorders>
          </w:tcPr>
          <w:p w14:paraId="71805697" w14:textId="77777777" w:rsidR="00AD046E" w:rsidRPr="00582F88" w:rsidRDefault="00AD046E" w:rsidP="00BF13F3">
            <w:pPr>
              <w:pStyle w:val="TableText"/>
              <w:jc w:val="right"/>
              <w:rPr>
                <w:lang w:eastAsia="en-AU"/>
              </w:rPr>
            </w:pPr>
            <w:r w:rsidRPr="00582F88">
              <w:rPr>
                <w:lang w:eastAsia="en-AU"/>
              </w:rPr>
              <w:t>473</w:t>
            </w:r>
          </w:p>
        </w:tc>
        <w:tc>
          <w:tcPr>
            <w:tcW w:w="726" w:type="pct"/>
            <w:tcBorders>
              <w:top w:val="dotted" w:sz="4" w:space="0" w:color="auto"/>
            </w:tcBorders>
          </w:tcPr>
          <w:p w14:paraId="6386E533" w14:textId="77777777" w:rsidR="00AD046E" w:rsidRPr="00582F88" w:rsidRDefault="00AD046E" w:rsidP="00BF13F3">
            <w:pPr>
              <w:pStyle w:val="TableText"/>
              <w:jc w:val="right"/>
              <w:rPr>
                <w:lang w:eastAsia="en-AU"/>
              </w:rPr>
            </w:pPr>
            <w:r w:rsidRPr="00582F88">
              <w:rPr>
                <w:lang w:eastAsia="en-AU"/>
              </w:rPr>
              <w:t>288</w:t>
            </w:r>
          </w:p>
        </w:tc>
        <w:tc>
          <w:tcPr>
            <w:tcW w:w="780" w:type="pct"/>
            <w:tcBorders>
              <w:top w:val="dotted" w:sz="4" w:space="0" w:color="auto"/>
            </w:tcBorders>
          </w:tcPr>
          <w:p w14:paraId="4913C997" w14:textId="77777777" w:rsidR="00AD046E" w:rsidRPr="00582F88" w:rsidRDefault="00AD046E" w:rsidP="00BF13F3">
            <w:pPr>
              <w:pStyle w:val="TableText"/>
              <w:jc w:val="right"/>
              <w:rPr>
                <w:lang w:eastAsia="en-AU"/>
              </w:rPr>
            </w:pPr>
            <w:r w:rsidRPr="00582F88">
              <w:rPr>
                <w:lang w:eastAsia="en-AU"/>
              </w:rPr>
              <w:t>1,928,512</w:t>
            </w:r>
          </w:p>
        </w:tc>
      </w:tr>
      <w:tr w:rsidR="00AD046E" w:rsidRPr="00582F88" w14:paraId="10E653F9" w14:textId="77777777" w:rsidTr="00891B32">
        <w:trPr>
          <w:cantSplit/>
        </w:trPr>
        <w:tc>
          <w:tcPr>
            <w:tcW w:w="767" w:type="pct"/>
            <w:tcBorders>
              <w:bottom w:val="nil"/>
            </w:tcBorders>
          </w:tcPr>
          <w:p w14:paraId="30286969" w14:textId="599B36C0"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1960BF68" w14:textId="086D2C81"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2F9BBF97" w14:textId="77777777" w:rsidR="00AD046E" w:rsidRPr="00582F88" w:rsidRDefault="00AD046E" w:rsidP="00BF13F3">
            <w:pPr>
              <w:pStyle w:val="TableText"/>
              <w:jc w:val="right"/>
              <w:rPr>
                <w:lang w:eastAsia="en-AU"/>
              </w:rPr>
            </w:pPr>
            <w:r w:rsidRPr="00582F88">
              <w:rPr>
                <w:lang w:eastAsia="en-AU"/>
              </w:rPr>
              <w:t>4,905</w:t>
            </w:r>
          </w:p>
        </w:tc>
        <w:tc>
          <w:tcPr>
            <w:tcW w:w="679" w:type="pct"/>
            <w:tcBorders>
              <w:bottom w:val="nil"/>
            </w:tcBorders>
          </w:tcPr>
          <w:p w14:paraId="0511D049" w14:textId="77777777" w:rsidR="00AD046E" w:rsidRPr="00582F88" w:rsidRDefault="00AD046E" w:rsidP="00BF13F3">
            <w:pPr>
              <w:pStyle w:val="TableText"/>
              <w:jc w:val="right"/>
              <w:rPr>
                <w:lang w:eastAsia="en-AU"/>
              </w:rPr>
            </w:pPr>
            <w:r w:rsidRPr="00582F88">
              <w:rPr>
                <w:lang w:eastAsia="en-AU"/>
              </w:rPr>
              <w:t>5,806</w:t>
            </w:r>
          </w:p>
        </w:tc>
        <w:tc>
          <w:tcPr>
            <w:tcW w:w="706" w:type="pct"/>
            <w:tcBorders>
              <w:bottom w:val="nil"/>
            </w:tcBorders>
          </w:tcPr>
          <w:p w14:paraId="17703E7D" w14:textId="77777777" w:rsidR="00AD046E" w:rsidRPr="00582F88" w:rsidRDefault="00AD046E" w:rsidP="00BF13F3">
            <w:pPr>
              <w:pStyle w:val="TableText"/>
              <w:jc w:val="right"/>
              <w:rPr>
                <w:lang w:eastAsia="en-AU"/>
              </w:rPr>
            </w:pPr>
            <w:r w:rsidRPr="00582F88">
              <w:rPr>
                <w:lang w:eastAsia="en-AU"/>
              </w:rPr>
              <w:t>1,478</w:t>
            </w:r>
          </w:p>
        </w:tc>
        <w:tc>
          <w:tcPr>
            <w:tcW w:w="726" w:type="pct"/>
            <w:tcBorders>
              <w:bottom w:val="nil"/>
            </w:tcBorders>
          </w:tcPr>
          <w:p w14:paraId="4819FD34" w14:textId="77777777" w:rsidR="00AD046E" w:rsidRPr="00582F88" w:rsidRDefault="00AD046E" w:rsidP="00BF13F3">
            <w:pPr>
              <w:pStyle w:val="TableText"/>
              <w:jc w:val="right"/>
              <w:rPr>
                <w:lang w:eastAsia="en-AU"/>
              </w:rPr>
            </w:pPr>
            <w:r w:rsidRPr="00582F88">
              <w:rPr>
                <w:lang w:eastAsia="en-AU"/>
              </w:rPr>
              <w:t>270</w:t>
            </w:r>
          </w:p>
        </w:tc>
        <w:tc>
          <w:tcPr>
            <w:tcW w:w="780" w:type="pct"/>
            <w:tcBorders>
              <w:bottom w:val="nil"/>
            </w:tcBorders>
          </w:tcPr>
          <w:p w14:paraId="28138BC9" w14:textId="77777777" w:rsidR="00AD046E" w:rsidRPr="00582F88" w:rsidRDefault="00AD046E" w:rsidP="00BF13F3">
            <w:pPr>
              <w:pStyle w:val="TableText"/>
              <w:jc w:val="right"/>
              <w:rPr>
                <w:lang w:eastAsia="en-AU"/>
              </w:rPr>
            </w:pPr>
            <w:r w:rsidRPr="00582F88">
              <w:rPr>
                <w:lang w:eastAsia="en-AU"/>
              </w:rPr>
              <w:t>2,617,074</w:t>
            </w:r>
          </w:p>
        </w:tc>
      </w:tr>
      <w:tr w:rsidR="00AD046E" w:rsidRPr="00582F88" w14:paraId="4E945270" w14:textId="77777777" w:rsidTr="00891B32">
        <w:trPr>
          <w:cantSplit/>
        </w:trPr>
        <w:tc>
          <w:tcPr>
            <w:tcW w:w="767" w:type="pct"/>
            <w:tcBorders>
              <w:top w:val="nil"/>
              <w:bottom w:val="dotted" w:sz="4" w:space="0" w:color="auto"/>
            </w:tcBorders>
          </w:tcPr>
          <w:p w14:paraId="6F30228A" w14:textId="32904DC6"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24A9F2FC"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26DB61EC" w14:textId="77777777" w:rsidR="00AD046E" w:rsidRPr="00582F88" w:rsidRDefault="00AD046E" w:rsidP="00BF13F3">
            <w:pPr>
              <w:pStyle w:val="TableText"/>
              <w:jc w:val="right"/>
              <w:rPr>
                <w:lang w:eastAsia="en-AU"/>
              </w:rPr>
            </w:pPr>
            <w:r w:rsidRPr="00582F88">
              <w:rPr>
                <w:lang w:eastAsia="en-AU"/>
              </w:rPr>
              <w:t>3.70%</w:t>
            </w:r>
          </w:p>
        </w:tc>
        <w:tc>
          <w:tcPr>
            <w:tcW w:w="679" w:type="pct"/>
            <w:tcBorders>
              <w:top w:val="nil"/>
              <w:bottom w:val="dotted" w:sz="4" w:space="0" w:color="auto"/>
            </w:tcBorders>
          </w:tcPr>
          <w:p w14:paraId="4948734D" w14:textId="77777777" w:rsidR="00AD046E" w:rsidRPr="00582F88" w:rsidRDefault="00AD046E" w:rsidP="00BF13F3">
            <w:pPr>
              <w:pStyle w:val="TableText"/>
              <w:jc w:val="right"/>
              <w:rPr>
                <w:lang w:eastAsia="en-AU"/>
              </w:rPr>
            </w:pPr>
            <w:r w:rsidRPr="00582F88">
              <w:rPr>
                <w:lang w:eastAsia="en-AU"/>
              </w:rPr>
              <w:t>6.03%</w:t>
            </w:r>
          </w:p>
        </w:tc>
        <w:tc>
          <w:tcPr>
            <w:tcW w:w="706" w:type="pct"/>
            <w:tcBorders>
              <w:top w:val="nil"/>
              <w:bottom w:val="dotted" w:sz="4" w:space="0" w:color="auto"/>
            </w:tcBorders>
          </w:tcPr>
          <w:p w14:paraId="7B7C1F45" w14:textId="77777777" w:rsidR="00AD046E" w:rsidRPr="00582F88" w:rsidRDefault="00AD046E" w:rsidP="00BF13F3">
            <w:pPr>
              <w:pStyle w:val="TableText"/>
              <w:jc w:val="right"/>
              <w:rPr>
                <w:lang w:eastAsia="en-AU"/>
              </w:rPr>
            </w:pPr>
            <w:r w:rsidRPr="00582F88">
              <w:rPr>
                <w:lang w:eastAsia="en-AU"/>
              </w:rPr>
              <w:t>8.48%</w:t>
            </w:r>
          </w:p>
        </w:tc>
        <w:tc>
          <w:tcPr>
            <w:tcW w:w="726" w:type="pct"/>
            <w:tcBorders>
              <w:top w:val="nil"/>
              <w:bottom w:val="dotted" w:sz="4" w:space="0" w:color="auto"/>
            </w:tcBorders>
          </w:tcPr>
          <w:p w14:paraId="63C89326" w14:textId="77777777" w:rsidR="00AD046E" w:rsidRPr="00582F88" w:rsidRDefault="00AD046E" w:rsidP="00BF13F3">
            <w:pPr>
              <w:pStyle w:val="TableText"/>
              <w:jc w:val="right"/>
              <w:rPr>
                <w:lang w:eastAsia="en-AU"/>
              </w:rPr>
            </w:pPr>
            <w:r w:rsidRPr="00582F88">
              <w:rPr>
                <w:lang w:eastAsia="en-AU"/>
              </w:rPr>
              <w:t>-0.46%</w:t>
            </w:r>
          </w:p>
        </w:tc>
        <w:tc>
          <w:tcPr>
            <w:tcW w:w="780" w:type="pct"/>
            <w:tcBorders>
              <w:top w:val="nil"/>
              <w:bottom w:val="dotted" w:sz="4" w:space="0" w:color="auto"/>
            </w:tcBorders>
          </w:tcPr>
          <w:p w14:paraId="20C20707" w14:textId="77777777" w:rsidR="00AD046E" w:rsidRPr="00582F88" w:rsidRDefault="00AD046E" w:rsidP="00BF13F3">
            <w:pPr>
              <w:pStyle w:val="TableText"/>
              <w:jc w:val="right"/>
              <w:rPr>
                <w:lang w:eastAsia="en-AU"/>
              </w:rPr>
            </w:pPr>
            <w:r w:rsidRPr="00582F88">
              <w:rPr>
                <w:lang w:eastAsia="en-AU"/>
              </w:rPr>
              <w:t>2.21%</w:t>
            </w:r>
          </w:p>
        </w:tc>
      </w:tr>
      <w:tr w:rsidR="00AD046E" w:rsidRPr="00582F88" w14:paraId="1444088F" w14:textId="77777777" w:rsidTr="00891B32">
        <w:trPr>
          <w:cantSplit/>
        </w:trPr>
        <w:tc>
          <w:tcPr>
            <w:tcW w:w="767" w:type="pct"/>
            <w:tcBorders>
              <w:top w:val="dotted" w:sz="4" w:space="0" w:color="auto"/>
            </w:tcBorders>
          </w:tcPr>
          <w:p w14:paraId="2B2B63B0" w14:textId="77777777" w:rsidR="00AD046E" w:rsidRPr="00582F88" w:rsidRDefault="00AD046E" w:rsidP="00F9205C">
            <w:pPr>
              <w:pStyle w:val="TableText"/>
              <w:rPr>
                <w:lang w:eastAsia="en-AU"/>
              </w:rPr>
            </w:pPr>
            <w:r w:rsidRPr="00582F88">
              <w:rPr>
                <w:lang w:eastAsia="en-AU"/>
              </w:rPr>
              <w:t>SA</w:t>
            </w:r>
          </w:p>
        </w:tc>
        <w:tc>
          <w:tcPr>
            <w:tcW w:w="603" w:type="pct"/>
            <w:tcBorders>
              <w:top w:val="dotted" w:sz="4" w:space="0" w:color="auto"/>
            </w:tcBorders>
          </w:tcPr>
          <w:p w14:paraId="3A9C17FA" w14:textId="42C427E8" w:rsidR="00AD046E" w:rsidRPr="00582F88" w:rsidRDefault="00AD046E" w:rsidP="00F9205C">
            <w:pPr>
              <w:pStyle w:val="TableText"/>
              <w:jc w:val="center"/>
              <w:rPr>
                <w:lang w:eastAsia="en-AU"/>
              </w:rPr>
            </w:pPr>
            <w:r w:rsidRPr="00582F88">
              <w:rPr>
                <w:lang w:eastAsia="en-AU"/>
              </w:rPr>
              <w:t>2001</w:t>
            </w:r>
            <w:r w:rsidR="001A59CF" w:rsidRPr="00582F88">
              <w:rPr>
                <w:lang w:eastAsia="en-AU"/>
              </w:rPr>
              <w:t>–</w:t>
            </w:r>
            <w:r w:rsidRPr="00582F88">
              <w:rPr>
                <w:lang w:eastAsia="en-AU"/>
              </w:rPr>
              <w:t>02</w:t>
            </w:r>
          </w:p>
        </w:tc>
        <w:tc>
          <w:tcPr>
            <w:tcW w:w="738" w:type="pct"/>
            <w:tcBorders>
              <w:top w:val="dotted" w:sz="4" w:space="0" w:color="auto"/>
            </w:tcBorders>
          </w:tcPr>
          <w:p w14:paraId="11509EC6" w14:textId="77777777" w:rsidR="00AD046E" w:rsidRPr="00582F88" w:rsidRDefault="00AD046E" w:rsidP="00BF13F3">
            <w:pPr>
              <w:pStyle w:val="TableText"/>
              <w:jc w:val="right"/>
              <w:rPr>
                <w:lang w:eastAsia="en-AU"/>
              </w:rPr>
            </w:pPr>
            <w:r w:rsidRPr="00582F88">
              <w:rPr>
                <w:lang w:eastAsia="en-AU"/>
              </w:rPr>
              <w:t>2,239</w:t>
            </w:r>
          </w:p>
        </w:tc>
        <w:tc>
          <w:tcPr>
            <w:tcW w:w="679" w:type="pct"/>
            <w:tcBorders>
              <w:top w:val="dotted" w:sz="4" w:space="0" w:color="auto"/>
            </w:tcBorders>
          </w:tcPr>
          <w:p w14:paraId="5CE7DA4F" w14:textId="77777777" w:rsidR="00AD046E" w:rsidRPr="00582F88" w:rsidRDefault="00AD046E" w:rsidP="00BF13F3">
            <w:pPr>
              <w:pStyle w:val="TableText"/>
              <w:jc w:val="right"/>
              <w:rPr>
                <w:lang w:eastAsia="en-AU"/>
              </w:rPr>
            </w:pPr>
            <w:r w:rsidRPr="00582F88">
              <w:rPr>
                <w:lang w:eastAsia="en-AU"/>
              </w:rPr>
              <w:t>2,114</w:t>
            </w:r>
          </w:p>
        </w:tc>
        <w:tc>
          <w:tcPr>
            <w:tcW w:w="706" w:type="pct"/>
            <w:tcBorders>
              <w:top w:val="dotted" w:sz="4" w:space="0" w:color="auto"/>
            </w:tcBorders>
          </w:tcPr>
          <w:p w14:paraId="45AEF45F" w14:textId="77777777" w:rsidR="00AD046E" w:rsidRPr="00582F88" w:rsidRDefault="00AD046E" w:rsidP="00BF13F3">
            <w:pPr>
              <w:pStyle w:val="TableText"/>
              <w:jc w:val="right"/>
              <w:rPr>
                <w:lang w:eastAsia="en-AU"/>
              </w:rPr>
            </w:pPr>
            <w:r w:rsidRPr="00582F88">
              <w:rPr>
                <w:lang w:eastAsia="en-AU"/>
              </w:rPr>
              <w:t>541</w:t>
            </w:r>
          </w:p>
        </w:tc>
        <w:tc>
          <w:tcPr>
            <w:tcW w:w="726" w:type="pct"/>
            <w:tcBorders>
              <w:top w:val="dotted" w:sz="4" w:space="0" w:color="auto"/>
            </w:tcBorders>
          </w:tcPr>
          <w:p w14:paraId="63E1BB06" w14:textId="77777777" w:rsidR="00AD046E" w:rsidRPr="00582F88" w:rsidRDefault="00AD046E" w:rsidP="00BF13F3">
            <w:pPr>
              <w:pStyle w:val="TableText"/>
              <w:jc w:val="right"/>
              <w:rPr>
                <w:lang w:eastAsia="en-AU"/>
              </w:rPr>
            </w:pPr>
            <w:r w:rsidRPr="00582F88">
              <w:rPr>
                <w:lang w:eastAsia="en-AU"/>
              </w:rPr>
              <w:t>274</w:t>
            </w:r>
          </w:p>
        </w:tc>
        <w:tc>
          <w:tcPr>
            <w:tcW w:w="780" w:type="pct"/>
            <w:tcBorders>
              <w:top w:val="dotted" w:sz="4" w:space="0" w:color="auto"/>
            </w:tcBorders>
          </w:tcPr>
          <w:p w14:paraId="65D0BF34" w14:textId="77777777" w:rsidR="00AD046E" w:rsidRPr="00582F88" w:rsidRDefault="00AD046E" w:rsidP="00BF13F3">
            <w:pPr>
              <w:pStyle w:val="TableText"/>
              <w:jc w:val="right"/>
              <w:rPr>
                <w:lang w:eastAsia="en-AU"/>
              </w:rPr>
            </w:pPr>
            <w:r w:rsidRPr="00582F88">
              <w:rPr>
                <w:lang w:eastAsia="en-AU"/>
              </w:rPr>
              <w:t>1,511,567</w:t>
            </w:r>
          </w:p>
        </w:tc>
      </w:tr>
      <w:tr w:rsidR="00AD046E" w:rsidRPr="00582F88" w14:paraId="745A48CE" w14:textId="77777777" w:rsidTr="00891B32">
        <w:trPr>
          <w:cantSplit/>
        </w:trPr>
        <w:tc>
          <w:tcPr>
            <w:tcW w:w="767" w:type="pct"/>
            <w:tcBorders>
              <w:bottom w:val="nil"/>
            </w:tcBorders>
          </w:tcPr>
          <w:p w14:paraId="11090130" w14:textId="65047F97"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217F3A7F" w14:textId="6267CED5"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28F3EC7C" w14:textId="77777777" w:rsidR="00AD046E" w:rsidRPr="00582F88" w:rsidRDefault="00AD046E" w:rsidP="00BF13F3">
            <w:pPr>
              <w:pStyle w:val="TableText"/>
              <w:jc w:val="right"/>
              <w:rPr>
                <w:lang w:eastAsia="en-AU"/>
              </w:rPr>
            </w:pPr>
            <w:r w:rsidRPr="00582F88">
              <w:rPr>
                <w:lang w:eastAsia="en-AU"/>
              </w:rPr>
              <w:t>3,038</w:t>
            </w:r>
          </w:p>
        </w:tc>
        <w:tc>
          <w:tcPr>
            <w:tcW w:w="679" w:type="pct"/>
            <w:tcBorders>
              <w:bottom w:val="nil"/>
            </w:tcBorders>
          </w:tcPr>
          <w:p w14:paraId="30C41C6D" w14:textId="77777777" w:rsidR="00AD046E" w:rsidRPr="00582F88" w:rsidRDefault="00AD046E" w:rsidP="00BF13F3">
            <w:pPr>
              <w:pStyle w:val="TableText"/>
              <w:jc w:val="right"/>
              <w:rPr>
                <w:lang w:eastAsia="en-AU"/>
              </w:rPr>
            </w:pPr>
            <w:r w:rsidRPr="00582F88">
              <w:rPr>
                <w:lang w:eastAsia="en-AU"/>
              </w:rPr>
              <w:t>3,860</w:t>
            </w:r>
          </w:p>
        </w:tc>
        <w:tc>
          <w:tcPr>
            <w:tcW w:w="706" w:type="pct"/>
            <w:tcBorders>
              <w:bottom w:val="nil"/>
            </w:tcBorders>
          </w:tcPr>
          <w:p w14:paraId="6E835118" w14:textId="77777777" w:rsidR="00AD046E" w:rsidRPr="00582F88" w:rsidRDefault="00AD046E" w:rsidP="00BF13F3">
            <w:pPr>
              <w:pStyle w:val="TableText"/>
              <w:jc w:val="right"/>
              <w:rPr>
                <w:lang w:eastAsia="en-AU"/>
              </w:rPr>
            </w:pPr>
            <w:r w:rsidRPr="00582F88">
              <w:rPr>
                <w:lang w:eastAsia="en-AU"/>
              </w:rPr>
              <w:t>1,072</w:t>
            </w:r>
          </w:p>
        </w:tc>
        <w:tc>
          <w:tcPr>
            <w:tcW w:w="726" w:type="pct"/>
            <w:tcBorders>
              <w:bottom w:val="nil"/>
            </w:tcBorders>
          </w:tcPr>
          <w:p w14:paraId="3ECAFB35" w14:textId="77777777" w:rsidR="00AD046E" w:rsidRPr="00582F88" w:rsidRDefault="00AD046E" w:rsidP="00BF13F3">
            <w:pPr>
              <w:pStyle w:val="TableText"/>
              <w:jc w:val="right"/>
              <w:rPr>
                <w:lang w:eastAsia="en-AU"/>
              </w:rPr>
            </w:pPr>
            <w:r w:rsidRPr="00582F88">
              <w:rPr>
                <w:lang w:eastAsia="en-AU"/>
              </w:rPr>
              <w:t>118</w:t>
            </w:r>
          </w:p>
        </w:tc>
        <w:tc>
          <w:tcPr>
            <w:tcW w:w="780" w:type="pct"/>
            <w:tcBorders>
              <w:bottom w:val="nil"/>
            </w:tcBorders>
          </w:tcPr>
          <w:p w14:paraId="0C13F2E7" w14:textId="77777777" w:rsidR="00AD046E" w:rsidRPr="00582F88" w:rsidRDefault="00AD046E" w:rsidP="00BF13F3">
            <w:pPr>
              <w:pStyle w:val="TableText"/>
              <w:jc w:val="right"/>
              <w:rPr>
                <w:lang w:eastAsia="en-AU"/>
              </w:rPr>
            </w:pPr>
            <w:r w:rsidRPr="00582F88">
              <w:rPr>
                <w:lang w:eastAsia="en-AU"/>
              </w:rPr>
              <w:t>1,708,135</w:t>
            </w:r>
          </w:p>
        </w:tc>
      </w:tr>
      <w:tr w:rsidR="00AD046E" w:rsidRPr="00582F88" w14:paraId="2210A4C8" w14:textId="77777777" w:rsidTr="00891B32">
        <w:trPr>
          <w:cantSplit/>
        </w:trPr>
        <w:tc>
          <w:tcPr>
            <w:tcW w:w="767" w:type="pct"/>
            <w:tcBorders>
              <w:top w:val="nil"/>
              <w:bottom w:val="dotted" w:sz="4" w:space="0" w:color="auto"/>
            </w:tcBorders>
          </w:tcPr>
          <w:p w14:paraId="46A7EC37" w14:textId="789FBBD0"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331DCAAE"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18F540BE" w14:textId="77777777" w:rsidR="00AD046E" w:rsidRPr="00582F88" w:rsidRDefault="00AD046E" w:rsidP="00BF13F3">
            <w:pPr>
              <w:pStyle w:val="TableText"/>
              <w:jc w:val="right"/>
              <w:rPr>
                <w:lang w:eastAsia="en-AU"/>
              </w:rPr>
            </w:pPr>
            <w:r w:rsidRPr="00582F88">
              <w:rPr>
                <w:lang w:eastAsia="en-AU"/>
              </w:rPr>
              <w:t>2.20%</w:t>
            </w:r>
          </w:p>
        </w:tc>
        <w:tc>
          <w:tcPr>
            <w:tcW w:w="679" w:type="pct"/>
            <w:tcBorders>
              <w:top w:val="nil"/>
              <w:bottom w:val="dotted" w:sz="4" w:space="0" w:color="auto"/>
            </w:tcBorders>
          </w:tcPr>
          <w:p w14:paraId="13C17019" w14:textId="77777777" w:rsidR="00AD046E" w:rsidRPr="00582F88" w:rsidRDefault="00AD046E" w:rsidP="00BF13F3">
            <w:pPr>
              <w:pStyle w:val="TableText"/>
              <w:jc w:val="right"/>
              <w:rPr>
                <w:lang w:eastAsia="en-AU"/>
              </w:rPr>
            </w:pPr>
            <w:r w:rsidRPr="00582F88">
              <w:rPr>
                <w:lang w:eastAsia="en-AU"/>
              </w:rPr>
              <w:t>4.39%</w:t>
            </w:r>
          </w:p>
        </w:tc>
        <w:tc>
          <w:tcPr>
            <w:tcW w:w="706" w:type="pct"/>
            <w:tcBorders>
              <w:top w:val="nil"/>
              <w:bottom w:val="dotted" w:sz="4" w:space="0" w:color="auto"/>
            </w:tcBorders>
          </w:tcPr>
          <w:p w14:paraId="7EF635F6" w14:textId="77777777" w:rsidR="00AD046E" w:rsidRPr="00582F88" w:rsidRDefault="00AD046E" w:rsidP="00BF13F3">
            <w:pPr>
              <w:pStyle w:val="TableText"/>
              <w:jc w:val="right"/>
              <w:rPr>
                <w:lang w:eastAsia="en-AU"/>
              </w:rPr>
            </w:pPr>
            <w:r w:rsidRPr="00582F88">
              <w:rPr>
                <w:lang w:eastAsia="en-AU"/>
              </w:rPr>
              <w:t>5.00%</w:t>
            </w:r>
          </w:p>
        </w:tc>
        <w:tc>
          <w:tcPr>
            <w:tcW w:w="726" w:type="pct"/>
            <w:tcBorders>
              <w:top w:val="nil"/>
              <w:bottom w:val="dotted" w:sz="4" w:space="0" w:color="auto"/>
            </w:tcBorders>
          </w:tcPr>
          <w:p w14:paraId="46811820" w14:textId="77777777" w:rsidR="00AD046E" w:rsidRPr="00582F88" w:rsidRDefault="00AD046E" w:rsidP="00BF13F3">
            <w:pPr>
              <w:pStyle w:val="TableText"/>
              <w:jc w:val="right"/>
              <w:rPr>
                <w:lang w:eastAsia="en-AU"/>
              </w:rPr>
            </w:pPr>
            <w:r w:rsidRPr="00582F88">
              <w:rPr>
                <w:lang w:eastAsia="en-AU"/>
              </w:rPr>
              <w:t>-5.83%</w:t>
            </w:r>
          </w:p>
        </w:tc>
        <w:tc>
          <w:tcPr>
            <w:tcW w:w="780" w:type="pct"/>
            <w:tcBorders>
              <w:top w:val="nil"/>
              <w:bottom w:val="dotted" w:sz="4" w:space="0" w:color="auto"/>
            </w:tcBorders>
          </w:tcPr>
          <w:p w14:paraId="618763E8" w14:textId="77777777" w:rsidR="00AD046E" w:rsidRPr="00582F88" w:rsidRDefault="00AD046E" w:rsidP="00BF13F3">
            <w:pPr>
              <w:pStyle w:val="TableText"/>
              <w:jc w:val="right"/>
              <w:rPr>
                <w:lang w:eastAsia="en-AU"/>
              </w:rPr>
            </w:pPr>
            <w:r w:rsidRPr="00582F88">
              <w:rPr>
                <w:lang w:eastAsia="en-AU"/>
              </w:rPr>
              <w:t>0.88%</w:t>
            </w:r>
          </w:p>
        </w:tc>
      </w:tr>
      <w:tr w:rsidR="00AD046E" w:rsidRPr="00582F88" w14:paraId="2426D2EA" w14:textId="77777777" w:rsidTr="00891B32">
        <w:trPr>
          <w:cantSplit/>
        </w:trPr>
        <w:tc>
          <w:tcPr>
            <w:tcW w:w="767" w:type="pct"/>
            <w:tcBorders>
              <w:top w:val="dotted" w:sz="4" w:space="0" w:color="auto"/>
            </w:tcBorders>
          </w:tcPr>
          <w:p w14:paraId="738E5CE7" w14:textId="6B6A3601" w:rsidR="00AD046E" w:rsidRPr="00582F88" w:rsidRDefault="00AD046E" w:rsidP="00F9205C">
            <w:pPr>
              <w:pStyle w:val="TableText"/>
              <w:rPr>
                <w:lang w:eastAsia="en-AU"/>
              </w:rPr>
            </w:pPr>
            <w:r w:rsidRPr="00582F88">
              <w:rPr>
                <w:lang w:eastAsia="en-AU"/>
              </w:rPr>
              <w:t>T</w:t>
            </w:r>
            <w:r w:rsidR="00F83170" w:rsidRPr="00582F88">
              <w:rPr>
                <w:lang w:eastAsia="en-AU"/>
              </w:rPr>
              <w:t>as.</w:t>
            </w:r>
          </w:p>
        </w:tc>
        <w:tc>
          <w:tcPr>
            <w:tcW w:w="603" w:type="pct"/>
            <w:tcBorders>
              <w:top w:val="dotted" w:sz="4" w:space="0" w:color="auto"/>
            </w:tcBorders>
          </w:tcPr>
          <w:p w14:paraId="378EF85D" w14:textId="0036325E"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02DAD7BD" w14:textId="77777777" w:rsidR="00AD046E" w:rsidRPr="00582F88" w:rsidRDefault="00AD046E" w:rsidP="00BF13F3">
            <w:pPr>
              <w:pStyle w:val="TableText"/>
              <w:jc w:val="right"/>
              <w:rPr>
                <w:lang w:eastAsia="en-AU"/>
              </w:rPr>
            </w:pPr>
            <w:r w:rsidRPr="00582F88">
              <w:rPr>
                <w:lang w:eastAsia="en-AU"/>
              </w:rPr>
              <w:t>724</w:t>
            </w:r>
          </w:p>
        </w:tc>
        <w:tc>
          <w:tcPr>
            <w:tcW w:w="679" w:type="pct"/>
            <w:tcBorders>
              <w:top w:val="dotted" w:sz="4" w:space="0" w:color="auto"/>
            </w:tcBorders>
          </w:tcPr>
          <w:p w14:paraId="209319DF" w14:textId="77777777" w:rsidR="00AD046E" w:rsidRPr="00582F88" w:rsidRDefault="00AD046E" w:rsidP="00BF13F3">
            <w:pPr>
              <w:pStyle w:val="TableText"/>
              <w:jc w:val="right"/>
              <w:rPr>
                <w:lang w:eastAsia="en-AU"/>
              </w:rPr>
            </w:pPr>
            <w:r w:rsidRPr="00582F88">
              <w:rPr>
                <w:lang w:eastAsia="en-AU"/>
              </w:rPr>
              <w:t>570</w:t>
            </w:r>
          </w:p>
        </w:tc>
        <w:tc>
          <w:tcPr>
            <w:tcW w:w="706" w:type="pct"/>
            <w:tcBorders>
              <w:top w:val="dotted" w:sz="4" w:space="0" w:color="auto"/>
            </w:tcBorders>
          </w:tcPr>
          <w:p w14:paraId="465439EF" w14:textId="77777777" w:rsidR="00AD046E" w:rsidRPr="00582F88" w:rsidRDefault="00AD046E" w:rsidP="00BF13F3">
            <w:pPr>
              <w:pStyle w:val="TableText"/>
              <w:jc w:val="right"/>
              <w:rPr>
                <w:lang w:eastAsia="en-AU"/>
              </w:rPr>
            </w:pPr>
            <w:r w:rsidRPr="00582F88">
              <w:rPr>
                <w:lang w:eastAsia="en-AU"/>
              </w:rPr>
              <w:t>157</w:t>
            </w:r>
          </w:p>
        </w:tc>
        <w:tc>
          <w:tcPr>
            <w:tcW w:w="726" w:type="pct"/>
            <w:tcBorders>
              <w:top w:val="dotted" w:sz="4" w:space="0" w:color="auto"/>
            </w:tcBorders>
          </w:tcPr>
          <w:p w14:paraId="283F5FF7" w14:textId="77777777" w:rsidR="00AD046E" w:rsidRPr="00582F88" w:rsidRDefault="00AD046E" w:rsidP="00BF13F3">
            <w:pPr>
              <w:pStyle w:val="TableText"/>
              <w:jc w:val="right"/>
              <w:rPr>
                <w:lang w:eastAsia="en-AU"/>
              </w:rPr>
            </w:pPr>
            <w:r w:rsidRPr="00582F88">
              <w:rPr>
                <w:lang w:eastAsia="en-AU"/>
              </w:rPr>
              <w:t>67</w:t>
            </w:r>
          </w:p>
        </w:tc>
        <w:tc>
          <w:tcPr>
            <w:tcW w:w="780" w:type="pct"/>
            <w:tcBorders>
              <w:top w:val="dotted" w:sz="4" w:space="0" w:color="auto"/>
            </w:tcBorders>
          </w:tcPr>
          <w:p w14:paraId="22514DEA" w14:textId="77777777" w:rsidR="00AD046E" w:rsidRPr="00582F88" w:rsidRDefault="00AD046E" w:rsidP="00BF13F3">
            <w:pPr>
              <w:pStyle w:val="TableText"/>
              <w:jc w:val="right"/>
              <w:rPr>
                <w:lang w:eastAsia="en-AU"/>
              </w:rPr>
            </w:pPr>
            <w:r w:rsidRPr="00582F88">
              <w:rPr>
                <w:lang w:eastAsia="en-AU"/>
              </w:rPr>
              <w:t>474,152</w:t>
            </w:r>
          </w:p>
        </w:tc>
      </w:tr>
      <w:tr w:rsidR="00AD046E" w:rsidRPr="00582F88" w14:paraId="72EC6130" w14:textId="77777777" w:rsidTr="00891B32">
        <w:trPr>
          <w:cantSplit/>
        </w:trPr>
        <w:tc>
          <w:tcPr>
            <w:tcW w:w="767" w:type="pct"/>
            <w:tcBorders>
              <w:bottom w:val="nil"/>
            </w:tcBorders>
          </w:tcPr>
          <w:p w14:paraId="00762ABC" w14:textId="22F51359" w:rsidR="00AD046E" w:rsidRPr="00891B32" w:rsidRDefault="00891B32" w:rsidP="00F9205C">
            <w:pPr>
              <w:pStyle w:val="TableText"/>
              <w:rPr>
                <w:color w:val="FFFFFF" w:themeColor="background1"/>
                <w:lang w:eastAsia="en-AU"/>
              </w:rPr>
            </w:pPr>
            <w:r w:rsidRPr="00891B32">
              <w:rPr>
                <w:color w:val="FFFFFF" w:themeColor="background1"/>
                <w:lang w:eastAsia="en-AU"/>
              </w:rPr>
              <w:lastRenderedPageBreak/>
              <w:t>.</w:t>
            </w:r>
          </w:p>
        </w:tc>
        <w:tc>
          <w:tcPr>
            <w:tcW w:w="603" w:type="pct"/>
            <w:tcBorders>
              <w:bottom w:val="nil"/>
            </w:tcBorders>
          </w:tcPr>
          <w:p w14:paraId="50522BF6" w14:textId="6794E529"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7B6D6903" w14:textId="77777777" w:rsidR="00AD046E" w:rsidRPr="00582F88" w:rsidRDefault="00AD046E" w:rsidP="00BF13F3">
            <w:pPr>
              <w:pStyle w:val="TableText"/>
              <w:jc w:val="right"/>
              <w:rPr>
                <w:lang w:eastAsia="en-AU"/>
              </w:rPr>
            </w:pPr>
            <w:r w:rsidRPr="00582F88">
              <w:rPr>
                <w:lang w:eastAsia="en-AU"/>
              </w:rPr>
              <w:t>949</w:t>
            </w:r>
          </w:p>
        </w:tc>
        <w:tc>
          <w:tcPr>
            <w:tcW w:w="679" w:type="pct"/>
            <w:tcBorders>
              <w:bottom w:val="nil"/>
            </w:tcBorders>
          </w:tcPr>
          <w:p w14:paraId="2F628BEE" w14:textId="77777777" w:rsidR="00AD046E" w:rsidRPr="00582F88" w:rsidRDefault="00AD046E" w:rsidP="00BF13F3">
            <w:pPr>
              <w:pStyle w:val="TableText"/>
              <w:jc w:val="right"/>
              <w:rPr>
                <w:lang w:eastAsia="en-AU"/>
              </w:rPr>
            </w:pPr>
            <w:r w:rsidRPr="00582F88">
              <w:rPr>
                <w:lang w:eastAsia="en-AU"/>
              </w:rPr>
              <w:t>1,137</w:t>
            </w:r>
          </w:p>
        </w:tc>
        <w:tc>
          <w:tcPr>
            <w:tcW w:w="706" w:type="pct"/>
            <w:tcBorders>
              <w:bottom w:val="nil"/>
            </w:tcBorders>
          </w:tcPr>
          <w:p w14:paraId="729EFC67" w14:textId="77777777" w:rsidR="00AD046E" w:rsidRPr="00582F88" w:rsidRDefault="00AD046E" w:rsidP="00BF13F3">
            <w:pPr>
              <w:pStyle w:val="TableText"/>
              <w:jc w:val="right"/>
              <w:rPr>
                <w:lang w:eastAsia="en-AU"/>
              </w:rPr>
            </w:pPr>
            <w:r w:rsidRPr="00582F88">
              <w:rPr>
                <w:lang w:eastAsia="en-AU"/>
              </w:rPr>
              <w:t>275</w:t>
            </w:r>
          </w:p>
        </w:tc>
        <w:tc>
          <w:tcPr>
            <w:tcW w:w="726" w:type="pct"/>
            <w:tcBorders>
              <w:bottom w:val="nil"/>
            </w:tcBorders>
          </w:tcPr>
          <w:p w14:paraId="5845FE8B" w14:textId="3DBF6599" w:rsidR="00AD046E" w:rsidRPr="00582F88" w:rsidRDefault="00AD046E" w:rsidP="00BF13F3">
            <w:pPr>
              <w:pStyle w:val="TableText"/>
              <w:jc w:val="right"/>
              <w:rPr>
                <w:lang w:eastAsia="en-AU"/>
              </w:rPr>
            </w:pPr>
            <w:r w:rsidRPr="00582F88">
              <w:rPr>
                <w:lang w:eastAsia="en-AU"/>
              </w:rPr>
              <w:t>94</w:t>
            </w:r>
          </w:p>
        </w:tc>
        <w:tc>
          <w:tcPr>
            <w:tcW w:w="780" w:type="pct"/>
            <w:tcBorders>
              <w:bottom w:val="nil"/>
            </w:tcBorders>
          </w:tcPr>
          <w:p w14:paraId="1042EF8B" w14:textId="77777777" w:rsidR="00AD046E" w:rsidRPr="00582F88" w:rsidRDefault="00AD046E" w:rsidP="00BF13F3">
            <w:pPr>
              <w:pStyle w:val="TableText"/>
              <w:jc w:val="right"/>
              <w:rPr>
                <w:lang w:eastAsia="en-AU"/>
              </w:rPr>
            </w:pPr>
            <w:r w:rsidRPr="00582F88">
              <w:rPr>
                <w:lang w:eastAsia="en-AU"/>
              </w:rPr>
              <w:t>519,063</w:t>
            </w:r>
          </w:p>
        </w:tc>
      </w:tr>
      <w:tr w:rsidR="00AD046E" w:rsidRPr="00582F88" w14:paraId="129C974E" w14:textId="77777777" w:rsidTr="00891B32">
        <w:trPr>
          <w:cantSplit/>
        </w:trPr>
        <w:tc>
          <w:tcPr>
            <w:tcW w:w="767" w:type="pct"/>
            <w:tcBorders>
              <w:top w:val="nil"/>
              <w:bottom w:val="dotted" w:sz="4" w:space="0" w:color="auto"/>
            </w:tcBorders>
          </w:tcPr>
          <w:p w14:paraId="71596964" w14:textId="2EF40FAE"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0E2D2462"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74D96B3C" w14:textId="77777777" w:rsidR="00AD046E" w:rsidRPr="00582F88" w:rsidRDefault="00AD046E" w:rsidP="00BF13F3">
            <w:pPr>
              <w:pStyle w:val="TableText"/>
              <w:jc w:val="right"/>
              <w:rPr>
                <w:lang w:eastAsia="en-AU"/>
              </w:rPr>
            </w:pPr>
            <w:r w:rsidRPr="00582F88">
              <w:rPr>
                <w:lang w:eastAsia="en-AU"/>
              </w:rPr>
              <w:t>1.95%</w:t>
            </w:r>
          </w:p>
        </w:tc>
        <w:tc>
          <w:tcPr>
            <w:tcW w:w="679" w:type="pct"/>
            <w:tcBorders>
              <w:top w:val="nil"/>
              <w:bottom w:val="dotted" w:sz="4" w:space="0" w:color="auto"/>
            </w:tcBorders>
          </w:tcPr>
          <w:p w14:paraId="53F3E05F" w14:textId="77777777" w:rsidR="00AD046E" w:rsidRPr="00582F88" w:rsidRDefault="00AD046E" w:rsidP="00BF13F3">
            <w:pPr>
              <w:pStyle w:val="TableText"/>
              <w:jc w:val="right"/>
              <w:rPr>
                <w:lang w:eastAsia="en-AU"/>
              </w:rPr>
            </w:pPr>
            <w:r w:rsidRPr="00582F88">
              <w:rPr>
                <w:lang w:eastAsia="en-AU"/>
              </w:rPr>
              <w:t>5.06%</w:t>
            </w:r>
          </w:p>
        </w:tc>
        <w:tc>
          <w:tcPr>
            <w:tcW w:w="706" w:type="pct"/>
            <w:tcBorders>
              <w:top w:val="nil"/>
              <w:bottom w:val="dotted" w:sz="4" w:space="0" w:color="auto"/>
            </w:tcBorders>
          </w:tcPr>
          <w:p w14:paraId="4DF374DA" w14:textId="77777777" w:rsidR="00AD046E" w:rsidRPr="00582F88" w:rsidRDefault="00AD046E" w:rsidP="00BF13F3">
            <w:pPr>
              <w:pStyle w:val="TableText"/>
              <w:jc w:val="right"/>
              <w:rPr>
                <w:lang w:eastAsia="en-AU"/>
              </w:rPr>
            </w:pPr>
            <w:r w:rsidRPr="00582F88">
              <w:rPr>
                <w:lang w:eastAsia="en-AU"/>
              </w:rPr>
              <w:t>4.08%</w:t>
            </w:r>
          </w:p>
        </w:tc>
        <w:tc>
          <w:tcPr>
            <w:tcW w:w="726" w:type="pct"/>
            <w:tcBorders>
              <w:top w:val="nil"/>
              <w:bottom w:val="dotted" w:sz="4" w:space="0" w:color="auto"/>
            </w:tcBorders>
          </w:tcPr>
          <w:p w14:paraId="0FD6AEF5" w14:textId="77777777" w:rsidR="00AD046E" w:rsidRPr="00582F88" w:rsidRDefault="00AD046E" w:rsidP="00BF13F3">
            <w:pPr>
              <w:pStyle w:val="TableText"/>
              <w:jc w:val="right"/>
              <w:rPr>
                <w:lang w:eastAsia="en-AU"/>
              </w:rPr>
            </w:pPr>
            <w:r w:rsidRPr="00582F88">
              <w:rPr>
                <w:lang w:eastAsia="en-AU"/>
              </w:rPr>
              <w:t>2.48%</w:t>
            </w:r>
          </w:p>
        </w:tc>
        <w:tc>
          <w:tcPr>
            <w:tcW w:w="780" w:type="pct"/>
            <w:tcBorders>
              <w:top w:val="nil"/>
              <w:bottom w:val="dotted" w:sz="4" w:space="0" w:color="auto"/>
            </w:tcBorders>
          </w:tcPr>
          <w:p w14:paraId="3A02A5BA" w14:textId="77777777" w:rsidR="00AD046E" w:rsidRPr="00582F88" w:rsidRDefault="00AD046E" w:rsidP="00BF13F3">
            <w:pPr>
              <w:pStyle w:val="TableText"/>
              <w:jc w:val="right"/>
              <w:rPr>
                <w:lang w:eastAsia="en-AU"/>
              </w:rPr>
            </w:pPr>
            <w:r w:rsidRPr="00582F88">
              <w:rPr>
                <w:lang w:eastAsia="en-AU"/>
              </w:rPr>
              <w:t>0.65%</w:t>
            </w:r>
          </w:p>
        </w:tc>
      </w:tr>
      <w:tr w:rsidR="00AD046E" w:rsidRPr="00582F88" w14:paraId="09F37963" w14:textId="77777777" w:rsidTr="00891B32">
        <w:trPr>
          <w:cantSplit/>
        </w:trPr>
        <w:tc>
          <w:tcPr>
            <w:tcW w:w="767" w:type="pct"/>
            <w:tcBorders>
              <w:top w:val="dotted" w:sz="4" w:space="0" w:color="auto"/>
            </w:tcBorders>
          </w:tcPr>
          <w:p w14:paraId="1C6550CC" w14:textId="77777777" w:rsidR="00AD046E" w:rsidRPr="00582F88" w:rsidRDefault="00AD046E" w:rsidP="00F9205C">
            <w:pPr>
              <w:pStyle w:val="TableText"/>
              <w:rPr>
                <w:lang w:eastAsia="en-AU"/>
              </w:rPr>
            </w:pPr>
            <w:r w:rsidRPr="00582F88">
              <w:rPr>
                <w:lang w:eastAsia="en-AU"/>
              </w:rPr>
              <w:t>NT</w:t>
            </w:r>
          </w:p>
        </w:tc>
        <w:tc>
          <w:tcPr>
            <w:tcW w:w="603" w:type="pct"/>
            <w:tcBorders>
              <w:top w:val="dotted" w:sz="4" w:space="0" w:color="auto"/>
            </w:tcBorders>
          </w:tcPr>
          <w:p w14:paraId="75D96431" w14:textId="1579A9C8"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2FE5B3F2" w14:textId="77777777" w:rsidR="00AD046E" w:rsidRPr="00582F88" w:rsidRDefault="00AD046E" w:rsidP="00BF13F3">
            <w:pPr>
              <w:pStyle w:val="TableText"/>
              <w:jc w:val="right"/>
              <w:rPr>
                <w:lang w:eastAsia="en-AU"/>
              </w:rPr>
            </w:pPr>
            <w:r w:rsidRPr="00582F88">
              <w:rPr>
                <w:lang w:eastAsia="en-AU"/>
              </w:rPr>
              <w:t>484</w:t>
            </w:r>
          </w:p>
        </w:tc>
        <w:tc>
          <w:tcPr>
            <w:tcW w:w="679" w:type="pct"/>
            <w:tcBorders>
              <w:top w:val="dotted" w:sz="4" w:space="0" w:color="auto"/>
            </w:tcBorders>
          </w:tcPr>
          <w:p w14:paraId="1A352667" w14:textId="77777777" w:rsidR="00AD046E" w:rsidRPr="00582F88" w:rsidRDefault="00AD046E" w:rsidP="00BF13F3">
            <w:pPr>
              <w:pStyle w:val="TableText"/>
              <w:jc w:val="right"/>
              <w:rPr>
                <w:lang w:eastAsia="en-AU"/>
              </w:rPr>
            </w:pPr>
            <w:r w:rsidRPr="00582F88">
              <w:rPr>
                <w:lang w:eastAsia="en-AU"/>
              </w:rPr>
              <w:t>438</w:t>
            </w:r>
          </w:p>
        </w:tc>
        <w:tc>
          <w:tcPr>
            <w:tcW w:w="706" w:type="pct"/>
            <w:tcBorders>
              <w:top w:val="dotted" w:sz="4" w:space="0" w:color="auto"/>
            </w:tcBorders>
          </w:tcPr>
          <w:p w14:paraId="040F0EF2" w14:textId="77777777" w:rsidR="00AD046E" w:rsidRPr="00582F88" w:rsidRDefault="00AD046E" w:rsidP="00BF13F3">
            <w:pPr>
              <w:pStyle w:val="TableText"/>
              <w:jc w:val="right"/>
              <w:rPr>
                <w:lang w:eastAsia="en-AU"/>
              </w:rPr>
            </w:pPr>
            <w:r w:rsidRPr="00582F88">
              <w:rPr>
                <w:lang w:eastAsia="en-AU"/>
              </w:rPr>
              <w:t>67</w:t>
            </w:r>
          </w:p>
        </w:tc>
        <w:tc>
          <w:tcPr>
            <w:tcW w:w="726" w:type="pct"/>
            <w:tcBorders>
              <w:top w:val="dotted" w:sz="4" w:space="0" w:color="auto"/>
            </w:tcBorders>
          </w:tcPr>
          <w:p w14:paraId="50BCFF01" w14:textId="77777777" w:rsidR="00AD046E" w:rsidRPr="00582F88" w:rsidRDefault="00AD046E" w:rsidP="00BF13F3">
            <w:pPr>
              <w:pStyle w:val="TableText"/>
              <w:jc w:val="right"/>
              <w:rPr>
                <w:lang w:eastAsia="en-AU"/>
              </w:rPr>
            </w:pPr>
            <w:r w:rsidRPr="00582F88">
              <w:rPr>
                <w:lang w:eastAsia="en-AU"/>
              </w:rPr>
              <w:t>39</w:t>
            </w:r>
          </w:p>
        </w:tc>
        <w:tc>
          <w:tcPr>
            <w:tcW w:w="780" w:type="pct"/>
            <w:tcBorders>
              <w:top w:val="dotted" w:sz="4" w:space="0" w:color="auto"/>
            </w:tcBorders>
          </w:tcPr>
          <w:p w14:paraId="7D8F9FD4" w14:textId="77777777" w:rsidR="00AD046E" w:rsidRPr="00582F88" w:rsidRDefault="00AD046E" w:rsidP="00BF13F3">
            <w:pPr>
              <w:pStyle w:val="TableText"/>
              <w:jc w:val="right"/>
              <w:rPr>
                <w:lang w:eastAsia="en-AU"/>
              </w:rPr>
            </w:pPr>
            <w:r w:rsidRPr="00582F88">
              <w:rPr>
                <w:lang w:eastAsia="en-AU"/>
              </w:rPr>
              <w:t>202,251</w:t>
            </w:r>
          </w:p>
        </w:tc>
      </w:tr>
      <w:tr w:rsidR="00AD046E" w:rsidRPr="00582F88" w14:paraId="4543190B" w14:textId="77777777" w:rsidTr="00891B32">
        <w:trPr>
          <w:cantSplit/>
        </w:trPr>
        <w:tc>
          <w:tcPr>
            <w:tcW w:w="767" w:type="pct"/>
            <w:tcBorders>
              <w:bottom w:val="nil"/>
            </w:tcBorders>
          </w:tcPr>
          <w:p w14:paraId="5C8477B2" w14:textId="640A5196"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60F0D25C" w14:textId="4C177328"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11C30671" w14:textId="77777777" w:rsidR="00AD046E" w:rsidRPr="00582F88" w:rsidRDefault="00AD046E" w:rsidP="00BF13F3">
            <w:pPr>
              <w:pStyle w:val="TableText"/>
              <w:jc w:val="right"/>
              <w:rPr>
                <w:lang w:eastAsia="en-AU"/>
              </w:rPr>
            </w:pPr>
            <w:r w:rsidRPr="00582F88">
              <w:rPr>
                <w:lang w:eastAsia="en-AU"/>
              </w:rPr>
              <w:t>769</w:t>
            </w:r>
          </w:p>
        </w:tc>
        <w:tc>
          <w:tcPr>
            <w:tcW w:w="679" w:type="pct"/>
            <w:tcBorders>
              <w:bottom w:val="nil"/>
            </w:tcBorders>
          </w:tcPr>
          <w:p w14:paraId="01DAC990" w14:textId="77777777" w:rsidR="00AD046E" w:rsidRPr="00582F88" w:rsidRDefault="00AD046E" w:rsidP="00BF13F3">
            <w:pPr>
              <w:pStyle w:val="TableText"/>
              <w:jc w:val="right"/>
              <w:rPr>
                <w:lang w:eastAsia="en-AU"/>
              </w:rPr>
            </w:pPr>
            <w:r w:rsidRPr="00582F88">
              <w:rPr>
                <w:lang w:eastAsia="en-AU"/>
              </w:rPr>
              <w:t>993</w:t>
            </w:r>
          </w:p>
        </w:tc>
        <w:tc>
          <w:tcPr>
            <w:tcW w:w="706" w:type="pct"/>
            <w:tcBorders>
              <w:bottom w:val="nil"/>
            </w:tcBorders>
          </w:tcPr>
          <w:p w14:paraId="417348BE" w14:textId="77777777" w:rsidR="00AD046E" w:rsidRPr="00582F88" w:rsidRDefault="00AD046E" w:rsidP="00BF13F3">
            <w:pPr>
              <w:pStyle w:val="TableText"/>
              <w:jc w:val="right"/>
              <w:rPr>
                <w:lang w:eastAsia="en-AU"/>
              </w:rPr>
            </w:pPr>
            <w:r w:rsidRPr="00582F88">
              <w:rPr>
                <w:lang w:eastAsia="en-AU"/>
              </w:rPr>
              <w:t>262</w:t>
            </w:r>
          </w:p>
        </w:tc>
        <w:tc>
          <w:tcPr>
            <w:tcW w:w="726" w:type="pct"/>
            <w:tcBorders>
              <w:bottom w:val="nil"/>
            </w:tcBorders>
          </w:tcPr>
          <w:p w14:paraId="7EBA7A09" w14:textId="77777777" w:rsidR="00AD046E" w:rsidRPr="00582F88" w:rsidRDefault="00AD046E" w:rsidP="00BF13F3">
            <w:pPr>
              <w:pStyle w:val="TableText"/>
              <w:jc w:val="right"/>
              <w:rPr>
                <w:lang w:eastAsia="en-AU"/>
              </w:rPr>
            </w:pPr>
            <w:r w:rsidRPr="00582F88">
              <w:rPr>
                <w:lang w:eastAsia="en-AU"/>
              </w:rPr>
              <w:t>63</w:t>
            </w:r>
          </w:p>
        </w:tc>
        <w:tc>
          <w:tcPr>
            <w:tcW w:w="780" w:type="pct"/>
            <w:tcBorders>
              <w:bottom w:val="nil"/>
            </w:tcBorders>
          </w:tcPr>
          <w:p w14:paraId="52E8BA62" w14:textId="77777777" w:rsidR="00AD046E" w:rsidRPr="00582F88" w:rsidRDefault="00AD046E" w:rsidP="00BF13F3">
            <w:pPr>
              <w:pStyle w:val="TableText"/>
              <w:jc w:val="right"/>
              <w:rPr>
                <w:lang w:eastAsia="en-AU"/>
              </w:rPr>
            </w:pPr>
            <w:r w:rsidRPr="00582F88">
              <w:rPr>
                <w:lang w:eastAsia="en-AU"/>
              </w:rPr>
              <w:t>245,191</w:t>
            </w:r>
          </w:p>
        </w:tc>
      </w:tr>
      <w:tr w:rsidR="00AD046E" w:rsidRPr="00582F88" w14:paraId="4A12A4F6" w14:textId="77777777" w:rsidTr="00891B32">
        <w:trPr>
          <w:cantSplit/>
        </w:trPr>
        <w:tc>
          <w:tcPr>
            <w:tcW w:w="767" w:type="pct"/>
            <w:tcBorders>
              <w:top w:val="nil"/>
              <w:bottom w:val="dotted" w:sz="4" w:space="0" w:color="auto"/>
            </w:tcBorders>
          </w:tcPr>
          <w:p w14:paraId="3A2493DD" w14:textId="7AE8DD5A"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28494919"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1E860652" w14:textId="77777777" w:rsidR="00AD046E" w:rsidRPr="00582F88" w:rsidRDefault="00AD046E" w:rsidP="00BF13F3">
            <w:pPr>
              <w:pStyle w:val="TableText"/>
              <w:jc w:val="right"/>
              <w:rPr>
                <w:lang w:eastAsia="en-AU"/>
              </w:rPr>
            </w:pPr>
            <w:r w:rsidRPr="00582F88">
              <w:rPr>
                <w:lang w:eastAsia="en-AU"/>
              </w:rPr>
              <w:t>3.36%</w:t>
            </w:r>
          </w:p>
        </w:tc>
        <w:tc>
          <w:tcPr>
            <w:tcW w:w="679" w:type="pct"/>
            <w:tcBorders>
              <w:top w:val="nil"/>
              <w:bottom w:val="dotted" w:sz="4" w:space="0" w:color="auto"/>
            </w:tcBorders>
          </w:tcPr>
          <w:p w14:paraId="16AD4126" w14:textId="77777777" w:rsidR="00AD046E" w:rsidRPr="00582F88" w:rsidRDefault="00AD046E" w:rsidP="00BF13F3">
            <w:pPr>
              <w:pStyle w:val="TableText"/>
              <w:jc w:val="right"/>
              <w:rPr>
                <w:lang w:eastAsia="en-AU"/>
              </w:rPr>
            </w:pPr>
            <w:r w:rsidRPr="00582F88">
              <w:rPr>
                <w:lang w:eastAsia="en-AU"/>
              </w:rPr>
              <w:t>6.02%</w:t>
            </w:r>
          </w:p>
        </w:tc>
        <w:tc>
          <w:tcPr>
            <w:tcW w:w="706" w:type="pct"/>
            <w:tcBorders>
              <w:top w:val="nil"/>
              <w:bottom w:val="dotted" w:sz="4" w:space="0" w:color="auto"/>
            </w:tcBorders>
          </w:tcPr>
          <w:p w14:paraId="0FA8FB9D" w14:textId="77777777" w:rsidR="00AD046E" w:rsidRPr="00582F88" w:rsidRDefault="00AD046E" w:rsidP="00BF13F3">
            <w:pPr>
              <w:pStyle w:val="TableText"/>
              <w:jc w:val="right"/>
              <w:rPr>
                <w:lang w:eastAsia="en-AU"/>
              </w:rPr>
            </w:pPr>
            <w:r w:rsidRPr="00582F88">
              <w:rPr>
                <w:lang w:eastAsia="en-AU"/>
              </w:rPr>
              <w:t>10.23%</w:t>
            </w:r>
          </w:p>
        </w:tc>
        <w:tc>
          <w:tcPr>
            <w:tcW w:w="726" w:type="pct"/>
            <w:tcBorders>
              <w:top w:val="nil"/>
              <w:bottom w:val="dotted" w:sz="4" w:space="0" w:color="auto"/>
            </w:tcBorders>
          </w:tcPr>
          <w:p w14:paraId="60C98156" w14:textId="77777777" w:rsidR="00AD046E" w:rsidRPr="00582F88" w:rsidRDefault="00AD046E" w:rsidP="00BF13F3">
            <w:pPr>
              <w:pStyle w:val="TableText"/>
              <w:jc w:val="right"/>
              <w:rPr>
                <w:lang w:eastAsia="en-AU"/>
              </w:rPr>
            </w:pPr>
            <w:r w:rsidRPr="00582F88">
              <w:rPr>
                <w:lang w:eastAsia="en-AU"/>
              </w:rPr>
              <w:t>3.47%</w:t>
            </w:r>
          </w:p>
        </w:tc>
        <w:tc>
          <w:tcPr>
            <w:tcW w:w="780" w:type="pct"/>
            <w:tcBorders>
              <w:top w:val="nil"/>
              <w:bottom w:val="dotted" w:sz="4" w:space="0" w:color="auto"/>
            </w:tcBorders>
          </w:tcPr>
          <w:p w14:paraId="2D73AF23" w14:textId="77777777" w:rsidR="00AD046E" w:rsidRPr="00582F88" w:rsidRDefault="00AD046E" w:rsidP="00BF13F3">
            <w:pPr>
              <w:pStyle w:val="TableText"/>
              <w:jc w:val="right"/>
              <w:rPr>
                <w:lang w:eastAsia="en-AU"/>
              </w:rPr>
            </w:pPr>
            <w:r w:rsidRPr="00582F88">
              <w:rPr>
                <w:lang w:eastAsia="en-AU"/>
              </w:rPr>
              <w:t>1.39%</w:t>
            </w:r>
          </w:p>
        </w:tc>
      </w:tr>
      <w:tr w:rsidR="00AD046E" w:rsidRPr="00582F88" w14:paraId="3AFA5A64" w14:textId="77777777" w:rsidTr="00891B32">
        <w:trPr>
          <w:cantSplit/>
        </w:trPr>
        <w:tc>
          <w:tcPr>
            <w:tcW w:w="767" w:type="pct"/>
            <w:tcBorders>
              <w:top w:val="dotted" w:sz="4" w:space="0" w:color="auto"/>
            </w:tcBorders>
          </w:tcPr>
          <w:p w14:paraId="484F43A3" w14:textId="77777777" w:rsidR="00AD046E" w:rsidRPr="00582F88" w:rsidRDefault="00AD046E" w:rsidP="00F9205C">
            <w:pPr>
              <w:pStyle w:val="TableText"/>
              <w:rPr>
                <w:lang w:eastAsia="en-AU"/>
              </w:rPr>
            </w:pPr>
            <w:r w:rsidRPr="00582F88">
              <w:rPr>
                <w:lang w:eastAsia="en-AU"/>
              </w:rPr>
              <w:t>ACT</w:t>
            </w:r>
          </w:p>
        </w:tc>
        <w:tc>
          <w:tcPr>
            <w:tcW w:w="603" w:type="pct"/>
            <w:tcBorders>
              <w:top w:val="dotted" w:sz="4" w:space="0" w:color="auto"/>
            </w:tcBorders>
          </w:tcPr>
          <w:p w14:paraId="23E2AEFD" w14:textId="289A1D1C"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4A5FF388" w14:textId="77777777" w:rsidR="00AD046E" w:rsidRPr="00582F88" w:rsidRDefault="00AD046E" w:rsidP="00BF13F3">
            <w:pPr>
              <w:pStyle w:val="TableText"/>
              <w:jc w:val="right"/>
              <w:rPr>
                <w:lang w:eastAsia="en-AU"/>
              </w:rPr>
            </w:pPr>
            <w:r w:rsidRPr="00582F88">
              <w:rPr>
                <w:lang w:eastAsia="en-AU"/>
              </w:rPr>
              <w:t>474</w:t>
            </w:r>
          </w:p>
        </w:tc>
        <w:tc>
          <w:tcPr>
            <w:tcW w:w="679" w:type="pct"/>
            <w:tcBorders>
              <w:top w:val="dotted" w:sz="4" w:space="0" w:color="auto"/>
            </w:tcBorders>
          </w:tcPr>
          <w:p w14:paraId="5E0E7728" w14:textId="77777777" w:rsidR="00AD046E" w:rsidRPr="00582F88" w:rsidRDefault="00AD046E" w:rsidP="00BF13F3">
            <w:pPr>
              <w:pStyle w:val="TableText"/>
              <w:jc w:val="right"/>
              <w:rPr>
                <w:lang w:eastAsia="en-AU"/>
              </w:rPr>
            </w:pPr>
            <w:r w:rsidRPr="00582F88">
              <w:rPr>
                <w:lang w:eastAsia="en-AU"/>
              </w:rPr>
              <w:t>442</w:t>
            </w:r>
          </w:p>
        </w:tc>
        <w:tc>
          <w:tcPr>
            <w:tcW w:w="706" w:type="pct"/>
            <w:tcBorders>
              <w:top w:val="dotted" w:sz="4" w:space="0" w:color="auto"/>
            </w:tcBorders>
          </w:tcPr>
          <w:p w14:paraId="6BFE0FB2" w14:textId="77777777" w:rsidR="00AD046E" w:rsidRPr="00582F88" w:rsidRDefault="00AD046E" w:rsidP="00BF13F3">
            <w:pPr>
              <w:pStyle w:val="TableText"/>
              <w:jc w:val="right"/>
              <w:rPr>
                <w:lang w:eastAsia="en-AU"/>
              </w:rPr>
            </w:pPr>
            <w:r w:rsidRPr="00582F88">
              <w:rPr>
                <w:lang w:eastAsia="en-AU"/>
              </w:rPr>
              <w:t>114</w:t>
            </w:r>
          </w:p>
        </w:tc>
        <w:tc>
          <w:tcPr>
            <w:tcW w:w="726" w:type="pct"/>
            <w:tcBorders>
              <w:top w:val="dotted" w:sz="4" w:space="0" w:color="auto"/>
            </w:tcBorders>
          </w:tcPr>
          <w:p w14:paraId="0CAD1B86" w14:textId="77777777" w:rsidR="00AD046E" w:rsidRPr="00582F88" w:rsidRDefault="00AD046E" w:rsidP="00BF13F3">
            <w:pPr>
              <w:pStyle w:val="TableText"/>
              <w:jc w:val="right"/>
              <w:rPr>
                <w:lang w:eastAsia="en-AU"/>
              </w:rPr>
            </w:pPr>
            <w:r w:rsidRPr="00582F88">
              <w:rPr>
                <w:lang w:eastAsia="en-AU"/>
              </w:rPr>
              <w:t>2</w:t>
            </w:r>
          </w:p>
        </w:tc>
        <w:tc>
          <w:tcPr>
            <w:tcW w:w="780" w:type="pct"/>
            <w:tcBorders>
              <w:top w:val="dotted" w:sz="4" w:space="0" w:color="auto"/>
            </w:tcBorders>
          </w:tcPr>
          <w:p w14:paraId="6805A0E5" w14:textId="77777777" w:rsidR="00AD046E" w:rsidRPr="00582F88" w:rsidRDefault="00AD046E" w:rsidP="00BF13F3">
            <w:pPr>
              <w:pStyle w:val="TableText"/>
              <w:jc w:val="right"/>
              <w:rPr>
                <w:lang w:eastAsia="en-AU"/>
              </w:rPr>
            </w:pPr>
            <w:r w:rsidRPr="00582F88">
              <w:rPr>
                <w:lang w:eastAsia="en-AU"/>
              </w:rPr>
              <w:t>324,627</w:t>
            </w:r>
          </w:p>
        </w:tc>
      </w:tr>
      <w:tr w:rsidR="00AD046E" w:rsidRPr="00582F88" w14:paraId="333522E7" w14:textId="77777777" w:rsidTr="00891B32">
        <w:trPr>
          <w:cantSplit/>
        </w:trPr>
        <w:tc>
          <w:tcPr>
            <w:tcW w:w="767" w:type="pct"/>
            <w:tcBorders>
              <w:bottom w:val="nil"/>
            </w:tcBorders>
          </w:tcPr>
          <w:p w14:paraId="316A8911" w14:textId="5280BB2F"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bottom w:val="nil"/>
            </w:tcBorders>
          </w:tcPr>
          <w:p w14:paraId="5F1929BD" w14:textId="4E46FFC9"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Borders>
              <w:bottom w:val="nil"/>
            </w:tcBorders>
          </w:tcPr>
          <w:p w14:paraId="63632C52" w14:textId="77777777" w:rsidR="00AD046E" w:rsidRPr="00582F88" w:rsidRDefault="00AD046E" w:rsidP="00BF13F3">
            <w:pPr>
              <w:pStyle w:val="TableText"/>
              <w:jc w:val="right"/>
              <w:rPr>
                <w:lang w:eastAsia="en-AU"/>
              </w:rPr>
            </w:pPr>
            <w:r w:rsidRPr="00582F88">
              <w:rPr>
                <w:lang w:eastAsia="en-AU"/>
              </w:rPr>
              <w:t>749</w:t>
            </w:r>
          </w:p>
        </w:tc>
        <w:tc>
          <w:tcPr>
            <w:tcW w:w="679" w:type="pct"/>
            <w:tcBorders>
              <w:bottom w:val="nil"/>
            </w:tcBorders>
          </w:tcPr>
          <w:p w14:paraId="6EA83EDF" w14:textId="77777777" w:rsidR="00AD046E" w:rsidRPr="00582F88" w:rsidRDefault="00AD046E" w:rsidP="00BF13F3">
            <w:pPr>
              <w:pStyle w:val="TableText"/>
              <w:jc w:val="right"/>
              <w:rPr>
                <w:lang w:eastAsia="en-AU"/>
              </w:rPr>
            </w:pPr>
            <w:r w:rsidRPr="00582F88">
              <w:rPr>
                <w:lang w:eastAsia="en-AU"/>
              </w:rPr>
              <w:t>980</w:t>
            </w:r>
          </w:p>
        </w:tc>
        <w:tc>
          <w:tcPr>
            <w:tcW w:w="706" w:type="pct"/>
            <w:tcBorders>
              <w:bottom w:val="nil"/>
            </w:tcBorders>
          </w:tcPr>
          <w:p w14:paraId="4780DF3B" w14:textId="77777777" w:rsidR="00AD046E" w:rsidRPr="00582F88" w:rsidRDefault="00AD046E" w:rsidP="00BF13F3">
            <w:pPr>
              <w:pStyle w:val="TableText"/>
              <w:jc w:val="right"/>
              <w:rPr>
                <w:lang w:eastAsia="en-AU"/>
              </w:rPr>
            </w:pPr>
            <w:r w:rsidRPr="00582F88">
              <w:rPr>
                <w:lang w:eastAsia="en-AU"/>
              </w:rPr>
              <w:t>196</w:t>
            </w:r>
          </w:p>
        </w:tc>
        <w:tc>
          <w:tcPr>
            <w:tcW w:w="726" w:type="pct"/>
            <w:tcBorders>
              <w:bottom w:val="nil"/>
            </w:tcBorders>
          </w:tcPr>
          <w:p w14:paraId="3600BBC4" w14:textId="77777777" w:rsidR="00AD046E" w:rsidRPr="00582F88" w:rsidRDefault="00AD046E" w:rsidP="00BF13F3">
            <w:pPr>
              <w:pStyle w:val="TableText"/>
              <w:jc w:val="right"/>
              <w:rPr>
                <w:lang w:eastAsia="en-AU"/>
              </w:rPr>
            </w:pPr>
            <w:r w:rsidRPr="00582F88">
              <w:rPr>
                <w:lang w:eastAsia="en-AU"/>
              </w:rPr>
              <w:t>2</w:t>
            </w:r>
          </w:p>
        </w:tc>
        <w:tc>
          <w:tcPr>
            <w:tcW w:w="780" w:type="pct"/>
            <w:tcBorders>
              <w:bottom w:val="nil"/>
            </w:tcBorders>
          </w:tcPr>
          <w:p w14:paraId="5530262B" w14:textId="77777777" w:rsidR="00AD046E" w:rsidRPr="00582F88" w:rsidRDefault="00AD046E" w:rsidP="00BF13F3">
            <w:pPr>
              <w:pStyle w:val="TableText"/>
              <w:jc w:val="right"/>
              <w:rPr>
                <w:lang w:eastAsia="en-AU"/>
              </w:rPr>
            </w:pPr>
            <w:r w:rsidRPr="00582F88">
              <w:rPr>
                <w:lang w:eastAsia="en-AU"/>
              </w:rPr>
              <w:t>396,294</w:t>
            </w:r>
          </w:p>
        </w:tc>
      </w:tr>
      <w:tr w:rsidR="00AD046E" w:rsidRPr="00582F88" w14:paraId="14F6C25E" w14:textId="77777777" w:rsidTr="00891B32">
        <w:trPr>
          <w:cantSplit/>
        </w:trPr>
        <w:tc>
          <w:tcPr>
            <w:tcW w:w="767" w:type="pct"/>
            <w:tcBorders>
              <w:top w:val="nil"/>
              <w:bottom w:val="dotted" w:sz="4" w:space="0" w:color="auto"/>
            </w:tcBorders>
          </w:tcPr>
          <w:p w14:paraId="1888C53F" w14:textId="2F99CCB9" w:rsidR="00AD046E" w:rsidRPr="00891B32" w:rsidRDefault="00891B32" w:rsidP="00F9205C">
            <w:pPr>
              <w:pStyle w:val="TableText"/>
              <w:rPr>
                <w:color w:val="FFFFFF" w:themeColor="background1"/>
                <w:lang w:eastAsia="en-AU"/>
              </w:rPr>
            </w:pPr>
            <w:r w:rsidRPr="00891B32">
              <w:rPr>
                <w:color w:val="FFFFFF" w:themeColor="background1"/>
                <w:lang w:eastAsia="en-AU"/>
              </w:rPr>
              <w:t>.</w:t>
            </w:r>
          </w:p>
        </w:tc>
        <w:tc>
          <w:tcPr>
            <w:tcW w:w="603" w:type="pct"/>
            <w:tcBorders>
              <w:top w:val="nil"/>
              <w:bottom w:val="dotted" w:sz="4" w:space="0" w:color="auto"/>
            </w:tcBorders>
          </w:tcPr>
          <w:p w14:paraId="5203C6BF" w14:textId="77777777" w:rsidR="00AD046E" w:rsidRPr="00582F88" w:rsidRDefault="00AD046E" w:rsidP="00F9205C">
            <w:pPr>
              <w:pStyle w:val="TableText"/>
              <w:jc w:val="center"/>
              <w:rPr>
                <w:lang w:eastAsia="en-AU"/>
              </w:rPr>
            </w:pPr>
            <w:r w:rsidRPr="00582F88">
              <w:rPr>
                <w:lang w:eastAsia="en-AU"/>
              </w:rPr>
              <w:t>aagr</w:t>
            </w:r>
          </w:p>
        </w:tc>
        <w:tc>
          <w:tcPr>
            <w:tcW w:w="738" w:type="pct"/>
            <w:tcBorders>
              <w:top w:val="nil"/>
              <w:bottom w:val="dotted" w:sz="4" w:space="0" w:color="auto"/>
            </w:tcBorders>
          </w:tcPr>
          <w:p w14:paraId="75EC6473" w14:textId="77777777" w:rsidR="00AD046E" w:rsidRPr="00582F88" w:rsidRDefault="00AD046E" w:rsidP="00BF13F3">
            <w:pPr>
              <w:pStyle w:val="TableText"/>
              <w:jc w:val="right"/>
              <w:rPr>
                <w:lang w:eastAsia="en-AU"/>
              </w:rPr>
            </w:pPr>
            <w:r w:rsidRPr="00582F88">
              <w:rPr>
                <w:lang w:eastAsia="en-AU"/>
              </w:rPr>
              <w:t>3.32%</w:t>
            </w:r>
          </w:p>
        </w:tc>
        <w:tc>
          <w:tcPr>
            <w:tcW w:w="679" w:type="pct"/>
            <w:tcBorders>
              <w:top w:val="nil"/>
              <w:bottom w:val="dotted" w:sz="4" w:space="0" w:color="auto"/>
            </w:tcBorders>
          </w:tcPr>
          <w:p w14:paraId="08D69288" w14:textId="77777777" w:rsidR="00AD046E" w:rsidRPr="00582F88" w:rsidRDefault="00AD046E" w:rsidP="00BF13F3">
            <w:pPr>
              <w:pStyle w:val="TableText"/>
              <w:jc w:val="right"/>
              <w:rPr>
                <w:lang w:eastAsia="en-AU"/>
              </w:rPr>
            </w:pPr>
            <w:r w:rsidRPr="00582F88">
              <w:rPr>
                <w:lang w:eastAsia="en-AU"/>
              </w:rPr>
              <w:t>5.85%</w:t>
            </w:r>
          </w:p>
        </w:tc>
        <w:tc>
          <w:tcPr>
            <w:tcW w:w="706" w:type="pct"/>
            <w:tcBorders>
              <w:top w:val="nil"/>
              <w:bottom w:val="dotted" w:sz="4" w:space="0" w:color="auto"/>
            </w:tcBorders>
          </w:tcPr>
          <w:p w14:paraId="2AC01D89" w14:textId="77777777" w:rsidR="00AD046E" w:rsidRPr="00582F88" w:rsidRDefault="00AD046E" w:rsidP="00BF13F3">
            <w:pPr>
              <w:pStyle w:val="TableText"/>
              <w:jc w:val="right"/>
              <w:rPr>
                <w:lang w:eastAsia="en-AU"/>
              </w:rPr>
            </w:pPr>
            <w:r w:rsidRPr="00582F88">
              <w:rPr>
                <w:lang w:eastAsia="en-AU"/>
              </w:rPr>
              <w:t>3.94%</w:t>
            </w:r>
          </w:p>
        </w:tc>
        <w:tc>
          <w:tcPr>
            <w:tcW w:w="726" w:type="pct"/>
            <w:tcBorders>
              <w:top w:val="nil"/>
              <w:bottom w:val="dotted" w:sz="4" w:space="0" w:color="auto"/>
            </w:tcBorders>
          </w:tcPr>
          <w:p w14:paraId="2739D81A" w14:textId="77777777" w:rsidR="00AD046E" w:rsidRPr="00582F88" w:rsidRDefault="00AD046E" w:rsidP="00BF13F3">
            <w:pPr>
              <w:pStyle w:val="TableText"/>
              <w:jc w:val="right"/>
              <w:rPr>
                <w:lang w:eastAsia="en-AU"/>
              </w:rPr>
            </w:pPr>
            <w:r w:rsidRPr="00582F88">
              <w:rPr>
                <w:lang w:eastAsia="en-AU"/>
              </w:rPr>
              <w:t>0.34%</w:t>
            </w:r>
          </w:p>
        </w:tc>
        <w:tc>
          <w:tcPr>
            <w:tcW w:w="780" w:type="pct"/>
            <w:tcBorders>
              <w:top w:val="nil"/>
              <w:bottom w:val="dotted" w:sz="4" w:space="0" w:color="auto"/>
            </w:tcBorders>
          </w:tcPr>
          <w:p w14:paraId="71243449" w14:textId="77777777" w:rsidR="00AD046E" w:rsidRPr="00582F88" w:rsidRDefault="00AD046E" w:rsidP="00BF13F3">
            <w:pPr>
              <w:pStyle w:val="TableText"/>
              <w:jc w:val="right"/>
              <w:rPr>
                <w:lang w:eastAsia="en-AU"/>
              </w:rPr>
            </w:pPr>
            <w:r w:rsidRPr="00582F88">
              <w:rPr>
                <w:lang w:eastAsia="en-AU"/>
              </w:rPr>
              <w:t>1.44%</w:t>
            </w:r>
          </w:p>
        </w:tc>
      </w:tr>
      <w:tr w:rsidR="00AD046E" w:rsidRPr="00582F88" w14:paraId="014B123B" w14:textId="77777777" w:rsidTr="00891B32">
        <w:trPr>
          <w:cantSplit/>
        </w:trPr>
        <w:tc>
          <w:tcPr>
            <w:tcW w:w="767" w:type="pct"/>
            <w:tcBorders>
              <w:top w:val="dotted" w:sz="4" w:space="0" w:color="auto"/>
            </w:tcBorders>
          </w:tcPr>
          <w:p w14:paraId="598B4EB6" w14:textId="77777777" w:rsidR="00AD046E" w:rsidRPr="00582F88" w:rsidRDefault="00AD046E" w:rsidP="00F9205C">
            <w:pPr>
              <w:pStyle w:val="TableText"/>
              <w:rPr>
                <w:lang w:eastAsia="en-AU"/>
              </w:rPr>
            </w:pPr>
            <w:r w:rsidRPr="00582F88">
              <w:rPr>
                <w:lang w:eastAsia="en-AU"/>
              </w:rPr>
              <w:t>Totals</w:t>
            </w:r>
          </w:p>
        </w:tc>
        <w:tc>
          <w:tcPr>
            <w:tcW w:w="603" w:type="pct"/>
            <w:tcBorders>
              <w:top w:val="dotted" w:sz="4" w:space="0" w:color="auto"/>
            </w:tcBorders>
          </w:tcPr>
          <w:p w14:paraId="50578FA8" w14:textId="7C161C8E" w:rsidR="00AD046E" w:rsidRPr="00582F88" w:rsidRDefault="001A59CF" w:rsidP="00F9205C">
            <w:pPr>
              <w:pStyle w:val="TableText"/>
              <w:jc w:val="center"/>
              <w:rPr>
                <w:lang w:eastAsia="en-AU"/>
              </w:rPr>
            </w:pPr>
            <w:r w:rsidRPr="00582F88">
              <w:rPr>
                <w:lang w:eastAsia="en-AU"/>
              </w:rPr>
              <w:t>2001–</w:t>
            </w:r>
            <w:r w:rsidR="00AD046E" w:rsidRPr="00582F88">
              <w:rPr>
                <w:lang w:eastAsia="en-AU"/>
              </w:rPr>
              <w:t>02</w:t>
            </w:r>
          </w:p>
        </w:tc>
        <w:tc>
          <w:tcPr>
            <w:tcW w:w="738" w:type="pct"/>
            <w:tcBorders>
              <w:top w:val="dotted" w:sz="4" w:space="0" w:color="auto"/>
            </w:tcBorders>
          </w:tcPr>
          <w:p w14:paraId="4A2EFD51" w14:textId="179A5D8A" w:rsidR="00AD046E" w:rsidRPr="00582F88" w:rsidRDefault="00AD046E" w:rsidP="00BF13F3">
            <w:pPr>
              <w:pStyle w:val="TableText"/>
              <w:jc w:val="right"/>
              <w:rPr>
                <w:lang w:eastAsia="en-AU"/>
              </w:rPr>
            </w:pPr>
            <w:r w:rsidRPr="00582F88">
              <w:rPr>
                <w:lang w:eastAsia="en-AU"/>
              </w:rPr>
              <w:t>39</w:t>
            </w:r>
            <w:r w:rsidR="0078617F">
              <w:rPr>
                <w:lang w:eastAsia="en-AU"/>
              </w:rPr>
              <w:t>,</w:t>
            </w:r>
            <w:r w:rsidRPr="00582F88">
              <w:rPr>
                <w:lang w:eastAsia="en-AU"/>
              </w:rPr>
              <w:t>673</w:t>
            </w:r>
          </w:p>
        </w:tc>
        <w:tc>
          <w:tcPr>
            <w:tcW w:w="679" w:type="pct"/>
            <w:tcBorders>
              <w:top w:val="dotted" w:sz="4" w:space="0" w:color="auto"/>
            </w:tcBorders>
          </w:tcPr>
          <w:p w14:paraId="07B8EBBD" w14:textId="77777777" w:rsidR="00AD046E" w:rsidRPr="00582F88" w:rsidRDefault="00AD046E" w:rsidP="00BF13F3">
            <w:pPr>
              <w:pStyle w:val="TableText"/>
              <w:jc w:val="right"/>
              <w:rPr>
                <w:lang w:eastAsia="en-AU"/>
              </w:rPr>
            </w:pPr>
            <w:r w:rsidRPr="00582F88">
              <w:rPr>
                <w:lang w:eastAsia="en-AU"/>
              </w:rPr>
              <w:t>51,972</w:t>
            </w:r>
          </w:p>
        </w:tc>
        <w:tc>
          <w:tcPr>
            <w:tcW w:w="706" w:type="pct"/>
            <w:tcBorders>
              <w:top w:val="dotted" w:sz="4" w:space="0" w:color="auto"/>
            </w:tcBorders>
          </w:tcPr>
          <w:p w14:paraId="5C3866EF" w14:textId="77777777" w:rsidR="00AD046E" w:rsidRPr="00582F88" w:rsidRDefault="00AD046E" w:rsidP="00BF13F3">
            <w:pPr>
              <w:pStyle w:val="TableText"/>
              <w:jc w:val="right"/>
              <w:rPr>
                <w:lang w:eastAsia="en-AU"/>
              </w:rPr>
            </w:pPr>
            <w:r w:rsidRPr="00582F88">
              <w:rPr>
                <w:lang w:eastAsia="en-AU"/>
              </w:rPr>
              <w:t>75,647</w:t>
            </w:r>
          </w:p>
        </w:tc>
        <w:tc>
          <w:tcPr>
            <w:tcW w:w="726" w:type="pct"/>
            <w:tcBorders>
              <w:top w:val="dotted" w:sz="4" w:space="0" w:color="auto"/>
            </w:tcBorders>
          </w:tcPr>
          <w:p w14:paraId="7AD1BE48" w14:textId="77777777" w:rsidR="00AD046E" w:rsidRPr="00582F88" w:rsidRDefault="00AD046E" w:rsidP="00BF13F3">
            <w:pPr>
              <w:pStyle w:val="TableText"/>
              <w:jc w:val="right"/>
              <w:rPr>
                <w:lang w:eastAsia="en-AU"/>
              </w:rPr>
            </w:pPr>
            <w:r w:rsidRPr="00582F88">
              <w:rPr>
                <w:lang w:eastAsia="en-AU"/>
              </w:rPr>
              <w:t>4,032</w:t>
            </w:r>
          </w:p>
        </w:tc>
        <w:tc>
          <w:tcPr>
            <w:tcW w:w="780" w:type="pct"/>
            <w:tcBorders>
              <w:top w:val="dotted" w:sz="4" w:space="0" w:color="auto"/>
            </w:tcBorders>
          </w:tcPr>
          <w:p w14:paraId="5B7DB9BB" w14:textId="77777777" w:rsidR="00AD046E" w:rsidRPr="00582F88" w:rsidRDefault="00AD046E" w:rsidP="00BF13F3">
            <w:pPr>
              <w:pStyle w:val="TableText"/>
              <w:jc w:val="right"/>
              <w:rPr>
                <w:lang w:eastAsia="en-AU"/>
              </w:rPr>
            </w:pPr>
            <w:r w:rsidRPr="00582F88">
              <w:rPr>
                <w:lang w:eastAsia="en-AU"/>
              </w:rPr>
              <w:t>19,495,210</w:t>
            </w:r>
          </w:p>
        </w:tc>
      </w:tr>
      <w:tr w:rsidR="00AD046E" w:rsidRPr="00582F88" w14:paraId="4F4F9BBC" w14:textId="77777777" w:rsidTr="00891B32">
        <w:trPr>
          <w:cantSplit/>
        </w:trPr>
        <w:tc>
          <w:tcPr>
            <w:tcW w:w="767" w:type="pct"/>
          </w:tcPr>
          <w:p w14:paraId="38070600" w14:textId="3A4F9618" w:rsidR="00AD046E" w:rsidRPr="00891B32" w:rsidRDefault="00891B32" w:rsidP="00891B32">
            <w:pPr>
              <w:pStyle w:val="TableText"/>
              <w:rPr>
                <w:color w:val="FFFFFF" w:themeColor="background1"/>
                <w:lang w:eastAsia="en-AU"/>
              </w:rPr>
            </w:pPr>
            <w:r w:rsidRPr="00891B32">
              <w:rPr>
                <w:color w:val="FFFFFF" w:themeColor="background1"/>
                <w:lang w:eastAsia="en-AU"/>
              </w:rPr>
              <w:t>.</w:t>
            </w:r>
          </w:p>
        </w:tc>
        <w:tc>
          <w:tcPr>
            <w:tcW w:w="603" w:type="pct"/>
          </w:tcPr>
          <w:p w14:paraId="007DFA0F" w14:textId="193A3045" w:rsidR="00AD046E" w:rsidRPr="00582F88" w:rsidRDefault="001A59CF" w:rsidP="00F9205C">
            <w:pPr>
              <w:pStyle w:val="TableText"/>
              <w:jc w:val="center"/>
              <w:rPr>
                <w:lang w:eastAsia="en-AU"/>
              </w:rPr>
            </w:pPr>
            <w:r w:rsidRPr="00582F88">
              <w:rPr>
                <w:lang w:eastAsia="en-AU"/>
              </w:rPr>
              <w:t>2015–</w:t>
            </w:r>
            <w:r w:rsidR="00AD046E" w:rsidRPr="00582F88">
              <w:rPr>
                <w:lang w:eastAsia="en-AU"/>
              </w:rPr>
              <w:t>16</w:t>
            </w:r>
          </w:p>
        </w:tc>
        <w:tc>
          <w:tcPr>
            <w:tcW w:w="738" w:type="pct"/>
          </w:tcPr>
          <w:p w14:paraId="7BEEB809" w14:textId="77777777" w:rsidR="00AD046E" w:rsidRPr="00582F88" w:rsidRDefault="00AD046E" w:rsidP="00BF13F3">
            <w:pPr>
              <w:pStyle w:val="TableText"/>
              <w:jc w:val="right"/>
              <w:rPr>
                <w:lang w:eastAsia="en-AU"/>
              </w:rPr>
            </w:pPr>
            <w:r w:rsidRPr="00582F88">
              <w:rPr>
                <w:lang w:eastAsia="en-AU"/>
              </w:rPr>
              <w:t>63,285</w:t>
            </w:r>
          </w:p>
        </w:tc>
        <w:tc>
          <w:tcPr>
            <w:tcW w:w="679" w:type="pct"/>
          </w:tcPr>
          <w:p w14:paraId="10172005" w14:textId="77777777" w:rsidR="00AD046E" w:rsidRPr="00582F88" w:rsidRDefault="00AD046E" w:rsidP="00BF13F3">
            <w:pPr>
              <w:pStyle w:val="TableText"/>
              <w:jc w:val="right"/>
              <w:rPr>
                <w:lang w:eastAsia="en-AU"/>
              </w:rPr>
            </w:pPr>
            <w:r w:rsidRPr="00582F88">
              <w:rPr>
                <w:lang w:eastAsia="en-AU"/>
              </w:rPr>
              <w:t>96,073</w:t>
            </w:r>
          </w:p>
        </w:tc>
        <w:tc>
          <w:tcPr>
            <w:tcW w:w="706" w:type="pct"/>
          </w:tcPr>
          <w:p w14:paraId="62340A4D" w14:textId="77777777" w:rsidR="00AD046E" w:rsidRPr="00582F88" w:rsidRDefault="00AD046E" w:rsidP="00BF13F3">
            <w:pPr>
              <w:pStyle w:val="TableText"/>
              <w:jc w:val="right"/>
              <w:rPr>
                <w:lang w:eastAsia="en-AU"/>
              </w:rPr>
            </w:pPr>
            <w:r w:rsidRPr="00582F88">
              <w:rPr>
                <w:lang w:eastAsia="en-AU"/>
              </w:rPr>
              <w:t>119,131</w:t>
            </w:r>
          </w:p>
        </w:tc>
        <w:tc>
          <w:tcPr>
            <w:tcW w:w="726" w:type="pct"/>
          </w:tcPr>
          <w:p w14:paraId="017C0571" w14:textId="77777777" w:rsidR="00AD046E" w:rsidRPr="00582F88" w:rsidRDefault="00AD046E" w:rsidP="00BF13F3">
            <w:pPr>
              <w:pStyle w:val="TableText"/>
              <w:jc w:val="right"/>
              <w:rPr>
                <w:lang w:eastAsia="en-AU"/>
              </w:rPr>
            </w:pPr>
            <w:r w:rsidRPr="00582F88">
              <w:rPr>
                <w:lang w:eastAsia="en-AU"/>
              </w:rPr>
              <w:t>3,387</w:t>
            </w:r>
          </w:p>
        </w:tc>
        <w:tc>
          <w:tcPr>
            <w:tcW w:w="780" w:type="pct"/>
          </w:tcPr>
          <w:p w14:paraId="0DE96EE2" w14:textId="77777777" w:rsidR="00AD046E" w:rsidRPr="00582F88" w:rsidRDefault="00AD046E" w:rsidP="00BF13F3">
            <w:pPr>
              <w:pStyle w:val="TableText"/>
              <w:jc w:val="right"/>
              <w:rPr>
                <w:lang w:eastAsia="en-AU"/>
              </w:rPr>
            </w:pPr>
            <w:r w:rsidRPr="00582F88">
              <w:rPr>
                <w:lang w:eastAsia="en-AU"/>
              </w:rPr>
              <w:t>24,128,876</w:t>
            </w:r>
          </w:p>
        </w:tc>
      </w:tr>
      <w:tr w:rsidR="00AD046E" w:rsidRPr="00582F88" w14:paraId="10F5EFE5" w14:textId="77777777" w:rsidTr="00891B32">
        <w:trPr>
          <w:cantSplit/>
        </w:trPr>
        <w:tc>
          <w:tcPr>
            <w:tcW w:w="767" w:type="pct"/>
          </w:tcPr>
          <w:p w14:paraId="3C165327" w14:textId="1A3DFC19" w:rsidR="00AD046E" w:rsidRPr="00891B32" w:rsidRDefault="00891B32" w:rsidP="00891B32">
            <w:pPr>
              <w:pStyle w:val="TableText"/>
              <w:rPr>
                <w:color w:val="FFFFFF" w:themeColor="background1"/>
                <w:lang w:eastAsia="en-AU"/>
              </w:rPr>
            </w:pPr>
            <w:r w:rsidRPr="00891B32">
              <w:rPr>
                <w:color w:val="FFFFFF" w:themeColor="background1"/>
                <w:lang w:eastAsia="en-AU"/>
              </w:rPr>
              <w:t>.</w:t>
            </w:r>
          </w:p>
        </w:tc>
        <w:tc>
          <w:tcPr>
            <w:tcW w:w="603" w:type="pct"/>
          </w:tcPr>
          <w:p w14:paraId="3F80C4DA" w14:textId="77777777" w:rsidR="00AD046E" w:rsidRPr="00582F88" w:rsidRDefault="00AD046E" w:rsidP="00F9205C">
            <w:pPr>
              <w:pStyle w:val="TableText"/>
              <w:jc w:val="center"/>
              <w:rPr>
                <w:lang w:eastAsia="en-AU"/>
              </w:rPr>
            </w:pPr>
            <w:r w:rsidRPr="00582F88">
              <w:rPr>
                <w:lang w:eastAsia="en-AU"/>
              </w:rPr>
              <w:t>aagr</w:t>
            </w:r>
          </w:p>
        </w:tc>
        <w:tc>
          <w:tcPr>
            <w:tcW w:w="738" w:type="pct"/>
          </w:tcPr>
          <w:p w14:paraId="4A0CB630" w14:textId="77777777" w:rsidR="00AD046E" w:rsidRPr="00582F88" w:rsidRDefault="00AD046E" w:rsidP="00BF13F3">
            <w:pPr>
              <w:pStyle w:val="TableText"/>
              <w:jc w:val="right"/>
              <w:rPr>
                <w:lang w:eastAsia="en-AU"/>
              </w:rPr>
            </w:pPr>
            <w:r w:rsidRPr="00582F88">
              <w:rPr>
                <w:lang w:eastAsia="en-AU"/>
              </w:rPr>
              <w:t>3.39%</w:t>
            </w:r>
          </w:p>
        </w:tc>
        <w:tc>
          <w:tcPr>
            <w:tcW w:w="679" w:type="pct"/>
          </w:tcPr>
          <w:p w14:paraId="64B624DB" w14:textId="77777777" w:rsidR="00AD046E" w:rsidRPr="00582F88" w:rsidRDefault="00AD046E" w:rsidP="00BF13F3">
            <w:pPr>
              <w:pStyle w:val="TableText"/>
              <w:jc w:val="right"/>
              <w:rPr>
                <w:lang w:eastAsia="en-AU"/>
              </w:rPr>
            </w:pPr>
            <w:r w:rsidRPr="00582F88">
              <w:rPr>
                <w:lang w:eastAsia="en-AU"/>
              </w:rPr>
              <w:t>4.49%</w:t>
            </w:r>
          </w:p>
        </w:tc>
        <w:tc>
          <w:tcPr>
            <w:tcW w:w="706" w:type="pct"/>
          </w:tcPr>
          <w:p w14:paraId="3AB0C218" w14:textId="77777777" w:rsidR="00AD046E" w:rsidRPr="00582F88" w:rsidRDefault="00AD046E" w:rsidP="00BF13F3">
            <w:pPr>
              <w:pStyle w:val="TableText"/>
              <w:jc w:val="right"/>
              <w:rPr>
                <w:lang w:eastAsia="en-AU"/>
              </w:rPr>
            </w:pPr>
            <w:r w:rsidRPr="00582F88">
              <w:rPr>
                <w:lang w:eastAsia="en-AU"/>
              </w:rPr>
              <w:t>3.30%</w:t>
            </w:r>
          </w:p>
        </w:tc>
        <w:tc>
          <w:tcPr>
            <w:tcW w:w="726" w:type="pct"/>
          </w:tcPr>
          <w:p w14:paraId="2A12F913" w14:textId="77777777" w:rsidR="00AD046E" w:rsidRPr="00582F88" w:rsidRDefault="00AD046E" w:rsidP="00BF13F3">
            <w:pPr>
              <w:pStyle w:val="TableText"/>
              <w:jc w:val="right"/>
              <w:rPr>
                <w:lang w:eastAsia="en-AU"/>
              </w:rPr>
            </w:pPr>
            <w:r w:rsidRPr="00582F88">
              <w:rPr>
                <w:lang w:eastAsia="en-AU"/>
              </w:rPr>
              <w:t>-1.24%</w:t>
            </w:r>
          </w:p>
        </w:tc>
        <w:tc>
          <w:tcPr>
            <w:tcW w:w="780" w:type="pct"/>
          </w:tcPr>
          <w:p w14:paraId="34EA0606" w14:textId="77777777" w:rsidR="00AD046E" w:rsidRPr="00582F88" w:rsidRDefault="00AD046E" w:rsidP="00BF13F3">
            <w:pPr>
              <w:pStyle w:val="TableText"/>
              <w:jc w:val="right"/>
              <w:rPr>
                <w:lang w:eastAsia="en-AU"/>
              </w:rPr>
            </w:pPr>
            <w:r w:rsidRPr="00582F88">
              <w:rPr>
                <w:lang w:eastAsia="en-AU"/>
              </w:rPr>
              <w:t>1.54%</w:t>
            </w:r>
          </w:p>
        </w:tc>
      </w:tr>
    </w:tbl>
    <w:p w14:paraId="4600E441" w14:textId="464DAF5F" w:rsidR="00AD046E" w:rsidRPr="00A834EA" w:rsidRDefault="00AD046E" w:rsidP="00A834EA">
      <w:pPr>
        <w:pStyle w:val="FigureTableNoteSource"/>
        <w:rPr>
          <w:lang w:eastAsia="ja-JP"/>
        </w:rPr>
      </w:pPr>
      <w:r w:rsidRPr="00A834EA">
        <w:rPr>
          <w:lang w:eastAsia="ja-JP"/>
        </w:rPr>
        <w:t>Expenditure figures converted to 2001–02 dollars using CPI. aagr</w:t>
      </w:r>
      <w:r w:rsidR="00496916">
        <w:rPr>
          <w:lang w:eastAsia="ja-JP"/>
        </w:rPr>
        <w:t>:</w:t>
      </w:r>
      <w:r w:rsidRPr="00A834EA">
        <w:rPr>
          <w:lang w:eastAsia="ja-JP"/>
        </w:rPr>
        <w:t xml:space="preserve"> average annual growth rate; compound method (CAGR) used to calculate expenditure percentage, and average method (AAGR) used to calculate population percentage.</w:t>
      </w:r>
    </w:p>
    <w:p w14:paraId="2B417711" w14:textId="3B427AEB" w:rsidR="00AD046E" w:rsidRDefault="00AD046E" w:rsidP="00A834EA">
      <w:pPr>
        <w:pStyle w:val="FigureTableNoteSource"/>
        <w:rPr>
          <w:lang w:eastAsia="ja-JP"/>
        </w:rPr>
      </w:pPr>
      <w:r w:rsidRPr="00A834EA">
        <w:rPr>
          <w:lang w:eastAsia="ja-JP"/>
        </w:rPr>
        <w:t>Source:</w:t>
      </w:r>
      <w:r w:rsidRPr="00AD046E">
        <w:rPr>
          <w:b/>
          <w:lang w:eastAsia="ja-JP"/>
        </w:rPr>
        <w:t xml:space="preserve"> </w:t>
      </w:r>
      <w:r w:rsidRPr="00AD046E">
        <w:rPr>
          <w:lang w:eastAsia="ja-JP"/>
        </w:rPr>
        <w:t>ABS Cat</w:t>
      </w:r>
      <w:r w:rsidR="002A746B">
        <w:rPr>
          <w:lang w:eastAsia="ja-JP"/>
        </w:rPr>
        <w:t>. No.</w:t>
      </w:r>
      <w:r w:rsidRPr="00AD046E">
        <w:rPr>
          <w:lang w:eastAsia="ja-JP"/>
        </w:rPr>
        <w:t xml:space="preserve"> 5512.0 Government Finance Statistics (2015–16 release) and ABS</w:t>
      </w:r>
      <w:r w:rsidR="002A746B">
        <w:rPr>
          <w:lang w:eastAsia="ja-JP"/>
        </w:rPr>
        <w:t xml:space="preserve"> Cat. No.</w:t>
      </w:r>
      <w:r w:rsidRPr="00AD046E">
        <w:rPr>
          <w:lang w:eastAsia="ja-JP"/>
        </w:rPr>
        <w:t xml:space="preserve"> 3101.0 Australian Demographic Statistics (September 2016 release).</w:t>
      </w:r>
    </w:p>
    <w:p w14:paraId="40A65890" w14:textId="15A9DD68" w:rsidR="00C8060F" w:rsidRPr="001D4159" w:rsidRDefault="00F8734A" w:rsidP="00C8060F">
      <w:pPr>
        <w:rPr>
          <w:rFonts w:eastAsia="Calibri" w:cs="Times New Roman"/>
          <w:lang w:eastAsia="ja-JP"/>
        </w:rPr>
      </w:pPr>
      <w:r>
        <w:rPr>
          <w:rFonts w:eastAsia="Calibri" w:cs="Times New Roman"/>
          <w:lang w:eastAsia="ja-JP"/>
        </w:rPr>
        <w:t>T</w:t>
      </w:r>
      <w:r w:rsidR="00C8060F" w:rsidRPr="001D4159">
        <w:rPr>
          <w:rFonts w:eastAsia="Calibri" w:cs="Times New Roman"/>
          <w:lang w:eastAsia="ja-JP"/>
        </w:rPr>
        <w:t xml:space="preserve">he </w:t>
      </w:r>
      <w:r w:rsidR="005E5A35">
        <w:rPr>
          <w:rFonts w:eastAsia="Calibri" w:cs="Times New Roman"/>
          <w:lang w:eastAsia="ja-JP"/>
        </w:rPr>
        <w:t>p</w:t>
      </w:r>
      <w:r w:rsidR="00C8060F" w:rsidRPr="001D4159">
        <w:rPr>
          <w:rFonts w:eastAsia="Calibri" w:cs="Times New Roman"/>
          <w:lang w:eastAsia="ja-JP"/>
        </w:rPr>
        <w:t>anel acknowledges that the ABS data needs to be understood in the context of key policy decisions by governments during the period. As noted above, several jurisdictions have also increased spending on biosecurity since 2014–15 following various reviews.</w:t>
      </w:r>
    </w:p>
    <w:p w14:paraId="63E045AF" w14:textId="54B218D1" w:rsidR="006926FB" w:rsidRDefault="00C8060F" w:rsidP="00AD38D1">
      <w:pPr>
        <w:rPr>
          <w:rFonts w:eastAsia="Calibri" w:cs="Times New Roman"/>
          <w:lang w:eastAsia="ja-JP"/>
        </w:rPr>
      </w:pPr>
      <w:r w:rsidRPr="001D4159">
        <w:rPr>
          <w:rFonts w:eastAsia="Calibri" w:cs="Times New Roman"/>
          <w:lang w:eastAsia="ja-JP"/>
        </w:rPr>
        <w:t>The overall decline in general government expenditure on agriculture, fisheries and forestry should also be viewed in the context of the significant growth in merchandise imports (</w:t>
      </w:r>
      <w:r w:rsidR="006670BE">
        <w:rPr>
          <w:rFonts w:eastAsia="Calibri" w:cs="Times New Roman"/>
          <w:lang w:eastAsia="ja-JP"/>
        </w:rPr>
        <w:fldChar w:fldCharType="begin"/>
      </w:r>
      <w:r w:rsidR="006670BE">
        <w:rPr>
          <w:rFonts w:eastAsia="Calibri" w:cs="Times New Roman"/>
          <w:lang w:eastAsia="ja-JP"/>
        </w:rPr>
        <w:instrText xml:space="preserve"> REF _Ref482775881 \h </w:instrText>
      </w:r>
      <w:r w:rsidR="006670BE">
        <w:rPr>
          <w:rFonts w:eastAsia="Calibri" w:cs="Times New Roman"/>
          <w:lang w:eastAsia="ja-JP"/>
        </w:rPr>
      </w:r>
      <w:r w:rsidR="006670BE">
        <w:rPr>
          <w:rFonts w:eastAsia="Calibri" w:cs="Times New Roman"/>
          <w:lang w:eastAsia="ja-JP"/>
        </w:rPr>
        <w:fldChar w:fldCharType="separate"/>
      </w:r>
      <w:r w:rsidR="009F6923">
        <w:t xml:space="preserve">Figure </w:t>
      </w:r>
      <w:r w:rsidR="009F6923">
        <w:rPr>
          <w:noProof/>
        </w:rPr>
        <w:t>9</w:t>
      </w:r>
      <w:r w:rsidR="006670BE">
        <w:rPr>
          <w:rFonts w:eastAsia="Calibri" w:cs="Times New Roman"/>
          <w:lang w:eastAsia="ja-JP"/>
        </w:rPr>
        <w:fldChar w:fldCharType="end"/>
      </w:r>
      <w:r w:rsidRPr="001D4159">
        <w:rPr>
          <w:rFonts w:eastAsia="Calibri" w:cs="Times New Roman"/>
          <w:lang w:eastAsia="ja-JP"/>
        </w:rPr>
        <w:t>), container movements and inbound tourism</w:t>
      </w:r>
      <w:r w:rsidR="002D25FB">
        <w:rPr>
          <w:rFonts w:eastAsia="Calibri" w:cs="Times New Roman"/>
          <w:lang w:eastAsia="ja-JP"/>
        </w:rPr>
        <w:t xml:space="preserve"> (</w:t>
      </w:r>
      <w:hyperlink w:anchor="_Australia’s_biosecurity_system" w:history="1">
        <w:r w:rsidRPr="002D25FB">
          <w:rPr>
            <w:rStyle w:val="Hyperlink"/>
            <w:rFonts w:eastAsia="Calibri" w:cs="Times New Roman"/>
            <w:lang w:eastAsia="ja-JP"/>
          </w:rPr>
          <w:t>Chapter 1</w:t>
        </w:r>
      </w:hyperlink>
      <w:r w:rsidR="002D25FB">
        <w:rPr>
          <w:rFonts w:eastAsia="Calibri" w:cs="Times New Roman"/>
          <w:lang w:eastAsia="ja-JP"/>
        </w:rPr>
        <w:t>)</w:t>
      </w:r>
      <w:r w:rsidRPr="001D4159">
        <w:rPr>
          <w:rFonts w:eastAsia="Calibri" w:cs="Times New Roman"/>
          <w:lang w:eastAsia="ja-JP"/>
        </w:rPr>
        <w:t xml:space="preserve">, </w:t>
      </w:r>
      <w:r w:rsidR="002D25FB">
        <w:rPr>
          <w:rFonts w:eastAsia="Calibri" w:cs="Times New Roman"/>
          <w:lang w:eastAsia="ja-JP"/>
        </w:rPr>
        <w:t>which</w:t>
      </w:r>
      <w:r w:rsidR="00967D78" w:rsidRPr="001D4159">
        <w:rPr>
          <w:rFonts w:eastAsia="Calibri" w:cs="Times New Roman"/>
          <w:lang w:eastAsia="ja-JP"/>
        </w:rPr>
        <w:t xml:space="preserve"> will contribute to significant shifts in biosecurity risks into the future</w:t>
      </w:r>
      <w:r w:rsidR="006926FB">
        <w:rPr>
          <w:rFonts w:eastAsia="Calibri" w:cs="Times New Roman"/>
          <w:lang w:eastAsia="ja-JP"/>
        </w:rPr>
        <w:t>.</w:t>
      </w:r>
    </w:p>
    <w:p w14:paraId="0D25BC9F" w14:textId="67B326F6" w:rsidR="00573CCC" w:rsidRDefault="00573CCC" w:rsidP="00573CCC">
      <w:pPr>
        <w:pStyle w:val="Caption"/>
        <w:rPr>
          <w:lang w:eastAsia="ja-JP"/>
        </w:rPr>
      </w:pPr>
      <w:bookmarkStart w:id="161" w:name="_Ref482775881"/>
      <w:r>
        <w:lastRenderedPageBreak/>
        <w:t xml:space="preserve">Figure </w:t>
      </w:r>
      <w:fldSimple w:instr=" SEQ Figure \* ARABIC ">
        <w:r w:rsidR="009F6923">
          <w:rPr>
            <w:noProof/>
          </w:rPr>
          <w:t>9</w:t>
        </w:r>
      </w:fldSimple>
      <w:bookmarkEnd w:id="161"/>
      <w:r>
        <w:t xml:space="preserve"> </w:t>
      </w:r>
      <w:r w:rsidRPr="00AD38D1">
        <w:t xml:space="preserve">Selected general government expenditure (all levels of government) and other economic information 2001–02 to </w:t>
      </w:r>
      <w:r w:rsidRPr="009C1034">
        <w:t>2015–16</w:t>
      </w:r>
      <w:r w:rsidRPr="00AD38D1">
        <w:t xml:space="preserve"> ($ billion, real terms)</w:t>
      </w:r>
    </w:p>
    <w:p w14:paraId="7A7317E4" w14:textId="784B30D3" w:rsidR="006A37B5" w:rsidRDefault="00676D53" w:rsidP="006E71F6">
      <w:pPr>
        <w:pStyle w:val="Picture"/>
        <w:rPr>
          <w:lang w:eastAsia="ja-JP"/>
        </w:rPr>
      </w:pPr>
      <w:r>
        <w:drawing>
          <wp:inline distT="0" distB="0" distL="0" distR="0" wp14:anchorId="122A1E17" wp14:editId="2497CE3A">
            <wp:extent cx="5807123" cy="3062355"/>
            <wp:effectExtent l="0" t="0" r="3175" b="5080"/>
            <wp:docPr id="22" name="Picture 22" descr="Shows in real terms (2001–02 dollars) the growth in general government expenditure between 2001–02 and 2015–16 in the portfolio areas of social security &amp; welfare, health, and education; and the static/declining expenditure in the agriculture, fisheries and forestry portfolio over this period. Over the same period, the value of merchandise imports into Australia has increased, and the gross value of agriculture, fisheries and forestry production has remained relatively constant (trending upward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8688" cy="3068454"/>
                    </a:xfrm>
                    <a:prstGeom prst="rect">
                      <a:avLst/>
                    </a:prstGeom>
                    <a:noFill/>
                  </pic:spPr>
                </pic:pic>
              </a:graphicData>
            </a:graphic>
          </wp:inline>
        </w:drawing>
      </w:r>
    </w:p>
    <w:p w14:paraId="16A24DCE" w14:textId="078E1185" w:rsidR="002A6161" w:rsidRDefault="005E5A35" w:rsidP="00F432FE">
      <w:pPr>
        <w:pStyle w:val="FigureTableNoteSource"/>
        <w:rPr>
          <w:lang w:eastAsia="en-AU"/>
        </w:rPr>
      </w:pPr>
      <w:r>
        <w:rPr>
          <w:lang w:eastAsia="en-AU"/>
        </w:rPr>
        <w:t>GVP: Gross Value of Production</w:t>
      </w:r>
      <w:r w:rsidR="002A6161">
        <w:rPr>
          <w:lang w:eastAsia="en-AU"/>
        </w:rPr>
        <w:t>.</w:t>
      </w:r>
    </w:p>
    <w:p w14:paraId="5439AF33" w14:textId="497167B9" w:rsidR="00967D78" w:rsidRPr="00967D78" w:rsidRDefault="00967D78" w:rsidP="00F432FE">
      <w:pPr>
        <w:pStyle w:val="FigureTableNoteSource"/>
        <w:rPr>
          <w:rFonts w:eastAsia="Times New Roman" w:cs="Times New Roman"/>
          <w:lang w:eastAsia="en-AU"/>
        </w:rPr>
      </w:pPr>
      <w:r w:rsidRPr="001D4159">
        <w:rPr>
          <w:lang w:eastAsia="en-AU"/>
        </w:rPr>
        <w:t>Source: ABS Cat. No. 5512 general government expenditure (2015–16 release). GVP information from ABARES. Merchandise imports from DFAT Jan. 2017 Composition of Trade statistics.</w:t>
      </w:r>
      <w:r w:rsidR="005E5A35">
        <w:rPr>
          <w:lang w:eastAsia="en-AU"/>
        </w:rPr>
        <w:t xml:space="preserve"> Figures converted to 2001–02 dollars using CPI.</w:t>
      </w:r>
    </w:p>
    <w:p w14:paraId="75697050" w14:textId="39F0D79B" w:rsidR="00D24C39" w:rsidRDefault="00D24C39" w:rsidP="006C644B">
      <w:pPr>
        <w:rPr>
          <w:lang w:eastAsia="ja-JP"/>
        </w:rPr>
      </w:pPr>
      <w:r w:rsidRPr="00D24C39">
        <w:rPr>
          <w:lang w:eastAsia="ja-JP"/>
        </w:rPr>
        <w:t xml:space="preserve">In addition, the </w:t>
      </w:r>
      <w:r w:rsidR="00CC5809">
        <w:rPr>
          <w:lang w:eastAsia="ja-JP"/>
        </w:rPr>
        <w:t>p</w:t>
      </w:r>
      <w:r w:rsidRPr="00D24C39">
        <w:rPr>
          <w:lang w:eastAsia="ja-JP"/>
        </w:rPr>
        <w:t>anel was also provided with access to the results from the national stocktake of biosecurity investment for 2013–14, 2014</w:t>
      </w:r>
      <w:r>
        <w:rPr>
          <w:lang w:eastAsia="ja-JP"/>
        </w:rPr>
        <w:t>–</w:t>
      </w:r>
      <w:r w:rsidRPr="00D24C39">
        <w:rPr>
          <w:lang w:eastAsia="ja-JP"/>
        </w:rPr>
        <w:t>15 and 2015–16. While the detailed stocktake results are confidential, the results from these stocktakes are consistent with</w:t>
      </w:r>
      <w:r w:rsidR="00CC5809">
        <w:rPr>
          <w:lang w:eastAsia="ja-JP"/>
        </w:rPr>
        <w:t xml:space="preserve"> the information outlined above—</w:t>
      </w:r>
      <w:r w:rsidRPr="00D24C39">
        <w:rPr>
          <w:lang w:eastAsia="ja-JP"/>
        </w:rPr>
        <w:t>namely</w:t>
      </w:r>
      <w:r w:rsidR="00CC5809">
        <w:rPr>
          <w:lang w:eastAsia="ja-JP"/>
        </w:rPr>
        <w:t>,</w:t>
      </w:r>
      <w:r w:rsidRPr="00D24C39">
        <w:rPr>
          <w:lang w:eastAsia="ja-JP"/>
        </w:rPr>
        <w:t xml:space="preserve"> that government appropriations declined over the period and were offset by an even larger increase in ‘externally’ sourced funds (for more on the national stocktake of biosecurity investment see </w:t>
      </w:r>
      <w:hyperlink w:anchor="_Jurisdiction:_The_national" w:history="1">
        <w:r w:rsidRPr="006670BE">
          <w:rPr>
            <w:rStyle w:val="Hyperlink"/>
            <w:lang w:eastAsia="ja-JP"/>
          </w:rPr>
          <w:t>section 8.2.3</w:t>
        </w:r>
      </w:hyperlink>
      <w:r w:rsidRPr="00D24C39">
        <w:rPr>
          <w:lang w:eastAsia="ja-JP"/>
        </w:rPr>
        <w:t xml:space="preserve"> below).</w:t>
      </w:r>
    </w:p>
    <w:p w14:paraId="13B4C442" w14:textId="7BA8CD87" w:rsidR="00D24C39" w:rsidRDefault="00D24C39" w:rsidP="00AD38D1">
      <w:pPr>
        <w:pStyle w:val="Heading4"/>
        <w:keepNext/>
        <w:rPr>
          <w:lang w:eastAsia="ja-JP"/>
        </w:rPr>
      </w:pPr>
      <w:r>
        <w:rPr>
          <w:lang w:eastAsia="ja-JP"/>
        </w:rPr>
        <w:t>Industry funding</w:t>
      </w:r>
    </w:p>
    <w:p w14:paraId="3BAA9B9D" w14:textId="3D87E8A8" w:rsidR="00D24C39" w:rsidRDefault="00D24C39" w:rsidP="00D24C39">
      <w:pPr>
        <w:rPr>
          <w:lang w:eastAsia="ja-JP"/>
        </w:rPr>
      </w:pPr>
      <w:r>
        <w:rPr>
          <w:lang w:eastAsia="ja-JP"/>
        </w:rPr>
        <w:t>The total financial contribution by industry to the national biosecurity system is unknown. The amounts paid to governments are known (as illustrated above), but the operational e</w:t>
      </w:r>
      <w:r w:rsidR="00CC5809">
        <w:rPr>
          <w:lang w:eastAsia="ja-JP"/>
        </w:rPr>
        <w:t>xpenses and in-</w:t>
      </w:r>
      <w:r>
        <w:rPr>
          <w:lang w:eastAsia="ja-JP"/>
        </w:rPr>
        <w:t>kind contributions made by industry are not collected and documented. As noted</w:t>
      </w:r>
      <w:r w:rsidR="00844D1B">
        <w:rPr>
          <w:lang w:eastAsia="ja-JP"/>
        </w:rPr>
        <w:t xml:space="preserve"> earlier</w:t>
      </w:r>
      <w:r>
        <w:rPr>
          <w:lang w:eastAsia="ja-JP"/>
        </w:rPr>
        <w:t xml:space="preserve"> </w:t>
      </w:r>
      <w:r w:rsidR="00844D1B">
        <w:rPr>
          <w:lang w:eastAsia="ja-JP"/>
        </w:rPr>
        <w:t>(</w:t>
      </w:r>
      <w:r>
        <w:rPr>
          <w:lang w:eastAsia="ja-JP"/>
        </w:rPr>
        <w:t>Chapter 2</w:t>
      </w:r>
      <w:r w:rsidR="00844D1B">
        <w:rPr>
          <w:lang w:eastAsia="ja-JP"/>
        </w:rPr>
        <w:t>)</w:t>
      </w:r>
      <w:r>
        <w:rPr>
          <w:lang w:eastAsia="ja-JP"/>
        </w:rPr>
        <w:t>, some industries conduct their own monitoring and surveillance activities (for example, 136 programs in the grains and horticulture industries alone). There are also substantial contributions by industry to the activities managed by A</w:t>
      </w:r>
      <w:r w:rsidR="00CC5809">
        <w:rPr>
          <w:lang w:eastAsia="ja-JP"/>
        </w:rPr>
        <w:t xml:space="preserve">nimal </w:t>
      </w:r>
      <w:r>
        <w:rPr>
          <w:lang w:eastAsia="ja-JP"/>
        </w:rPr>
        <w:t>H</w:t>
      </w:r>
      <w:r w:rsidR="00CC5809">
        <w:rPr>
          <w:lang w:eastAsia="ja-JP"/>
        </w:rPr>
        <w:t xml:space="preserve">ealth </w:t>
      </w:r>
      <w:r>
        <w:rPr>
          <w:lang w:eastAsia="ja-JP"/>
        </w:rPr>
        <w:t>A</w:t>
      </w:r>
      <w:r w:rsidR="00CC5809">
        <w:rPr>
          <w:lang w:eastAsia="ja-JP"/>
        </w:rPr>
        <w:t>ustralia (AHA)</w:t>
      </w:r>
      <w:r>
        <w:rPr>
          <w:lang w:eastAsia="ja-JP"/>
        </w:rPr>
        <w:t xml:space="preserve"> and </w:t>
      </w:r>
      <w:r w:rsidR="00CC5809">
        <w:rPr>
          <w:lang w:eastAsia="ja-JP"/>
        </w:rPr>
        <w:t>Plant Health Australia (</w:t>
      </w:r>
      <w:r>
        <w:rPr>
          <w:lang w:eastAsia="ja-JP"/>
        </w:rPr>
        <w:t>PHA</w:t>
      </w:r>
      <w:r w:rsidR="00CC5809">
        <w:rPr>
          <w:lang w:eastAsia="ja-JP"/>
        </w:rPr>
        <w:t>)</w:t>
      </w:r>
      <w:r>
        <w:rPr>
          <w:lang w:eastAsia="ja-JP"/>
        </w:rPr>
        <w:t xml:space="preserve"> and towards past and present incursion management.</w:t>
      </w:r>
    </w:p>
    <w:p w14:paraId="492529B1" w14:textId="62FF0084" w:rsidR="00D24C39" w:rsidRPr="00D24C39" w:rsidRDefault="00D24C39" w:rsidP="00D24C39">
      <w:pPr>
        <w:rPr>
          <w:lang w:eastAsia="ja-JP"/>
        </w:rPr>
      </w:pPr>
      <w:r>
        <w:rPr>
          <w:lang w:eastAsia="ja-JP"/>
        </w:rPr>
        <w:lastRenderedPageBreak/>
        <w:t xml:space="preserve">The </w:t>
      </w:r>
      <w:r w:rsidR="00CC5809">
        <w:rPr>
          <w:lang w:eastAsia="ja-JP"/>
        </w:rPr>
        <w:t>p</w:t>
      </w:r>
      <w:r>
        <w:rPr>
          <w:lang w:eastAsia="ja-JP"/>
        </w:rPr>
        <w:t xml:space="preserve">anel accepts the claims made by industry in submissions to this </w:t>
      </w:r>
      <w:r w:rsidR="00CC5809">
        <w:rPr>
          <w:lang w:eastAsia="ja-JP"/>
        </w:rPr>
        <w:t>r</w:t>
      </w:r>
      <w:r w:rsidR="00A20B1A">
        <w:rPr>
          <w:lang w:eastAsia="ja-JP"/>
        </w:rPr>
        <w:t>eview</w:t>
      </w:r>
      <w:r>
        <w:rPr>
          <w:lang w:eastAsia="ja-JP"/>
        </w:rPr>
        <w:t xml:space="preserve"> that its contributions are more than just the amount reflected</w:t>
      </w:r>
      <w:r w:rsidR="00A20B1A">
        <w:rPr>
          <w:lang w:eastAsia="ja-JP"/>
        </w:rPr>
        <w:t xml:space="preserve"> in government fees and charges</w:t>
      </w:r>
      <w:r>
        <w:rPr>
          <w:lang w:eastAsia="ja-JP"/>
        </w:rPr>
        <w:t xml:space="preserve"> and that </w:t>
      </w:r>
      <w:r w:rsidR="00A20B1A">
        <w:rPr>
          <w:lang w:eastAsia="ja-JP"/>
        </w:rPr>
        <w:t>they are</w:t>
      </w:r>
      <w:r>
        <w:rPr>
          <w:lang w:eastAsia="ja-JP"/>
        </w:rPr>
        <w:t xml:space="preserve"> likely to be significant. But without supporting data it is not possible to estimate these additional contributions.</w:t>
      </w:r>
    </w:p>
    <w:p w14:paraId="5ED64B12" w14:textId="6865CDF3" w:rsidR="005B1353" w:rsidRDefault="00D24C39" w:rsidP="005B1353">
      <w:pPr>
        <w:pStyle w:val="Heading3"/>
        <w:rPr>
          <w:lang w:eastAsia="ja-JP"/>
        </w:rPr>
      </w:pPr>
      <w:bookmarkStart w:id="162" w:name="_Toc486236058"/>
      <w:r>
        <w:rPr>
          <w:lang w:eastAsia="ja-JP"/>
        </w:rPr>
        <w:t>Consideration of the three NBC projects listed in the terms of reference</w:t>
      </w:r>
      <w:bookmarkEnd w:id="162"/>
    </w:p>
    <w:p w14:paraId="5E0ADC3C" w14:textId="28E971FF" w:rsidR="005B1353" w:rsidRDefault="00854465" w:rsidP="005B1353">
      <w:pPr>
        <w:rPr>
          <w:lang w:eastAsia="ja-JP"/>
        </w:rPr>
      </w:pPr>
      <w:r w:rsidRPr="00854465">
        <w:rPr>
          <w:lang w:eastAsia="ja-JP"/>
        </w:rPr>
        <w:t>In its deliberations on funding</w:t>
      </w:r>
      <w:r w:rsidR="00A20B1A">
        <w:rPr>
          <w:lang w:eastAsia="ja-JP"/>
        </w:rPr>
        <w:t>,</w:t>
      </w:r>
      <w:r w:rsidRPr="00854465">
        <w:rPr>
          <w:lang w:eastAsia="ja-JP"/>
        </w:rPr>
        <w:t xml:space="preserve"> the </w:t>
      </w:r>
      <w:r w:rsidR="00A20B1A">
        <w:rPr>
          <w:lang w:eastAsia="ja-JP"/>
        </w:rPr>
        <w:t>p</w:t>
      </w:r>
      <w:r w:rsidRPr="00854465">
        <w:rPr>
          <w:lang w:eastAsia="ja-JP"/>
        </w:rPr>
        <w:t xml:space="preserve">anel has given consideration to </w:t>
      </w:r>
      <w:r w:rsidR="00D24C39">
        <w:rPr>
          <w:lang w:eastAsia="ja-JP"/>
        </w:rPr>
        <w:t xml:space="preserve">the NBC projects listed under the IGAB </w:t>
      </w:r>
      <w:r w:rsidR="00A20B1A">
        <w:rPr>
          <w:lang w:eastAsia="ja-JP"/>
        </w:rPr>
        <w:t>r</w:t>
      </w:r>
      <w:r w:rsidR="00D24C39">
        <w:rPr>
          <w:lang w:eastAsia="ja-JP"/>
        </w:rPr>
        <w:t xml:space="preserve">eview </w:t>
      </w:r>
      <w:r w:rsidR="00A20B1A">
        <w:rPr>
          <w:lang w:eastAsia="ja-JP"/>
        </w:rPr>
        <w:t>terms of reference</w:t>
      </w:r>
      <w:r w:rsidR="00D24C39">
        <w:rPr>
          <w:lang w:eastAsia="ja-JP"/>
        </w:rPr>
        <w:t xml:space="preserve"> </w:t>
      </w:r>
      <w:r w:rsidRPr="00854465">
        <w:rPr>
          <w:lang w:eastAsia="ja-JP"/>
        </w:rPr>
        <w:t>and has sough</w:t>
      </w:r>
      <w:r w:rsidR="00895F18">
        <w:rPr>
          <w:lang w:eastAsia="ja-JP"/>
        </w:rPr>
        <w:t>t to make some observations.</w:t>
      </w:r>
    </w:p>
    <w:p w14:paraId="61AFDCCF" w14:textId="68183D62" w:rsidR="005B1353" w:rsidRDefault="00D24C39" w:rsidP="005B1353">
      <w:pPr>
        <w:pStyle w:val="Heading4"/>
        <w:rPr>
          <w:lang w:eastAsia="ja-JP"/>
        </w:rPr>
      </w:pPr>
      <w:r>
        <w:rPr>
          <w:lang w:eastAsia="ja-JP"/>
        </w:rPr>
        <w:t>T</w:t>
      </w:r>
      <w:r w:rsidR="00200502">
        <w:rPr>
          <w:lang w:eastAsia="ja-JP"/>
        </w:rPr>
        <w:t>he National Framework for Cost</w:t>
      </w:r>
      <w:r w:rsidR="00CB21E8">
        <w:rPr>
          <w:lang w:eastAsia="ja-JP"/>
        </w:rPr>
        <w:t xml:space="preserve"> </w:t>
      </w:r>
      <w:r w:rsidR="00200502">
        <w:rPr>
          <w:lang w:eastAsia="ja-JP"/>
        </w:rPr>
        <w:t>S</w:t>
      </w:r>
      <w:r>
        <w:rPr>
          <w:lang w:eastAsia="ja-JP"/>
        </w:rPr>
        <w:t>haring Biosecurity Activities</w:t>
      </w:r>
    </w:p>
    <w:p w14:paraId="20E49E88" w14:textId="6E5A7A31" w:rsidR="00D24C39" w:rsidRDefault="00D24C39" w:rsidP="00D24C39">
      <w:pPr>
        <w:keepNext/>
        <w:rPr>
          <w:lang w:eastAsia="ja-JP"/>
        </w:rPr>
      </w:pPr>
      <w:r>
        <w:rPr>
          <w:lang w:eastAsia="ja-JP"/>
        </w:rPr>
        <w:t>The National F</w:t>
      </w:r>
      <w:r w:rsidRPr="00DB270B">
        <w:rPr>
          <w:lang w:eastAsia="ja-JP"/>
        </w:rPr>
        <w:t xml:space="preserve">ramework for </w:t>
      </w:r>
      <w:r w:rsidR="00200502">
        <w:rPr>
          <w:lang w:eastAsia="ja-JP"/>
        </w:rPr>
        <w:t>Cost</w:t>
      </w:r>
      <w:r w:rsidR="00CB21E8">
        <w:rPr>
          <w:lang w:eastAsia="ja-JP"/>
        </w:rPr>
        <w:t xml:space="preserve"> </w:t>
      </w:r>
      <w:r w:rsidR="00200502">
        <w:rPr>
          <w:lang w:eastAsia="ja-JP"/>
        </w:rPr>
        <w:t>S</w:t>
      </w:r>
      <w:r>
        <w:rPr>
          <w:lang w:eastAsia="ja-JP"/>
        </w:rPr>
        <w:t>haring</w:t>
      </w:r>
      <w:r w:rsidRPr="00DB270B">
        <w:rPr>
          <w:lang w:eastAsia="ja-JP"/>
        </w:rPr>
        <w:t xml:space="preserve"> Biosecurity Activities</w:t>
      </w:r>
      <w:r w:rsidRPr="006512AA">
        <w:rPr>
          <w:lang w:eastAsia="ja-JP"/>
        </w:rPr>
        <w:t>, which is not yet publicly available</w:t>
      </w:r>
      <w:r>
        <w:rPr>
          <w:lang w:eastAsia="ja-JP"/>
        </w:rPr>
        <w:t>, establishes for governments the key principles underpinning a cost</w:t>
      </w:r>
      <w:r w:rsidR="00982081">
        <w:rPr>
          <w:lang w:eastAsia="ja-JP"/>
        </w:rPr>
        <w:t>-</w:t>
      </w:r>
      <w:r>
        <w:rPr>
          <w:lang w:eastAsia="ja-JP"/>
        </w:rPr>
        <w:t>sharing model for biosecurity activities, including detailing available funding mechanisms. It represents a more comprehensive description of how the NBC interprets and will seek to implement the objectives and principles of the sys</w:t>
      </w:r>
      <w:r w:rsidR="00982081">
        <w:rPr>
          <w:lang w:eastAsia="ja-JP"/>
        </w:rPr>
        <w:t xml:space="preserve">tem as outlined in the IGAB at </w:t>
      </w:r>
      <w:r w:rsidR="00CC1070">
        <w:rPr>
          <w:lang w:eastAsia="ja-JP"/>
        </w:rPr>
        <w:t>clause</w:t>
      </w:r>
      <w:r>
        <w:rPr>
          <w:lang w:eastAsia="ja-JP"/>
        </w:rPr>
        <w:t xml:space="preserve"> 4.1(v-vii), namely:</w:t>
      </w:r>
    </w:p>
    <w:p w14:paraId="2E4C7A1E" w14:textId="77777777" w:rsidR="00D05812" w:rsidRDefault="00D05812" w:rsidP="00D05812">
      <w:pPr>
        <w:pStyle w:val="Quote"/>
        <w:rPr>
          <w:lang w:eastAsia="ja-JP"/>
        </w:rPr>
      </w:pPr>
      <w:r>
        <w:rPr>
          <w:lang w:eastAsia="ja-JP"/>
        </w:rPr>
        <w:t>v) Activity is undertaken and investment is allocated according to a cost-effective, science-based and risk-management approach, prioritising the allocation of resources to the areas of greatest return.</w:t>
      </w:r>
    </w:p>
    <w:p w14:paraId="46F5A9EA" w14:textId="77777777" w:rsidR="00D05812" w:rsidRDefault="00D05812" w:rsidP="00D05812">
      <w:pPr>
        <w:pStyle w:val="Quote"/>
        <w:rPr>
          <w:lang w:eastAsia="ja-JP"/>
        </w:rPr>
      </w:pPr>
      <w:r>
        <w:rPr>
          <w:lang w:eastAsia="ja-JP"/>
        </w:rPr>
        <w:t>vi) Relevant parties contribute to the cost of biosecurity activities:</w:t>
      </w:r>
    </w:p>
    <w:p w14:paraId="598447C1" w14:textId="77777777" w:rsidR="00D05812" w:rsidRDefault="00D05812" w:rsidP="004434CF">
      <w:pPr>
        <w:pStyle w:val="Quote"/>
        <w:ind w:left="1440"/>
        <w:rPr>
          <w:lang w:eastAsia="ja-JP"/>
        </w:rPr>
      </w:pPr>
      <w:r>
        <w:rPr>
          <w:lang w:eastAsia="ja-JP"/>
        </w:rPr>
        <w:t>a) Risk creators and risk beneficiaries contribute to the cost of risk management measures in proportion to the risks created and/or benefits gained (subject to the efficiency of doing so), and</w:t>
      </w:r>
    </w:p>
    <w:p w14:paraId="42C19779" w14:textId="77777777" w:rsidR="00D05812" w:rsidRDefault="00D05812" w:rsidP="004434CF">
      <w:pPr>
        <w:pStyle w:val="Quote"/>
        <w:ind w:left="1440"/>
        <w:rPr>
          <w:lang w:eastAsia="ja-JP"/>
        </w:rPr>
      </w:pPr>
      <w:r>
        <w:rPr>
          <w:lang w:eastAsia="ja-JP"/>
        </w:rPr>
        <w:t>b) Governments contribute to the cost of risk management measures in proportion to the public good accruing from them.</w:t>
      </w:r>
    </w:p>
    <w:p w14:paraId="17DCC710" w14:textId="77777777" w:rsidR="00D05812" w:rsidRDefault="00D05812" w:rsidP="00D05812">
      <w:pPr>
        <w:pStyle w:val="Quote"/>
        <w:rPr>
          <w:lang w:eastAsia="ja-JP"/>
        </w:rPr>
      </w:pPr>
      <w:r>
        <w:rPr>
          <w:lang w:eastAsia="ja-JP"/>
        </w:rPr>
        <w:t>vii) Governments, industry and other relevant parties are involved in decision making, according to their roles, responsibilities and contributions.</w:t>
      </w:r>
    </w:p>
    <w:p w14:paraId="0318608B" w14:textId="4E2A2176" w:rsidR="00D24C39" w:rsidRPr="00D24C39" w:rsidRDefault="00D24C39" w:rsidP="00D24C39">
      <w:pPr>
        <w:rPr>
          <w:lang w:eastAsia="ja-JP"/>
        </w:rPr>
      </w:pPr>
      <w:r w:rsidRPr="00D24C39">
        <w:rPr>
          <w:lang w:eastAsia="ja-JP"/>
        </w:rPr>
        <w:t xml:space="preserve">The investment principles are sound and there is wide support for maintaining them in a future IGAB and as part of a future national biosecurity system. The </w:t>
      </w:r>
      <w:r w:rsidR="003A117D">
        <w:rPr>
          <w:lang w:eastAsia="ja-JP"/>
        </w:rPr>
        <w:t>n</w:t>
      </w:r>
      <w:r w:rsidRPr="00D24C39">
        <w:rPr>
          <w:lang w:eastAsia="ja-JP"/>
        </w:rPr>
        <w:t xml:space="preserve">ational </w:t>
      </w:r>
      <w:r w:rsidR="003A117D">
        <w:rPr>
          <w:lang w:eastAsia="ja-JP"/>
        </w:rPr>
        <w:t>f</w:t>
      </w:r>
      <w:r w:rsidRPr="00D24C39">
        <w:rPr>
          <w:lang w:eastAsia="ja-JP"/>
        </w:rPr>
        <w:t xml:space="preserve">ramework is consistent with these principles and is also consistent with funding principles published by </w:t>
      </w:r>
      <w:r w:rsidR="00982081" w:rsidRPr="00D24C39">
        <w:rPr>
          <w:lang w:eastAsia="ja-JP"/>
        </w:rPr>
        <w:t>I</w:t>
      </w:r>
      <w:r w:rsidR="00982081">
        <w:rPr>
          <w:lang w:eastAsia="ja-JP"/>
        </w:rPr>
        <w:t xml:space="preserve">ndependent </w:t>
      </w:r>
      <w:r w:rsidRPr="00D24C39">
        <w:rPr>
          <w:lang w:eastAsia="ja-JP"/>
        </w:rPr>
        <w:t>P</w:t>
      </w:r>
      <w:r w:rsidR="00982081">
        <w:rPr>
          <w:lang w:eastAsia="ja-JP"/>
        </w:rPr>
        <w:t xml:space="preserve">ricing and </w:t>
      </w:r>
      <w:r w:rsidRPr="00D24C39">
        <w:rPr>
          <w:lang w:eastAsia="ja-JP"/>
        </w:rPr>
        <w:t>R</w:t>
      </w:r>
      <w:r w:rsidR="00982081">
        <w:rPr>
          <w:lang w:eastAsia="ja-JP"/>
        </w:rPr>
        <w:t xml:space="preserve">egulatory </w:t>
      </w:r>
      <w:r w:rsidR="00982081" w:rsidRPr="00D24C39">
        <w:rPr>
          <w:lang w:eastAsia="ja-JP"/>
        </w:rPr>
        <w:t>T</w:t>
      </w:r>
      <w:r w:rsidR="00982081">
        <w:rPr>
          <w:lang w:eastAsia="ja-JP"/>
        </w:rPr>
        <w:t>ribunal (IPART)</w:t>
      </w:r>
      <w:r w:rsidRPr="00D24C39">
        <w:rPr>
          <w:lang w:eastAsia="ja-JP"/>
        </w:rPr>
        <w:t xml:space="preserve"> (</w:t>
      </w:r>
      <w:hyperlink w:anchor="IPART_2013" w:history="1">
        <w:r w:rsidRPr="00D24C39">
          <w:rPr>
            <w:rStyle w:val="Hyperlink"/>
            <w:lang w:eastAsia="ja-JP"/>
          </w:rPr>
          <w:t>IPART 2013</w:t>
        </w:r>
      </w:hyperlink>
      <w:r w:rsidRPr="00D24C39">
        <w:rPr>
          <w:u w:val="single"/>
          <w:lang w:eastAsia="ja-JP"/>
        </w:rPr>
        <w:t>)</w:t>
      </w:r>
      <w:r w:rsidRPr="00D24C39">
        <w:rPr>
          <w:lang w:eastAsia="ja-JP"/>
        </w:rPr>
        <w:t xml:space="preserve">, the </w:t>
      </w:r>
      <w:r w:rsidRPr="00D24C39">
        <w:rPr>
          <w:lang w:eastAsia="ja-JP"/>
        </w:rPr>
        <w:lastRenderedPageBreak/>
        <w:t xml:space="preserve">Australian Government </w:t>
      </w:r>
      <w:r w:rsidR="00982081">
        <w:rPr>
          <w:lang w:eastAsia="ja-JP"/>
        </w:rPr>
        <w:t xml:space="preserve">Department of Finance’s </w:t>
      </w:r>
      <w:r w:rsidR="002F474E">
        <w:rPr>
          <w:lang w:eastAsia="ja-JP"/>
        </w:rPr>
        <w:t>c</w:t>
      </w:r>
      <w:r w:rsidRPr="00D24C39">
        <w:rPr>
          <w:lang w:eastAsia="ja-JP"/>
        </w:rPr>
        <w:t xml:space="preserve">ost </w:t>
      </w:r>
      <w:r w:rsidR="002F474E">
        <w:rPr>
          <w:lang w:eastAsia="ja-JP"/>
        </w:rPr>
        <w:t>r</w:t>
      </w:r>
      <w:r w:rsidRPr="00D24C39">
        <w:rPr>
          <w:lang w:eastAsia="ja-JP"/>
        </w:rPr>
        <w:t xml:space="preserve">ecovery </w:t>
      </w:r>
      <w:r w:rsidR="002F474E">
        <w:rPr>
          <w:lang w:eastAsia="ja-JP"/>
        </w:rPr>
        <w:t>g</w:t>
      </w:r>
      <w:r w:rsidRPr="00D24C39">
        <w:rPr>
          <w:lang w:eastAsia="ja-JP"/>
        </w:rPr>
        <w:t>uidelines</w:t>
      </w:r>
      <w:r w:rsidR="002F474E">
        <w:rPr>
          <w:lang w:eastAsia="ja-JP"/>
        </w:rPr>
        <w:t xml:space="preserve"> (</w:t>
      </w:r>
      <w:hyperlink w:anchor="Finance_2014" w:history="1">
        <w:r w:rsidR="002F474E" w:rsidRPr="002F474E">
          <w:rPr>
            <w:rStyle w:val="Hyperlink"/>
            <w:lang w:eastAsia="ja-JP"/>
          </w:rPr>
          <w:t>Finance 2014</w:t>
        </w:r>
      </w:hyperlink>
      <w:r w:rsidR="002F474E">
        <w:rPr>
          <w:lang w:eastAsia="ja-JP"/>
        </w:rPr>
        <w:t>)</w:t>
      </w:r>
      <w:r w:rsidRPr="00D24C39">
        <w:rPr>
          <w:lang w:eastAsia="ja-JP"/>
        </w:rPr>
        <w:t>, and the Productivity Commission (</w:t>
      </w:r>
      <w:hyperlink w:anchor="PC_2001" w:history="1">
        <w:r w:rsidRPr="00D24C39">
          <w:rPr>
            <w:rStyle w:val="Hyperlink"/>
            <w:lang w:eastAsia="ja-JP"/>
          </w:rPr>
          <w:t>PC 2001</w:t>
        </w:r>
      </w:hyperlink>
      <w:r w:rsidR="00F163A5">
        <w:rPr>
          <w:lang w:eastAsia="ja-JP"/>
        </w:rPr>
        <w:t>).</w:t>
      </w:r>
    </w:p>
    <w:p w14:paraId="593C620D" w14:textId="2B14E071" w:rsidR="00D24C39" w:rsidRPr="00D24C39" w:rsidRDefault="00D24C39" w:rsidP="00D24C39">
      <w:pPr>
        <w:rPr>
          <w:lang w:eastAsia="ja-JP"/>
        </w:rPr>
      </w:pPr>
      <w:r w:rsidRPr="00D24C39">
        <w:rPr>
          <w:lang w:eastAsia="ja-JP"/>
        </w:rPr>
        <w:t>A key requirement of the funding principles is determining the split between public and private good</w:t>
      </w:r>
      <w:r w:rsidR="00982081">
        <w:rPr>
          <w:lang w:eastAsia="ja-JP"/>
        </w:rPr>
        <w:t>—</w:t>
      </w:r>
      <w:r w:rsidRPr="00D24C39">
        <w:rPr>
          <w:lang w:eastAsia="ja-JP"/>
        </w:rPr>
        <w:t>for example, IGAB clause 4.1(vi)(b) states governments should contribute in proportion to the public good. The current emergency response deeds imply a public versus private good split in responding to an incursion via the cost</w:t>
      </w:r>
      <w:r w:rsidR="00982081">
        <w:rPr>
          <w:lang w:eastAsia="ja-JP"/>
        </w:rPr>
        <w:t>-</w:t>
      </w:r>
      <w:r w:rsidRPr="00D24C39">
        <w:rPr>
          <w:lang w:eastAsia="ja-JP"/>
        </w:rPr>
        <w:t>sharing ratios as listed in the relevant schedules to the deeds (for example, Schedule 13 to the Plant Deed). However, for other national biosecurity system services or pests and diseases not covered by the deeds</w:t>
      </w:r>
      <w:r w:rsidR="00ED5922">
        <w:rPr>
          <w:lang w:eastAsia="ja-JP"/>
        </w:rPr>
        <w:t>,</w:t>
      </w:r>
      <w:r w:rsidRPr="00D24C39">
        <w:rPr>
          <w:lang w:eastAsia="ja-JP"/>
        </w:rPr>
        <w:t xml:space="preserve"> there is no common understanding of the split between public and private good. In determining the lists of national priority exotic pests and diseases (Chapter 5)</w:t>
      </w:r>
      <w:r w:rsidR="00ED5922">
        <w:rPr>
          <w:lang w:eastAsia="ja-JP"/>
        </w:rPr>
        <w:t>,</w:t>
      </w:r>
      <w:r w:rsidRPr="00D24C39">
        <w:rPr>
          <w:lang w:eastAsia="ja-JP"/>
        </w:rPr>
        <w:t xml:space="preserve"> the analysis should include an assessment of the public and private good components.</w:t>
      </w:r>
    </w:p>
    <w:p w14:paraId="7C8A7758" w14:textId="6C2C763A" w:rsidR="00D24C39" w:rsidRPr="00D24C39" w:rsidRDefault="00D24C39" w:rsidP="00D24C39">
      <w:pPr>
        <w:rPr>
          <w:lang w:eastAsia="ja-JP"/>
        </w:rPr>
      </w:pPr>
      <w:r w:rsidRPr="00D24C39">
        <w:rPr>
          <w:lang w:eastAsia="ja-JP"/>
        </w:rPr>
        <w:t xml:space="preserve">The </w:t>
      </w:r>
      <w:r w:rsidR="00ED5922">
        <w:rPr>
          <w:lang w:eastAsia="ja-JP"/>
        </w:rPr>
        <w:t>p</w:t>
      </w:r>
      <w:r w:rsidRPr="00D24C39">
        <w:rPr>
          <w:lang w:eastAsia="ja-JP"/>
        </w:rPr>
        <w:t>anel recognises the need for an agreed framework to guide the application of cost</w:t>
      </w:r>
      <w:r w:rsidR="00ED5922">
        <w:rPr>
          <w:lang w:eastAsia="ja-JP"/>
        </w:rPr>
        <w:t>-</w:t>
      </w:r>
      <w:r w:rsidRPr="00D24C39">
        <w:rPr>
          <w:lang w:eastAsia="ja-JP"/>
        </w:rPr>
        <w:t>sharing arrangements by all parties. However, the current framework does not provide sufficient guidance to facilitate practical implementation by national biosecurity system participants (especially given that it i</w:t>
      </w:r>
      <w:r w:rsidR="00F004A0">
        <w:rPr>
          <w:lang w:eastAsia="ja-JP"/>
        </w:rPr>
        <w:t>s not available publicly),</w:t>
      </w:r>
      <w:r w:rsidRPr="00D24C39">
        <w:rPr>
          <w:lang w:eastAsia="ja-JP"/>
        </w:rPr>
        <w:t xml:space="preserve"> is somewhat arbitrary on potential funding mechanisms (for exampl</w:t>
      </w:r>
      <w:r w:rsidR="00F004A0">
        <w:rPr>
          <w:lang w:eastAsia="ja-JP"/>
        </w:rPr>
        <w:t>e, a national biosecurity levy)</w:t>
      </w:r>
      <w:r w:rsidRPr="00D24C39">
        <w:rPr>
          <w:lang w:eastAsia="ja-JP"/>
        </w:rPr>
        <w:t xml:space="preserve"> and,</w:t>
      </w:r>
      <w:r w:rsidR="00F004A0">
        <w:rPr>
          <w:lang w:eastAsia="ja-JP"/>
        </w:rPr>
        <w:t xml:space="preserve"> to date, reflects a government-</w:t>
      </w:r>
      <w:r w:rsidRPr="00D24C39">
        <w:rPr>
          <w:lang w:eastAsia="ja-JP"/>
        </w:rPr>
        <w:t>only view of cost</w:t>
      </w:r>
      <w:r w:rsidR="002361B0">
        <w:rPr>
          <w:lang w:eastAsia="ja-JP"/>
        </w:rPr>
        <w:t>-</w:t>
      </w:r>
      <w:r w:rsidRPr="00D24C39">
        <w:rPr>
          <w:lang w:eastAsia="ja-JP"/>
        </w:rPr>
        <w:t xml:space="preserve">sharing. There would be significant benefit in the NBC and the proposed new Industry and </w:t>
      </w:r>
      <w:r w:rsidR="00632BF6">
        <w:rPr>
          <w:lang w:eastAsia="ja-JP"/>
        </w:rPr>
        <w:t xml:space="preserve">Biosecurity </w:t>
      </w:r>
      <w:r w:rsidRPr="00D24C39">
        <w:rPr>
          <w:lang w:eastAsia="ja-JP"/>
        </w:rPr>
        <w:t xml:space="preserve">Community </w:t>
      </w:r>
      <w:r w:rsidR="0098453C">
        <w:rPr>
          <w:lang w:eastAsia="ja-JP"/>
        </w:rPr>
        <w:t xml:space="preserve">Committee </w:t>
      </w:r>
      <w:r w:rsidR="001D4159">
        <w:rPr>
          <w:lang w:eastAsia="ja-JP"/>
        </w:rPr>
        <w:t xml:space="preserve">reviewing </w:t>
      </w:r>
      <w:r w:rsidRPr="00D24C39">
        <w:rPr>
          <w:lang w:eastAsia="ja-JP"/>
        </w:rPr>
        <w:t xml:space="preserve">the framework, in consultation with key stakeholders, </w:t>
      </w:r>
      <w:r w:rsidR="005E2984">
        <w:rPr>
          <w:lang w:eastAsia="ja-JP"/>
        </w:rPr>
        <w:t xml:space="preserve">for publication and </w:t>
      </w:r>
      <w:r w:rsidRPr="00D24C39">
        <w:rPr>
          <w:lang w:eastAsia="ja-JP"/>
        </w:rPr>
        <w:t xml:space="preserve">practical application </w:t>
      </w:r>
      <w:r w:rsidR="005E2984">
        <w:rPr>
          <w:lang w:eastAsia="ja-JP"/>
        </w:rPr>
        <w:t>by</w:t>
      </w:r>
      <w:r w:rsidRPr="00D24C39">
        <w:rPr>
          <w:lang w:eastAsia="ja-JP"/>
        </w:rPr>
        <w:t xml:space="preserve"> all system participants.</w:t>
      </w:r>
    </w:p>
    <w:p w14:paraId="0AB11AC0" w14:textId="77777777" w:rsidR="00D24C39" w:rsidRPr="0005500E" w:rsidRDefault="00D24C39" w:rsidP="00CD24E8">
      <w:pPr>
        <w:pStyle w:val="BoxHeading"/>
        <w:shd w:val="clear" w:color="auto" w:fill="D9D9D9" w:themeFill="background1" w:themeFillShade="D9"/>
        <w:rPr>
          <w:sz w:val="22"/>
          <w:lang w:eastAsia="ja-JP"/>
        </w:rPr>
      </w:pPr>
      <w:bookmarkStart w:id="163" w:name="_Ref482710189"/>
      <w:r w:rsidRPr="0005500E">
        <w:rPr>
          <w:sz w:val="22"/>
          <w:lang w:eastAsia="ja-JP"/>
        </w:rPr>
        <w:t xml:space="preserve">Recommendation </w:t>
      </w:r>
      <w:r w:rsidRPr="0005500E">
        <w:rPr>
          <w:sz w:val="22"/>
          <w:lang w:eastAsia="ja-JP"/>
        </w:rPr>
        <w:fldChar w:fldCharType="begin"/>
      </w:r>
      <w:r w:rsidRPr="0005500E">
        <w:rPr>
          <w:sz w:val="22"/>
          <w:lang w:eastAsia="ja-JP"/>
        </w:rPr>
        <w:instrText xml:space="preserve"> SEQ Recommendation \* ARABIC </w:instrText>
      </w:r>
      <w:r w:rsidRPr="0005500E">
        <w:rPr>
          <w:sz w:val="22"/>
          <w:lang w:eastAsia="ja-JP"/>
        </w:rPr>
        <w:fldChar w:fldCharType="separate"/>
      </w:r>
      <w:r w:rsidR="009F6923">
        <w:rPr>
          <w:noProof/>
          <w:sz w:val="22"/>
          <w:lang w:eastAsia="ja-JP"/>
        </w:rPr>
        <w:t>27</w:t>
      </w:r>
      <w:r w:rsidRPr="0005500E">
        <w:rPr>
          <w:sz w:val="22"/>
          <w:lang w:eastAsia="ja-JP"/>
        </w:rPr>
        <w:fldChar w:fldCharType="end"/>
      </w:r>
      <w:bookmarkEnd w:id="163"/>
    </w:p>
    <w:p w14:paraId="0BCD7CF1" w14:textId="6CE0FCCF" w:rsidR="005B1353" w:rsidRPr="00BF1390" w:rsidRDefault="00D24C39" w:rsidP="00CD24E8">
      <w:pPr>
        <w:pStyle w:val="BoxText"/>
        <w:shd w:val="clear" w:color="auto" w:fill="D9D9D9" w:themeFill="background1" w:themeFillShade="D9"/>
        <w:rPr>
          <w:sz w:val="22"/>
          <w:lang w:eastAsia="ja-JP"/>
        </w:rPr>
      </w:pPr>
      <w:r w:rsidRPr="00BF1390">
        <w:rPr>
          <w:sz w:val="22"/>
          <w:lang w:eastAsia="ja-JP"/>
        </w:rPr>
        <w:t>The NBC and the Industry and Community</w:t>
      </w:r>
      <w:r w:rsidR="00BF1390">
        <w:rPr>
          <w:sz w:val="22"/>
          <w:lang w:eastAsia="ja-JP"/>
        </w:rPr>
        <w:t xml:space="preserve"> Biosecurity</w:t>
      </w:r>
      <w:r w:rsidRPr="00BF1390">
        <w:rPr>
          <w:sz w:val="22"/>
          <w:lang w:eastAsia="ja-JP"/>
        </w:rPr>
        <w:t xml:space="preserve"> Committee, in consultation with other</w:t>
      </w:r>
      <w:r w:rsidR="001D4159" w:rsidRPr="00BF1390">
        <w:rPr>
          <w:sz w:val="22"/>
          <w:lang w:eastAsia="ja-JP"/>
        </w:rPr>
        <w:t xml:space="preserve"> key stakeholders, should review</w:t>
      </w:r>
      <w:r w:rsidRPr="00BF1390">
        <w:rPr>
          <w:sz w:val="22"/>
          <w:lang w:eastAsia="ja-JP"/>
        </w:rPr>
        <w:t xml:space="preserve"> the National Fr</w:t>
      </w:r>
      <w:r w:rsidR="00200502">
        <w:rPr>
          <w:sz w:val="22"/>
          <w:lang w:eastAsia="ja-JP"/>
        </w:rPr>
        <w:t>amework for Cost</w:t>
      </w:r>
      <w:r w:rsidR="00CB21E8">
        <w:rPr>
          <w:sz w:val="22"/>
          <w:lang w:eastAsia="ja-JP"/>
        </w:rPr>
        <w:t xml:space="preserve"> </w:t>
      </w:r>
      <w:r w:rsidR="00200502">
        <w:rPr>
          <w:sz w:val="22"/>
          <w:lang w:eastAsia="ja-JP"/>
        </w:rPr>
        <w:t>S</w:t>
      </w:r>
      <w:r w:rsidRPr="00BF1390">
        <w:rPr>
          <w:sz w:val="22"/>
          <w:lang w:eastAsia="ja-JP"/>
        </w:rPr>
        <w:t xml:space="preserve">haring Biosecurity Activities to </w:t>
      </w:r>
      <w:r w:rsidR="005E2984" w:rsidRPr="00BF1390">
        <w:rPr>
          <w:sz w:val="22"/>
          <w:lang w:eastAsia="ja-JP"/>
        </w:rPr>
        <w:t>enable</w:t>
      </w:r>
      <w:r w:rsidRPr="00BF1390">
        <w:rPr>
          <w:sz w:val="22"/>
          <w:lang w:eastAsia="ja-JP"/>
        </w:rPr>
        <w:t xml:space="preserve"> its practical application and make it public.</w:t>
      </w:r>
    </w:p>
    <w:p w14:paraId="653EF201" w14:textId="7696D2F1" w:rsidR="005B1353" w:rsidRDefault="005B1353" w:rsidP="00FB4E47">
      <w:pPr>
        <w:pStyle w:val="Heading4"/>
        <w:keepNext/>
        <w:rPr>
          <w:lang w:eastAsia="ja-JP"/>
        </w:rPr>
      </w:pPr>
      <w:r>
        <w:rPr>
          <w:lang w:eastAsia="ja-JP"/>
        </w:rPr>
        <w:t xml:space="preserve">The </w:t>
      </w:r>
      <w:r w:rsidR="00D24C39">
        <w:rPr>
          <w:lang w:eastAsia="ja-JP"/>
        </w:rPr>
        <w:t>n</w:t>
      </w:r>
      <w:r>
        <w:rPr>
          <w:lang w:eastAsia="ja-JP"/>
        </w:rPr>
        <w:t xml:space="preserve">ational </w:t>
      </w:r>
      <w:r w:rsidR="00D24C39">
        <w:rPr>
          <w:lang w:eastAsia="ja-JP"/>
        </w:rPr>
        <w:t>portfolio investment optimisation model</w:t>
      </w:r>
    </w:p>
    <w:p w14:paraId="12843660" w14:textId="1F39AA2B" w:rsidR="002768CF" w:rsidRDefault="002768CF" w:rsidP="002768CF">
      <w:pPr>
        <w:rPr>
          <w:lang w:eastAsia="ja-JP"/>
        </w:rPr>
      </w:pPr>
      <w:r w:rsidRPr="002946D7">
        <w:rPr>
          <w:lang w:eastAsia="ja-JP"/>
        </w:rPr>
        <w:t>The NBC’s national portfolio investment optimisation model categorises government investments across the range of biosecurity activities. The model seeks to provide a considered and holistic approach to investment to help understand investment returns. The model provides five investment categories (IC) (</w:t>
      </w:r>
      <w:r w:rsidR="00595FB0">
        <w:rPr>
          <w:highlight w:val="yellow"/>
          <w:lang w:eastAsia="ja-JP"/>
        </w:rPr>
        <w:fldChar w:fldCharType="begin"/>
      </w:r>
      <w:r w:rsidR="00595FB0">
        <w:rPr>
          <w:lang w:eastAsia="ja-JP"/>
        </w:rPr>
        <w:instrText xml:space="preserve"> REF _Ref467244878 \h </w:instrText>
      </w:r>
      <w:r w:rsidR="00595FB0">
        <w:rPr>
          <w:highlight w:val="yellow"/>
          <w:lang w:eastAsia="ja-JP"/>
        </w:rPr>
      </w:r>
      <w:r w:rsidR="00595FB0">
        <w:rPr>
          <w:highlight w:val="yellow"/>
          <w:lang w:eastAsia="ja-JP"/>
        </w:rPr>
        <w:fldChar w:fldCharType="separate"/>
      </w:r>
      <w:r w:rsidR="009F6923">
        <w:t xml:space="preserve">Table </w:t>
      </w:r>
      <w:r w:rsidR="009F6923">
        <w:rPr>
          <w:noProof/>
        </w:rPr>
        <w:t>9</w:t>
      </w:r>
      <w:r w:rsidR="00595FB0">
        <w:rPr>
          <w:highlight w:val="yellow"/>
          <w:lang w:eastAsia="ja-JP"/>
        </w:rPr>
        <w:fldChar w:fldCharType="end"/>
      </w:r>
      <w:r>
        <w:rPr>
          <w:lang w:eastAsia="ja-JP"/>
        </w:rPr>
        <w:t>)</w:t>
      </w:r>
      <w:r w:rsidRPr="002946D7">
        <w:rPr>
          <w:lang w:eastAsia="ja-JP"/>
        </w:rPr>
        <w:t xml:space="preserve">, which reflect the suite of activities across the </w:t>
      </w:r>
      <w:r>
        <w:rPr>
          <w:lang w:eastAsia="ja-JP"/>
        </w:rPr>
        <w:t xml:space="preserve">national biosecurity </w:t>
      </w:r>
      <w:r w:rsidRPr="002946D7">
        <w:rPr>
          <w:lang w:eastAsia="ja-JP"/>
        </w:rPr>
        <w:t>system. The Australian Government also reports on a sixth category (export facilitation).</w:t>
      </w:r>
    </w:p>
    <w:p w14:paraId="76A049CF" w14:textId="6FC729A4" w:rsidR="002768CF" w:rsidRDefault="002768CF" w:rsidP="002768CF">
      <w:pPr>
        <w:pStyle w:val="Caption"/>
        <w:rPr>
          <w:lang w:eastAsia="ja-JP"/>
        </w:rPr>
      </w:pPr>
      <w:bookmarkStart w:id="164" w:name="_Ref467244878"/>
      <w:bookmarkStart w:id="165" w:name="_Ref467244872"/>
      <w:bookmarkStart w:id="166" w:name="_Toc468176728"/>
      <w:r>
        <w:lastRenderedPageBreak/>
        <w:t xml:space="preserve">Table </w:t>
      </w:r>
      <w:fldSimple w:instr=" SEQ Table \* ARABIC ">
        <w:r w:rsidR="009F6923">
          <w:rPr>
            <w:noProof/>
          </w:rPr>
          <w:t>9</w:t>
        </w:r>
      </w:fldSimple>
      <w:bookmarkEnd w:id="164"/>
      <w:r>
        <w:t xml:space="preserve"> The national portfolio investment optimisation model</w:t>
      </w:r>
      <w:r w:rsidRPr="005E2984">
        <w:rPr>
          <w:rFonts w:asciiTheme="minorHAnsi" w:hAnsiTheme="minorHAnsi"/>
          <w:szCs w:val="24"/>
        </w:rPr>
        <w:t xml:space="preserve"> </w:t>
      </w:r>
      <w:bookmarkEnd w:id="165"/>
      <w:bookmarkEnd w:id="166"/>
      <w:r w:rsidR="00C8060F" w:rsidRPr="005E2984">
        <w:rPr>
          <w:rFonts w:asciiTheme="minorHAnsi" w:eastAsia="Calibri" w:hAnsiTheme="minorHAnsi" w:cs="Times New Roman"/>
          <w:bCs w:val="0"/>
          <w:szCs w:val="24"/>
        </w:rPr>
        <w:t>categories</w:t>
      </w:r>
    </w:p>
    <w:tbl>
      <w:tblPr>
        <w:tblStyle w:val="TableGrid"/>
        <w:tblW w:w="921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8"/>
        <w:gridCol w:w="8056"/>
      </w:tblGrid>
      <w:tr w:rsidR="002768CF" w:rsidRPr="00976451" w14:paraId="0F188920" w14:textId="77777777" w:rsidTr="00733CC0">
        <w:trPr>
          <w:tblHeader/>
        </w:trPr>
        <w:tc>
          <w:tcPr>
            <w:tcW w:w="1158" w:type="dxa"/>
          </w:tcPr>
          <w:p w14:paraId="7E3C8082" w14:textId="77777777" w:rsidR="002768CF" w:rsidRPr="00976451" w:rsidRDefault="002768CF" w:rsidP="00C332A3">
            <w:pPr>
              <w:pStyle w:val="TableHeading"/>
              <w:rPr>
                <w:lang w:eastAsia="ja-JP"/>
              </w:rPr>
            </w:pPr>
            <w:r>
              <w:rPr>
                <w:lang w:eastAsia="ja-JP"/>
              </w:rPr>
              <w:t>Investment category</w:t>
            </w:r>
          </w:p>
        </w:tc>
        <w:tc>
          <w:tcPr>
            <w:tcW w:w="8056" w:type="dxa"/>
          </w:tcPr>
          <w:p w14:paraId="721AF43C" w14:textId="77777777" w:rsidR="002768CF" w:rsidRPr="00976451" w:rsidRDefault="002768CF" w:rsidP="00C332A3">
            <w:pPr>
              <w:pStyle w:val="TableHeading"/>
              <w:rPr>
                <w:lang w:eastAsia="ja-JP"/>
              </w:rPr>
            </w:pPr>
            <w:r>
              <w:rPr>
                <w:lang w:eastAsia="ja-JP"/>
              </w:rPr>
              <w:t>Description</w:t>
            </w:r>
          </w:p>
        </w:tc>
      </w:tr>
      <w:tr w:rsidR="002768CF" w:rsidRPr="00976451" w14:paraId="0D86CC2D" w14:textId="77777777" w:rsidTr="00733CC0">
        <w:tc>
          <w:tcPr>
            <w:tcW w:w="1158" w:type="dxa"/>
          </w:tcPr>
          <w:p w14:paraId="3B5156AF" w14:textId="77777777" w:rsidR="002768CF" w:rsidRPr="00976451" w:rsidRDefault="002768CF" w:rsidP="00C332A3">
            <w:pPr>
              <w:pStyle w:val="TableText"/>
              <w:rPr>
                <w:lang w:eastAsia="ja-JP"/>
              </w:rPr>
            </w:pPr>
            <w:r>
              <w:rPr>
                <w:lang w:eastAsia="ja-JP"/>
              </w:rPr>
              <w:t>IC1</w:t>
            </w:r>
          </w:p>
        </w:tc>
        <w:tc>
          <w:tcPr>
            <w:tcW w:w="8056" w:type="dxa"/>
          </w:tcPr>
          <w:p w14:paraId="3A774B0C" w14:textId="77777777" w:rsidR="002768CF" w:rsidRPr="00976451" w:rsidRDefault="002768CF" w:rsidP="00C332A3">
            <w:pPr>
              <w:pStyle w:val="TableText"/>
              <w:rPr>
                <w:lang w:eastAsia="ja-JP"/>
              </w:rPr>
            </w:pPr>
            <w:r w:rsidRPr="00976451">
              <w:rPr>
                <w:lang w:eastAsia="ja-JP"/>
              </w:rPr>
              <w:t>Prevention of exotic/emergency pests and diseases (pre-border and border)</w:t>
            </w:r>
          </w:p>
        </w:tc>
      </w:tr>
      <w:tr w:rsidR="002768CF" w:rsidRPr="00976451" w14:paraId="7C57E9DE" w14:textId="77777777" w:rsidTr="00733CC0">
        <w:tc>
          <w:tcPr>
            <w:tcW w:w="1158" w:type="dxa"/>
          </w:tcPr>
          <w:p w14:paraId="07539266" w14:textId="77777777" w:rsidR="002768CF" w:rsidRPr="00976451" w:rsidRDefault="002768CF" w:rsidP="00C332A3">
            <w:pPr>
              <w:pStyle w:val="TableText"/>
              <w:rPr>
                <w:lang w:eastAsia="ja-JP"/>
              </w:rPr>
            </w:pPr>
            <w:r>
              <w:rPr>
                <w:lang w:eastAsia="ja-JP"/>
              </w:rPr>
              <w:t>IC2</w:t>
            </w:r>
          </w:p>
        </w:tc>
        <w:tc>
          <w:tcPr>
            <w:tcW w:w="8056" w:type="dxa"/>
          </w:tcPr>
          <w:p w14:paraId="2C240170" w14:textId="77777777" w:rsidR="002768CF" w:rsidRPr="00976451" w:rsidRDefault="002768CF" w:rsidP="00C332A3">
            <w:pPr>
              <w:pStyle w:val="TableText"/>
              <w:rPr>
                <w:lang w:eastAsia="ja-JP"/>
              </w:rPr>
            </w:pPr>
            <w:r>
              <w:rPr>
                <w:lang w:eastAsia="ja-JP"/>
              </w:rPr>
              <w:t>P</w:t>
            </w:r>
            <w:r w:rsidRPr="00976451">
              <w:rPr>
                <w:lang w:eastAsia="ja-JP"/>
              </w:rPr>
              <w:t>reparedness for exotic or emergency pests and diseases, including early detection (surveillance)</w:t>
            </w:r>
          </w:p>
        </w:tc>
      </w:tr>
      <w:tr w:rsidR="002768CF" w:rsidRPr="00976451" w14:paraId="3AA80682" w14:textId="77777777" w:rsidTr="00733CC0">
        <w:tc>
          <w:tcPr>
            <w:tcW w:w="1158" w:type="dxa"/>
          </w:tcPr>
          <w:p w14:paraId="53B3F517" w14:textId="77777777" w:rsidR="002768CF" w:rsidRPr="00976451" w:rsidRDefault="002768CF" w:rsidP="00C332A3">
            <w:pPr>
              <w:pStyle w:val="TableText"/>
              <w:rPr>
                <w:lang w:eastAsia="ja-JP"/>
              </w:rPr>
            </w:pPr>
            <w:r w:rsidRPr="00976451">
              <w:rPr>
                <w:lang w:eastAsia="ja-JP"/>
              </w:rPr>
              <w:t>IC</w:t>
            </w:r>
            <w:r>
              <w:rPr>
                <w:lang w:eastAsia="ja-JP"/>
              </w:rPr>
              <w:t>3</w:t>
            </w:r>
            <w:r w:rsidRPr="00976451">
              <w:rPr>
                <w:lang w:eastAsia="ja-JP"/>
              </w:rPr>
              <w:t xml:space="preserve"> </w:t>
            </w:r>
          </w:p>
        </w:tc>
        <w:tc>
          <w:tcPr>
            <w:tcW w:w="8056" w:type="dxa"/>
          </w:tcPr>
          <w:p w14:paraId="39CE4E8B" w14:textId="77777777" w:rsidR="002768CF" w:rsidRPr="00976451" w:rsidRDefault="002768CF" w:rsidP="00C332A3">
            <w:pPr>
              <w:pStyle w:val="TableText"/>
              <w:rPr>
                <w:lang w:eastAsia="ja-JP"/>
              </w:rPr>
            </w:pPr>
            <w:r w:rsidRPr="00976451">
              <w:rPr>
                <w:lang w:eastAsia="ja-JP"/>
              </w:rPr>
              <w:t>National eradication/containment programs (cost-shared national programs)</w:t>
            </w:r>
          </w:p>
        </w:tc>
      </w:tr>
      <w:tr w:rsidR="002768CF" w:rsidRPr="00976451" w14:paraId="395F9729" w14:textId="77777777" w:rsidTr="00733CC0">
        <w:tc>
          <w:tcPr>
            <w:tcW w:w="1158" w:type="dxa"/>
          </w:tcPr>
          <w:p w14:paraId="5B0E852A" w14:textId="77777777" w:rsidR="002768CF" w:rsidRPr="00976451" w:rsidRDefault="002768CF" w:rsidP="00C332A3">
            <w:pPr>
              <w:pStyle w:val="TableText"/>
              <w:rPr>
                <w:lang w:eastAsia="ja-JP"/>
              </w:rPr>
            </w:pPr>
            <w:r>
              <w:rPr>
                <w:lang w:eastAsia="ja-JP"/>
              </w:rPr>
              <w:t>IC4</w:t>
            </w:r>
          </w:p>
        </w:tc>
        <w:tc>
          <w:tcPr>
            <w:tcW w:w="8056" w:type="dxa"/>
          </w:tcPr>
          <w:p w14:paraId="5717713A" w14:textId="77777777" w:rsidR="002768CF" w:rsidRPr="00976451" w:rsidRDefault="002768CF" w:rsidP="00C332A3">
            <w:pPr>
              <w:pStyle w:val="TableText"/>
              <w:rPr>
                <w:lang w:eastAsia="ja-JP"/>
              </w:rPr>
            </w:pPr>
            <w:r w:rsidRPr="00976451">
              <w:rPr>
                <w:lang w:eastAsia="ja-JP"/>
              </w:rPr>
              <w:t>Management of established pests and diseases of national significance</w:t>
            </w:r>
          </w:p>
        </w:tc>
      </w:tr>
      <w:tr w:rsidR="002768CF" w:rsidRPr="00976451" w14:paraId="23C91920" w14:textId="77777777" w:rsidTr="00733CC0">
        <w:tc>
          <w:tcPr>
            <w:tcW w:w="1158" w:type="dxa"/>
          </w:tcPr>
          <w:p w14:paraId="2336D89D" w14:textId="77777777" w:rsidR="002768CF" w:rsidRPr="00976451" w:rsidRDefault="002768CF" w:rsidP="00C332A3">
            <w:pPr>
              <w:pStyle w:val="TableText"/>
              <w:rPr>
                <w:lang w:eastAsia="ja-JP"/>
              </w:rPr>
            </w:pPr>
            <w:r>
              <w:rPr>
                <w:lang w:eastAsia="ja-JP"/>
              </w:rPr>
              <w:t>IC5</w:t>
            </w:r>
          </w:p>
        </w:tc>
        <w:tc>
          <w:tcPr>
            <w:tcW w:w="8056" w:type="dxa"/>
          </w:tcPr>
          <w:p w14:paraId="0A20B4EA" w14:textId="77777777" w:rsidR="002768CF" w:rsidRPr="00976451" w:rsidRDefault="002768CF" w:rsidP="00C332A3">
            <w:pPr>
              <w:pStyle w:val="TableText"/>
              <w:rPr>
                <w:lang w:eastAsia="ja-JP"/>
              </w:rPr>
            </w:pPr>
            <w:r w:rsidRPr="00976451">
              <w:rPr>
                <w:lang w:eastAsia="ja-JP"/>
              </w:rPr>
              <w:t>Management of other established pests and diseases</w:t>
            </w:r>
          </w:p>
        </w:tc>
      </w:tr>
      <w:tr w:rsidR="002768CF" w:rsidRPr="00976451" w14:paraId="3AD3AC75" w14:textId="77777777" w:rsidTr="00733CC0">
        <w:tc>
          <w:tcPr>
            <w:tcW w:w="1158" w:type="dxa"/>
          </w:tcPr>
          <w:p w14:paraId="74D5A93A" w14:textId="77777777" w:rsidR="002768CF" w:rsidRPr="00CA5498" w:rsidRDefault="002768CF" w:rsidP="00C332A3">
            <w:pPr>
              <w:pStyle w:val="TableText"/>
              <w:rPr>
                <w:lang w:eastAsia="ja-JP"/>
              </w:rPr>
            </w:pPr>
            <w:r w:rsidRPr="00CA5498">
              <w:rPr>
                <w:lang w:eastAsia="ja-JP"/>
              </w:rPr>
              <w:t>IC6</w:t>
            </w:r>
          </w:p>
        </w:tc>
        <w:tc>
          <w:tcPr>
            <w:tcW w:w="8056" w:type="dxa"/>
          </w:tcPr>
          <w:p w14:paraId="43CA16A6" w14:textId="77777777" w:rsidR="002768CF" w:rsidRPr="00CA5498" w:rsidRDefault="002768CF" w:rsidP="00C332A3">
            <w:pPr>
              <w:pStyle w:val="TableText"/>
              <w:rPr>
                <w:lang w:eastAsia="ja-JP"/>
              </w:rPr>
            </w:pPr>
            <w:r w:rsidRPr="00CA5498">
              <w:rPr>
                <w:lang w:eastAsia="ja-JP"/>
              </w:rPr>
              <w:t>Export facilitation (Australian Government only)</w:t>
            </w:r>
          </w:p>
        </w:tc>
      </w:tr>
    </w:tbl>
    <w:p w14:paraId="3E6DD5DB" w14:textId="17A0AE41" w:rsidR="002768CF" w:rsidRPr="002946D7" w:rsidRDefault="002768CF" w:rsidP="002768CF">
      <w:pPr>
        <w:keepLines/>
        <w:spacing w:before="120"/>
        <w:rPr>
          <w:lang w:eastAsia="ja-JP"/>
        </w:rPr>
      </w:pPr>
      <w:r w:rsidRPr="002946D7">
        <w:rPr>
          <w:lang w:eastAsia="ja-JP"/>
        </w:rPr>
        <w:t xml:space="preserve">The foundation for the investment model is the 2008 generalised invasion curve developed by the Victorian Government, as detailed in the IGAB </w:t>
      </w:r>
      <w:r w:rsidR="002361B0">
        <w:rPr>
          <w:lang w:eastAsia="ja-JP"/>
        </w:rPr>
        <w:t>r</w:t>
      </w:r>
      <w:r w:rsidRPr="002946D7">
        <w:rPr>
          <w:lang w:eastAsia="ja-JP"/>
        </w:rPr>
        <w:t>eview</w:t>
      </w:r>
      <w:r w:rsidR="00646B3C">
        <w:rPr>
          <w:lang w:eastAsia="ja-JP"/>
        </w:rPr>
        <w:t xml:space="preserve"> </w:t>
      </w:r>
      <w:r w:rsidR="00A14332">
        <w:rPr>
          <w:lang w:eastAsia="ja-JP"/>
        </w:rPr>
        <w:t>d</w:t>
      </w:r>
      <w:r w:rsidR="00646B3C">
        <w:rPr>
          <w:lang w:eastAsia="ja-JP"/>
        </w:rPr>
        <w:t xml:space="preserve">iscussion </w:t>
      </w:r>
      <w:r w:rsidR="00A14332">
        <w:rPr>
          <w:lang w:eastAsia="ja-JP"/>
        </w:rPr>
        <w:t>p</w:t>
      </w:r>
      <w:r w:rsidR="00646B3C">
        <w:rPr>
          <w:lang w:eastAsia="ja-JP"/>
        </w:rPr>
        <w:t>aper</w:t>
      </w:r>
      <w:r w:rsidRPr="002946D7">
        <w:rPr>
          <w:lang w:eastAsia="ja-JP"/>
        </w:rPr>
        <w:t xml:space="preserve">. The invasion curve includes indicative economic returns, with the return on investment higher for prevention than for ongoing management of established pests and diseases. For the latter, return on governments’ investment is improved when their investment supports collective industry and/or community action (compared </w:t>
      </w:r>
      <w:r w:rsidR="002361B0">
        <w:rPr>
          <w:lang w:eastAsia="ja-JP"/>
        </w:rPr>
        <w:t>with</w:t>
      </w:r>
      <w:r w:rsidRPr="002946D7">
        <w:rPr>
          <w:lang w:eastAsia="ja-JP"/>
        </w:rPr>
        <w:t xml:space="preserve"> government as sole investor). The sixth investment category, and its return on investment, does not feature in the invasion curve.</w:t>
      </w:r>
    </w:p>
    <w:p w14:paraId="45145370" w14:textId="00382F53" w:rsidR="002768CF" w:rsidRDefault="002768CF" w:rsidP="0005500E">
      <w:pPr>
        <w:rPr>
          <w:lang w:eastAsia="ja-JP"/>
        </w:rPr>
      </w:pPr>
      <w:r w:rsidRPr="002946D7">
        <w:rPr>
          <w:lang w:eastAsia="ja-JP"/>
        </w:rPr>
        <w:t>The invasion curve has been useful in demonstrating the correlation of activity, area occupied and time, and has helped system participants further the maturity of the national biosecurity system. However, given the complexity of the national system and further development of national arrangements, jurisdictions have seen a need to adapt the invasion curve. The NBC’s agreed ca</w:t>
      </w:r>
      <w:r w:rsidR="002361B0">
        <w:rPr>
          <w:lang w:eastAsia="ja-JP"/>
        </w:rPr>
        <w:t xml:space="preserve">tegories of investment reflect </w:t>
      </w:r>
      <w:r w:rsidRPr="002946D7">
        <w:rPr>
          <w:lang w:eastAsia="ja-JP"/>
        </w:rPr>
        <w:t xml:space="preserve">the </w:t>
      </w:r>
      <w:r w:rsidR="002361B0">
        <w:rPr>
          <w:lang w:eastAsia="ja-JP"/>
        </w:rPr>
        <w:t xml:space="preserve">invasion </w:t>
      </w:r>
      <w:r w:rsidRPr="002946D7">
        <w:rPr>
          <w:lang w:eastAsia="ja-JP"/>
        </w:rPr>
        <w:t xml:space="preserve">curve’s next evolution, </w:t>
      </w:r>
      <w:r w:rsidR="002361B0">
        <w:rPr>
          <w:lang w:eastAsia="ja-JP"/>
        </w:rPr>
        <w:t>al</w:t>
      </w:r>
      <w:r w:rsidRPr="002946D7">
        <w:rPr>
          <w:lang w:eastAsia="ja-JP"/>
        </w:rPr>
        <w:t xml:space="preserve">though there will be an ongoing need to validate returns on government investment across the </w:t>
      </w:r>
      <w:r>
        <w:rPr>
          <w:lang w:eastAsia="ja-JP"/>
        </w:rPr>
        <w:t xml:space="preserve">national </w:t>
      </w:r>
      <w:r w:rsidRPr="002946D7">
        <w:rPr>
          <w:lang w:eastAsia="ja-JP"/>
        </w:rPr>
        <w:t>system for the model to remain valid.</w:t>
      </w:r>
    </w:p>
    <w:p w14:paraId="4740B5F8" w14:textId="6F3284B2" w:rsidR="005B1353" w:rsidRDefault="002768CF" w:rsidP="005B1353">
      <w:pPr>
        <w:pStyle w:val="Heading4"/>
        <w:rPr>
          <w:lang w:eastAsia="ja-JP"/>
        </w:rPr>
      </w:pPr>
      <w:bookmarkStart w:id="167" w:name="_Jurisdiction:_The_national"/>
      <w:bookmarkEnd w:id="167"/>
      <w:r>
        <w:rPr>
          <w:lang w:eastAsia="ja-JP"/>
        </w:rPr>
        <w:t>The national stocktake of biosecurity investment</w:t>
      </w:r>
    </w:p>
    <w:p w14:paraId="06901497" w14:textId="516B89BD" w:rsidR="002768CF" w:rsidRPr="009B3D5B" w:rsidRDefault="002768CF" w:rsidP="002768CF">
      <w:pPr>
        <w:keepNext/>
        <w:keepLines/>
        <w:rPr>
          <w:lang w:eastAsia="ja-JP"/>
        </w:rPr>
      </w:pPr>
      <w:r w:rsidRPr="009B3D5B">
        <w:rPr>
          <w:lang w:eastAsia="ja-JP"/>
        </w:rPr>
        <w:t xml:space="preserve">The national stocktake of biosecurity investment uses the national portfolio investment optimisation model’s six </w:t>
      </w:r>
      <w:r w:rsidR="00E92F18">
        <w:rPr>
          <w:lang w:eastAsia="ja-JP"/>
        </w:rPr>
        <w:t>ICs</w:t>
      </w:r>
      <w:r w:rsidRPr="009B3D5B">
        <w:rPr>
          <w:lang w:eastAsia="ja-JP"/>
        </w:rPr>
        <w:t xml:space="preserve"> to provide a structured assessment of how all Australian governments are investing in biosecurity.</w:t>
      </w:r>
    </w:p>
    <w:p w14:paraId="60728D17" w14:textId="05A65038" w:rsidR="002768CF" w:rsidRDefault="002768CF" w:rsidP="002768CF">
      <w:pPr>
        <w:rPr>
          <w:lang w:eastAsia="ja-JP"/>
        </w:rPr>
      </w:pPr>
      <w:r w:rsidRPr="009B3D5B">
        <w:rPr>
          <w:lang w:eastAsia="ja-JP"/>
        </w:rPr>
        <w:t xml:space="preserve">Reported through the NBC, the </w:t>
      </w:r>
      <w:r>
        <w:rPr>
          <w:lang w:eastAsia="ja-JP"/>
        </w:rPr>
        <w:t xml:space="preserve">annual </w:t>
      </w:r>
      <w:r w:rsidRPr="009B3D5B">
        <w:rPr>
          <w:lang w:eastAsia="ja-JP"/>
        </w:rPr>
        <w:t xml:space="preserve">stocktake captures estimates of jurisdictions’ overall investment in biosecurity with results available for total state and territory investment and total </w:t>
      </w:r>
      <w:r>
        <w:rPr>
          <w:lang w:eastAsia="ja-JP"/>
        </w:rPr>
        <w:t>Australian Government</w:t>
      </w:r>
      <w:r w:rsidRPr="009B3D5B">
        <w:rPr>
          <w:lang w:eastAsia="ja-JP"/>
        </w:rPr>
        <w:t xml:space="preserve"> investment. The stocktake has been completed for the 2013–14</w:t>
      </w:r>
      <w:r>
        <w:rPr>
          <w:lang w:eastAsia="ja-JP"/>
        </w:rPr>
        <w:t>,</w:t>
      </w:r>
      <w:r w:rsidR="00C8718C">
        <w:rPr>
          <w:lang w:eastAsia="ja-JP"/>
        </w:rPr>
        <w:t xml:space="preserve"> </w:t>
      </w:r>
      <w:r w:rsidRPr="009B3D5B">
        <w:rPr>
          <w:lang w:eastAsia="ja-JP"/>
        </w:rPr>
        <w:t>2014–</w:t>
      </w:r>
      <w:r w:rsidR="00240446">
        <w:rPr>
          <w:lang w:eastAsia="ja-JP"/>
        </w:rPr>
        <w:t>1</w:t>
      </w:r>
      <w:r w:rsidRPr="009B3D5B">
        <w:rPr>
          <w:lang w:eastAsia="ja-JP"/>
        </w:rPr>
        <w:t>5</w:t>
      </w:r>
      <w:r w:rsidR="00C8718C">
        <w:rPr>
          <w:lang w:eastAsia="ja-JP"/>
        </w:rPr>
        <w:t xml:space="preserve"> </w:t>
      </w:r>
      <w:r>
        <w:rPr>
          <w:lang w:eastAsia="ja-JP"/>
        </w:rPr>
        <w:t>and</w:t>
      </w:r>
      <w:r w:rsidRPr="009B3D5B">
        <w:rPr>
          <w:lang w:eastAsia="ja-JP"/>
        </w:rPr>
        <w:t xml:space="preserve"> 2015–16</w:t>
      </w:r>
      <w:r w:rsidR="0098453C">
        <w:rPr>
          <w:lang w:eastAsia="ja-JP"/>
        </w:rPr>
        <w:t xml:space="preserve"> financial years</w:t>
      </w:r>
      <w:r w:rsidR="00CC311C">
        <w:rPr>
          <w:lang w:eastAsia="ja-JP"/>
        </w:rPr>
        <w:t>.</w:t>
      </w:r>
    </w:p>
    <w:p w14:paraId="259B99F4" w14:textId="0DFBFB2D" w:rsidR="002768CF" w:rsidRPr="009B3D5B" w:rsidRDefault="002768CF" w:rsidP="002768CF">
      <w:pPr>
        <w:rPr>
          <w:lang w:eastAsia="ja-JP"/>
        </w:rPr>
      </w:pPr>
      <w:r>
        <w:rPr>
          <w:lang w:eastAsia="ja-JP"/>
        </w:rPr>
        <w:t xml:space="preserve">Unfortunately, the three stocktakes are still considered confidential </w:t>
      </w:r>
      <w:r w:rsidR="0098453C">
        <w:rPr>
          <w:lang w:eastAsia="ja-JP"/>
        </w:rPr>
        <w:t>by governments and, as a result, are</w:t>
      </w:r>
      <w:r>
        <w:rPr>
          <w:lang w:eastAsia="ja-JP"/>
        </w:rPr>
        <w:t xml:space="preserve"> not public. The </w:t>
      </w:r>
      <w:r w:rsidR="00E92F18">
        <w:rPr>
          <w:lang w:eastAsia="ja-JP"/>
        </w:rPr>
        <w:t>p</w:t>
      </w:r>
      <w:r>
        <w:rPr>
          <w:lang w:eastAsia="ja-JP"/>
        </w:rPr>
        <w:t>anel was provided with copies but with restrictions on what information can be reported publicly.</w:t>
      </w:r>
      <w:r w:rsidRPr="000065CB">
        <w:rPr>
          <w:lang w:eastAsia="ja-JP"/>
        </w:rPr>
        <w:t xml:space="preserve"> </w:t>
      </w:r>
      <w:r>
        <w:rPr>
          <w:lang w:eastAsia="ja-JP"/>
        </w:rPr>
        <w:t xml:space="preserve">The </w:t>
      </w:r>
      <w:r w:rsidR="00E92F18">
        <w:rPr>
          <w:lang w:eastAsia="ja-JP"/>
        </w:rPr>
        <w:t>p</w:t>
      </w:r>
      <w:r>
        <w:rPr>
          <w:lang w:eastAsia="ja-JP"/>
        </w:rPr>
        <w:t xml:space="preserve">anel believes that greater </w:t>
      </w:r>
      <w:r>
        <w:rPr>
          <w:lang w:eastAsia="ja-JP"/>
        </w:rPr>
        <w:lastRenderedPageBreak/>
        <w:t>transparency by jurisdictions and the NBC on biosecurity investments would facilitate the required debate in this critical area.</w:t>
      </w:r>
    </w:p>
    <w:p w14:paraId="5D6DDD03" w14:textId="49456885" w:rsidR="002768CF" w:rsidRDefault="00632BF6" w:rsidP="002768CF">
      <w:pPr>
        <w:rPr>
          <w:lang w:eastAsia="ja-JP"/>
        </w:rPr>
      </w:pPr>
      <w:r>
        <w:rPr>
          <w:lang w:eastAsia="ja-JP"/>
        </w:rPr>
        <w:t>H</w:t>
      </w:r>
      <w:r w:rsidR="002768CF" w:rsidRPr="0063129D">
        <w:rPr>
          <w:lang w:eastAsia="ja-JP"/>
        </w:rPr>
        <w:t>igh-level</w:t>
      </w:r>
      <w:r>
        <w:rPr>
          <w:lang w:eastAsia="ja-JP"/>
        </w:rPr>
        <w:t xml:space="preserve"> summary</w:t>
      </w:r>
      <w:r w:rsidR="002768CF" w:rsidRPr="0063129D">
        <w:rPr>
          <w:lang w:eastAsia="ja-JP"/>
        </w:rPr>
        <w:t xml:space="preserve"> results of the investment stocktakes are consistent with the anecdotal claims made in submissions to this </w:t>
      </w:r>
      <w:r w:rsidR="00E92F18">
        <w:rPr>
          <w:lang w:eastAsia="ja-JP"/>
        </w:rPr>
        <w:t>review</w:t>
      </w:r>
      <w:r w:rsidR="002768CF" w:rsidRPr="0063129D">
        <w:rPr>
          <w:lang w:eastAsia="ja-JP"/>
        </w:rPr>
        <w:t xml:space="preserve"> that </w:t>
      </w:r>
      <w:r w:rsidR="00967D78" w:rsidRPr="0063129D">
        <w:rPr>
          <w:rFonts w:eastAsia="Calibri" w:cs="Times New Roman"/>
          <w:lang w:eastAsia="ja-JP"/>
        </w:rPr>
        <w:t>proportionally</w:t>
      </w:r>
      <w:r w:rsidR="00967D78" w:rsidRPr="0063129D">
        <w:rPr>
          <w:lang w:eastAsia="ja-JP"/>
        </w:rPr>
        <w:t xml:space="preserve"> </w:t>
      </w:r>
      <w:r w:rsidR="002768CF" w:rsidRPr="0063129D">
        <w:rPr>
          <w:lang w:eastAsia="ja-JP"/>
        </w:rPr>
        <w:t xml:space="preserve">government appropriation funding has been static or in decline while externally sourced funds (that is, cost recovery and levies) have been </w:t>
      </w:r>
      <w:r w:rsidR="0063129D">
        <w:rPr>
          <w:lang w:eastAsia="ja-JP"/>
        </w:rPr>
        <w:t>i</w:t>
      </w:r>
      <w:r w:rsidR="00967D78" w:rsidRPr="0063129D">
        <w:rPr>
          <w:rFonts w:eastAsia="Calibri" w:cs="Times New Roman"/>
          <w:lang w:eastAsia="ja-JP"/>
        </w:rPr>
        <w:t>ncreasing</w:t>
      </w:r>
      <w:r>
        <w:rPr>
          <w:rFonts w:eastAsia="Calibri" w:cs="Times New Roman"/>
          <w:lang w:eastAsia="ja-JP"/>
        </w:rPr>
        <w:t xml:space="preserve"> (Figure 10)</w:t>
      </w:r>
      <w:r w:rsidR="002768CF" w:rsidRPr="0063129D">
        <w:rPr>
          <w:lang w:eastAsia="ja-JP"/>
        </w:rPr>
        <w:t>. While there is no doubt there has been some change in how investment has been recorded over</w:t>
      </w:r>
      <w:r w:rsidR="002768CF">
        <w:rPr>
          <w:lang w:eastAsia="ja-JP"/>
        </w:rPr>
        <w:t xml:space="preserve"> the three years as the stocktake has evolved, the trends and magn</w:t>
      </w:r>
      <w:r w:rsidR="005D1A59">
        <w:rPr>
          <w:lang w:eastAsia="ja-JP"/>
        </w:rPr>
        <w:t>itude of them are illustrative.</w:t>
      </w:r>
    </w:p>
    <w:p w14:paraId="77F9B234" w14:textId="23582DD9" w:rsidR="004402D6" w:rsidRDefault="004402D6" w:rsidP="004402D6">
      <w:pPr>
        <w:pStyle w:val="Caption"/>
        <w:rPr>
          <w:lang w:eastAsia="ja-JP"/>
        </w:rPr>
      </w:pPr>
      <w:bookmarkStart w:id="168" w:name="_Ref482625103"/>
      <w:r>
        <w:t xml:space="preserve">Figure </w:t>
      </w:r>
      <w:fldSimple w:instr=" SEQ Figure \* ARABIC ">
        <w:r w:rsidR="009F6923">
          <w:rPr>
            <w:noProof/>
          </w:rPr>
          <w:t>10</w:t>
        </w:r>
      </w:fldSimple>
      <w:bookmarkEnd w:id="168"/>
      <w:r w:rsidRPr="0063129D">
        <w:rPr>
          <w:rFonts w:eastAsia="Calibri" w:cs="Times New Roman"/>
          <w:b w:val="0"/>
          <w:bCs w:val="0"/>
        </w:rPr>
        <w:t xml:space="preserve"> </w:t>
      </w:r>
      <w:r w:rsidRPr="00AD38D1">
        <w:t>National stocktake of biosecurity investment summary results: 2013 to 2016 ($ million)</w:t>
      </w:r>
    </w:p>
    <w:p w14:paraId="7A3E05E4" w14:textId="47906008" w:rsidR="00967D78" w:rsidRDefault="00E54D1F" w:rsidP="00E54D1F">
      <w:pPr>
        <w:pStyle w:val="Picture"/>
        <w:rPr>
          <w:lang w:eastAsia="ja-JP"/>
        </w:rPr>
      </w:pPr>
      <w:r>
        <w:drawing>
          <wp:inline distT="0" distB="0" distL="0" distR="0" wp14:anchorId="4F9D79B7" wp14:editId="3F993977">
            <wp:extent cx="5747385" cy="3122295"/>
            <wp:effectExtent l="0" t="0" r="5715" b="1905"/>
            <wp:docPr id="6" name="Picture 6" descr="Shows a percentile stacked column chart for government expenditure as reported in the national stocktake of biosecurity investment for 2013–14, 2014–15 and 2015–16 by revenue source (appropriations and cost recovered) for the Australian Government, state and territory governments and all jurisdictions combined. The notable trend is a reduction in expenditure funded by appropriations over the three years, and a corresponding increase in the amount of expenditure that is funded by cost recovered re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8576" cy="3122942"/>
                    </a:xfrm>
                    <a:prstGeom prst="rect">
                      <a:avLst/>
                    </a:prstGeom>
                    <a:noFill/>
                    <a:ln>
                      <a:noFill/>
                    </a:ln>
                  </pic:spPr>
                </pic:pic>
              </a:graphicData>
            </a:graphic>
          </wp:inline>
        </w:drawing>
      </w:r>
    </w:p>
    <w:p w14:paraId="60FEDB6A" w14:textId="611DC6FD" w:rsidR="00967D78" w:rsidRPr="000A1214" w:rsidRDefault="00967D78" w:rsidP="00F432FE">
      <w:pPr>
        <w:pStyle w:val="FigureTableNoteSource"/>
        <w:rPr>
          <w:lang w:eastAsia="ja-JP"/>
        </w:rPr>
      </w:pPr>
      <w:r w:rsidRPr="000A1214">
        <w:rPr>
          <w:lang w:eastAsia="ja-JP"/>
        </w:rPr>
        <w:t>Figures include all six categories, IC1 to IC6.</w:t>
      </w:r>
    </w:p>
    <w:p w14:paraId="2C346546" w14:textId="77777777" w:rsidR="00967D78" w:rsidRPr="00967D78" w:rsidRDefault="00967D78" w:rsidP="00F432FE">
      <w:pPr>
        <w:pStyle w:val="FigureTableNoteSource"/>
        <w:rPr>
          <w:lang w:eastAsia="ja-JP"/>
        </w:rPr>
      </w:pPr>
      <w:r w:rsidRPr="000A1214">
        <w:rPr>
          <w:lang w:eastAsia="ja-JP"/>
        </w:rPr>
        <w:t>Source: National</w:t>
      </w:r>
      <w:r w:rsidRPr="0063129D">
        <w:rPr>
          <w:lang w:eastAsia="ja-JP"/>
        </w:rPr>
        <w:t xml:space="preserve"> stocktake of biosecurity investment 2013–14, 2014–15 and 2015–16.</w:t>
      </w:r>
    </w:p>
    <w:p w14:paraId="663BCC3A" w14:textId="77777777" w:rsidR="002768CF" w:rsidRPr="002768CF" w:rsidRDefault="002768CF" w:rsidP="00B757B7">
      <w:pPr>
        <w:keepNext/>
        <w:keepLines/>
        <w:rPr>
          <w:rFonts w:eastAsia="Calibri" w:cs="Times New Roman"/>
          <w:lang w:eastAsia="ja-JP"/>
        </w:rPr>
      </w:pPr>
      <w:r w:rsidRPr="002768CF">
        <w:rPr>
          <w:rFonts w:eastAsia="Calibri" w:cs="Times New Roman"/>
          <w:lang w:eastAsia="ja-JP"/>
        </w:rPr>
        <w:t>Some notable observations are:</w:t>
      </w:r>
    </w:p>
    <w:p w14:paraId="1F16AA95" w14:textId="63C4AA84" w:rsidR="002768CF" w:rsidRPr="002768CF" w:rsidRDefault="002768CF" w:rsidP="00B757B7">
      <w:pPr>
        <w:pStyle w:val="ListBullet"/>
        <w:keepNext/>
        <w:keepLines/>
        <w:rPr>
          <w:lang w:eastAsia="ja-JP"/>
        </w:rPr>
      </w:pPr>
      <w:r w:rsidRPr="002768CF">
        <w:rPr>
          <w:lang w:eastAsia="ja-JP"/>
        </w:rPr>
        <w:t>Nationally, externally sourced fu</w:t>
      </w:r>
      <w:r w:rsidR="00A8440A">
        <w:rPr>
          <w:lang w:eastAsia="ja-JP"/>
        </w:rPr>
        <w:t>nds in 2015–16 accounted for 57 </w:t>
      </w:r>
      <w:r w:rsidRPr="002768CF">
        <w:rPr>
          <w:lang w:eastAsia="ja-JP"/>
        </w:rPr>
        <w:t>per</w:t>
      </w:r>
      <w:r w:rsidR="00A8440A">
        <w:rPr>
          <w:lang w:eastAsia="ja-JP"/>
        </w:rPr>
        <w:t> </w:t>
      </w:r>
      <w:r w:rsidRPr="002768CF">
        <w:rPr>
          <w:lang w:eastAsia="ja-JP"/>
        </w:rPr>
        <w:t>ce</w:t>
      </w:r>
      <w:r w:rsidR="00A8440A">
        <w:rPr>
          <w:lang w:eastAsia="ja-JP"/>
        </w:rPr>
        <w:t>nt and budget appropriations 43 </w:t>
      </w:r>
      <w:r w:rsidRPr="002768CF">
        <w:rPr>
          <w:lang w:eastAsia="ja-JP"/>
        </w:rPr>
        <w:t>per</w:t>
      </w:r>
      <w:r w:rsidR="00A8440A">
        <w:rPr>
          <w:lang w:eastAsia="ja-JP"/>
        </w:rPr>
        <w:t> </w:t>
      </w:r>
      <w:r w:rsidR="003F4798">
        <w:rPr>
          <w:lang w:eastAsia="ja-JP"/>
        </w:rPr>
        <w:t>cent of total investment—</w:t>
      </w:r>
      <w:r w:rsidRPr="002768CF">
        <w:rPr>
          <w:lang w:eastAsia="ja-JP"/>
        </w:rPr>
        <w:t>a marked change from 2013–14</w:t>
      </w:r>
      <w:r w:rsidR="003F4798">
        <w:rPr>
          <w:lang w:eastAsia="ja-JP"/>
        </w:rPr>
        <w:t>,</w:t>
      </w:r>
      <w:r w:rsidRPr="002768CF">
        <w:rPr>
          <w:lang w:eastAsia="ja-JP"/>
        </w:rPr>
        <w:t xml:space="preserve"> when the corresponding figures were 3</w:t>
      </w:r>
      <w:r w:rsidR="00A8440A">
        <w:rPr>
          <w:lang w:eastAsia="ja-JP"/>
        </w:rPr>
        <w:t>2 and 68 </w:t>
      </w:r>
      <w:r w:rsidR="00F163A5">
        <w:rPr>
          <w:lang w:eastAsia="ja-JP"/>
        </w:rPr>
        <w:t>per</w:t>
      </w:r>
      <w:r w:rsidR="00A8440A">
        <w:rPr>
          <w:lang w:eastAsia="ja-JP"/>
        </w:rPr>
        <w:t> </w:t>
      </w:r>
      <w:r w:rsidR="00F163A5">
        <w:rPr>
          <w:lang w:eastAsia="ja-JP"/>
        </w:rPr>
        <w:t>cent respectively.</w:t>
      </w:r>
    </w:p>
    <w:p w14:paraId="439AE3FB" w14:textId="52A1F556" w:rsidR="002768CF" w:rsidRPr="002768CF" w:rsidRDefault="002768CF" w:rsidP="002768CF">
      <w:pPr>
        <w:pStyle w:val="ListBullet"/>
        <w:rPr>
          <w:lang w:eastAsia="ja-JP"/>
        </w:rPr>
      </w:pPr>
      <w:r w:rsidRPr="002768CF">
        <w:rPr>
          <w:lang w:eastAsia="ja-JP"/>
        </w:rPr>
        <w:t>The Australian Government had the largest movement between budget appropriations and externally sourced funds. In 2013–14 budge</w:t>
      </w:r>
      <w:r w:rsidR="00A8440A">
        <w:rPr>
          <w:lang w:eastAsia="ja-JP"/>
        </w:rPr>
        <w:t>t appropriations represented 59 </w:t>
      </w:r>
      <w:r w:rsidRPr="002768CF">
        <w:rPr>
          <w:lang w:eastAsia="ja-JP"/>
        </w:rPr>
        <w:t>per</w:t>
      </w:r>
      <w:r w:rsidR="00A8440A">
        <w:rPr>
          <w:lang w:eastAsia="ja-JP"/>
        </w:rPr>
        <w:t> </w:t>
      </w:r>
      <w:r w:rsidRPr="002768CF">
        <w:rPr>
          <w:lang w:eastAsia="ja-JP"/>
        </w:rPr>
        <w:t>cent of what the Australian Government invested in biosecurity, but by 2015–16 this had fallen considerably to 29</w:t>
      </w:r>
      <w:r w:rsidR="00A8440A">
        <w:rPr>
          <w:lang w:eastAsia="ja-JP"/>
        </w:rPr>
        <w:t> </w:t>
      </w:r>
      <w:r w:rsidRPr="002768CF">
        <w:rPr>
          <w:lang w:eastAsia="ja-JP"/>
        </w:rPr>
        <w:t>per</w:t>
      </w:r>
      <w:r w:rsidR="00A8440A">
        <w:rPr>
          <w:lang w:eastAsia="ja-JP"/>
        </w:rPr>
        <w:t> </w:t>
      </w:r>
      <w:r w:rsidRPr="002768CF">
        <w:rPr>
          <w:lang w:eastAsia="ja-JP"/>
        </w:rPr>
        <w:t>cent.</w:t>
      </w:r>
    </w:p>
    <w:p w14:paraId="2828E376" w14:textId="15C10DCD" w:rsidR="002768CF" w:rsidRPr="002768CF" w:rsidRDefault="003F4798" w:rsidP="002768CF">
      <w:pPr>
        <w:pStyle w:val="ListBullet"/>
        <w:rPr>
          <w:lang w:eastAsia="ja-JP"/>
        </w:rPr>
      </w:pPr>
      <w:r>
        <w:rPr>
          <w:lang w:eastAsia="ja-JP"/>
        </w:rPr>
        <w:lastRenderedPageBreak/>
        <w:t>Cost-</w:t>
      </w:r>
      <w:r w:rsidR="002768CF" w:rsidRPr="002768CF">
        <w:rPr>
          <w:lang w:eastAsia="ja-JP"/>
        </w:rPr>
        <w:t xml:space="preserve">recovered funds by the Australian </w:t>
      </w:r>
      <w:r w:rsidR="00A8440A">
        <w:rPr>
          <w:lang w:eastAsia="ja-JP"/>
        </w:rPr>
        <w:t>Government increased by 10</w:t>
      </w:r>
      <w:r w:rsidR="007419BB">
        <w:rPr>
          <w:lang w:eastAsia="ja-JP"/>
        </w:rPr>
        <w:t>8</w:t>
      </w:r>
      <w:r w:rsidR="00A8440A">
        <w:rPr>
          <w:lang w:eastAsia="ja-JP"/>
        </w:rPr>
        <w:t> per </w:t>
      </w:r>
      <w:r w:rsidR="002768CF" w:rsidRPr="002768CF">
        <w:rPr>
          <w:lang w:eastAsia="ja-JP"/>
        </w:rPr>
        <w:t>cent over the period, and cost</w:t>
      </w:r>
      <w:r>
        <w:rPr>
          <w:lang w:eastAsia="ja-JP"/>
        </w:rPr>
        <w:t>-</w:t>
      </w:r>
      <w:r w:rsidR="002768CF" w:rsidRPr="002768CF">
        <w:rPr>
          <w:lang w:eastAsia="ja-JP"/>
        </w:rPr>
        <w:t>recovered funds by the states and territo</w:t>
      </w:r>
      <w:r w:rsidR="00A8440A">
        <w:rPr>
          <w:lang w:eastAsia="ja-JP"/>
        </w:rPr>
        <w:t>ries increased by 183 </w:t>
      </w:r>
      <w:r w:rsidR="002768CF" w:rsidRPr="002768CF">
        <w:rPr>
          <w:lang w:eastAsia="ja-JP"/>
        </w:rPr>
        <w:t>per</w:t>
      </w:r>
      <w:r w:rsidR="00A8440A">
        <w:rPr>
          <w:lang w:eastAsia="ja-JP"/>
        </w:rPr>
        <w:t> </w:t>
      </w:r>
      <w:r w:rsidR="002768CF" w:rsidRPr="002768CF">
        <w:rPr>
          <w:lang w:eastAsia="ja-JP"/>
        </w:rPr>
        <w:t>cent.</w:t>
      </w:r>
    </w:p>
    <w:p w14:paraId="43AAE016" w14:textId="3D01ED8D" w:rsidR="002768CF" w:rsidRPr="002768CF" w:rsidRDefault="002768CF" w:rsidP="002768CF">
      <w:pPr>
        <w:pStyle w:val="ListBullet"/>
        <w:rPr>
          <w:lang w:eastAsia="ja-JP"/>
        </w:rPr>
      </w:pPr>
      <w:r w:rsidRPr="002768CF">
        <w:rPr>
          <w:lang w:eastAsia="ja-JP"/>
        </w:rPr>
        <w:t>Budget funding increased significantly between 2014–15 and 2015–16, reflecting the injection of funds noted above following rev</w:t>
      </w:r>
      <w:r w:rsidR="003F4798">
        <w:rPr>
          <w:lang w:eastAsia="ja-JP"/>
        </w:rPr>
        <w:t>iews in Queensland and Victoria</w:t>
      </w:r>
      <w:r w:rsidRPr="002768CF">
        <w:rPr>
          <w:lang w:eastAsia="ja-JP"/>
        </w:rPr>
        <w:t xml:space="preserve"> and the 2015 Agricultural Competitiveness White Paper.</w:t>
      </w:r>
    </w:p>
    <w:p w14:paraId="0D638B01" w14:textId="7A6EAF57" w:rsidR="002768CF" w:rsidRDefault="002768CF" w:rsidP="002768CF">
      <w:pPr>
        <w:pStyle w:val="ListBullet"/>
        <w:rPr>
          <w:lang w:eastAsia="ja-JP"/>
        </w:rPr>
      </w:pPr>
      <w:r w:rsidRPr="002768CF">
        <w:rPr>
          <w:lang w:eastAsia="ja-JP"/>
        </w:rPr>
        <w:t>Total funding in 2015–16 was $998 </w:t>
      </w:r>
      <w:r w:rsidRPr="0063129D">
        <w:rPr>
          <w:lang w:eastAsia="ja-JP"/>
        </w:rPr>
        <w:t>m</w:t>
      </w:r>
      <w:r w:rsidR="003F4798">
        <w:rPr>
          <w:lang w:eastAsia="ja-JP"/>
        </w:rPr>
        <w:t>illion—</w:t>
      </w:r>
      <w:r w:rsidR="00A8440A">
        <w:rPr>
          <w:lang w:eastAsia="ja-JP"/>
        </w:rPr>
        <w:t>an increase of a</w:t>
      </w:r>
      <w:r w:rsidR="00B358B6">
        <w:rPr>
          <w:lang w:eastAsia="ja-JP"/>
        </w:rPr>
        <w:t>round</w:t>
      </w:r>
      <w:r w:rsidR="00A8440A">
        <w:rPr>
          <w:lang w:eastAsia="ja-JP"/>
        </w:rPr>
        <w:t xml:space="preserve"> 2</w:t>
      </w:r>
      <w:r w:rsidR="0000628D">
        <w:rPr>
          <w:lang w:eastAsia="ja-JP"/>
        </w:rPr>
        <w:t>4</w:t>
      </w:r>
      <w:r w:rsidR="00A8440A">
        <w:rPr>
          <w:lang w:eastAsia="ja-JP"/>
        </w:rPr>
        <w:t> </w:t>
      </w:r>
      <w:r w:rsidRPr="0063129D">
        <w:rPr>
          <w:lang w:eastAsia="ja-JP"/>
        </w:rPr>
        <w:t>per</w:t>
      </w:r>
      <w:r w:rsidR="00A8440A">
        <w:rPr>
          <w:lang w:eastAsia="ja-JP"/>
        </w:rPr>
        <w:t xml:space="preserve"> cent on the </w:t>
      </w:r>
      <w:r w:rsidRPr="0063129D">
        <w:rPr>
          <w:lang w:eastAsia="ja-JP"/>
        </w:rPr>
        <w:t>2013–14 figure</w:t>
      </w:r>
      <w:r w:rsidR="00967D78" w:rsidRPr="0063129D">
        <w:rPr>
          <w:lang w:eastAsia="ja-JP"/>
        </w:rPr>
        <w:t xml:space="preserve"> </w:t>
      </w:r>
      <w:r w:rsidR="006E6916">
        <w:rPr>
          <w:rFonts w:eastAsia="Calibri" w:cs="Times New Roman"/>
          <w:lang w:eastAsia="ja-JP"/>
        </w:rPr>
        <w:t>of $8</w:t>
      </w:r>
      <w:r w:rsidR="00740020">
        <w:rPr>
          <w:rFonts w:eastAsia="Calibri" w:cs="Times New Roman"/>
          <w:lang w:eastAsia="ja-JP"/>
        </w:rPr>
        <w:t>04</w:t>
      </w:r>
      <w:r w:rsidR="006E6916">
        <w:rPr>
          <w:rFonts w:eastAsia="Calibri" w:cs="Times New Roman"/>
          <w:lang w:eastAsia="ja-JP"/>
        </w:rPr>
        <w:t> </w:t>
      </w:r>
      <w:r w:rsidR="00967D78" w:rsidRPr="0063129D">
        <w:rPr>
          <w:rFonts w:eastAsia="Calibri" w:cs="Times New Roman"/>
          <w:lang w:eastAsia="ja-JP"/>
        </w:rPr>
        <w:t>million</w:t>
      </w:r>
      <w:r w:rsidRPr="0063129D">
        <w:rPr>
          <w:lang w:eastAsia="ja-JP"/>
        </w:rPr>
        <w:t>.</w:t>
      </w:r>
    </w:p>
    <w:p w14:paraId="75E4866E" w14:textId="034987D5" w:rsidR="000C75E5" w:rsidRDefault="000C75E5" w:rsidP="000C75E5">
      <w:pPr>
        <w:pStyle w:val="ListBullet"/>
        <w:numPr>
          <w:ilvl w:val="0"/>
          <w:numId w:val="0"/>
        </w:numPr>
        <w:rPr>
          <w:lang w:eastAsia="ja-JP"/>
        </w:rPr>
      </w:pPr>
      <w:r>
        <w:rPr>
          <w:lang w:eastAsia="ja-JP"/>
        </w:rPr>
        <w:t xml:space="preserve">A breakdown of the most recent stocktake results for 2015–16, by investment category (that is, IC1 to IC6) and source of funds </w:t>
      </w:r>
      <w:r w:rsidR="0000605B">
        <w:rPr>
          <w:lang w:eastAsia="ja-JP"/>
        </w:rPr>
        <w:t>(</w:t>
      </w:r>
      <w:r>
        <w:rPr>
          <w:lang w:eastAsia="ja-JP"/>
        </w:rPr>
        <w:fldChar w:fldCharType="begin"/>
      </w:r>
      <w:r>
        <w:rPr>
          <w:lang w:eastAsia="ja-JP"/>
        </w:rPr>
        <w:instrText xml:space="preserve"> REF _Ref482693429 \h </w:instrText>
      </w:r>
      <w:r>
        <w:rPr>
          <w:lang w:eastAsia="ja-JP"/>
        </w:rPr>
      </w:r>
      <w:r>
        <w:rPr>
          <w:lang w:eastAsia="ja-JP"/>
        </w:rPr>
        <w:fldChar w:fldCharType="separate"/>
      </w:r>
      <w:r w:rsidR="009F6923">
        <w:t xml:space="preserve">Figure </w:t>
      </w:r>
      <w:r w:rsidR="009F6923">
        <w:rPr>
          <w:noProof/>
        </w:rPr>
        <w:t>11</w:t>
      </w:r>
      <w:r>
        <w:rPr>
          <w:lang w:eastAsia="ja-JP"/>
        </w:rPr>
        <w:fldChar w:fldCharType="end"/>
      </w:r>
      <w:r w:rsidR="0000605B">
        <w:rPr>
          <w:lang w:eastAsia="ja-JP"/>
        </w:rPr>
        <w:t>)</w:t>
      </w:r>
      <w:r w:rsidR="003F4798">
        <w:rPr>
          <w:lang w:eastAsia="ja-JP"/>
        </w:rPr>
        <w:t>,</w:t>
      </w:r>
      <w:r>
        <w:rPr>
          <w:lang w:eastAsia="ja-JP"/>
        </w:rPr>
        <w:t xml:space="preserve"> shows that:</w:t>
      </w:r>
    </w:p>
    <w:p w14:paraId="5B060EAA" w14:textId="572ECE5E" w:rsidR="000C75E5" w:rsidRDefault="003F4798" w:rsidP="000C75E5">
      <w:pPr>
        <w:pStyle w:val="ListBullet"/>
        <w:rPr>
          <w:lang w:eastAsia="ja-JP"/>
        </w:rPr>
      </w:pPr>
      <w:r>
        <w:rPr>
          <w:lang w:eastAsia="ja-JP"/>
        </w:rPr>
        <w:t xml:space="preserve">the </w:t>
      </w:r>
      <w:r w:rsidR="000C75E5">
        <w:rPr>
          <w:lang w:eastAsia="ja-JP"/>
        </w:rPr>
        <w:t>Australian Government spent 62 per cent of its appropriation funds (around $113</w:t>
      </w:r>
      <w:r w:rsidR="006E6916">
        <w:rPr>
          <w:lang w:eastAsia="ja-JP"/>
        </w:rPr>
        <w:t> </w:t>
      </w:r>
      <w:r w:rsidR="000C75E5">
        <w:rPr>
          <w:lang w:eastAsia="ja-JP"/>
        </w:rPr>
        <w:t>million) in prevention and preparedness</w:t>
      </w:r>
      <w:r w:rsidR="00942ED0" w:rsidRPr="00942ED0">
        <w:rPr>
          <w:lang w:eastAsia="ja-JP"/>
        </w:rPr>
        <w:t xml:space="preserve"> </w:t>
      </w:r>
      <w:r w:rsidR="00942ED0">
        <w:rPr>
          <w:lang w:eastAsia="ja-JP"/>
        </w:rPr>
        <w:t>(IC1 and IC2)</w:t>
      </w:r>
    </w:p>
    <w:p w14:paraId="126D6E65" w14:textId="47EF1FC4" w:rsidR="000C75E5" w:rsidRDefault="000C75E5" w:rsidP="000C75E5">
      <w:pPr>
        <w:pStyle w:val="ListBullet"/>
        <w:rPr>
          <w:lang w:eastAsia="ja-JP"/>
        </w:rPr>
      </w:pPr>
      <w:r>
        <w:rPr>
          <w:lang w:eastAsia="ja-JP"/>
        </w:rPr>
        <w:t xml:space="preserve">states and territories spent </w:t>
      </w:r>
      <w:r w:rsidR="00BE4264">
        <w:rPr>
          <w:lang w:eastAsia="ja-JP"/>
        </w:rPr>
        <w:t xml:space="preserve">63 </w:t>
      </w:r>
      <w:r>
        <w:rPr>
          <w:lang w:eastAsia="ja-JP"/>
        </w:rPr>
        <w:t>per cent of their a</w:t>
      </w:r>
      <w:r w:rsidR="006E6916">
        <w:rPr>
          <w:lang w:eastAsia="ja-JP"/>
        </w:rPr>
        <w:t>ppropriation funds (around $138 </w:t>
      </w:r>
      <w:r>
        <w:rPr>
          <w:lang w:eastAsia="ja-JP"/>
        </w:rPr>
        <w:t>million) on management of established pests and diseases</w:t>
      </w:r>
      <w:r w:rsidR="005B27AC">
        <w:rPr>
          <w:lang w:eastAsia="ja-JP"/>
        </w:rPr>
        <w:t xml:space="preserve"> (</w:t>
      </w:r>
      <w:r w:rsidR="00BE4264">
        <w:rPr>
          <w:lang w:eastAsia="ja-JP"/>
        </w:rPr>
        <w:t xml:space="preserve">IC4 and </w:t>
      </w:r>
      <w:r w:rsidR="005B27AC">
        <w:rPr>
          <w:lang w:eastAsia="ja-JP"/>
        </w:rPr>
        <w:t>IC5)</w:t>
      </w:r>
    </w:p>
    <w:p w14:paraId="0B30DBFB" w14:textId="4B814445" w:rsidR="000C75E5" w:rsidRDefault="00EA6E9C" w:rsidP="000C75E5">
      <w:pPr>
        <w:pStyle w:val="ListBullet"/>
        <w:rPr>
          <w:lang w:eastAsia="ja-JP"/>
        </w:rPr>
      </w:pPr>
      <w:r>
        <w:rPr>
          <w:lang w:eastAsia="ja-JP"/>
        </w:rPr>
        <w:t>58 </w:t>
      </w:r>
      <w:r w:rsidR="000C75E5">
        <w:rPr>
          <w:lang w:eastAsia="ja-JP"/>
        </w:rPr>
        <w:t>per</w:t>
      </w:r>
      <w:r>
        <w:rPr>
          <w:lang w:eastAsia="ja-JP"/>
        </w:rPr>
        <w:t> </w:t>
      </w:r>
      <w:r w:rsidR="000C75E5">
        <w:rPr>
          <w:lang w:eastAsia="ja-JP"/>
        </w:rPr>
        <w:t>cent of the funds gener</w:t>
      </w:r>
      <w:r w:rsidR="006E6916">
        <w:rPr>
          <w:lang w:eastAsia="ja-JP"/>
        </w:rPr>
        <w:t>ated from industry (around $334 </w:t>
      </w:r>
      <w:r w:rsidR="000C75E5">
        <w:rPr>
          <w:lang w:eastAsia="ja-JP"/>
        </w:rPr>
        <w:t>mi</w:t>
      </w:r>
      <w:r w:rsidR="00F163A5">
        <w:rPr>
          <w:lang w:eastAsia="ja-JP"/>
        </w:rPr>
        <w:t>llion) was spent on IC1 and IC2</w:t>
      </w:r>
    </w:p>
    <w:p w14:paraId="6C73E401" w14:textId="614B0C74" w:rsidR="000C75E5" w:rsidRDefault="003F4798" w:rsidP="000C75E5">
      <w:pPr>
        <w:pStyle w:val="ListBullet"/>
        <w:rPr>
          <w:lang w:eastAsia="ja-JP"/>
        </w:rPr>
      </w:pPr>
      <w:r>
        <w:rPr>
          <w:lang w:eastAsia="ja-JP"/>
        </w:rPr>
        <w:t>o</w:t>
      </w:r>
      <w:r w:rsidR="000C75E5">
        <w:rPr>
          <w:lang w:eastAsia="ja-JP"/>
        </w:rPr>
        <w:t>verall, a</w:t>
      </w:r>
      <w:r w:rsidR="00F163A5">
        <w:rPr>
          <w:lang w:eastAsia="ja-JP"/>
        </w:rPr>
        <w:t>round 51</w:t>
      </w:r>
      <w:r w:rsidR="00EA6E9C">
        <w:rPr>
          <w:lang w:eastAsia="ja-JP"/>
        </w:rPr>
        <w:t> </w:t>
      </w:r>
      <w:r w:rsidR="00F163A5">
        <w:rPr>
          <w:lang w:eastAsia="ja-JP"/>
        </w:rPr>
        <w:t>per</w:t>
      </w:r>
      <w:r w:rsidR="00EA6E9C">
        <w:rPr>
          <w:lang w:eastAsia="ja-JP"/>
        </w:rPr>
        <w:t> </w:t>
      </w:r>
      <w:r w:rsidR="00F163A5">
        <w:rPr>
          <w:lang w:eastAsia="ja-JP"/>
        </w:rPr>
        <w:t>cent of funds ($510 </w:t>
      </w:r>
      <w:r w:rsidR="000C75E5">
        <w:rPr>
          <w:lang w:eastAsia="ja-JP"/>
        </w:rPr>
        <w:t xml:space="preserve">million) was invested in </w:t>
      </w:r>
      <w:r w:rsidR="005B27AC">
        <w:rPr>
          <w:lang w:eastAsia="ja-JP"/>
        </w:rPr>
        <w:t>prevention and preparedness (</w:t>
      </w:r>
      <w:r w:rsidR="000C75E5">
        <w:rPr>
          <w:lang w:eastAsia="ja-JP"/>
        </w:rPr>
        <w:t>IC1 and IC2</w:t>
      </w:r>
      <w:r w:rsidR="005B27AC">
        <w:rPr>
          <w:lang w:eastAsia="ja-JP"/>
        </w:rPr>
        <w:t>)</w:t>
      </w:r>
      <w:r w:rsidR="00EA6E9C">
        <w:rPr>
          <w:lang w:eastAsia="ja-JP"/>
        </w:rPr>
        <w:t>, 6 </w:t>
      </w:r>
      <w:r w:rsidR="006E6916">
        <w:rPr>
          <w:lang w:eastAsia="ja-JP"/>
        </w:rPr>
        <w:t>per</w:t>
      </w:r>
      <w:r w:rsidR="00EA6E9C">
        <w:rPr>
          <w:lang w:eastAsia="ja-JP"/>
        </w:rPr>
        <w:t> </w:t>
      </w:r>
      <w:r w:rsidR="006E6916">
        <w:rPr>
          <w:lang w:eastAsia="ja-JP"/>
        </w:rPr>
        <w:t>cent ($55 </w:t>
      </w:r>
      <w:r w:rsidR="000C75E5">
        <w:rPr>
          <w:lang w:eastAsia="ja-JP"/>
        </w:rPr>
        <w:t xml:space="preserve">million) </w:t>
      </w:r>
      <w:r>
        <w:rPr>
          <w:lang w:eastAsia="ja-JP"/>
        </w:rPr>
        <w:t>was invested in</w:t>
      </w:r>
      <w:r w:rsidR="000C75E5">
        <w:rPr>
          <w:lang w:eastAsia="ja-JP"/>
        </w:rPr>
        <w:t xml:space="preserve"> eradication and containment programs</w:t>
      </w:r>
      <w:r w:rsidR="005B27AC">
        <w:rPr>
          <w:lang w:eastAsia="ja-JP"/>
        </w:rPr>
        <w:t xml:space="preserve"> (IC3)</w:t>
      </w:r>
      <w:r w:rsidR="00EA6E9C">
        <w:rPr>
          <w:lang w:eastAsia="ja-JP"/>
        </w:rPr>
        <w:t>, 26 </w:t>
      </w:r>
      <w:r w:rsidR="006E6916">
        <w:rPr>
          <w:lang w:eastAsia="ja-JP"/>
        </w:rPr>
        <w:t>per</w:t>
      </w:r>
      <w:r w:rsidR="00EA6E9C">
        <w:rPr>
          <w:lang w:eastAsia="ja-JP"/>
        </w:rPr>
        <w:t> </w:t>
      </w:r>
      <w:r w:rsidR="006E6916">
        <w:rPr>
          <w:lang w:eastAsia="ja-JP"/>
        </w:rPr>
        <w:t>cent ($264 </w:t>
      </w:r>
      <w:r w:rsidR="000C75E5">
        <w:rPr>
          <w:lang w:eastAsia="ja-JP"/>
        </w:rPr>
        <w:t xml:space="preserve">million) </w:t>
      </w:r>
      <w:r>
        <w:rPr>
          <w:lang w:eastAsia="ja-JP"/>
        </w:rPr>
        <w:t xml:space="preserve">was invested in </w:t>
      </w:r>
      <w:r w:rsidR="000C75E5">
        <w:rPr>
          <w:lang w:eastAsia="ja-JP"/>
        </w:rPr>
        <w:t>management of established pests and diseases, nationally significant and other</w:t>
      </w:r>
      <w:r w:rsidR="005B27AC">
        <w:rPr>
          <w:lang w:eastAsia="ja-JP"/>
        </w:rPr>
        <w:t xml:space="preserve"> (IC4 and IC5)</w:t>
      </w:r>
      <w:r w:rsidR="006E6916">
        <w:rPr>
          <w:lang w:eastAsia="ja-JP"/>
        </w:rPr>
        <w:t>, and 17 per cent ($169 </w:t>
      </w:r>
      <w:r w:rsidR="000C75E5">
        <w:rPr>
          <w:lang w:eastAsia="ja-JP"/>
        </w:rPr>
        <w:t xml:space="preserve">million) </w:t>
      </w:r>
      <w:r>
        <w:rPr>
          <w:lang w:eastAsia="ja-JP"/>
        </w:rPr>
        <w:t>was invested in</w:t>
      </w:r>
      <w:r w:rsidR="000C75E5">
        <w:rPr>
          <w:lang w:eastAsia="ja-JP"/>
        </w:rPr>
        <w:t xml:space="preserve"> export facilitation</w:t>
      </w:r>
      <w:r w:rsidR="005B27AC">
        <w:rPr>
          <w:lang w:eastAsia="ja-JP"/>
        </w:rPr>
        <w:t xml:space="preserve"> (IC6</w:t>
      </w:r>
      <w:r w:rsidR="000C75E5">
        <w:rPr>
          <w:lang w:eastAsia="ja-JP"/>
        </w:rPr>
        <w:t>).</w:t>
      </w:r>
    </w:p>
    <w:p w14:paraId="4DECD483" w14:textId="4C4E5D86" w:rsidR="00D90EAA" w:rsidRDefault="00D90EAA" w:rsidP="00D90EAA">
      <w:pPr>
        <w:pStyle w:val="Caption"/>
        <w:rPr>
          <w:lang w:eastAsia="ja-JP"/>
        </w:rPr>
      </w:pPr>
      <w:bookmarkStart w:id="169" w:name="_Ref482693429"/>
      <w:r>
        <w:lastRenderedPageBreak/>
        <w:t xml:space="preserve">Figure </w:t>
      </w:r>
      <w:fldSimple w:instr=" SEQ Figure \* ARABIC ">
        <w:r w:rsidR="009F6923">
          <w:rPr>
            <w:noProof/>
          </w:rPr>
          <w:t>11</w:t>
        </w:r>
      </w:fldSimple>
      <w:bookmarkEnd w:id="169"/>
      <w:r w:rsidRPr="0083070C">
        <w:rPr>
          <w:rFonts w:eastAsia="Calibri" w:cs="Times New Roman"/>
          <w:b w:val="0"/>
          <w:bCs w:val="0"/>
        </w:rPr>
        <w:t xml:space="preserve"> </w:t>
      </w:r>
      <w:r w:rsidRPr="007312BA">
        <w:t>National biosecurity investment stocktake 2015–16 results by investment category and source of funds ($ million)</w:t>
      </w:r>
    </w:p>
    <w:p w14:paraId="0D9E7BA9" w14:textId="4A92046A" w:rsidR="0036752F" w:rsidRDefault="00E16E13" w:rsidP="0005500E">
      <w:pPr>
        <w:pStyle w:val="Picture"/>
        <w:rPr>
          <w:lang w:eastAsia="ja-JP"/>
        </w:rPr>
      </w:pPr>
      <w:r>
        <w:drawing>
          <wp:inline distT="0" distB="0" distL="0" distR="0" wp14:anchorId="0949BD08" wp14:editId="0433182A">
            <wp:extent cx="5723255" cy="2938145"/>
            <wp:effectExtent l="0" t="0" r="0" b="0"/>
            <wp:docPr id="1" name="Picture 1" descr="Shows a percentile stacked column chart of a breakdown of the 2015–16 national biosecurity investment stocktake by revenue source across the six investment categories from the national portfolio investment optimisation model (that is, IC1 to IC6). The analysis shows that the Australian Government spends over 60 per cent of its appropriations funds on prevention and preparedness (ICs 1 and 2), the states and territories spend over half of their appropriations funds on managing established pests and diseases (IC5), and close to 60 per cent of cost recovered revenue is spent on prevention and preparedness (ICs 1 and 2). Overall, approximately half of all funds (government appropriations and cost recovered) are spent on prevention and prepare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8129" cy="2945781"/>
                    </a:xfrm>
                    <a:prstGeom prst="rect">
                      <a:avLst/>
                    </a:prstGeom>
                    <a:noFill/>
                  </pic:spPr>
                </pic:pic>
              </a:graphicData>
            </a:graphic>
          </wp:inline>
        </w:drawing>
      </w:r>
    </w:p>
    <w:p w14:paraId="503E3721" w14:textId="77777777" w:rsidR="0036752F" w:rsidRPr="0036752F" w:rsidRDefault="0036752F" w:rsidP="002E4A43">
      <w:pPr>
        <w:pStyle w:val="FigureTableNoteSource"/>
        <w:rPr>
          <w:lang w:eastAsia="ja-JP"/>
        </w:rPr>
      </w:pPr>
      <w:r w:rsidRPr="000A1214">
        <w:rPr>
          <w:lang w:eastAsia="ja-JP"/>
        </w:rPr>
        <w:t>Source: National</w:t>
      </w:r>
      <w:r w:rsidRPr="0083070C">
        <w:rPr>
          <w:lang w:eastAsia="ja-JP"/>
        </w:rPr>
        <w:t xml:space="preserve"> stocktake of biosecurity investment 2013–14, 2014–15 and 2015–16.</w:t>
      </w:r>
    </w:p>
    <w:p w14:paraId="3A25AC3C" w14:textId="569CB285" w:rsidR="002768CF" w:rsidRPr="002768CF" w:rsidRDefault="002768CF" w:rsidP="002768CF">
      <w:pPr>
        <w:rPr>
          <w:lang w:eastAsia="ja-JP"/>
        </w:rPr>
      </w:pPr>
      <w:r w:rsidRPr="002768CF">
        <w:rPr>
          <w:lang w:eastAsia="ja-JP"/>
        </w:rPr>
        <w:t xml:space="preserve">The </w:t>
      </w:r>
      <w:r w:rsidR="000B510E">
        <w:rPr>
          <w:lang w:eastAsia="ja-JP"/>
        </w:rPr>
        <w:t>p</w:t>
      </w:r>
      <w:r w:rsidRPr="002768CF">
        <w:rPr>
          <w:lang w:eastAsia="ja-JP"/>
        </w:rPr>
        <w:t>anel considers the national stocktake of biosecurity investment is a positive development as it helps to quantify investment and identify trends. However, it is not without some issues.</w:t>
      </w:r>
      <w:r w:rsidR="005B27AC">
        <w:rPr>
          <w:lang w:eastAsia="ja-JP"/>
        </w:rPr>
        <w:t xml:space="preserve"> Some categories of activity are absent for example research and innovation.</w:t>
      </w:r>
      <w:r w:rsidRPr="002768CF">
        <w:rPr>
          <w:lang w:eastAsia="ja-JP"/>
        </w:rPr>
        <w:t xml:space="preserve"> It relies on self</w:t>
      </w:r>
      <w:r w:rsidRPr="002768CF">
        <w:rPr>
          <w:lang w:eastAsia="ja-JP"/>
        </w:rPr>
        <w:noBreakHyphen/>
        <w:t xml:space="preserve">reported estimates provided by jurisdictions and is therefore open to interpretations of spending and categorisation. Greater consistency, transparency and rigour could be achieved through appointing an independent body to undertake the work. The </w:t>
      </w:r>
      <w:r w:rsidR="000B510E">
        <w:rPr>
          <w:lang w:eastAsia="ja-JP"/>
        </w:rPr>
        <w:t>p</w:t>
      </w:r>
      <w:r w:rsidRPr="002768CF">
        <w:rPr>
          <w:lang w:eastAsia="ja-JP"/>
        </w:rPr>
        <w:t xml:space="preserve">anel acknowledges that some jurisdictions have reservations about making such information public and the resource implications of a more rigorous process. But the </w:t>
      </w:r>
      <w:r w:rsidR="000B510E">
        <w:rPr>
          <w:lang w:eastAsia="ja-JP"/>
        </w:rPr>
        <w:t>p</w:t>
      </w:r>
      <w:r w:rsidRPr="002768CF">
        <w:rPr>
          <w:lang w:eastAsia="ja-JP"/>
        </w:rPr>
        <w:t xml:space="preserve">anel remains of the opinion that the national biosecurity system should be able to produce such data as a standard management tool and the fact that it is not able to do so readily at the moment simply illustrates the shortcomings </w:t>
      </w:r>
      <w:r w:rsidR="000B510E">
        <w:rPr>
          <w:lang w:eastAsia="ja-JP"/>
        </w:rPr>
        <w:t>of</w:t>
      </w:r>
      <w:r w:rsidRPr="002768CF">
        <w:rPr>
          <w:lang w:eastAsia="ja-JP"/>
        </w:rPr>
        <w:t xml:space="preserve"> the current approach.</w:t>
      </w:r>
    </w:p>
    <w:p w14:paraId="2058DC67" w14:textId="52EF10C3" w:rsidR="002768CF" w:rsidRDefault="002768CF" w:rsidP="002768CF">
      <w:pPr>
        <w:rPr>
          <w:rFonts w:eastAsia="Calibri" w:cs="Times New Roman"/>
          <w:lang w:eastAsia="ja-JP"/>
        </w:rPr>
      </w:pPr>
      <w:r w:rsidRPr="002768CF">
        <w:rPr>
          <w:lang w:eastAsia="ja-JP"/>
        </w:rPr>
        <w:t xml:space="preserve">The </w:t>
      </w:r>
      <w:r w:rsidR="000B510E">
        <w:rPr>
          <w:lang w:eastAsia="ja-JP"/>
        </w:rPr>
        <w:t>p</w:t>
      </w:r>
      <w:r w:rsidRPr="002768CF">
        <w:rPr>
          <w:lang w:eastAsia="ja-JP"/>
        </w:rPr>
        <w:t xml:space="preserve">anel considers that the national stocktake </w:t>
      </w:r>
      <w:r w:rsidR="00C8060F" w:rsidRPr="003E7357">
        <w:rPr>
          <w:rFonts w:eastAsia="Calibri" w:cs="Times New Roman"/>
          <w:lang w:eastAsia="ja-JP"/>
        </w:rPr>
        <w:t xml:space="preserve">should be replaced by the independent </w:t>
      </w:r>
      <w:r w:rsidR="00C8060F" w:rsidRPr="003E7357">
        <w:rPr>
          <w:rFonts w:eastAsia="Calibri" w:cs="Times New Roman"/>
        </w:rPr>
        <w:t xml:space="preserve">Report of Government Biosecurity Services (ROGBS), </w:t>
      </w:r>
      <w:r w:rsidR="00C8060F" w:rsidRPr="003E7357">
        <w:rPr>
          <w:rFonts w:eastAsia="Calibri" w:cs="Times New Roman"/>
          <w:lang w:eastAsia="ja-JP"/>
        </w:rPr>
        <w:t>as recommended</w:t>
      </w:r>
      <w:r w:rsidR="00844D1B">
        <w:rPr>
          <w:rFonts w:eastAsia="Calibri" w:cs="Times New Roman"/>
          <w:lang w:eastAsia="ja-JP"/>
        </w:rPr>
        <w:t xml:space="preserve"> </w:t>
      </w:r>
      <w:r w:rsidR="00C8060F" w:rsidRPr="003E7357">
        <w:rPr>
          <w:rFonts w:eastAsia="Calibri" w:cs="Times New Roman"/>
          <w:lang w:eastAsia="ja-JP"/>
        </w:rPr>
        <w:t>(Recommendation 3</w:t>
      </w:r>
      <w:r w:rsidR="00BF1390">
        <w:rPr>
          <w:rFonts w:eastAsia="Calibri" w:cs="Times New Roman"/>
          <w:lang w:eastAsia="ja-JP"/>
        </w:rPr>
        <w:t>8</w:t>
      </w:r>
      <w:r w:rsidR="00C8060F" w:rsidRPr="003E7357">
        <w:rPr>
          <w:rFonts w:eastAsia="Calibri" w:cs="Times New Roman"/>
          <w:lang w:eastAsia="ja-JP"/>
        </w:rPr>
        <w:t>).</w:t>
      </w:r>
    </w:p>
    <w:p w14:paraId="5E3F3420" w14:textId="7D9C33DE" w:rsidR="00EB075D" w:rsidRDefault="00EB075D" w:rsidP="00EB075D">
      <w:pPr>
        <w:pStyle w:val="Heading3"/>
        <w:rPr>
          <w:lang w:eastAsia="ja-JP"/>
        </w:rPr>
      </w:pPr>
      <w:bookmarkStart w:id="170" w:name="_Toc486236059"/>
      <w:r>
        <w:rPr>
          <w:lang w:eastAsia="ja-JP"/>
        </w:rPr>
        <w:t>Other guiding principles and frameworks</w:t>
      </w:r>
      <w:bookmarkEnd w:id="170"/>
    </w:p>
    <w:p w14:paraId="4C7341D3" w14:textId="4576952F" w:rsidR="00EB075D" w:rsidRDefault="00EB075D" w:rsidP="00EB075D">
      <w:pPr>
        <w:rPr>
          <w:lang w:eastAsia="ja-JP"/>
        </w:rPr>
      </w:pPr>
      <w:r w:rsidRPr="00EB075D">
        <w:rPr>
          <w:lang w:eastAsia="ja-JP"/>
        </w:rPr>
        <w:t xml:space="preserve">The </w:t>
      </w:r>
      <w:r w:rsidR="000B510E">
        <w:rPr>
          <w:lang w:eastAsia="ja-JP"/>
        </w:rPr>
        <w:t>p</w:t>
      </w:r>
      <w:r w:rsidRPr="00EB075D">
        <w:rPr>
          <w:lang w:eastAsia="ja-JP"/>
        </w:rPr>
        <w:t xml:space="preserve">anel has </w:t>
      </w:r>
      <w:r w:rsidR="00632BF6">
        <w:rPr>
          <w:lang w:eastAsia="ja-JP"/>
        </w:rPr>
        <w:t xml:space="preserve">also </w:t>
      </w:r>
      <w:r w:rsidRPr="00EB075D">
        <w:rPr>
          <w:lang w:eastAsia="ja-JP"/>
        </w:rPr>
        <w:t>considered a range of other factors in relation to funding the national biosecurity system.</w:t>
      </w:r>
    </w:p>
    <w:p w14:paraId="2D383BCF" w14:textId="034BC0BA" w:rsidR="005B1353" w:rsidRDefault="00EB075D" w:rsidP="005B1353">
      <w:pPr>
        <w:pStyle w:val="Heading4"/>
        <w:rPr>
          <w:lang w:eastAsia="ja-JP"/>
        </w:rPr>
      </w:pPr>
      <w:r>
        <w:rPr>
          <w:lang w:eastAsia="ja-JP"/>
        </w:rPr>
        <w:lastRenderedPageBreak/>
        <w:t xml:space="preserve">The Appropriate </w:t>
      </w:r>
      <w:r w:rsidR="008C5CA0">
        <w:rPr>
          <w:lang w:eastAsia="ja-JP"/>
        </w:rPr>
        <w:t>Level of Protection (ALOP)</w:t>
      </w:r>
    </w:p>
    <w:p w14:paraId="5BB557ED" w14:textId="25F91835" w:rsidR="008C5CA0" w:rsidRDefault="008C5CA0" w:rsidP="008C5CA0">
      <w:pPr>
        <w:rPr>
          <w:lang w:eastAsia="ja-JP"/>
        </w:rPr>
      </w:pPr>
      <w:r>
        <w:rPr>
          <w:lang w:eastAsia="ja-JP"/>
        </w:rPr>
        <w:t xml:space="preserve">The </w:t>
      </w:r>
      <w:r w:rsidR="000B510E">
        <w:rPr>
          <w:lang w:eastAsia="ja-JP"/>
        </w:rPr>
        <w:t>p</w:t>
      </w:r>
      <w:r>
        <w:rPr>
          <w:lang w:eastAsia="ja-JP"/>
        </w:rPr>
        <w:t xml:space="preserve">anel notes that the </w:t>
      </w:r>
      <w:r w:rsidRPr="008C5CA0">
        <w:rPr>
          <w:i/>
          <w:lang w:eastAsia="ja-JP"/>
        </w:rPr>
        <w:t>Biosecurity Act 2015</w:t>
      </w:r>
      <w:r>
        <w:rPr>
          <w:lang w:eastAsia="ja-JP"/>
        </w:rPr>
        <w:t xml:space="preserve"> (Cwlth) articulates Australia’s ALOP, Section 5 states:</w:t>
      </w:r>
    </w:p>
    <w:p w14:paraId="56FAF9FC" w14:textId="5A0C0BB4" w:rsidR="008C5CA0" w:rsidRDefault="008C5CA0" w:rsidP="008C5CA0">
      <w:pPr>
        <w:pStyle w:val="Quote"/>
        <w:rPr>
          <w:lang w:eastAsia="ja-JP"/>
        </w:rPr>
      </w:pPr>
      <w:r>
        <w:rPr>
          <w:lang w:eastAsia="ja-JP"/>
        </w:rPr>
        <w:t>The Appropriate Level of Protection (or ALOP) for Australia is a high level of sanitary and phytosanitary protection aimed at reducing biosecurity risks to a very low level, but not to zero.</w:t>
      </w:r>
    </w:p>
    <w:p w14:paraId="1738A936" w14:textId="33E4711E" w:rsidR="008C5CA0" w:rsidRDefault="008C5CA0" w:rsidP="008C5CA0">
      <w:pPr>
        <w:rPr>
          <w:lang w:eastAsia="ja-JP"/>
        </w:rPr>
      </w:pPr>
      <w:r w:rsidRPr="00CE3CB8">
        <w:rPr>
          <w:lang w:eastAsia="ja-JP"/>
        </w:rPr>
        <w:t>By legislating Australia’s ALOP</w:t>
      </w:r>
      <w:r w:rsidR="000B510E">
        <w:rPr>
          <w:lang w:eastAsia="ja-JP"/>
        </w:rPr>
        <w:t>,</w:t>
      </w:r>
      <w:r w:rsidRPr="00CE3CB8">
        <w:rPr>
          <w:lang w:eastAsia="ja-JP"/>
        </w:rPr>
        <w:t xml:space="preserve"> the Parliament of Australia has provided a clear statement that it expects the Minister and </w:t>
      </w:r>
      <w:r w:rsidR="0098453C">
        <w:rPr>
          <w:lang w:eastAsia="ja-JP"/>
        </w:rPr>
        <w:t xml:space="preserve">the </w:t>
      </w:r>
      <w:r w:rsidRPr="00CE3CB8">
        <w:rPr>
          <w:lang w:eastAsia="ja-JP"/>
        </w:rPr>
        <w:t xml:space="preserve">Australian Government agriculture department to administer the </w:t>
      </w:r>
      <w:r w:rsidR="00F94C1B" w:rsidRPr="00CE3CB8">
        <w:rPr>
          <w:lang w:eastAsia="ja-JP"/>
        </w:rPr>
        <w:t xml:space="preserve">components of the </w:t>
      </w:r>
      <w:r w:rsidRPr="00CE3CB8">
        <w:rPr>
          <w:lang w:eastAsia="ja-JP"/>
        </w:rPr>
        <w:t xml:space="preserve">biosecurity system </w:t>
      </w:r>
      <w:r w:rsidR="00F94C1B" w:rsidRPr="00CE3CB8">
        <w:rPr>
          <w:lang w:eastAsia="ja-JP"/>
        </w:rPr>
        <w:t xml:space="preserve">it is responsible for </w:t>
      </w:r>
      <w:r w:rsidRPr="00CE3CB8">
        <w:rPr>
          <w:lang w:eastAsia="ja-JP"/>
        </w:rPr>
        <w:t xml:space="preserve">in such a way </w:t>
      </w:r>
      <w:r w:rsidR="000B510E">
        <w:rPr>
          <w:lang w:eastAsia="ja-JP"/>
        </w:rPr>
        <w:t xml:space="preserve">as </w:t>
      </w:r>
      <w:r w:rsidRPr="00CE3CB8">
        <w:rPr>
          <w:lang w:eastAsia="ja-JP"/>
        </w:rPr>
        <w:t>to achieve the required ALOP.</w:t>
      </w:r>
      <w:r w:rsidR="00F94C1B" w:rsidRPr="00CE3CB8">
        <w:rPr>
          <w:lang w:eastAsia="ja-JP"/>
        </w:rPr>
        <w:t xml:space="preserve"> It follows, therefore, that the level of funding required for these components of the biosecurity system needs to be s</w:t>
      </w:r>
      <w:r w:rsidR="005D1A59" w:rsidRPr="00CE3CB8">
        <w:rPr>
          <w:lang w:eastAsia="ja-JP"/>
        </w:rPr>
        <w:t>ufficient to maintain the ALOP.</w:t>
      </w:r>
    </w:p>
    <w:p w14:paraId="73C046A5" w14:textId="2BE8BE39" w:rsidR="008C5CA0" w:rsidRDefault="008C5CA0" w:rsidP="008C5CA0">
      <w:pPr>
        <w:pStyle w:val="Heading4"/>
        <w:rPr>
          <w:lang w:eastAsia="ja-JP"/>
        </w:rPr>
      </w:pPr>
      <w:r>
        <w:rPr>
          <w:lang w:eastAsia="ja-JP"/>
        </w:rPr>
        <w:t>Shared responsibility</w:t>
      </w:r>
    </w:p>
    <w:p w14:paraId="7BF9F15C" w14:textId="3AD254BA" w:rsidR="008C5CA0" w:rsidRDefault="00CC1070" w:rsidP="008C5CA0">
      <w:pPr>
        <w:rPr>
          <w:lang w:eastAsia="ja-JP"/>
        </w:rPr>
      </w:pPr>
      <w:r>
        <w:rPr>
          <w:lang w:eastAsia="ja-JP"/>
        </w:rPr>
        <w:t xml:space="preserve">Clause </w:t>
      </w:r>
      <w:r w:rsidR="008C5CA0">
        <w:rPr>
          <w:lang w:eastAsia="ja-JP"/>
        </w:rPr>
        <w:t xml:space="preserve">4.1(i) of the IGAB states that biosecurity is a shared responsibility between all Australian governments, industry, natural resource managers, custodians or users, and the community. This concept is covered </w:t>
      </w:r>
      <w:r w:rsidR="00844D1B">
        <w:rPr>
          <w:lang w:eastAsia="ja-JP"/>
        </w:rPr>
        <w:t>earlier (</w:t>
      </w:r>
      <w:r w:rsidR="008C5CA0">
        <w:rPr>
          <w:lang w:eastAsia="ja-JP"/>
        </w:rPr>
        <w:t>Chapter 2</w:t>
      </w:r>
      <w:r w:rsidR="00844D1B">
        <w:rPr>
          <w:lang w:eastAsia="ja-JP"/>
        </w:rPr>
        <w:t>)</w:t>
      </w:r>
      <w:r w:rsidR="008C5CA0">
        <w:rPr>
          <w:lang w:eastAsia="ja-JP"/>
        </w:rPr>
        <w:t xml:space="preserve"> and has relevance to the funding principles for the national biosecurity system.</w:t>
      </w:r>
    </w:p>
    <w:p w14:paraId="3EAD5AD2" w14:textId="5149A425" w:rsidR="008C5CA0" w:rsidRDefault="008C5CA0" w:rsidP="008C5CA0">
      <w:pPr>
        <w:rPr>
          <w:lang w:eastAsia="ja-JP"/>
        </w:rPr>
      </w:pPr>
      <w:r>
        <w:rPr>
          <w:lang w:eastAsia="ja-JP"/>
        </w:rPr>
        <w:t>As noted above, industry is sharing responsibility for funding the national system via the fees and charges it pays to governments as well as the other financial and operational contributions it makes</w:t>
      </w:r>
      <w:r w:rsidR="00FB38D3">
        <w:rPr>
          <w:lang w:eastAsia="ja-JP"/>
        </w:rPr>
        <w:t xml:space="preserve"> </w:t>
      </w:r>
      <w:r w:rsidR="00FB38D3" w:rsidRPr="00FB38D3">
        <w:rPr>
          <w:lang w:eastAsia="ja-JP"/>
        </w:rPr>
        <w:t>through, for example, AHA, PHA, R</w:t>
      </w:r>
      <w:r w:rsidR="00CC3F62">
        <w:rPr>
          <w:lang w:eastAsia="ja-JP"/>
        </w:rPr>
        <w:t>esearch and Development Corporations</w:t>
      </w:r>
      <w:r w:rsidR="00FB38D3" w:rsidRPr="00FB38D3">
        <w:rPr>
          <w:lang w:eastAsia="ja-JP"/>
        </w:rPr>
        <w:t xml:space="preserve"> </w:t>
      </w:r>
      <w:r w:rsidR="00CC3F62">
        <w:rPr>
          <w:lang w:eastAsia="ja-JP"/>
        </w:rPr>
        <w:t xml:space="preserve">(RDCs) </w:t>
      </w:r>
      <w:r w:rsidR="00FB38D3" w:rsidRPr="00FB38D3">
        <w:rPr>
          <w:lang w:eastAsia="ja-JP"/>
        </w:rPr>
        <w:t>and C</w:t>
      </w:r>
      <w:r w:rsidR="00CC3F62">
        <w:rPr>
          <w:lang w:eastAsia="ja-JP"/>
        </w:rPr>
        <w:t xml:space="preserve">ooperative </w:t>
      </w:r>
      <w:r w:rsidR="00FB38D3" w:rsidRPr="00FB38D3">
        <w:rPr>
          <w:lang w:eastAsia="ja-JP"/>
        </w:rPr>
        <w:t>R</w:t>
      </w:r>
      <w:r w:rsidR="00CC3F62">
        <w:rPr>
          <w:lang w:eastAsia="ja-JP"/>
        </w:rPr>
        <w:t xml:space="preserve">esearch </w:t>
      </w:r>
      <w:r w:rsidR="00FB38D3" w:rsidRPr="00FB38D3">
        <w:rPr>
          <w:lang w:eastAsia="ja-JP"/>
        </w:rPr>
        <w:t>C</w:t>
      </w:r>
      <w:r w:rsidR="00CC3F62">
        <w:rPr>
          <w:lang w:eastAsia="ja-JP"/>
        </w:rPr>
        <w:t>entres (CRCs)</w:t>
      </w:r>
      <w:r w:rsidR="00FB38D3" w:rsidRPr="00FB38D3">
        <w:rPr>
          <w:lang w:eastAsia="ja-JP"/>
        </w:rPr>
        <w:t>.</w:t>
      </w:r>
    </w:p>
    <w:p w14:paraId="1B8202A2" w14:textId="7591608B" w:rsidR="008C5CA0" w:rsidRDefault="008C5CA0" w:rsidP="008C5CA0">
      <w:pPr>
        <w:rPr>
          <w:lang w:eastAsia="ja-JP"/>
        </w:rPr>
      </w:pPr>
      <w:r>
        <w:rPr>
          <w:lang w:eastAsia="ja-JP"/>
        </w:rPr>
        <w:t xml:space="preserve">However, several submissions expressed concern that there are ‘free riders’ in the national system and that this needs to be addressed. In relation to emergency response arrangements, an analysis undertaken by </w:t>
      </w:r>
      <w:r w:rsidR="00CC3F62">
        <w:rPr>
          <w:lang w:eastAsia="ja-JP"/>
        </w:rPr>
        <w:t xml:space="preserve">the </w:t>
      </w:r>
      <w:r>
        <w:rPr>
          <w:lang w:eastAsia="ja-JP"/>
        </w:rPr>
        <w:t>A</w:t>
      </w:r>
      <w:r w:rsidR="00CC3F62">
        <w:rPr>
          <w:lang w:eastAsia="ja-JP"/>
        </w:rPr>
        <w:t>ustralian Bureau of Agricultural and Resource Economics and Sciences (A</w:t>
      </w:r>
      <w:r>
        <w:rPr>
          <w:lang w:eastAsia="ja-JP"/>
        </w:rPr>
        <w:t>BARES</w:t>
      </w:r>
      <w:r w:rsidR="00CC3F62">
        <w:rPr>
          <w:lang w:eastAsia="ja-JP"/>
        </w:rPr>
        <w:t>)</w:t>
      </w:r>
      <w:r>
        <w:rPr>
          <w:lang w:eastAsia="ja-JP"/>
        </w:rPr>
        <w:t xml:space="preserve"> for the </w:t>
      </w:r>
      <w:r w:rsidR="00CC3F62">
        <w:rPr>
          <w:lang w:eastAsia="ja-JP"/>
        </w:rPr>
        <w:t>r</w:t>
      </w:r>
      <w:r>
        <w:rPr>
          <w:lang w:eastAsia="ja-JP"/>
        </w:rPr>
        <w:t>eview has revealed that the problem is not as great as tho</w:t>
      </w:r>
      <w:r w:rsidR="00CC3F62">
        <w:rPr>
          <w:lang w:eastAsia="ja-JP"/>
        </w:rPr>
        <w:t>ught for land-</w:t>
      </w:r>
      <w:r w:rsidR="005D1A59">
        <w:rPr>
          <w:lang w:eastAsia="ja-JP"/>
        </w:rPr>
        <w:t>based industries.</w:t>
      </w:r>
    </w:p>
    <w:p w14:paraId="7A675508" w14:textId="5D2ECB5C" w:rsidR="008C5CA0" w:rsidRDefault="008C5CA0" w:rsidP="008C5CA0">
      <w:pPr>
        <w:rPr>
          <w:lang w:eastAsia="ja-JP"/>
        </w:rPr>
      </w:pPr>
      <w:r>
        <w:rPr>
          <w:lang w:eastAsia="ja-JP"/>
        </w:rPr>
        <w:t xml:space="preserve">In </w:t>
      </w:r>
      <w:r w:rsidR="00752EEA">
        <w:rPr>
          <w:lang w:eastAsia="ja-JP"/>
        </w:rPr>
        <w:t>2014–15 approximately $51.4 </w:t>
      </w:r>
      <w:r w:rsidR="00EA6E9C">
        <w:rPr>
          <w:lang w:eastAsia="ja-JP"/>
        </w:rPr>
        <w:t>billion (or 95 </w:t>
      </w:r>
      <w:r>
        <w:rPr>
          <w:lang w:eastAsia="ja-JP"/>
        </w:rPr>
        <w:t>per</w:t>
      </w:r>
      <w:r w:rsidR="00EA6E9C">
        <w:rPr>
          <w:lang w:eastAsia="ja-JP"/>
        </w:rPr>
        <w:t> </w:t>
      </w:r>
      <w:r>
        <w:rPr>
          <w:lang w:eastAsia="ja-JP"/>
        </w:rPr>
        <w:t>cent) of Australia’s total Gross Value of</w:t>
      </w:r>
      <w:r w:rsidR="00752EEA">
        <w:rPr>
          <w:lang w:eastAsia="ja-JP"/>
        </w:rPr>
        <w:t xml:space="preserve"> Farm Production of $54.3 </w:t>
      </w:r>
      <w:r>
        <w:rPr>
          <w:lang w:eastAsia="ja-JP"/>
        </w:rPr>
        <w:t xml:space="preserve">billion (excluding forestry and horse production) is covered by signatories to the emergency response deeds. This is a considerable </w:t>
      </w:r>
      <w:r w:rsidR="00FB38D3">
        <w:rPr>
          <w:lang w:eastAsia="ja-JP"/>
        </w:rPr>
        <w:t xml:space="preserve">commitment </w:t>
      </w:r>
      <w:r>
        <w:rPr>
          <w:lang w:eastAsia="ja-JP"/>
        </w:rPr>
        <w:t xml:space="preserve">from industry and demonstrates the overwhelming partnership between industry and government in emergency responses. Of the </w:t>
      </w:r>
      <w:r w:rsidR="00EA6E9C">
        <w:rPr>
          <w:lang w:eastAsia="ja-JP"/>
        </w:rPr>
        <w:t>5 </w:t>
      </w:r>
      <w:r>
        <w:rPr>
          <w:lang w:eastAsia="ja-JP"/>
        </w:rPr>
        <w:t>per</w:t>
      </w:r>
      <w:r w:rsidR="00EA6E9C">
        <w:rPr>
          <w:lang w:eastAsia="ja-JP"/>
        </w:rPr>
        <w:t> </w:t>
      </w:r>
      <w:r>
        <w:rPr>
          <w:lang w:eastAsia="ja-JP"/>
        </w:rPr>
        <w:t>cent n</w:t>
      </w:r>
      <w:r w:rsidR="00026107">
        <w:rPr>
          <w:lang w:eastAsia="ja-JP"/>
        </w:rPr>
        <w:t>ot covered (approximately $2.8 </w:t>
      </w:r>
      <w:r>
        <w:rPr>
          <w:lang w:eastAsia="ja-JP"/>
        </w:rPr>
        <w:t xml:space="preserve">billion), the </w:t>
      </w:r>
      <w:r w:rsidR="00C16D72">
        <w:rPr>
          <w:lang w:eastAsia="ja-JP"/>
        </w:rPr>
        <w:t>p</w:t>
      </w:r>
      <w:r w:rsidR="00BC03B7">
        <w:rPr>
          <w:lang w:eastAsia="ja-JP"/>
        </w:rPr>
        <w:t xml:space="preserve">anel has listed </w:t>
      </w:r>
      <w:r>
        <w:rPr>
          <w:lang w:eastAsia="ja-JP"/>
        </w:rPr>
        <w:t>products (or categories of product) with a production value of more than $100</w:t>
      </w:r>
      <w:r w:rsidR="00026107">
        <w:rPr>
          <w:lang w:eastAsia="ja-JP"/>
        </w:rPr>
        <w:t> </w:t>
      </w:r>
      <w:r>
        <w:rPr>
          <w:lang w:eastAsia="ja-JP"/>
        </w:rPr>
        <w:t xml:space="preserve">million </w:t>
      </w:r>
      <w:r w:rsidR="00BC03B7">
        <w:rPr>
          <w:lang w:eastAsia="ja-JP"/>
        </w:rPr>
        <w:t>(</w:t>
      </w:r>
      <w:r w:rsidR="00E83318">
        <w:rPr>
          <w:highlight w:val="yellow"/>
          <w:lang w:eastAsia="ja-JP"/>
        </w:rPr>
        <w:fldChar w:fldCharType="begin"/>
      </w:r>
      <w:r w:rsidR="00E83318">
        <w:rPr>
          <w:lang w:eastAsia="ja-JP"/>
        </w:rPr>
        <w:instrText xml:space="preserve"> REF _Ref481742109 \h </w:instrText>
      </w:r>
      <w:r w:rsidR="00E83318">
        <w:rPr>
          <w:highlight w:val="yellow"/>
          <w:lang w:eastAsia="ja-JP"/>
        </w:rPr>
      </w:r>
      <w:r w:rsidR="00E83318">
        <w:rPr>
          <w:highlight w:val="yellow"/>
          <w:lang w:eastAsia="ja-JP"/>
        </w:rPr>
        <w:fldChar w:fldCharType="separate"/>
      </w:r>
      <w:r w:rsidR="009F6923">
        <w:t xml:space="preserve">Table </w:t>
      </w:r>
      <w:r w:rsidR="009F6923">
        <w:rPr>
          <w:noProof/>
        </w:rPr>
        <w:t>10</w:t>
      </w:r>
      <w:r w:rsidR="00E83318">
        <w:rPr>
          <w:highlight w:val="yellow"/>
          <w:lang w:eastAsia="ja-JP"/>
        </w:rPr>
        <w:fldChar w:fldCharType="end"/>
      </w:r>
      <w:r w:rsidR="00BC03B7">
        <w:rPr>
          <w:lang w:eastAsia="ja-JP"/>
        </w:rPr>
        <w:t>)</w:t>
      </w:r>
      <w:r w:rsidR="00E83318">
        <w:rPr>
          <w:lang w:eastAsia="ja-JP"/>
        </w:rPr>
        <w:t>.</w:t>
      </w:r>
      <w:r w:rsidR="00240446">
        <w:rPr>
          <w:lang w:eastAsia="ja-JP"/>
        </w:rPr>
        <w:t xml:space="preserve"> Data from 2015–16 was not yet available at the time of the </w:t>
      </w:r>
      <w:r w:rsidR="00C16D72">
        <w:rPr>
          <w:lang w:eastAsia="ja-JP"/>
        </w:rPr>
        <w:t>r</w:t>
      </w:r>
      <w:r w:rsidR="00240446">
        <w:rPr>
          <w:lang w:eastAsia="ja-JP"/>
        </w:rPr>
        <w:t>eport.</w:t>
      </w:r>
    </w:p>
    <w:p w14:paraId="385CCF29" w14:textId="6538579C" w:rsidR="008C5CA0" w:rsidRPr="008C5CA0" w:rsidRDefault="008C5CA0" w:rsidP="008C5CA0">
      <w:pPr>
        <w:pStyle w:val="Caption"/>
        <w:rPr>
          <w:rFonts w:eastAsia="Calibri" w:cs="Times New Roman"/>
          <w:lang w:eastAsia="ja-JP"/>
        </w:rPr>
      </w:pPr>
      <w:bookmarkStart w:id="171" w:name="_Ref481742109"/>
      <w:r>
        <w:lastRenderedPageBreak/>
        <w:t xml:space="preserve">Table </w:t>
      </w:r>
      <w:fldSimple w:instr=" SEQ Table \* ARABIC ">
        <w:r w:rsidR="009F6923">
          <w:rPr>
            <w:noProof/>
          </w:rPr>
          <w:t>10</w:t>
        </w:r>
      </w:fldSimple>
      <w:bookmarkEnd w:id="171"/>
      <w:r w:rsidR="00900526">
        <w:rPr>
          <w:rFonts w:eastAsia="Calibri" w:cs="Times New Roman"/>
        </w:rPr>
        <w:t xml:space="preserve"> Land-</w:t>
      </w:r>
      <w:r w:rsidRPr="008C5CA0">
        <w:rPr>
          <w:rFonts w:eastAsia="Calibri" w:cs="Times New Roman"/>
        </w:rPr>
        <w:t>based commodities with a pro</w:t>
      </w:r>
      <w:r w:rsidR="006E6916">
        <w:rPr>
          <w:rFonts w:eastAsia="Calibri" w:cs="Times New Roman"/>
        </w:rPr>
        <w:t>duction value of more than $100 </w:t>
      </w:r>
      <w:r w:rsidRPr="008C5CA0">
        <w:rPr>
          <w:rFonts w:eastAsia="Calibri" w:cs="Times New Roman"/>
        </w:rPr>
        <w:t>million not covered under existing emergency response deeds</w:t>
      </w:r>
    </w:p>
    <w:tbl>
      <w:tblPr>
        <w:tblStyle w:val="TableGrid5"/>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C5CA0" w:rsidRPr="008C5CA0" w14:paraId="2A6D0047" w14:textId="77777777" w:rsidTr="00BE0BF3">
        <w:trPr>
          <w:tblHeader/>
        </w:trPr>
        <w:tc>
          <w:tcPr>
            <w:tcW w:w="2500" w:type="pct"/>
          </w:tcPr>
          <w:p w14:paraId="5B8428F7" w14:textId="77777777" w:rsidR="008C5CA0" w:rsidRPr="008C5CA0" w:rsidRDefault="008C5CA0" w:rsidP="003679AB">
            <w:pPr>
              <w:pStyle w:val="TableHeading"/>
              <w:rPr>
                <w:lang w:eastAsia="ja-JP"/>
              </w:rPr>
            </w:pPr>
            <w:r w:rsidRPr="008C5CA0">
              <w:rPr>
                <w:lang w:eastAsia="ja-JP"/>
              </w:rPr>
              <w:t>Product</w:t>
            </w:r>
          </w:p>
        </w:tc>
        <w:tc>
          <w:tcPr>
            <w:tcW w:w="2500" w:type="pct"/>
          </w:tcPr>
          <w:p w14:paraId="78247A19" w14:textId="77777777" w:rsidR="008C5CA0" w:rsidRPr="008C5CA0" w:rsidRDefault="008C5CA0" w:rsidP="003679AB">
            <w:pPr>
              <w:pStyle w:val="TableHeading"/>
              <w:jc w:val="center"/>
              <w:rPr>
                <w:lang w:eastAsia="ja-JP"/>
              </w:rPr>
            </w:pPr>
            <w:r w:rsidRPr="008C5CA0">
              <w:rPr>
                <w:lang w:eastAsia="ja-JP"/>
              </w:rPr>
              <w:t>Production in 2014–15 ($m)</w:t>
            </w:r>
          </w:p>
        </w:tc>
      </w:tr>
      <w:tr w:rsidR="008C5CA0" w:rsidRPr="008C5CA0" w14:paraId="1E4F7C00" w14:textId="77777777" w:rsidTr="00BE0BF3">
        <w:tc>
          <w:tcPr>
            <w:tcW w:w="2500" w:type="pct"/>
          </w:tcPr>
          <w:p w14:paraId="32B06C8D" w14:textId="77777777" w:rsidR="008C5CA0" w:rsidRPr="008C5CA0" w:rsidRDefault="008C5CA0" w:rsidP="003679AB">
            <w:pPr>
              <w:pStyle w:val="TableText"/>
              <w:rPr>
                <w:lang w:eastAsia="ja-JP"/>
              </w:rPr>
            </w:pPr>
            <w:r w:rsidRPr="008C5CA0">
              <w:rPr>
                <w:lang w:eastAsia="ja-JP"/>
              </w:rPr>
              <w:t>Hay and silage</w:t>
            </w:r>
          </w:p>
        </w:tc>
        <w:tc>
          <w:tcPr>
            <w:tcW w:w="2500" w:type="pct"/>
          </w:tcPr>
          <w:p w14:paraId="35411F03" w14:textId="06DD7B79" w:rsidR="008C5CA0" w:rsidRPr="008C5CA0" w:rsidRDefault="008C5CA0" w:rsidP="003679AB">
            <w:pPr>
              <w:pStyle w:val="TableText"/>
              <w:jc w:val="center"/>
              <w:rPr>
                <w:lang w:eastAsia="ja-JP"/>
              </w:rPr>
            </w:pPr>
            <w:r w:rsidRPr="008C5CA0">
              <w:rPr>
                <w:lang w:eastAsia="ja-JP"/>
              </w:rPr>
              <w:t>1</w:t>
            </w:r>
            <w:r w:rsidR="0078617F">
              <w:rPr>
                <w:lang w:eastAsia="ja-JP"/>
              </w:rPr>
              <w:t>,</w:t>
            </w:r>
            <w:r w:rsidRPr="008C5CA0">
              <w:rPr>
                <w:lang w:eastAsia="ja-JP"/>
              </w:rPr>
              <w:t>402.6</w:t>
            </w:r>
          </w:p>
        </w:tc>
      </w:tr>
      <w:tr w:rsidR="008C5CA0" w:rsidRPr="008C5CA0" w14:paraId="720BA54F" w14:textId="77777777" w:rsidTr="00BE0BF3">
        <w:tc>
          <w:tcPr>
            <w:tcW w:w="2500" w:type="pct"/>
          </w:tcPr>
          <w:p w14:paraId="6A54D188" w14:textId="77777777" w:rsidR="008C5CA0" w:rsidRPr="008C5CA0" w:rsidRDefault="008C5CA0" w:rsidP="003679AB">
            <w:pPr>
              <w:pStyle w:val="TableText"/>
              <w:rPr>
                <w:lang w:eastAsia="ja-JP"/>
              </w:rPr>
            </w:pPr>
            <w:r w:rsidRPr="008C5CA0">
              <w:rPr>
                <w:lang w:eastAsia="ja-JP"/>
              </w:rPr>
              <w:t>Cut flowers</w:t>
            </w:r>
          </w:p>
        </w:tc>
        <w:tc>
          <w:tcPr>
            <w:tcW w:w="2500" w:type="pct"/>
          </w:tcPr>
          <w:p w14:paraId="52F73DD3" w14:textId="77777777" w:rsidR="008C5CA0" w:rsidRPr="008C5CA0" w:rsidRDefault="008C5CA0" w:rsidP="003679AB">
            <w:pPr>
              <w:pStyle w:val="TableText"/>
              <w:jc w:val="center"/>
              <w:rPr>
                <w:lang w:eastAsia="ja-JP"/>
              </w:rPr>
            </w:pPr>
            <w:r w:rsidRPr="008C5CA0">
              <w:rPr>
                <w:lang w:eastAsia="ja-JP"/>
              </w:rPr>
              <w:t>296.2</w:t>
            </w:r>
          </w:p>
        </w:tc>
      </w:tr>
      <w:tr w:rsidR="008C5CA0" w:rsidRPr="008C5CA0" w14:paraId="51A2AD46" w14:textId="77777777" w:rsidTr="00BE0BF3">
        <w:tc>
          <w:tcPr>
            <w:tcW w:w="2500" w:type="pct"/>
          </w:tcPr>
          <w:p w14:paraId="43D1C9DA" w14:textId="77777777" w:rsidR="008C5CA0" w:rsidRPr="008C5CA0" w:rsidRDefault="008C5CA0" w:rsidP="003679AB">
            <w:pPr>
              <w:pStyle w:val="TableText"/>
              <w:rPr>
                <w:lang w:eastAsia="ja-JP"/>
              </w:rPr>
            </w:pPr>
            <w:r w:rsidRPr="008C5CA0">
              <w:rPr>
                <w:lang w:eastAsia="ja-JP"/>
              </w:rPr>
              <w:t>Fresh tomatoes</w:t>
            </w:r>
          </w:p>
        </w:tc>
        <w:tc>
          <w:tcPr>
            <w:tcW w:w="2500" w:type="pct"/>
          </w:tcPr>
          <w:p w14:paraId="6239774D" w14:textId="77777777" w:rsidR="008C5CA0" w:rsidRPr="008C5CA0" w:rsidRDefault="008C5CA0" w:rsidP="003679AB">
            <w:pPr>
              <w:pStyle w:val="TableText"/>
              <w:jc w:val="center"/>
              <w:rPr>
                <w:lang w:eastAsia="ja-JP"/>
              </w:rPr>
            </w:pPr>
            <w:r w:rsidRPr="008C5CA0">
              <w:rPr>
                <w:lang w:eastAsia="ja-JP"/>
              </w:rPr>
              <w:t>285.4</w:t>
            </w:r>
          </w:p>
        </w:tc>
      </w:tr>
      <w:tr w:rsidR="008C5CA0" w:rsidRPr="008C5CA0" w14:paraId="1C654CCD" w14:textId="77777777" w:rsidTr="00BE0BF3">
        <w:tc>
          <w:tcPr>
            <w:tcW w:w="2500" w:type="pct"/>
          </w:tcPr>
          <w:p w14:paraId="68DE2A46" w14:textId="77777777" w:rsidR="008C5CA0" w:rsidRPr="008C5CA0" w:rsidRDefault="008C5CA0" w:rsidP="003679AB">
            <w:pPr>
              <w:pStyle w:val="TableText"/>
              <w:rPr>
                <w:lang w:eastAsia="ja-JP"/>
              </w:rPr>
            </w:pPr>
            <w:r w:rsidRPr="008C5CA0">
              <w:rPr>
                <w:lang w:eastAsia="ja-JP"/>
              </w:rPr>
              <w:t>Mushrooms</w:t>
            </w:r>
          </w:p>
        </w:tc>
        <w:tc>
          <w:tcPr>
            <w:tcW w:w="2500" w:type="pct"/>
          </w:tcPr>
          <w:p w14:paraId="2E08A316" w14:textId="77777777" w:rsidR="008C5CA0" w:rsidRPr="008C5CA0" w:rsidRDefault="008C5CA0" w:rsidP="003679AB">
            <w:pPr>
              <w:pStyle w:val="TableText"/>
              <w:jc w:val="center"/>
              <w:rPr>
                <w:lang w:eastAsia="ja-JP"/>
              </w:rPr>
            </w:pPr>
            <w:r w:rsidRPr="008C5CA0">
              <w:rPr>
                <w:lang w:eastAsia="ja-JP"/>
              </w:rPr>
              <w:t>273.6</w:t>
            </w:r>
          </w:p>
        </w:tc>
      </w:tr>
      <w:tr w:rsidR="008C5CA0" w:rsidRPr="008C5CA0" w14:paraId="52726871" w14:textId="77777777" w:rsidTr="00BE0BF3">
        <w:tc>
          <w:tcPr>
            <w:tcW w:w="2500" w:type="pct"/>
          </w:tcPr>
          <w:p w14:paraId="754004B9" w14:textId="77777777" w:rsidR="008C5CA0" w:rsidRPr="008C5CA0" w:rsidRDefault="008C5CA0" w:rsidP="003679AB">
            <w:pPr>
              <w:pStyle w:val="TableText"/>
              <w:rPr>
                <w:lang w:eastAsia="ja-JP"/>
              </w:rPr>
            </w:pPr>
            <w:r w:rsidRPr="008C5CA0">
              <w:rPr>
                <w:lang w:eastAsia="ja-JP"/>
              </w:rPr>
              <w:t>Cultivated turf</w:t>
            </w:r>
          </w:p>
        </w:tc>
        <w:tc>
          <w:tcPr>
            <w:tcW w:w="2500" w:type="pct"/>
          </w:tcPr>
          <w:p w14:paraId="34022C83" w14:textId="77777777" w:rsidR="008C5CA0" w:rsidRPr="008C5CA0" w:rsidRDefault="008C5CA0" w:rsidP="003679AB">
            <w:pPr>
              <w:pStyle w:val="TableText"/>
              <w:jc w:val="center"/>
              <w:rPr>
                <w:lang w:eastAsia="ja-JP"/>
              </w:rPr>
            </w:pPr>
            <w:r w:rsidRPr="008C5CA0">
              <w:rPr>
                <w:lang w:eastAsia="ja-JP"/>
              </w:rPr>
              <w:t>217.3</w:t>
            </w:r>
          </w:p>
        </w:tc>
      </w:tr>
      <w:tr w:rsidR="008C5CA0" w:rsidRPr="008C5CA0" w14:paraId="63C2D832" w14:textId="77777777" w:rsidTr="00BE0BF3">
        <w:tc>
          <w:tcPr>
            <w:tcW w:w="2500" w:type="pct"/>
          </w:tcPr>
          <w:p w14:paraId="0A1DA280" w14:textId="4C131EA2" w:rsidR="008C5CA0" w:rsidRPr="008C5CA0" w:rsidRDefault="00A30CC2" w:rsidP="003679AB">
            <w:pPr>
              <w:pStyle w:val="TableText"/>
              <w:rPr>
                <w:lang w:eastAsia="ja-JP"/>
              </w:rPr>
            </w:pPr>
            <w:r w:rsidRPr="00A30CC2">
              <w:rPr>
                <w:rFonts w:eastAsia="Calibri"/>
                <w:lang w:eastAsia="ja-JP"/>
              </w:rPr>
              <w:t>Livestock</w:t>
            </w:r>
            <w:r w:rsidR="008C5CA0" w:rsidRPr="008C5CA0">
              <w:rPr>
                <w:lang w:eastAsia="ja-JP"/>
              </w:rPr>
              <w:t xml:space="preserve"> slaughter and other disposals, other NEC</w:t>
            </w:r>
          </w:p>
        </w:tc>
        <w:tc>
          <w:tcPr>
            <w:tcW w:w="2500" w:type="pct"/>
          </w:tcPr>
          <w:p w14:paraId="2DEFCE1C" w14:textId="77777777" w:rsidR="008C5CA0" w:rsidRPr="008C5CA0" w:rsidRDefault="008C5CA0" w:rsidP="003679AB">
            <w:pPr>
              <w:pStyle w:val="TableText"/>
              <w:jc w:val="center"/>
              <w:rPr>
                <w:lang w:eastAsia="ja-JP"/>
              </w:rPr>
            </w:pPr>
            <w:r w:rsidRPr="008C5CA0">
              <w:rPr>
                <w:lang w:eastAsia="ja-JP"/>
              </w:rPr>
              <w:t>154.3</w:t>
            </w:r>
          </w:p>
        </w:tc>
      </w:tr>
      <w:tr w:rsidR="008C5CA0" w:rsidRPr="008C5CA0" w14:paraId="45F9F319" w14:textId="77777777" w:rsidTr="00BE0BF3">
        <w:tc>
          <w:tcPr>
            <w:tcW w:w="2500" w:type="pct"/>
          </w:tcPr>
          <w:p w14:paraId="44ECCFB4" w14:textId="32DEA51A" w:rsidR="008C5CA0" w:rsidRPr="008C5CA0" w:rsidRDefault="008C5CA0" w:rsidP="003679AB">
            <w:pPr>
              <w:pStyle w:val="TableText"/>
              <w:rPr>
                <w:lang w:eastAsia="ja-JP"/>
              </w:rPr>
            </w:pPr>
            <w:r w:rsidRPr="008C5CA0">
              <w:rPr>
                <w:lang w:eastAsia="ja-JP"/>
              </w:rPr>
              <w:t xml:space="preserve">Other fruit </w:t>
            </w:r>
            <w:r w:rsidR="00632BF6">
              <w:rPr>
                <w:lang w:eastAsia="ja-JP"/>
              </w:rPr>
              <w:t>(not elsewhere classified)</w:t>
            </w:r>
          </w:p>
        </w:tc>
        <w:tc>
          <w:tcPr>
            <w:tcW w:w="2500" w:type="pct"/>
          </w:tcPr>
          <w:p w14:paraId="4BE9088D" w14:textId="77777777" w:rsidR="008C5CA0" w:rsidRPr="008C5CA0" w:rsidRDefault="008C5CA0" w:rsidP="003679AB">
            <w:pPr>
              <w:pStyle w:val="TableText"/>
              <w:jc w:val="center"/>
              <w:rPr>
                <w:lang w:eastAsia="ja-JP"/>
              </w:rPr>
            </w:pPr>
            <w:r w:rsidRPr="008C5CA0">
              <w:rPr>
                <w:lang w:eastAsia="ja-JP"/>
              </w:rPr>
              <w:t>141.0</w:t>
            </w:r>
          </w:p>
        </w:tc>
      </w:tr>
    </w:tbl>
    <w:p w14:paraId="1AA92FDC" w14:textId="1D674495" w:rsidR="008A6EE4" w:rsidRDefault="008A6EE4" w:rsidP="008A6EE4">
      <w:pPr>
        <w:pStyle w:val="FigureTableNoteSource"/>
        <w:rPr>
          <w:lang w:eastAsia="ja-JP"/>
        </w:rPr>
      </w:pPr>
      <w:r>
        <w:rPr>
          <w:lang w:eastAsia="ja-JP"/>
        </w:rPr>
        <w:t>Source: ABARES.</w:t>
      </w:r>
    </w:p>
    <w:p w14:paraId="25664E5C" w14:textId="517EB6AA" w:rsidR="008C5CA0" w:rsidRDefault="008C5CA0" w:rsidP="008C5CA0">
      <w:pPr>
        <w:rPr>
          <w:lang w:eastAsia="ja-JP"/>
        </w:rPr>
      </w:pPr>
      <w:r>
        <w:rPr>
          <w:lang w:eastAsia="ja-JP"/>
        </w:rPr>
        <w:t>ABARES also undertook an analysis of Australia’s total exports against the signatories to the emergency response deeds, which tells a similar story. The proportion of farm and forestry exports (excluding horses temporarily exported for racing) covered by signatories to the emerge</w:t>
      </w:r>
      <w:r w:rsidR="0046460F">
        <w:rPr>
          <w:lang w:eastAsia="ja-JP"/>
        </w:rPr>
        <w:t>ncy response deeds is around 87 </w:t>
      </w:r>
      <w:r>
        <w:rPr>
          <w:lang w:eastAsia="ja-JP"/>
        </w:rPr>
        <w:t>per</w:t>
      </w:r>
      <w:r w:rsidR="0046460F">
        <w:rPr>
          <w:lang w:eastAsia="ja-JP"/>
        </w:rPr>
        <w:t> </w:t>
      </w:r>
      <w:r>
        <w:rPr>
          <w:lang w:eastAsia="ja-JP"/>
        </w:rPr>
        <w:t>cent.</w:t>
      </w:r>
    </w:p>
    <w:p w14:paraId="3FA1DF2E" w14:textId="57B236D5" w:rsidR="008C5CA0" w:rsidRDefault="008C5CA0" w:rsidP="008C5CA0">
      <w:pPr>
        <w:rPr>
          <w:lang w:eastAsia="ja-JP"/>
        </w:rPr>
      </w:pPr>
      <w:r>
        <w:rPr>
          <w:lang w:eastAsia="ja-JP"/>
        </w:rPr>
        <w:t>The analyses undertaken by ABARES do not include fisheries</w:t>
      </w:r>
      <w:r w:rsidR="00AA5F8C">
        <w:rPr>
          <w:lang w:eastAsia="ja-JP"/>
        </w:rPr>
        <w:t xml:space="preserve"> (including aquaculture)</w:t>
      </w:r>
      <w:r w:rsidR="00A65942">
        <w:rPr>
          <w:lang w:eastAsia="ja-JP"/>
        </w:rPr>
        <w:t xml:space="preserve">, </w:t>
      </w:r>
      <w:r>
        <w:rPr>
          <w:lang w:eastAsia="ja-JP"/>
        </w:rPr>
        <w:t>which is currently in discussions with Australian Government about potential coverage. Encouraging all industries to sign up to, or establish, an emergency response deed would stre</w:t>
      </w:r>
      <w:r w:rsidR="00900526">
        <w:rPr>
          <w:lang w:eastAsia="ja-JP"/>
        </w:rPr>
        <w:t>ngthen the national partnership</w:t>
      </w:r>
      <w:r>
        <w:rPr>
          <w:lang w:eastAsia="ja-JP"/>
        </w:rPr>
        <w:t xml:space="preserve"> and the national biosecurity system.</w:t>
      </w:r>
    </w:p>
    <w:p w14:paraId="3D94285B" w14:textId="36EB8FB2" w:rsidR="008C5CA0" w:rsidRDefault="008C5CA0" w:rsidP="008C5CA0">
      <w:pPr>
        <w:pStyle w:val="Heading4"/>
        <w:rPr>
          <w:lang w:eastAsia="ja-JP"/>
        </w:rPr>
      </w:pPr>
      <w:bookmarkStart w:id="172" w:name="_Categorising_activities_of"/>
      <w:bookmarkEnd w:id="172"/>
      <w:r>
        <w:rPr>
          <w:lang w:eastAsia="ja-JP"/>
        </w:rPr>
        <w:t xml:space="preserve">Categorising </w:t>
      </w:r>
      <w:r w:rsidR="00E075B2">
        <w:rPr>
          <w:lang w:eastAsia="ja-JP"/>
        </w:rPr>
        <w:t>national</w:t>
      </w:r>
      <w:r>
        <w:rPr>
          <w:lang w:eastAsia="ja-JP"/>
        </w:rPr>
        <w:t xml:space="preserve"> system</w:t>
      </w:r>
      <w:r w:rsidR="002D25FB">
        <w:rPr>
          <w:lang w:eastAsia="ja-JP"/>
        </w:rPr>
        <w:t xml:space="preserve"> activities</w:t>
      </w:r>
    </w:p>
    <w:p w14:paraId="3685E015" w14:textId="7A59065D" w:rsidR="008C5CA0" w:rsidRDefault="008C5CA0" w:rsidP="008C5CA0">
      <w:pPr>
        <w:rPr>
          <w:lang w:eastAsia="ja-JP"/>
        </w:rPr>
      </w:pPr>
      <w:r>
        <w:rPr>
          <w:lang w:eastAsia="ja-JP"/>
        </w:rPr>
        <w:t xml:space="preserve">While the </w:t>
      </w:r>
      <w:r w:rsidR="00CE52D9">
        <w:rPr>
          <w:lang w:eastAsia="ja-JP"/>
        </w:rPr>
        <w:t>p</w:t>
      </w:r>
      <w:r>
        <w:rPr>
          <w:lang w:eastAsia="ja-JP"/>
        </w:rPr>
        <w:t>anel supports the steps taken to establish new investment categories and recognises their value for decision-making purposes, these should have utility beyond funding and investment. Uniform categories for the national biosecurity system should reflect the full suite of activities for all system participants and support a range of analyses. All system participants should be encouraged to publicly report their activities, including investments, on a consistent basis to build a better understanding of the system’s efficiency and performance.</w:t>
      </w:r>
    </w:p>
    <w:p w14:paraId="48F26190" w14:textId="21684F5C" w:rsidR="008C5CA0" w:rsidRDefault="008C5CA0" w:rsidP="008C5CA0">
      <w:pPr>
        <w:rPr>
          <w:lang w:eastAsia="ja-JP"/>
        </w:rPr>
      </w:pPr>
      <w:r>
        <w:rPr>
          <w:lang w:eastAsia="ja-JP"/>
        </w:rPr>
        <w:t>At present, there is limited ability for system participants beyond jurisdictions to categorise their contributions to and participation in the</w:t>
      </w:r>
      <w:r w:rsidR="00E075B2">
        <w:rPr>
          <w:lang w:eastAsia="ja-JP"/>
        </w:rPr>
        <w:t xml:space="preserve"> national</w:t>
      </w:r>
      <w:r>
        <w:rPr>
          <w:lang w:eastAsia="ja-JP"/>
        </w:rPr>
        <w:t xml:space="preserve"> system. This includes capturing the activity relevant to the IGAB priorities, as well as the activities and funding of AHA, PHA, the RDCs, CSI</w:t>
      </w:r>
      <w:r w:rsidR="00CE52D9">
        <w:rPr>
          <w:lang w:eastAsia="ja-JP"/>
        </w:rPr>
        <w:t xml:space="preserve">RO, and any state and territory </w:t>
      </w:r>
      <w:r>
        <w:rPr>
          <w:lang w:eastAsia="ja-JP"/>
        </w:rPr>
        <w:t>level bodies.</w:t>
      </w:r>
    </w:p>
    <w:p w14:paraId="2B06784F" w14:textId="57A31A65" w:rsidR="005B1353" w:rsidRDefault="008C5CA0" w:rsidP="008C5CA0">
      <w:pPr>
        <w:rPr>
          <w:lang w:eastAsia="ja-JP"/>
        </w:rPr>
      </w:pPr>
      <w:r>
        <w:rPr>
          <w:lang w:eastAsia="ja-JP"/>
        </w:rPr>
        <w:t xml:space="preserve">The </w:t>
      </w:r>
      <w:r w:rsidR="00CE52D9">
        <w:rPr>
          <w:lang w:eastAsia="ja-JP"/>
        </w:rPr>
        <w:t>p</w:t>
      </w:r>
      <w:r>
        <w:rPr>
          <w:lang w:eastAsia="ja-JP"/>
        </w:rPr>
        <w:t>anel recommends a single categorisation of national biosecurity system activities be agreed by the NBC, in collaboration with key industry members and non-government partners. As part of this reconsideration, attention should be given to categories of the national priority planning process and the subsequent acti</w:t>
      </w:r>
      <w:r w:rsidR="00DD4A5E">
        <w:rPr>
          <w:lang w:eastAsia="ja-JP"/>
        </w:rPr>
        <w:t>on</w:t>
      </w:r>
      <w:r>
        <w:rPr>
          <w:lang w:eastAsia="ja-JP"/>
        </w:rPr>
        <w:t xml:space="preserve"> planning</w:t>
      </w:r>
      <w:r w:rsidR="00A67A87">
        <w:rPr>
          <w:lang w:eastAsia="ja-JP"/>
        </w:rPr>
        <w:t xml:space="preserve"> (</w:t>
      </w:r>
      <w:r w:rsidR="00A67A87" w:rsidRPr="003D2919">
        <w:rPr>
          <w:lang w:eastAsia="ja-JP"/>
        </w:rPr>
        <w:t xml:space="preserve">Chapter </w:t>
      </w:r>
      <w:r w:rsidR="003D2919" w:rsidRPr="003D2919">
        <w:rPr>
          <w:lang w:eastAsia="ja-JP"/>
        </w:rPr>
        <w:lastRenderedPageBreak/>
        <w:fldChar w:fldCharType="begin"/>
      </w:r>
      <w:r w:rsidR="003D2919" w:rsidRPr="003D2919">
        <w:rPr>
          <w:lang w:eastAsia="ja-JP"/>
        </w:rPr>
        <w:instrText xml:space="preserve"> REF _Ref486235604 \r \h </w:instrText>
      </w:r>
      <w:r w:rsidR="003D2919">
        <w:rPr>
          <w:lang w:eastAsia="ja-JP"/>
        </w:rPr>
        <w:instrText xml:space="preserve"> \* MERGEFORMAT </w:instrText>
      </w:r>
      <w:r w:rsidR="003D2919" w:rsidRPr="003D2919">
        <w:rPr>
          <w:lang w:eastAsia="ja-JP"/>
        </w:rPr>
      </w:r>
      <w:r w:rsidR="003D2919" w:rsidRPr="003D2919">
        <w:rPr>
          <w:lang w:eastAsia="ja-JP"/>
        </w:rPr>
        <w:fldChar w:fldCharType="separate"/>
      </w:r>
      <w:r w:rsidR="003D2919" w:rsidRPr="003D2919">
        <w:rPr>
          <w:lang w:eastAsia="ja-JP"/>
        </w:rPr>
        <w:t>5</w:t>
      </w:r>
      <w:r w:rsidR="003D2919" w:rsidRPr="003D2919">
        <w:rPr>
          <w:lang w:eastAsia="ja-JP"/>
        </w:rPr>
        <w:fldChar w:fldCharType="end"/>
      </w:r>
      <w:r w:rsidR="00A67A87">
        <w:rPr>
          <w:lang w:eastAsia="ja-JP"/>
        </w:rPr>
        <w:t>)</w:t>
      </w:r>
      <w:r>
        <w:rPr>
          <w:lang w:eastAsia="ja-JP"/>
        </w:rPr>
        <w:t>. National system categories must be clear to avoid confusion, distortion or manipulation.</w:t>
      </w:r>
      <w:r w:rsidR="003E6BF5">
        <w:rPr>
          <w:lang w:eastAsia="ja-JP"/>
        </w:rPr>
        <w:t xml:space="preserve"> </w:t>
      </w:r>
      <w:r w:rsidR="003E6BF5" w:rsidRPr="003E6BF5">
        <w:rPr>
          <w:lang w:eastAsia="ja-JP"/>
        </w:rPr>
        <w:t xml:space="preserve">Consideration will need to be given </w:t>
      </w:r>
      <w:r w:rsidR="00CE52D9">
        <w:rPr>
          <w:lang w:eastAsia="ja-JP"/>
        </w:rPr>
        <w:t>to</w:t>
      </w:r>
      <w:r w:rsidR="003E6BF5" w:rsidRPr="003E6BF5">
        <w:rPr>
          <w:lang w:eastAsia="ja-JP"/>
        </w:rPr>
        <w:t xml:space="preserve"> how these categories align with, or ‘roll-up’ into, other frameworks like the Rural R&amp;D Priorities to limit reporting burden.</w:t>
      </w:r>
    </w:p>
    <w:p w14:paraId="5204199B" w14:textId="77777777" w:rsidR="008C5CA0" w:rsidRPr="00290792" w:rsidRDefault="008C5CA0" w:rsidP="00C57788">
      <w:pPr>
        <w:pStyle w:val="BoxHeading"/>
        <w:shd w:val="clear" w:color="auto" w:fill="D9D9D9" w:themeFill="background1" w:themeFillShade="D9"/>
        <w:rPr>
          <w:sz w:val="22"/>
        </w:rPr>
      </w:pPr>
      <w:bookmarkStart w:id="173" w:name="_Ref482710231"/>
      <w:r w:rsidRPr="00290792">
        <w:rPr>
          <w:sz w:val="22"/>
        </w:rPr>
        <w:t xml:space="preserve">Recommendation </w:t>
      </w:r>
      <w:r w:rsidR="00C72264" w:rsidRPr="00290792">
        <w:rPr>
          <w:sz w:val="22"/>
        </w:rPr>
        <w:fldChar w:fldCharType="begin"/>
      </w:r>
      <w:r w:rsidR="00C72264" w:rsidRPr="00290792">
        <w:rPr>
          <w:sz w:val="22"/>
        </w:rPr>
        <w:instrText xml:space="preserve"> SEQ Recommendation \* ARABIC </w:instrText>
      </w:r>
      <w:r w:rsidR="00C72264" w:rsidRPr="00290792">
        <w:rPr>
          <w:sz w:val="22"/>
        </w:rPr>
        <w:fldChar w:fldCharType="separate"/>
      </w:r>
      <w:r w:rsidR="009F6923">
        <w:rPr>
          <w:noProof/>
          <w:sz w:val="22"/>
        </w:rPr>
        <w:t>28</w:t>
      </w:r>
      <w:r w:rsidR="00C72264" w:rsidRPr="00290792">
        <w:rPr>
          <w:noProof/>
          <w:sz w:val="22"/>
        </w:rPr>
        <w:fldChar w:fldCharType="end"/>
      </w:r>
      <w:bookmarkEnd w:id="173"/>
    </w:p>
    <w:p w14:paraId="2F14964A" w14:textId="2375660D" w:rsidR="005B1353" w:rsidRPr="00290792" w:rsidRDefault="008C5CA0" w:rsidP="00C57788">
      <w:pPr>
        <w:pStyle w:val="BoxText"/>
        <w:shd w:val="clear" w:color="auto" w:fill="D9D9D9" w:themeFill="background1" w:themeFillShade="D9"/>
        <w:rPr>
          <w:sz w:val="22"/>
        </w:rPr>
      </w:pPr>
      <w:r w:rsidRPr="00290792">
        <w:rPr>
          <w:sz w:val="22"/>
        </w:rPr>
        <w:t>The NBC, in collaboration with key industry and non-government partners, should agree uniform and fully inclusive categories of activity, including investment categories, for the national biosecurity system.</w:t>
      </w:r>
    </w:p>
    <w:p w14:paraId="43D6686E" w14:textId="77777777" w:rsidR="005B1353" w:rsidRDefault="005B1353" w:rsidP="005B1353">
      <w:pPr>
        <w:pStyle w:val="Heading3"/>
        <w:rPr>
          <w:lang w:eastAsia="ja-JP"/>
        </w:rPr>
      </w:pPr>
      <w:bookmarkStart w:id="174" w:name="_Toc486236060"/>
      <w:r>
        <w:rPr>
          <w:lang w:eastAsia="ja-JP"/>
        </w:rPr>
        <w:t>How much is enough?</w:t>
      </w:r>
      <w:bookmarkEnd w:id="174"/>
    </w:p>
    <w:p w14:paraId="4AE18C2D" w14:textId="2738884F" w:rsidR="008C5CA0" w:rsidRDefault="008C5CA0" w:rsidP="008C5CA0">
      <w:pPr>
        <w:rPr>
          <w:lang w:eastAsia="ja-JP"/>
        </w:rPr>
      </w:pPr>
      <w:r>
        <w:rPr>
          <w:lang w:eastAsia="ja-JP"/>
        </w:rPr>
        <w:t>The overall funding situation f</w:t>
      </w:r>
      <w:r w:rsidR="009603A5">
        <w:rPr>
          <w:lang w:eastAsia="ja-JP"/>
        </w:rPr>
        <w:t>or</w:t>
      </w:r>
      <w:r>
        <w:rPr>
          <w:lang w:eastAsia="ja-JP"/>
        </w:rPr>
        <w:t xml:space="preserve"> </w:t>
      </w:r>
      <w:r w:rsidR="00E075B2">
        <w:rPr>
          <w:lang w:eastAsia="ja-JP"/>
        </w:rPr>
        <w:t>Australia’s</w:t>
      </w:r>
      <w:r>
        <w:rPr>
          <w:lang w:eastAsia="ja-JP"/>
        </w:rPr>
        <w:t xml:space="preserve"> biosecurity system is complex</w:t>
      </w:r>
      <w:r w:rsidR="00CE52D9">
        <w:rPr>
          <w:lang w:eastAsia="ja-JP"/>
        </w:rPr>
        <w:t>,</w:t>
      </w:r>
      <w:r>
        <w:rPr>
          <w:lang w:eastAsia="ja-JP"/>
        </w:rPr>
        <w:t xml:space="preserve"> and there is no picture of total investment in the national system. This is primarily because the range of investments and contributions by key parties is not routinely captured, reviewed o</w:t>
      </w:r>
      <w:r w:rsidR="006105F7">
        <w:rPr>
          <w:lang w:eastAsia="ja-JP"/>
        </w:rPr>
        <w:t>r invested on a national basis.</w:t>
      </w:r>
    </w:p>
    <w:p w14:paraId="56A85F32" w14:textId="2629BCC8" w:rsidR="006C2CF1" w:rsidRDefault="008C5CA0" w:rsidP="006C2CF1">
      <w:pPr>
        <w:rPr>
          <w:lang w:eastAsia="ja-JP"/>
        </w:rPr>
      </w:pPr>
      <w:r>
        <w:rPr>
          <w:lang w:eastAsia="ja-JP"/>
        </w:rPr>
        <w:t>That said, there is widespread support for the view that the nat</w:t>
      </w:r>
      <w:r w:rsidR="00E475B1">
        <w:rPr>
          <w:lang w:eastAsia="ja-JP"/>
        </w:rPr>
        <w:t>ional system is currently under</w:t>
      </w:r>
      <w:r>
        <w:rPr>
          <w:lang w:eastAsia="ja-JP"/>
        </w:rPr>
        <w:t xml:space="preserve">funded and that, in particular, there is inadequate funding for those areas where the greatest return is likely to be achieved. These include the prevention activities on the left-hand side of the invasion curve model (see below), education and awareness building, </w:t>
      </w:r>
      <w:r w:rsidR="00CE52D9">
        <w:rPr>
          <w:lang w:eastAsia="ja-JP"/>
        </w:rPr>
        <w:t>cross-</w:t>
      </w:r>
      <w:r w:rsidR="006C2CF1">
        <w:rPr>
          <w:lang w:eastAsia="ja-JP"/>
        </w:rPr>
        <w:t xml:space="preserve">sectoral research and development </w:t>
      </w:r>
      <w:r>
        <w:rPr>
          <w:lang w:eastAsia="ja-JP"/>
        </w:rPr>
        <w:t>and environmental biosecurity.</w:t>
      </w:r>
      <w:r w:rsidR="00596031">
        <w:rPr>
          <w:lang w:eastAsia="ja-JP"/>
        </w:rPr>
        <w:t xml:space="preserve"> </w:t>
      </w:r>
      <w:r>
        <w:rPr>
          <w:lang w:eastAsia="ja-JP"/>
        </w:rPr>
        <w:t xml:space="preserve">It also needs to be </w:t>
      </w:r>
      <w:r w:rsidR="00596031">
        <w:rPr>
          <w:lang w:eastAsia="ja-JP"/>
        </w:rPr>
        <w:t xml:space="preserve">recognised </w:t>
      </w:r>
      <w:r>
        <w:rPr>
          <w:lang w:eastAsia="ja-JP"/>
        </w:rPr>
        <w:t>that, at least from a government perspective, the current funding arrangements contain an unknown contingent liability relating to inc</w:t>
      </w:r>
      <w:r w:rsidR="00C23BB6">
        <w:rPr>
          <w:lang w:eastAsia="ja-JP"/>
        </w:rPr>
        <w:t>ursion response and management.</w:t>
      </w:r>
    </w:p>
    <w:p w14:paraId="72DC524F" w14:textId="1458D8C2" w:rsidR="005B1353" w:rsidRDefault="008C5CA0" w:rsidP="006C2CF1">
      <w:pPr>
        <w:pStyle w:val="Heading4"/>
        <w:rPr>
          <w:lang w:eastAsia="ja-JP"/>
        </w:rPr>
      </w:pPr>
      <w:r>
        <w:rPr>
          <w:lang w:eastAsia="ja-JP"/>
        </w:rPr>
        <w:t xml:space="preserve">Where should </w:t>
      </w:r>
      <w:r w:rsidR="00A65942">
        <w:rPr>
          <w:lang w:eastAsia="ja-JP"/>
        </w:rPr>
        <w:t xml:space="preserve">the </w:t>
      </w:r>
      <w:r>
        <w:rPr>
          <w:lang w:eastAsia="ja-JP"/>
        </w:rPr>
        <w:t>funds be spent?</w:t>
      </w:r>
    </w:p>
    <w:p w14:paraId="523174E9" w14:textId="59C3BB93" w:rsidR="008C5CA0" w:rsidRDefault="008C5CA0" w:rsidP="008C5CA0">
      <w:pPr>
        <w:rPr>
          <w:lang w:eastAsia="ja-JP"/>
        </w:rPr>
      </w:pPr>
      <w:r>
        <w:rPr>
          <w:lang w:eastAsia="ja-JP"/>
        </w:rPr>
        <w:t xml:space="preserve">In 2014, the Productivity Commission was commissioned to examine Australia’s natural disaster funding </w:t>
      </w:r>
      <w:r w:rsidRPr="006670BE">
        <w:rPr>
          <w:lang w:eastAsia="ja-JP"/>
        </w:rPr>
        <w:t>arrangements (</w:t>
      </w:r>
      <w:hyperlink w:anchor="PC_2014" w:history="1">
        <w:r w:rsidRPr="006670BE">
          <w:rPr>
            <w:rStyle w:val="Hyperlink"/>
            <w:lang w:eastAsia="ja-JP"/>
          </w:rPr>
          <w:t>PC 2014</w:t>
        </w:r>
      </w:hyperlink>
      <w:r w:rsidRPr="006670BE">
        <w:rPr>
          <w:lang w:eastAsia="ja-JP"/>
        </w:rPr>
        <w:t>). Among its</w:t>
      </w:r>
      <w:r>
        <w:rPr>
          <w:lang w:eastAsia="ja-JP"/>
        </w:rPr>
        <w:t xml:space="preserve"> findings were that:</w:t>
      </w:r>
    </w:p>
    <w:p w14:paraId="4E5EDD2B" w14:textId="26960985" w:rsidR="008C5CA0" w:rsidRDefault="008C5CA0" w:rsidP="00C332A3">
      <w:pPr>
        <w:pStyle w:val="ListBullet"/>
        <w:rPr>
          <w:lang w:eastAsia="ja-JP"/>
        </w:rPr>
      </w:pPr>
      <w:r>
        <w:rPr>
          <w:lang w:eastAsia="ja-JP"/>
        </w:rPr>
        <w:t>Australia is exposed to natural disasters on a recurring basis. Effective planning and mitigation of risks is an essential task for governme</w:t>
      </w:r>
      <w:r w:rsidR="006105F7">
        <w:rPr>
          <w:lang w:eastAsia="ja-JP"/>
        </w:rPr>
        <w:t>nts, businesses and households.</w:t>
      </w:r>
    </w:p>
    <w:p w14:paraId="2857A240" w14:textId="5CC1FC19" w:rsidR="008C5CA0" w:rsidRDefault="008C5CA0" w:rsidP="00C332A3">
      <w:pPr>
        <w:pStyle w:val="ListBullet"/>
        <w:rPr>
          <w:lang w:eastAsia="ja-JP"/>
        </w:rPr>
      </w:pPr>
      <w:r>
        <w:rPr>
          <w:lang w:eastAsia="ja-JP"/>
        </w:rPr>
        <w:t>Current government natural disaster funding arrangements are not efficient, equitable or sust</w:t>
      </w:r>
      <w:r w:rsidR="00CE52D9">
        <w:rPr>
          <w:lang w:eastAsia="ja-JP"/>
        </w:rPr>
        <w:t>ainable. They are prone to cost-</w:t>
      </w:r>
      <w:r>
        <w:rPr>
          <w:lang w:eastAsia="ja-JP"/>
        </w:rPr>
        <w:t xml:space="preserve">shifting, </w:t>
      </w:r>
      <w:r w:rsidRPr="00CE52D9">
        <w:rPr>
          <w:i/>
          <w:lang w:eastAsia="ja-JP"/>
        </w:rPr>
        <w:t>ad hoc</w:t>
      </w:r>
      <w:r w:rsidR="00CE52D9">
        <w:rPr>
          <w:lang w:eastAsia="ja-JP"/>
        </w:rPr>
        <w:t xml:space="preserve"> responses and short-</w:t>
      </w:r>
      <w:r>
        <w:rPr>
          <w:lang w:eastAsia="ja-JP"/>
        </w:rPr>
        <w:t>term political opportunism. Groundhog Day anecdotes abound.</w:t>
      </w:r>
    </w:p>
    <w:p w14:paraId="44F82CBE" w14:textId="74951B88" w:rsidR="008C5CA0" w:rsidRDefault="00320EAB" w:rsidP="00C332A3">
      <w:pPr>
        <w:pStyle w:val="ListBullet"/>
        <w:rPr>
          <w:lang w:eastAsia="ja-JP"/>
        </w:rPr>
      </w:pPr>
      <w:r>
        <w:rPr>
          <w:lang w:eastAsia="ja-JP"/>
        </w:rPr>
        <w:t>Governments overinvest in post-</w:t>
      </w:r>
      <w:r w:rsidR="008C5CA0">
        <w:rPr>
          <w:lang w:eastAsia="ja-JP"/>
        </w:rPr>
        <w:t>disaster reconstruction and underinvest in mitigation that would limit the impact of natural disasters in the first place. As such, natural disaster costs have become a growing, unfu</w:t>
      </w:r>
      <w:r w:rsidR="006105F7">
        <w:rPr>
          <w:lang w:eastAsia="ja-JP"/>
        </w:rPr>
        <w:t>nded liability for governments.</w:t>
      </w:r>
    </w:p>
    <w:p w14:paraId="7FD95767" w14:textId="7220A901" w:rsidR="008C5CA0" w:rsidRDefault="008C5CA0" w:rsidP="00C332A3">
      <w:pPr>
        <w:pStyle w:val="ListBullet"/>
        <w:rPr>
          <w:lang w:eastAsia="ja-JP"/>
        </w:rPr>
      </w:pPr>
      <w:r>
        <w:rPr>
          <w:lang w:eastAsia="ja-JP"/>
        </w:rPr>
        <w:lastRenderedPageBreak/>
        <w:t xml:space="preserve">The funding arrangements matter because they impact </w:t>
      </w:r>
      <w:r w:rsidR="00320EAB">
        <w:rPr>
          <w:lang w:eastAsia="ja-JP"/>
        </w:rPr>
        <w:t xml:space="preserve">on </w:t>
      </w:r>
      <w:r>
        <w:rPr>
          <w:lang w:eastAsia="ja-JP"/>
        </w:rPr>
        <w:t>the incentives to manage risks, including by using potent but politically challenging levers like land use planning. The reform imperative is greatest for states most exposed to natural disaster risk, like Queensland.</w:t>
      </w:r>
    </w:p>
    <w:p w14:paraId="4FFAF737" w14:textId="12E81266" w:rsidR="008C5CA0" w:rsidRDefault="008C5CA0" w:rsidP="008C5CA0">
      <w:pPr>
        <w:rPr>
          <w:lang w:eastAsia="ja-JP"/>
        </w:rPr>
      </w:pPr>
      <w:r>
        <w:rPr>
          <w:lang w:eastAsia="ja-JP"/>
        </w:rPr>
        <w:t xml:space="preserve">The Productivity Commission’s findings are similar to the </w:t>
      </w:r>
      <w:r w:rsidR="00F00D7D">
        <w:rPr>
          <w:lang w:eastAsia="ja-JP"/>
        </w:rPr>
        <w:t>p</w:t>
      </w:r>
      <w:r>
        <w:rPr>
          <w:lang w:eastAsia="ja-JP"/>
        </w:rPr>
        <w:t xml:space="preserve">anel’s views about the national biosecurity system. Biosecurity could replace natural disaster in the findings above and be equally applicable. In both cases there is an understanding that it is wiser to spend money on prevention and mitigation measures in advance of an adverse event occurring rather than </w:t>
      </w:r>
      <w:r w:rsidR="00F00D7D">
        <w:rPr>
          <w:lang w:eastAsia="ja-JP"/>
        </w:rPr>
        <w:t>on recovery and rectification</w:t>
      </w:r>
      <w:r>
        <w:rPr>
          <w:lang w:eastAsia="ja-JP"/>
        </w:rPr>
        <w:t xml:space="preserve"> but that in most cases this does not happen. Investment in prevention and mitigation is more readily accepted and hence more common in areas such as human health (for example, breast and bowel </w:t>
      </w:r>
      <w:r w:rsidR="00E075B2">
        <w:rPr>
          <w:lang w:eastAsia="ja-JP"/>
        </w:rPr>
        <w:t xml:space="preserve">cancer </w:t>
      </w:r>
      <w:r>
        <w:rPr>
          <w:lang w:eastAsia="ja-JP"/>
        </w:rPr>
        <w:t>screening programs) than in natural disasters or biosecurity.</w:t>
      </w:r>
      <w:r w:rsidR="00A65942">
        <w:rPr>
          <w:lang w:eastAsia="ja-JP"/>
        </w:rPr>
        <w:t xml:space="preserve"> </w:t>
      </w:r>
      <w:r w:rsidR="006C2CF1" w:rsidRPr="006C2CF1">
        <w:rPr>
          <w:rFonts w:eastAsia="Calibri" w:cs="Times New Roman"/>
          <w:lang w:eastAsia="ja-JP"/>
        </w:rPr>
        <w:t>Failure to invest in health prevention and mitigation would be regarded by many as unacceptable.</w:t>
      </w:r>
    </w:p>
    <w:p w14:paraId="6F4161D2" w14:textId="58F6306D" w:rsidR="008C5CA0" w:rsidRDefault="008C5CA0" w:rsidP="008C5CA0">
      <w:pPr>
        <w:rPr>
          <w:lang w:eastAsia="ja-JP"/>
        </w:rPr>
      </w:pPr>
      <w:r>
        <w:rPr>
          <w:lang w:eastAsia="ja-JP"/>
        </w:rPr>
        <w:t xml:space="preserve">This view was reflected in a number of submissions, which </w:t>
      </w:r>
      <w:r w:rsidR="003E6BF5">
        <w:rPr>
          <w:lang w:eastAsia="ja-JP"/>
        </w:rPr>
        <w:t xml:space="preserve">highlighted </w:t>
      </w:r>
      <w:r>
        <w:rPr>
          <w:lang w:eastAsia="ja-JP"/>
        </w:rPr>
        <w:t>the relative lack of investment in the left-hand side of the invasion curve</w:t>
      </w:r>
      <w:r w:rsidR="00A32D4C">
        <w:rPr>
          <w:lang w:eastAsia="ja-JP"/>
        </w:rPr>
        <w:t>,</w:t>
      </w:r>
      <w:r>
        <w:rPr>
          <w:lang w:eastAsia="ja-JP"/>
        </w:rPr>
        <w:t xml:space="preserve"> where the greatest returns can be achieved. These views were confirmed by the 201</w:t>
      </w:r>
      <w:r w:rsidR="00D327BA">
        <w:rPr>
          <w:lang w:eastAsia="ja-JP"/>
        </w:rPr>
        <w:t>5</w:t>
      </w:r>
      <w:r>
        <w:rPr>
          <w:lang w:eastAsia="ja-JP"/>
        </w:rPr>
        <w:t>–1</w:t>
      </w:r>
      <w:r w:rsidR="00D327BA">
        <w:rPr>
          <w:lang w:eastAsia="ja-JP"/>
        </w:rPr>
        <w:t>6</w:t>
      </w:r>
      <w:r>
        <w:rPr>
          <w:lang w:eastAsia="ja-JP"/>
        </w:rPr>
        <w:t xml:space="preserve"> national stocktake of biosecurity investment, which</w:t>
      </w:r>
      <w:r w:rsidR="0046460F">
        <w:rPr>
          <w:lang w:eastAsia="ja-JP"/>
        </w:rPr>
        <w:t xml:space="preserve"> revealed that approximately 63 </w:t>
      </w:r>
      <w:r>
        <w:rPr>
          <w:lang w:eastAsia="ja-JP"/>
        </w:rPr>
        <w:t>per</w:t>
      </w:r>
      <w:r w:rsidR="0046460F">
        <w:rPr>
          <w:lang w:eastAsia="ja-JP"/>
        </w:rPr>
        <w:t> </w:t>
      </w:r>
      <w:r>
        <w:rPr>
          <w:lang w:eastAsia="ja-JP"/>
        </w:rPr>
        <w:t>cent of state and territory investment is directed at areas wher</w:t>
      </w:r>
      <w:r w:rsidR="00A32D4C">
        <w:rPr>
          <w:lang w:eastAsia="ja-JP"/>
        </w:rPr>
        <w:t>e the return is generally lower—</w:t>
      </w:r>
      <w:r>
        <w:rPr>
          <w:lang w:eastAsia="ja-JP"/>
        </w:rPr>
        <w:t>that is</w:t>
      </w:r>
      <w:r w:rsidR="00A32D4C">
        <w:rPr>
          <w:lang w:eastAsia="ja-JP"/>
        </w:rPr>
        <w:t>,</w:t>
      </w:r>
      <w:r>
        <w:rPr>
          <w:lang w:eastAsia="ja-JP"/>
        </w:rPr>
        <w:t xml:space="preserve"> established pests and diseases (</w:t>
      </w:r>
      <w:r w:rsidR="00E83318">
        <w:rPr>
          <w:highlight w:val="yellow"/>
          <w:lang w:eastAsia="ja-JP"/>
        </w:rPr>
        <w:fldChar w:fldCharType="begin"/>
      </w:r>
      <w:r w:rsidR="00E83318">
        <w:rPr>
          <w:lang w:eastAsia="ja-JP"/>
        </w:rPr>
        <w:instrText xml:space="preserve"> REF _Ref481742229 \h </w:instrText>
      </w:r>
      <w:r w:rsidR="00E83318">
        <w:rPr>
          <w:highlight w:val="yellow"/>
          <w:lang w:eastAsia="ja-JP"/>
        </w:rPr>
      </w:r>
      <w:r w:rsidR="00E83318">
        <w:rPr>
          <w:highlight w:val="yellow"/>
          <w:lang w:eastAsia="ja-JP"/>
        </w:rPr>
        <w:fldChar w:fldCharType="separate"/>
      </w:r>
      <w:r w:rsidR="009F6923">
        <w:t xml:space="preserve">Figure </w:t>
      </w:r>
      <w:r w:rsidR="009F6923">
        <w:rPr>
          <w:noProof/>
        </w:rPr>
        <w:t>12</w:t>
      </w:r>
      <w:r w:rsidR="00E83318">
        <w:rPr>
          <w:highlight w:val="yellow"/>
          <w:lang w:eastAsia="ja-JP"/>
        </w:rPr>
        <w:fldChar w:fldCharType="end"/>
      </w:r>
      <w:r w:rsidR="006105F7">
        <w:rPr>
          <w:lang w:eastAsia="ja-JP"/>
        </w:rPr>
        <w:t>).</w:t>
      </w:r>
    </w:p>
    <w:p w14:paraId="005314EF" w14:textId="6D1520CD" w:rsidR="003449D7" w:rsidRDefault="003449D7" w:rsidP="003449D7">
      <w:pPr>
        <w:pStyle w:val="Caption"/>
        <w:rPr>
          <w:lang w:eastAsia="ja-JP"/>
        </w:rPr>
      </w:pPr>
      <w:bookmarkStart w:id="175" w:name="_Ref481742229"/>
      <w:bookmarkStart w:id="176" w:name="_Toc468176743"/>
      <w:r>
        <w:t xml:space="preserve">Figure </w:t>
      </w:r>
      <w:fldSimple w:instr=" SEQ Figure \* ARABIC ">
        <w:r w:rsidR="009F6923">
          <w:rPr>
            <w:noProof/>
          </w:rPr>
          <w:t>12</w:t>
        </w:r>
      </w:fldSimple>
      <w:bookmarkEnd w:id="175"/>
      <w:r w:rsidRPr="00952B15">
        <w:rPr>
          <w:szCs w:val="22"/>
        </w:rPr>
        <w:t xml:space="preserve"> State and territory government biosecurity investment in 201</w:t>
      </w:r>
      <w:r>
        <w:rPr>
          <w:szCs w:val="22"/>
        </w:rPr>
        <w:t>5</w:t>
      </w:r>
      <w:r w:rsidRPr="00952B15">
        <w:rPr>
          <w:szCs w:val="22"/>
        </w:rPr>
        <w:t>–1</w:t>
      </w:r>
      <w:r>
        <w:rPr>
          <w:szCs w:val="22"/>
        </w:rPr>
        <w:t>6</w:t>
      </w:r>
      <w:bookmarkEnd w:id="176"/>
    </w:p>
    <w:p w14:paraId="3A529593" w14:textId="3CEC9116" w:rsidR="008C5CA0" w:rsidRDefault="00B84298" w:rsidP="0005500E">
      <w:pPr>
        <w:pStyle w:val="Picture"/>
        <w:rPr>
          <w:lang w:eastAsia="ja-JP"/>
        </w:rPr>
      </w:pPr>
      <w:r>
        <w:drawing>
          <wp:inline distT="0" distB="0" distL="0" distR="0" wp14:anchorId="314BAD7F" wp14:editId="07611490">
            <wp:extent cx="5730240" cy="3489960"/>
            <wp:effectExtent l="0" t="0" r="3810" b="0"/>
            <wp:docPr id="31" name="Picture 31" descr="Shows the investments made by state and territory governments in the 2015–16 financial year as reported in the national stocktake of biosecurity investment against the generalised biosecurity invasion curve (the invasion curve). The invasion curve outlines the changing role (including funding) of governments and stakeholders as actions to respond to a pest or disease change from prevention, eradication, containment to asset-based protection. The return on investment generally reduces when progressing along the invasion curve. Approximately 26 per cent of state and territory investments spent on prevention, 11 per cent on eradication and containment, and 63 per cent is directed at areas where the return is generally lower, that is established pests and dis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30240" cy="3489960"/>
                    </a:xfrm>
                    <a:prstGeom prst="rect">
                      <a:avLst/>
                    </a:prstGeom>
                    <a:noFill/>
                  </pic:spPr>
                </pic:pic>
              </a:graphicData>
            </a:graphic>
          </wp:inline>
        </w:drawing>
      </w:r>
    </w:p>
    <w:p w14:paraId="0CB370D4" w14:textId="606B5F9B" w:rsidR="00C332A3" w:rsidRDefault="00C332A3" w:rsidP="00C332A3">
      <w:pPr>
        <w:pStyle w:val="FigureTableNoteSource"/>
      </w:pPr>
      <w:bookmarkStart w:id="177" w:name="_Ref467164144"/>
      <w:r>
        <w:lastRenderedPageBreak/>
        <w:t>Source: 201</w:t>
      </w:r>
      <w:r w:rsidR="00E075B2">
        <w:t>5</w:t>
      </w:r>
      <w:r>
        <w:t>–1</w:t>
      </w:r>
      <w:r w:rsidR="00E075B2">
        <w:t>6</w:t>
      </w:r>
      <w:r>
        <w:t xml:space="preserve"> national stocktake of biosecurity investment</w:t>
      </w:r>
      <w:bookmarkEnd w:id="177"/>
      <w:r>
        <w:t>.</w:t>
      </w:r>
    </w:p>
    <w:p w14:paraId="6EF46F2D" w14:textId="4EEC0747" w:rsidR="009F670F" w:rsidRDefault="00C332A3" w:rsidP="00C332A3">
      <w:pPr>
        <w:rPr>
          <w:lang w:eastAsia="ja-JP"/>
        </w:rPr>
      </w:pPr>
      <w:r>
        <w:rPr>
          <w:lang w:eastAsia="ja-JP"/>
        </w:rPr>
        <w:t>Benefits to farmers, industry and the community would flow if the current expenditure profile of the state and territory jurisdictions could be reformed to align more closely with agreed national biosecurity priorities</w:t>
      </w:r>
      <w:r w:rsidRPr="00CE3CB8">
        <w:rPr>
          <w:lang w:eastAsia="ja-JP"/>
        </w:rPr>
        <w:t>.</w:t>
      </w:r>
      <w:r w:rsidR="009F670F" w:rsidRPr="00CE3CB8">
        <w:rPr>
          <w:lang w:eastAsia="ja-JP"/>
        </w:rPr>
        <w:t xml:space="preserve"> Further, g</w:t>
      </w:r>
      <w:r w:rsidR="009F670F" w:rsidRPr="00CE3CB8">
        <w:t>reater sharing of responsibility for established pests and weeds among government and non-government parties in the national system is consistent with the NBC’s proposed approach to managing established pests and diseases of national significance under the National Framework for the Management of Established Pests and Diseases of National Significance.</w:t>
      </w:r>
    </w:p>
    <w:p w14:paraId="36BAB749" w14:textId="75EC1DAE" w:rsidR="00C46388" w:rsidRDefault="00C332A3" w:rsidP="00C332A3">
      <w:pPr>
        <w:rPr>
          <w:lang w:eastAsia="ja-JP"/>
        </w:rPr>
      </w:pPr>
      <w:r>
        <w:rPr>
          <w:lang w:eastAsia="ja-JP"/>
        </w:rPr>
        <w:t>The Productivity Commission</w:t>
      </w:r>
      <w:r w:rsidR="00E075B2">
        <w:rPr>
          <w:lang w:eastAsia="ja-JP"/>
        </w:rPr>
        <w:t xml:space="preserve"> also</w:t>
      </w:r>
      <w:r>
        <w:rPr>
          <w:lang w:eastAsia="ja-JP"/>
        </w:rPr>
        <w:t xml:space="preserve"> found that the failure to adequately invest in risk mitigation for natural disasters was leading to a growing, unfunded liability for </w:t>
      </w:r>
      <w:r w:rsidRPr="000F4F66">
        <w:rPr>
          <w:lang w:eastAsia="ja-JP"/>
        </w:rPr>
        <w:t>governments (</w:t>
      </w:r>
      <w:hyperlink w:anchor="PC_2014" w:history="1">
        <w:r w:rsidRPr="000F4F66">
          <w:rPr>
            <w:rStyle w:val="Hyperlink"/>
            <w:lang w:eastAsia="ja-JP"/>
          </w:rPr>
          <w:t>PC 2014</w:t>
        </w:r>
      </w:hyperlink>
      <w:r w:rsidRPr="000F4F66">
        <w:rPr>
          <w:lang w:eastAsia="ja-JP"/>
        </w:rPr>
        <w:t>).</w:t>
      </w:r>
      <w:r>
        <w:rPr>
          <w:lang w:eastAsia="ja-JP"/>
        </w:rPr>
        <w:t xml:space="preserve"> The same is true for biosecurity, </w:t>
      </w:r>
      <w:r w:rsidR="0075013C">
        <w:rPr>
          <w:lang w:eastAsia="ja-JP"/>
        </w:rPr>
        <w:t xml:space="preserve">for which </w:t>
      </w:r>
      <w:r>
        <w:rPr>
          <w:lang w:eastAsia="ja-JP"/>
        </w:rPr>
        <w:t xml:space="preserve">incursion responses and management are, in the most part, </w:t>
      </w:r>
      <w:r w:rsidR="003E6BF5">
        <w:rPr>
          <w:lang w:eastAsia="ja-JP"/>
        </w:rPr>
        <w:t>unallocated in government budgets</w:t>
      </w:r>
      <w:r>
        <w:rPr>
          <w:lang w:eastAsia="ja-JP"/>
        </w:rPr>
        <w:t>. The costs for the equine influenza response were over $342</w:t>
      </w:r>
      <w:r w:rsidR="00FE4A57">
        <w:rPr>
          <w:lang w:eastAsia="ja-JP"/>
        </w:rPr>
        <w:t> </w:t>
      </w:r>
      <w:r>
        <w:rPr>
          <w:lang w:eastAsia="ja-JP"/>
        </w:rPr>
        <w:t xml:space="preserve">million </w:t>
      </w:r>
      <w:r w:rsidRPr="00897EDA">
        <w:rPr>
          <w:lang w:eastAsia="ja-JP"/>
        </w:rPr>
        <w:t>(</w:t>
      </w:r>
      <w:hyperlink w:anchor="Callinan_2008" w:history="1">
        <w:r w:rsidRPr="00897EDA">
          <w:rPr>
            <w:rStyle w:val="Hyperlink"/>
            <w:lang w:eastAsia="ja-JP"/>
          </w:rPr>
          <w:t>Callinan 200</w:t>
        </w:r>
        <w:r w:rsidR="00897EDA" w:rsidRPr="00897EDA">
          <w:rPr>
            <w:rStyle w:val="Hyperlink"/>
            <w:lang w:eastAsia="ja-JP"/>
          </w:rPr>
          <w:t>8</w:t>
        </w:r>
      </w:hyperlink>
      <w:r w:rsidRPr="00897EDA">
        <w:rPr>
          <w:lang w:eastAsia="ja-JP"/>
        </w:rPr>
        <w:t>)</w:t>
      </w:r>
      <w:r w:rsidR="00581E7C">
        <w:rPr>
          <w:lang w:eastAsia="ja-JP"/>
        </w:rPr>
        <w:t>,</w:t>
      </w:r>
      <w:r>
        <w:rPr>
          <w:lang w:eastAsia="ja-JP"/>
        </w:rPr>
        <w:t xml:space="preserve"> while the response</w:t>
      </w:r>
      <w:r w:rsidR="00E075B2">
        <w:rPr>
          <w:lang w:eastAsia="ja-JP"/>
        </w:rPr>
        <w:t xml:space="preserve"> to </w:t>
      </w:r>
      <w:r w:rsidR="00581E7C">
        <w:rPr>
          <w:lang w:eastAsia="ja-JP"/>
        </w:rPr>
        <w:t xml:space="preserve">red imported fire ants </w:t>
      </w:r>
      <w:r w:rsidR="00FE4A57">
        <w:rPr>
          <w:lang w:eastAsia="ja-JP"/>
        </w:rPr>
        <w:t>has cost $340 </w:t>
      </w:r>
      <w:r>
        <w:rPr>
          <w:lang w:eastAsia="ja-JP"/>
        </w:rPr>
        <w:t>mill</w:t>
      </w:r>
      <w:r w:rsidR="00FE4A57">
        <w:rPr>
          <w:lang w:eastAsia="ja-JP"/>
        </w:rPr>
        <w:t>ion so far, with a further $380 </w:t>
      </w:r>
      <w:r>
        <w:rPr>
          <w:lang w:eastAsia="ja-JP"/>
        </w:rPr>
        <w:t xml:space="preserve">million likely to be committed over the next </w:t>
      </w:r>
      <w:r w:rsidR="00581E7C">
        <w:rPr>
          <w:lang w:eastAsia="ja-JP"/>
        </w:rPr>
        <w:t>ten</w:t>
      </w:r>
      <w:r w:rsidR="00A8440A">
        <w:rPr>
          <w:lang w:eastAsia="ja-JP"/>
        </w:rPr>
        <w:t> </w:t>
      </w:r>
      <w:r>
        <w:rPr>
          <w:lang w:eastAsia="ja-JP"/>
        </w:rPr>
        <w:t>years (</w:t>
      </w:r>
      <w:hyperlink w:anchor="Joyce_2016" w:history="1">
        <w:r w:rsidR="00F01EF1" w:rsidRPr="00F01EF1">
          <w:rPr>
            <w:rStyle w:val="Hyperlink"/>
            <w:lang w:eastAsia="ja-JP"/>
          </w:rPr>
          <w:t>Joyce 2016</w:t>
        </w:r>
      </w:hyperlink>
      <w:r w:rsidR="00F01EF1">
        <w:rPr>
          <w:lang w:eastAsia="ja-JP"/>
        </w:rPr>
        <w:t>)</w:t>
      </w:r>
      <w:r>
        <w:rPr>
          <w:lang w:eastAsia="ja-JP"/>
        </w:rPr>
        <w:t xml:space="preserve">. </w:t>
      </w:r>
      <w:r w:rsidR="00596031">
        <w:rPr>
          <w:lang w:eastAsia="ja-JP"/>
        </w:rPr>
        <w:t xml:space="preserve">It is worth noting in this context that a major incursion has the potential to massively impact on the economy, with costs much broader than direct eradication costs. For example, ABARES has estimated that a large-scale </w:t>
      </w:r>
      <w:r w:rsidR="00596031" w:rsidRPr="00A96743">
        <w:rPr>
          <w:lang w:eastAsia="ja-JP"/>
        </w:rPr>
        <w:t>foot-and-mouth disease</w:t>
      </w:r>
      <w:r w:rsidR="00596031">
        <w:rPr>
          <w:lang w:eastAsia="ja-JP"/>
        </w:rPr>
        <w:t xml:space="preserve"> outbreak would cost Australia in the region of $50 billion over ten years (</w:t>
      </w:r>
      <w:hyperlink w:anchor="ABARES_2013" w:history="1">
        <w:r w:rsidR="00596031" w:rsidRPr="000F4F66">
          <w:rPr>
            <w:rStyle w:val="Hyperlink"/>
            <w:lang w:eastAsia="ja-JP"/>
          </w:rPr>
          <w:t>ABARES 2013</w:t>
        </w:r>
      </w:hyperlink>
      <w:r w:rsidR="00596031">
        <w:rPr>
          <w:lang w:eastAsia="ja-JP"/>
        </w:rPr>
        <w:t>).</w:t>
      </w:r>
    </w:p>
    <w:p w14:paraId="4C6AE538" w14:textId="34164309" w:rsidR="00C332A3" w:rsidRDefault="00C332A3" w:rsidP="00C332A3">
      <w:pPr>
        <w:rPr>
          <w:lang w:eastAsia="ja-JP"/>
        </w:rPr>
      </w:pPr>
      <w:r>
        <w:rPr>
          <w:lang w:eastAsia="ja-JP"/>
        </w:rPr>
        <w:t>Unless there is greater investment in prevention, early detection and eradication activities then major response and management costs can be expected to increase in the future, placing a growing</w:t>
      </w:r>
      <w:r w:rsidR="00A65942">
        <w:rPr>
          <w:lang w:eastAsia="ja-JP"/>
        </w:rPr>
        <w:t xml:space="preserve"> </w:t>
      </w:r>
      <w:r w:rsidR="006C2CF1">
        <w:rPr>
          <w:lang w:eastAsia="ja-JP"/>
        </w:rPr>
        <w:t xml:space="preserve">and unpredictable </w:t>
      </w:r>
      <w:r>
        <w:rPr>
          <w:lang w:eastAsia="ja-JP"/>
        </w:rPr>
        <w:t>burden on government budgets</w:t>
      </w:r>
      <w:r w:rsidR="003E6BF5">
        <w:rPr>
          <w:lang w:eastAsia="ja-JP"/>
        </w:rPr>
        <w:t xml:space="preserve"> </w:t>
      </w:r>
      <w:r w:rsidR="003E6BF5" w:rsidRPr="003E6BF5">
        <w:rPr>
          <w:lang w:eastAsia="ja-JP"/>
        </w:rPr>
        <w:t>and potentially leading to choices having to be made between eradication efforts t</w:t>
      </w:r>
      <w:r w:rsidR="00581E7C">
        <w:rPr>
          <w:lang w:eastAsia="ja-JP"/>
        </w:rPr>
        <w:t>o be funded even where the cost–</w:t>
      </w:r>
      <w:r w:rsidR="003E6BF5" w:rsidRPr="003E6BF5">
        <w:rPr>
          <w:lang w:eastAsia="ja-JP"/>
        </w:rPr>
        <w:t>benefit outcomes are clear.</w:t>
      </w:r>
    </w:p>
    <w:p w14:paraId="3BE86FDC" w14:textId="44D96752" w:rsidR="00C332A3" w:rsidRDefault="00C332A3" w:rsidP="00C332A3">
      <w:pPr>
        <w:rPr>
          <w:lang w:eastAsia="ja-JP"/>
        </w:rPr>
      </w:pPr>
      <w:r>
        <w:rPr>
          <w:lang w:eastAsia="ja-JP"/>
        </w:rPr>
        <w:t xml:space="preserve">For several years now, governments have acknowledged the superior return on investment at the prevention and early detection (left-hand) side of the invasion curve. However, governments appear hamstrung in redirecting investments there. The Australian Government submission to this </w:t>
      </w:r>
      <w:r w:rsidR="00CA4B50">
        <w:rPr>
          <w:lang w:eastAsia="ja-JP"/>
        </w:rPr>
        <w:t>r</w:t>
      </w:r>
      <w:r>
        <w:rPr>
          <w:lang w:eastAsia="ja-JP"/>
        </w:rPr>
        <w:t>eview (sub. DP65) highlighted the need to reconsider allocation of resources in light of the results of the national stoc</w:t>
      </w:r>
      <w:r w:rsidR="00D83AE6">
        <w:rPr>
          <w:lang w:eastAsia="ja-JP"/>
        </w:rPr>
        <w:t>ktake of biosecurity investment</w:t>
      </w:r>
      <w:r>
        <w:rPr>
          <w:lang w:eastAsia="ja-JP"/>
        </w:rPr>
        <w:t xml:space="preserve"> but emphasised </w:t>
      </w:r>
      <w:r w:rsidR="00D83AE6">
        <w:rPr>
          <w:lang w:eastAsia="ja-JP"/>
        </w:rPr>
        <w:t xml:space="preserve">that </w:t>
      </w:r>
      <w:r>
        <w:rPr>
          <w:lang w:eastAsia="ja-JP"/>
        </w:rPr>
        <w:t>it would be difficult to generate support for directing funding away from the right-hand side of the curve.</w:t>
      </w:r>
    </w:p>
    <w:p w14:paraId="5F180E95" w14:textId="03BE21C9" w:rsidR="00C332A3" w:rsidRDefault="00C332A3" w:rsidP="00C332A3">
      <w:pPr>
        <w:rPr>
          <w:lang w:eastAsia="ja-JP"/>
        </w:rPr>
      </w:pPr>
      <w:r>
        <w:rPr>
          <w:lang w:eastAsia="ja-JP"/>
        </w:rPr>
        <w:t xml:space="preserve">The </w:t>
      </w:r>
      <w:r w:rsidR="00D83AE6">
        <w:rPr>
          <w:lang w:eastAsia="ja-JP"/>
        </w:rPr>
        <w:t>p</w:t>
      </w:r>
      <w:r>
        <w:rPr>
          <w:lang w:eastAsia="ja-JP"/>
        </w:rPr>
        <w:t>anel acknowledges that some traditional patterns of investment can be driven by industry and political imperatives</w:t>
      </w:r>
      <w:r w:rsidRPr="00CE3CB8">
        <w:rPr>
          <w:lang w:eastAsia="ja-JP"/>
        </w:rPr>
        <w:t xml:space="preserve">. However, the </w:t>
      </w:r>
      <w:r w:rsidR="00D83AE6">
        <w:rPr>
          <w:lang w:eastAsia="ja-JP"/>
        </w:rPr>
        <w:t>p</w:t>
      </w:r>
      <w:r w:rsidRPr="00CE3CB8">
        <w:rPr>
          <w:lang w:eastAsia="ja-JP"/>
        </w:rPr>
        <w:t xml:space="preserve">anel </w:t>
      </w:r>
      <w:r w:rsidR="00832283" w:rsidRPr="00CE3CB8">
        <w:rPr>
          <w:lang w:eastAsia="ja-JP"/>
        </w:rPr>
        <w:t>trusts</w:t>
      </w:r>
      <w:r w:rsidRPr="00CE3CB8">
        <w:rPr>
          <w:lang w:eastAsia="ja-JP"/>
        </w:rPr>
        <w:t xml:space="preserve"> </w:t>
      </w:r>
      <w:r w:rsidR="00D83AE6">
        <w:rPr>
          <w:lang w:eastAsia="ja-JP"/>
        </w:rPr>
        <w:t xml:space="preserve">that </w:t>
      </w:r>
      <w:r w:rsidR="005C0241" w:rsidRPr="00CE3CB8">
        <w:rPr>
          <w:lang w:eastAsia="ja-JP"/>
        </w:rPr>
        <w:t>its</w:t>
      </w:r>
      <w:r w:rsidRPr="00CE3CB8">
        <w:rPr>
          <w:lang w:eastAsia="ja-JP"/>
        </w:rPr>
        <w:t xml:space="preserve"> recommenda</w:t>
      </w:r>
      <w:r w:rsidR="00D83AE6">
        <w:rPr>
          <w:lang w:eastAsia="ja-JP"/>
        </w:rPr>
        <w:t>tions will assist jurisdictions</w:t>
      </w:r>
      <w:r w:rsidRPr="00CE3CB8">
        <w:rPr>
          <w:lang w:eastAsia="ja-JP"/>
        </w:rPr>
        <w:t xml:space="preserve"> and facilitate the decision-making process as to where to invest </w:t>
      </w:r>
      <w:r w:rsidRPr="00CE3CB8">
        <w:rPr>
          <w:lang w:eastAsia="ja-JP"/>
        </w:rPr>
        <w:lastRenderedPageBreak/>
        <w:t xml:space="preserve">their limited taxpayer funds. </w:t>
      </w:r>
      <w:r w:rsidR="003B5184" w:rsidRPr="00CE3CB8">
        <w:rPr>
          <w:lang w:eastAsia="ja-JP"/>
        </w:rPr>
        <w:t>T</w:t>
      </w:r>
      <w:r w:rsidRPr="00CE3CB8">
        <w:rPr>
          <w:lang w:eastAsia="ja-JP"/>
        </w:rPr>
        <w:t xml:space="preserve">his </w:t>
      </w:r>
      <w:r w:rsidR="003B5184" w:rsidRPr="00CE3CB8">
        <w:rPr>
          <w:lang w:eastAsia="ja-JP"/>
        </w:rPr>
        <w:t xml:space="preserve">should </w:t>
      </w:r>
      <w:r w:rsidRPr="00CE3CB8">
        <w:rPr>
          <w:lang w:eastAsia="ja-JP"/>
        </w:rPr>
        <w:t>be into areas where the</w:t>
      </w:r>
      <w:r w:rsidR="003B5184" w:rsidRPr="00CE3CB8">
        <w:rPr>
          <w:lang w:eastAsia="ja-JP"/>
        </w:rPr>
        <w:t xml:space="preserve"> </w:t>
      </w:r>
      <w:r w:rsidRPr="00CE3CB8">
        <w:rPr>
          <w:lang w:eastAsia="ja-JP"/>
        </w:rPr>
        <w:t xml:space="preserve">returns </w:t>
      </w:r>
      <w:r w:rsidR="005C0241" w:rsidRPr="00CE3CB8">
        <w:rPr>
          <w:lang w:eastAsia="ja-JP"/>
        </w:rPr>
        <w:t>to the community are the</w:t>
      </w:r>
      <w:r w:rsidR="001E6916" w:rsidRPr="00CE3CB8">
        <w:rPr>
          <w:lang w:eastAsia="ja-JP"/>
        </w:rPr>
        <w:t xml:space="preserve"> </w:t>
      </w:r>
      <w:r w:rsidRPr="00CE3CB8">
        <w:rPr>
          <w:lang w:eastAsia="ja-JP"/>
        </w:rPr>
        <w:t>greatest.</w:t>
      </w:r>
    </w:p>
    <w:p w14:paraId="24DEA732" w14:textId="1C755395" w:rsidR="00C332A3" w:rsidRDefault="00C332A3" w:rsidP="00C332A3">
      <w:pPr>
        <w:rPr>
          <w:lang w:eastAsia="ja-JP"/>
        </w:rPr>
      </w:pPr>
      <w:r>
        <w:rPr>
          <w:lang w:eastAsia="ja-JP"/>
        </w:rPr>
        <w:t>Jurisdictions need to do more to demonstrate and communicate ‘the case’ for particular investment approaches. Working with industry and the community, governments can establish long-term plans to transition arrangements to more equitably share responsibilities. Use of tools like the Australian Government</w:t>
      </w:r>
      <w:r w:rsidR="001A5C8A">
        <w:rPr>
          <w:lang w:eastAsia="ja-JP"/>
        </w:rPr>
        <w:t xml:space="preserve"> agriculture department</w:t>
      </w:r>
      <w:r>
        <w:rPr>
          <w:lang w:eastAsia="ja-JP"/>
        </w:rPr>
        <w:t xml:space="preserve">’s </w:t>
      </w:r>
      <w:r w:rsidR="00775B2E">
        <w:rPr>
          <w:lang w:eastAsia="ja-JP"/>
        </w:rPr>
        <w:t>Risk Return Resource Allocation (</w:t>
      </w:r>
      <w:r>
        <w:rPr>
          <w:lang w:eastAsia="ja-JP"/>
        </w:rPr>
        <w:t>RRRA</w:t>
      </w:r>
      <w:r w:rsidR="00775B2E">
        <w:rPr>
          <w:lang w:eastAsia="ja-JP"/>
        </w:rPr>
        <w:t>)</w:t>
      </w:r>
      <w:r>
        <w:rPr>
          <w:lang w:eastAsia="ja-JP"/>
        </w:rPr>
        <w:t xml:space="preserve"> model</w:t>
      </w:r>
      <w:r w:rsidR="00E075B2">
        <w:rPr>
          <w:lang w:eastAsia="ja-JP"/>
        </w:rPr>
        <w:t xml:space="preserve"> (</w:t>
      </w:r>
      <w:hyperlink w:anchor="_Appendix_E:_Risk" w:history="1">
        <w:r w:rsidR="00E075B2" w:rsidRPr="002D25FB">
          <w:rPr>
            <w:rStyle w:val="Hyperlink"/>
            <w:lang w:eastAsia="ja-JP"/>
          </w:rPr>
          <w:t>Appendix D</w:t>
        </w:r>
      </w:hyperlink>
      <w:r w:rsidR="00E075B2">
        <w:rPr>
          <w:lang w:eastAsia="ja-JP"/>
        </w:rPr>
        <w:t>)</w:t>
      </w:r>
      <w:r>
        <w:rPr>
          <w:lang w:eastAsia="ja-JP"/>
        </w:rPr>
        <w:t xml:space="preserve"> will assist in this process. The model can be used to inform advice on the return (in terms of reduced risk) for investments to manage biosecurity risk and improve confidence that resources are allocated to areas of greatest risk reduction (</w:t>
      </w:r>
      <w:r w:rsidR="00E83318">
        <w:rPr>
          <w:highlight w:val="yellow"/>
          <w:lang w:eastAsia="ja-JP"/>
        </w:rPr>
        <w:fldChar w:fldCharType="begin"/>
      </w:r>
      <w:r w:rsidR="00E83318">
        <w:rPr>
          <w:lang w:eastAsia="ja-JP"/>
        </w:rPr>
        <w:instrText xml:space="preserve"> REF _Ref467659516 \h </w:instrText>
      </w:r>
      <w:r w:rsidR="00E83318">
        <w:rPr>
          <w:highlight w:val="yellow"/>
          <w:lang w:eastAsia="ja-JP"/>
        </w:rPr>
      </w:r>
      <w:r w:rsidR="00E83318">
        <w:rPr>
          <w:highlight w:val="yellow"/>
          <w:lang w:eastAsia="ja-JP"/>
        </w:rPr>
        <w:fldChar w:fldCharType="separate"/>
      </w:r>
      <w:r w:rsidR="009F6923">
        <w:t xml:space="preserve">Box </w:t>
      </w:r>
      <w:r w:rsidR="009F6923">
        <w:rPr>
          <w:noProof/>
        </w:rPr>
        <w:t>13</w:t>
      </w:r>
      <w:r w:rsidR="00E83318">
        <w:rPr>
          <w:highlight w:val="yellow"/>
          <w:lang w:eastAsia="ja-JP"/>
        </w:rPr>
        <w:fldChar w:fldCharType="end"/>
      </w:r>
      <w:r>
        <w:rPr>
          <w:lang w:eastAsia="ja-JP"/>
        </w:rPr>
        <w:t>).</w:t>
      </w:r>
    </w:p>
    <w:p w14:paraId="13489A25" w14:textId="760AA97A" w:rsidR="00C332A3" w:rsidRDefault="00C332A3" w:rsidP="004F4E2D">
      <w:pPr>
        <w:pStyle w:val="BoxHeading"/>
        <w:keepNext/>
        <w:keepLines/>
      </w:pPr>
      <w:bookmarkStart w:id="178" w:name="_Ref467659516"/>
      <w:bookmarkStart w:id="179" w:name="_Toc468176753"/>
      <w:bookmarkStart w:id="180" w:name="_Toc468444403"/>
      <w:r>
        <w:lastRenderedPageBreak/>
        <w:t xml:space="preserve">Box </w:t>
      </w:r>
      <w:fldSimple w:instr=" SEQ Box \* ARABIC ">
        <w:r w:rsidR="009F6923">
          <w:rPr>
            <w:noProof/>
          </w:rPr>
          <w:t>13</w:t>
        </w:r>
      </w:fldSimple>
      <w:bookmarkEnd w:id="178"/>
      <w:r>
        <w:t xml:space="preserve"> </w:t>
      </w:r>
      <w:bookmarkStart w:id="181" w:name="_Ref467659491"/>
      <w:r>
        <w:t xml:space="preserve">Risk reduction from </w:t>
      </w:r>
      <w:r w:rsidR="009603A5">
        <w:t xml:space="preserve">Australian Government agriculture department </w:t>
      </w:r>
      <w:r>
        <w:t>investments</w:t>
      </w:r>
      <w:bookmarkEnd w:id="179"/>
      <w:bookmarkEnd w:id="180"/>
      <w:bookmarkEnd w:id="181"/>
    </w:p>
    <w:p w14:paraId="634E2980" w14:textId="68108275" w:rsidR="00C332A3" w:rsidRPr="009D1E8D" w:rsidRDefault="00C332A3" w:rsidP="004F4E2D">
      <w:pPr>
        <w:pStyle w:val="BoxText"/>
        <w:keepNext/>
        <w:keepLines/>
      </w:pPr>
      <w:r>
        <w:t xml:space="preserve">The </w:t>
      </w:r>
      <w:r w:rsidR="00870232">
        <w:t>Risk Return Resource Allocation (</w:t>
      </w:r>
      <w:r>
        <w:t>RRRA</w:t>
      </w:r>
      <w:r w:rsidR="00870232">
        <w:t>)</w:t>
      </w:r>
      <w:r>
        <w:t xml:space="preserve"> model estimated the contribution, through pre-</w:t>
      </w:r>
      <w:r w:rsidR="00DB155E">
        <w:t>border</w:t>
      </w:r>
      <w:r w:rsidR="003426CC">
        <w:t>, at-</w:t>
      </w:r>
      <w:r w:rsidR="00DB155E">
        <w:t xml:space="preserve">border </w:t>
      </w:r>
      <w:r>
        <w:t xml:space="preserve">and post-border investments, by the Australian Government </w:t>
      </w:r>
      <w:r w:rsidR="003352D4">
        <w:t>a</w:t>
      </w:r>
      <w:r>
        <w:t>griculture</w:t>
      </w:r>
      <w:r w:rsidR="003352D4">
        <w:t xml:space="preserve"> department</w:t>
      </w:r>
      <w:r>
        <w:t xml:space="preserve"> to reducing biosecurity risk. Post-border investments by the states and territories are not captured by the model and were therefore not considered as part </w:t>
      </w:r>
      <w:r w:rsidRPr="009D1E8D">
        <w:t>of the analysis.</w:t>
      </w:r>
    </w:p>
    <w:p w14:paraId="489AF159" w14:textId="77777777" w:rsidR="00C332A3" w:rsidRPr="009D1E8D" w:rsidRDefault="00C332A3" w:rsidP="004F4E2D">
      <w:pPr>
        <w:pStyle w:val="BoxText"/>
        <w:keepNext/>
        <w:keepLines/>
      </w:pPr>
      <w:r w:rsidRPr="009D1E8D">
        <w:t>The RRRA model estimates risk reduction due to the effect of biosecurity controls in reducing the approach rate of organisms of biosecurity concern via goods, conveyances, people and natural means (influence), reducing the number of organisms that are released from biosecurity control and enter Australian territory (physical intervention at border), and reducing the number of those organisms that establish and spread (post-entry controls).</w:t>
      </w:r>
    </w:p>
    <w:p w14:paraId="7B29BD64" w14:textId="40B04D45" w:rsidR="00C332A3" w:rsidRPr="009D1E8D" w:rsidRDefault="00C332A3" w:rsidP="004F4E2D">
      <w:pPr>
        <w:pStyle w:val="BoxText"/>
        <w:keepNext/>
        <w:keepLines/>
      </w:pPr>
      <w:r w:rsidRPr="009D1E8D">
        <w:t>About two</w:t>
      </w:r>
      <w:r w:rsidR="00E075B2">
        <w:t>-</w:t>
      </w:r>
      <w:r w:rsidRPr="009D1E8D">
        <w:t xml:space="preserve">thirds of the overall risk reduction is the result of biosecurity controls that influence the approach rate for organisms of biosecurity concern (pests, diseases and weeds). This includes the influence </w:t>
      </w:r>
      <w:r w:rsidR="003426CC">
        <w:t xml:space="preserve">that </w:t>
      </w:r>
      <w:r w:rsidRPr="009D1E8D">
        <w:t xml:space="preserve">border processes have on passengers and importers to reduce the approach rate. The corresponding return on investment (ROI) is very high (128) compared </w:t>
      </w:r>
      <w:r w:rsidR="003426CC">
        <w:t>with</w:t>
      </w:r>
      <w:r w:rsidRPr="009D1E8D">
        <w:t xml:space="preserve"> the </w:t>
      </w:r>
      <w:r w:rsidR="003426CC">
        <w:t>ROI for the direct effect of at-</w:t>
      </w:r>
      <w:r w:rsidRPr="009D1E8D">
        <w:t>border interventions (20).</w:t>
      </w:r>
    </w:p>
    <w:p w14:paraId="0B53B246" w14:textId="0397B492" w:rsidR="00C332A3" w:rsidRPr="009D1E8D" w:rsidRDefault="00C332A3" w:rsidP="004F4E2D">
      <w:pPr>
        <w:pStyle w:val="BoxText"/>
        <w:keepNext/>
        <w:keepLines/>
      </w:pPr>
      <w:r w:rsidRPr="009D1E8D">
        <w:t>The study found that</w:t>
      </w:r>
      <w:r w:rsidR="004F4E2D">
        <w:t>,</w:t>
      </w:r>
      <w:r w:rsidRPr="009D1E8D">
        <w:t xml:space="preserve"> with the modelled $340</w:t>
      </w:r>
      <w:r w:rsidR="006E6916">
        <w:t> </w:t>
      </w:r>
      <w:r w:rsidRPr="009D1E8D">
        <w:t>million investment in biosecurity controls by the dep</w:t>
      </w:r>
      <w:r w:rsidR="000E2249">
        <w:t>artment, Australia avoids a $24 </w:t>
      </w:r>
      <w:r w:rsidRPr="009D1E8D">
        <w:t>billion long-term cost to the economy.</w:t>
      </w:r>
      <w:r w:rsidR="005244E1">
        <w:t xml:space="preserve"> The c</w:t>
      </w:r>
      <w:r w:rsidR="005244E1" w:rsidRPr="005673BB">
        <w:t>ontributions to overall reduction in risk across</w:t>
      </w:r>
      <w:r w:rsidR="005244E1">
        <w:t xml:space="preserve"> the</w:t>
      </w:r>
      <w:r w:rsidR="005244E1" w:rsidRPr="005673BB">
        <w:t xml:space="preserve"> continuum for each risk category</w:t>
      </w:r>
      <w:r w:rsidR="005244E1">
        <w:t xml:space="preserve"> are shown in the graph below</w:t>
      </w:r>
      <w:r w:rsidR="005244E1" w:rsidRPr="005673BB">
        <w:t>.</w:t>
      </w:r>
    </w:p>
    <w:p w14:paraId="24EACE2B" w14:textId="77777777" w:rsidR="00C332A3" w:rsidRDefault="00C332A3" w:rsidP="004F4E2D">
      <w:pPr>
        <w:pStyle w:val="BoxText"/>
        <w:keepNext/>
        <w:keepLines/>
      </w:pPr>
      <w:r>
        <w:rPr>
          <w:noProof/>
          <w:lang w:eastAsia="en-AU"/>
        </w:rPr>
        <w:drawing>
          <wp:inline distT="0" distB="0" distL="0" distR="0" wp14:anchorId="26537FAA" wp14:editId="6C55595F">
            <wp:extent cx="5387340" cy="2575560"/>
            <wp:effectExtent l="0" t="0" r="3810" b="0"/>
            <wp:docPr id="13" name="Picture 13" descr="The results from a study of an investment of $340 million in biosecurity controls by the Australian Government Department of Agriculture and Water Resources. The study showed that about two-thirds of the overall risk reduction is the result of biosecurity controls that influence the approach rate for organisms of biosecurity concern (pests, diseases and weeds). This includes the influence border processes have on passengers and im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87340" cy="2575560"/>
                    </a:xfrm>
                    <a:prstGeom prst="rect">
                      <a:avLst/>
                    </a:prstGeom>
                    <a:noFill/>
                  </pic:spPr>
                </pic:pic>
              </a:graphicData>
            </a:graphic>
          </wp:inline>
        </w:drawing>
      </w:r>
    </w:p>
    <w:p w14:paraId="61C0CB29" w14:textId="3028757F" w:rsidR="00E075B2" w:rsidRDefault="00C332A3" w:rsidP="005244E1">
      <w:pPr>
        <w:pStyle w:val="BoxSource"/>
      </w:pPr>
      <w:r w:rsidRPr="005673BB">
        <w:t xml:space="preserve">Influence refers to </w:t>
      </w:r>
      <w:r>
        <w:t xml:space="preserve">anything that </w:t>
      </w:r>
      <w:r w:rsidR="00A65942">
        <w:t>a</w:t>
      </w:r>
      <w:r w:rsidRPr="00A65942">
        <w:t>ffects</w:t>
      </w:r>
      <w:r>
        <w:t xml:space="preserve"> </w:t>
      </w:r>
      <w:r w:rsidRPr="005673BB">
        <w:t>the</w:t>
      </w:r>
      <w:r>
        <w:t xml:space="preserve"> </w:t>
      </w:r>
      <w:r w:rsidR="005244E1">
        <w:t>approach rate;</w:t>
      </w:r>
      <w:r w:rsidRPr="005673BB">
        <w:t xml:space="preserve"> intervention refers to border activities</w:t>
      </w:r>
      <w:r w:rsidR="005244E1">
        <w:t>;</w:t>
      </w:r>
      <w:r w:rsidRPr="005673BB">
        <w:t xml:space="preserve"> </w:t>
      </w:r>
      <w:r w:rsidR="005244E1">
        <w:t xml:space="preserve">and </w:t>
      </w:r>
      <w:r w:rsidRPr="005673BB">
        <w:t xml:space="preserve">post-entry refers to </w:t>
      </w:r>
      <w:r>
        <w:t xml:space="preserve">the direct </w:t>
      </w:r>
      <w:r w:rsidRPr="00A65942">
        <w:t>effects</w:t>
      </w:r>
      <w:r>
        <w:t xml:space="preserve"> of </w:t>
      </w:r>
      <w:r w:rsidRPr="005673BB">
        <w:t>surveillance, preparedness and response activities.</w:t>
      </w:r>
    </w:p>
    <w:p w14:paraId="562D639E" w14:textId="3C3ECF6B" w:rsidR="00C332A3" w:rsidRPr="00411935" w:rsidRDefault="00C332A3" w:rsidP="00AD0C05">
      <w:pPr>
        <w:pStyle w:val="BoxSource"/>
      </w:pPr>
      <w:r w:rsidRPr="00411935">
        <w:t xml:space="preserve">Source: </w:t>
      </w:r>
      <w:r>
        <w:t xml:space="preserve">Australian Government </w:t>
      </w:r>
      <w:r w:rsidRPr="00411935">
        <w:t xml:space="preserve">Department of </w:t>
      </w:r>
      <w:r>
        <w:t>Agriculture and Water Resources.</w:t>
      </w:r>
    </w:p>
    <w:p w14:paraId="4B334C2F" w14:textId="27FBFD65" w:rsidR="00C332A3" w:rsidRDefault="00C332A3" w:rsidP="00C332A3">
      <w:pPr>
        <w:rPr>
          <w:lang w:eastAsia="ja-JP"/>
        </w:rPr>
      </w:pPr>
      <w:r>
        <w:rPr>
          <w:lang w:eastAsia="ja-JP"/>
        </w:rPr>
        <w:t xml:space="preserve">The </w:t>
      </w:r>
      <w:r w:rsidR="005244E1">
        <w:rPr>
          <w:lang w:eastAsia="ja-JP"/>
        </w:rPr>
        <w:t>p</w:t>
      </w:r>
      <w:r>
        <w:rPr>
          <w:lang w:eastAsia="ja-JP"/>
        </w:rPr>
        <w:t>anel considers that the RRRA model should be extended to all biosecurity investments. In the first instance, the model should be extended to investments from all juris</w:t>
      </w:r>
      <w:r>
        <w:rPr>
          <w:lang w:eastAsia="ja-JP"/>
        </w:rPr>
        <w:lastRenderedPageBreak/>
        <w:t>dictions. The Australian Government should provide the necessary assistance and technical expertise to all jurisdictions to build this capacity across the national biosecurity system and ensure national consistency of use.</w:t>
      </w:r>
    </w:p>
    <w:p w14:paraId="441FCB37" w14:textId="544DBC24" w:rsidR="00C332A3" w:rsidRDefault="00C332A3" w:rsidP="00C332A3">
      <w:pPr>
        <w:rPr>
          <w:lang w:eastAsia="ja-JP"/>
        </w:rPr>
      </w:pPr>
      <w:r>
        <w:rPr>
          <w:lang w:eastAsia="ja-JP"/>
        </w:rPr>
        <w:t>Furthermore, all industry and farm lobby organisations have a responsibility to inform themselves</w:t>
      </w:r>
      <w:r w:rsidR="00387EAB">
        <w:rPr>
          <w:lang w:eastAsia="ja-JP"/>
        </w:rPr>
        <w:t xml:space="preserve"> and their constituents</w:t>
      </w:r>
      <w:r>
        <w:rPr>
          <w:lang w:eastAsia="ja-JP"/>
        </w:rPr>
        <w:t xml:space="preserve"> of where the real return on investment to farmers </w:t>
      </w:r>
      <w:r w:rsidR="00387EAB">
        <w:rPr>
          <w:lang w:eastAsia="ja-JP"/>
        </w:rPr>
        <w:t>is. Issues that are often short-term, local, and sometimes high-</w:t>
      </w:r>
      <w:r>
        <w:rPr>
          <w:lang w:eastAsia="ja-JP"/>
        </w:rPr>
        <w:t>profile and media susceptible can readily draw funds away from those biosecurity challenges that need to be addressed and</w:t>
      </w:r>
      <w:r w:rsidR="003E6BF5">
        <w:rPr>
          <w:lang w:eastAsia="ja-JP"/>
        </w:rPr>
        <w:t xml:space="preserve"> </w:t>
      </w:r>
      <w:r w:rsidR="00387EAB">
        <w:rPr>
          <w:lang w:eastAsia="ja-JP"/>
        </w:rPr>
        <w:t>that</w:t>
      </w:r>
      <w:r>
        <w:rPr>
          <w:lang w:eastAsia="ja-JP"/>
        </w:rPr>
        <w:t xml:space="preserve"> will have a superior financial benefit to farmers.</w:t>
      </w:r>
    </w:p>
    <w:p w14:paraId="385206F4" w14:textId="77777777" w:rsidR="00C332A3" w:rsidRPr="0005500E" w:rsidRDefault="00C332A3" w:rsidP="0067016C">
      <w:pPr>
        <w:pStyle w:val="BoxHeading"/>
        <w:shd w:val="clear" w:color="auto" w:fill="D9D9D9" w:themeFill="background1" w:themeFillShade="D9"/>
        <w:rPr>
          <w:sz w:val="22"/>
          <w:lang w:eastAsia="ja-JP"/>
        </w:rPr>
      </w:pPr>
      <w:bookmarkStart w:id="182" w:name="_Ref482710255"/>
      <w:r w:rsidRPr="0005500E">
        <w:rPr>
          <w:sz w:val="22"/>
          <w:lang w:eastAsia="ja-JP"/>
        </w:rPr>
        <w:t xml:space="preserve">Recommendation </w:t>
      </w:r>
      <w:r w:rsidRPr="0005500E">
        <w:rPr>
          <w:sz w:val="22"/>
          <w:lang w:eastAsia="ja-JP"/>
        </w:rPr>
        <w:fldChar w:fldCharType="begin"/>
      </w:r>
      <w:r w:rsidRPr="0005500E">
        <w:rPr>
          <w:sz w:val="22"/>
          <w:lang w:eastAsia="ja-JP"/>
        </w:rPr>
        <w:instrText xml:space="preserve"> SEQ Recommendation \* ARABIC </w:instrText>
      </w:r>
      <w:r w:rsidRPr="0005500E">
        <w:rPr>
          <w:sz w:val="22"/>
          <w:lang w:eastAsia="ja-JP"/>
        </w:rPr>
        <w:fldChar w:fldCharType="separate"/>
      </w:r>
      <w:r w:rsidR="009F6923">
        <w:rPr>
          <w:noProof/>
          <w:sz w:val="22"/>
          <w:lang w:eastAsia="ja-JP"/>
        </w:rPr>
        <w:t>29</w:t>
      </w:r>
      <w:r w:rsidRPr="0005500E">
        <w:rPr>
          <w:sz w:val="22"/>
          <w:lang w:eastAsia="ja-JP"/>
        </w:rPr>
        <w:fldChar w:fldCharType="end"/>
      </w:r>
      <w:bookmarkEnd w:id="182"/>
    </w:p>
    <w:p w14:paraId="2E49C539" w14:textId="584388DD" w:rsidR="006C2CF1" w:rsidRPr="0005500E" w:rsidRDefault="00C332A3" w:rsidP="0067016C">
      <w:pPr>
        <w:pStyle w:val="BoxText"/>
        <w:keepNext/>
        <w:shd w:val="clear" w:color="auto" w:fill="D9D9D9" w:themeFill="background1" w:themeFillShade="D9"/>
        <w:rPr>
          <w:rFonts w:eastAsia="Calibri" w:cs="Times New Roman"/>
          <w:sz w:val="22"/>
        </w:rPr>
      </w:pPr>
      <w:r w:rsidRPr="0005500E">
        <w:rPr>
          <w:sz w:val="22"/>
          <w:lang w:eastAsia="ja-JP"/>
        </w:rPr>
        <w:t xml:space="preserve">All governments should review their </w:t>
      </w:r>
      <w:r w:rsidR="00087CAC" w:rsidRPr="0005500E">
        <w:rPr>
          <w:sz w:val="22"/>
          <w:lang w:eastAsia="ja-JP"/>
        </w:rPr>
        <w:t>current biosecurity expenditure</w:t>
      </w:r>
      <w:r w:rsidRPr="0005500E">
        <w:rPr>
          <w:sz w:val="22"/>
          <w:lang w:eastAsia="ja-JP"/>
        </w:rPr>
        <w:t xml:space="preserve"> with a view to redirecting funding to areas that provide the greatest return on investment to producers, industry and the community. This approach will require a planned and coordinated strategy of engagement and communication.</w:t>
      </w:r>
    </w:p>
    <w:p w14:paraId="3A5DA19D" w14:textId="77777777" w:rsidR="00C332A3" w:rsidRPr="0005500E" w:rsidRDefault="00C332A3" w:rsidP="0067016C">
      <w:pPr>
        <w:pStyle w:val="BoxHeading"/>
        <w:shd w:val="clear" w:color="auto" w:fill="D9D9D9" w:themeFill="background1" w:themeFillShade="D9"/>
        <w:rPr>
          <w:sz w:val="22"/>
          <w:lang w:eastAsia="ja-JP"/>
        </w:rPr>
      </w:pPr>
      <w:bookmarkStart w:id="183" w:name="_Ref482710293"/>
      <w:r w:rsidRPr="0005500E">
        <w:rPr>
          <w:sz w:val="22"/>
          <w:lang w:eastAsia="ja-JP"/>
        </w:rPr>
        <w:t xml:space="preserve">Recommendation </w:t>
      </w:r>
      <w:r w:rsidRPr="0005500E">
        <w:rPr>
          <w:sz w:val="22"/>
          <w:lang w:eastAsia="ja-JP"/>
        </w:rPr>
        <w:fldChar w:fldCharType="begin"/>
      </w:r>
      <w:r w:rsidRPr="0005500E">
        <w:rPr>
          <w:sz w:val="22"/>
          <w:lang w:eastAsia="ja-JP"/>
        </w:rPr>
        <w:instrText xml:space="preserve"> SEQ Recommendation \* ARABIC </w:instrText>
      </w:r>
      <w:r w:rsidRPr="0005500E">
        <w:rPr>
          <w:sz w:val="22"/>
          <w:lang w:eastAsia="ja-JP"/>
        </w:rPr>
        <w:fldChar w:fldCharType="separate"/>
      </w:r>
      <w:r w:rsidR="009F6923">
        <w:rPr>
          <w:noProof/>
          <w:sz w:val="22"/>
          <w:lang w:eastAsia="ja-JP"/>
        </w:rPr>
        <w:t>30</w:t>
      </w:r>
      <w:r w:rsidRPr="0005500E">
        <w:rPr>
          <w:sz w:val="22"/>
          <w:lang w:eastAsia="ja-JP"/>
        </w:rPr>
        <w:fldChar w:fldCharType="end"/>
      </w:r>
      <w:bookmarkEnd w:id="183"/>
    </w:p>
    <w:p w14:paraId="5D7FE497" w14:textId="5EC46A89" w:rsidR="00C332A3" w:rsidRPr="00290792" w:rsidRDefault="00C332A3" w:rsidP="0067016C">
      <w:pPr>
        <w:pStyle w:val="BoxText"/>
        <w:shd w:val="clear" w:color="auto" w:fill="D9D9D9" w:themeFill="background1" w:themeFillShade="D9"/>
        <w:rPr>
          <w:sz w:val="22"/>
          <w:lang w:eastAsia="ja-JP"/>
        </w:rPr>
      </w:pPr>
      <w:r w:rsidRPr="00290792">
        <w:rPr>
          <w:sz w:val="22"/>
          <w:lang w:eastAsia="ja-JP"/>
        </w:rPr>
        <w:t xml:space="preserve">The Risk Return Resource Allocation model should be extended to include all jurisdictions and their investments, with the Australian Government providing </w:t>
      </w:r>
      <w:r w:rsidR="00CE3CB8">
        <w:rPr>
          <w:sz w:val="22"/>
          <w:lang w:eastAsia="ja-JP"/>
        </w:rPr>
        <w:t xml:space="preserve">technical </w:t>
      </w:r>
      <w:r w:rsidRPr="00290792">
        <w:rPr>
          <w:sz w:val="22"/>
          <w:lang w:eastAsia="ja-JP"/>
        </w:rPr>
        <w:t>assistance to jurisdictions to build national</w:t>
      </w:r>
      <w:r w:rsidR="003E7357" w:rsidRPr="00290792">
        <w:rPr>
          <w:sz w:val="22"/>
          <w:lang w:eastAsia="ja-JP"/>
        </w:rPr>
        <w:t xml:space="preserve"> </w:t>
      </w:r>
      <w:r w:rsidRPr="00290792">
        <w:rPr>
          <w:sz w:val="22"/>
          <w:lang w:eastAsia="ja-JP"/>
        </w:rPr>
        <w:t>capacity.</w:t>
      </w:r>
    </w:p>
    <w:p w14:paraId="049958FF" w14:textId="20ECE2EC" w:rsidR="00C332A3" w:rsidRDefault="00C332A3" w:rsidP="00C332A3">
      <w:pPr>
        <w:rPr>
          <w:lang w:eastAsia="ja-JP"/>
        </w:rPr>
      </w:pPr>
      <w:r>
        <w:rPr>
          <w:lang w:eastAsia="ja-JP"/>
        </w:rPr>
        <w:t xml:space="preserve">Of particular concern for the </w:t>
      </w:r>
      <w:r w:rsidR="00087CAC">
        <w:rPr>
          <w:lang w:eastAsia="ja-JP"/>
        </w:rPr>
        <w:t>p</w:t>
      </w:r>
      <w:r>
        <w:rPr>
          <w:lang w:eastAsia="ja-JP"/>
        </w:rPr>
        <w:t xml:space="preserve">anel is funding for environmental biosecurity. While some participants see this as a classic public good which should be funded from the public purse, reality is a little different. For example, the food export and tourism sectors leverage Australia’s environmental qualities in their marketing and gain a commercial benefit. </w:t>
      </w:r>
    </w:p>
    <w:p w14:paraId="6EB6766A" w14:textId="2997DA47" w:rsidR="00C332A3" w:rsidRDefault="00C332A3" w:rsidP="00C332A3">
      <w:pPr>
        <w:rPr>
          <w:lang w:eastAsia="ja-JP"/>
        </w:rPr>
      </w:pPr>
      <w:r>
        <w:rPr>
          <w:lang w:eastAsia="ja-JP"/>
        </w:rPr>
        <w:t>The national biosecurity system has, in large part, evolved around the agriculture and trade sectors</w:t>
      </w:r>
      <w:r w:rsidR="003107E8">
        <w:rPr>
          <w:lang w:eastAsia="ja-JP"/>
        </w:rPr>
        <w:t>,</w:t>
      </w:r>
      <w:r>
        <w:rPr>
          <w:lang w:eastAsia="ja-JP"/>
        </w:rPr>
        <w:t xml:space="preserve"> with funding mechanisms naturally developed along similar lines. Environmental biosecurity was achieved more as a by-product of those systems than as a core objective. But that has changed, with</w:t>
      </w:r>
      <w:r w:rsidR="003E6BF5" w:rsidRPr="003E6BF5">
        <w:t xml:space="preserve"> </w:t>
      </w:r>
      <w:r w:rsidR="003E6BF5" w:rsidRPr="003E6BF5">
        <w:rPr>
          <w:lang w:eastAsia="ja-JP"/>
        </w:rPr>
        <w:t>an increasing expectation that</w:t>
      </w:r>
      <w:r>
        <w:rPr>
          <w:lang w:eastAsia="ja-JP"/>
        </w:rPr>
        <w:t xml:space="preserve"> environmental biosecurity </w:t>
      </w:r>
      <w:r w:rsidR="003E6BF5">
        <w:rPr>
          <w:lang w:eastAsia="ja-JP"/>
        </w:rPr>
        <w:t>should be on</w:t>
      </w:r>
      <w:r w:rsidR="002E716F">
        <w:rPr>
          <w:lang w:eastAsia="ja-JP"/>
        </w:rPr>
        <w:t xml:space="preserve"> </w:t>
      </w:r>
      <w:r>
        <w:rPr>
          <w:lang w:eastAsia="ja-JP"/>
        </w:rPr>
        <w:t>an equal footing with animal and plant biosecurity. It follows that funding for environmental biosecurity needs to evolve too. The worst outcome would be for existing, limited biosecurity funding to be spread even more thinly by diverting funds away from the animal and plant sectors to the environment sector.</w:t>
      </w:r>
    </w:p>
    <w:p w14:paraId="68E9A80E" w14:textId="732B3B3E" w:rsidR="00C332A3" w:rsidRDefault="00C332A3" w:rsidP="00C332A3">
      <w:pPr>
        <w:pStyle w:val="Heading3"/>
        <w:rPr>
          <w:lang w:eastAsia="ja-JP"/>
        </w:rPr>
      </w:pPr>
      <w:bookmarkStart w:id="184" w:name="_Toc486236061"/>
      <w:r>
        <w:rPr>
          <w:lang w:eastAsia="ja-JP"/>
        </w:rPr>
        <w:t>Sustainable funding</w:t>
      </w:r>
      <w:bookmarkEnd w:id="184"/>
    </w:p>
    <w:p w14:paraId="4E85CEAA" w14:textId="419D9003" w:rsidR="00C332A3" w:rsidRDefault="00C332A3" w:rsidP="00E83318">
      <w:pPr>
        <w:rPr>
          <w:lang w:eastAsia="ja-JP"/>
        </w:rPr>
      </w:pPr>
      <w:r>
        <w:rPr>
          <w:lang w:eastAsia="ja-JP"/>
        </w:rPr>
        <w:t xml:space="preserve">While there is general agreement that the funding principles in the IGAB are sound, the difficulty </w:t>
      </w:r>
      <w:r w:rsidR="006C2CF1">
        <w:rPr>
          <w:lang w:eastAsia="ja-JP"/>
        </w:rPr>
        <w:t xml:space="preserve">lies </w:t>
      </w:r>
      <w:r>
        <w:rPr>
          <w:lang w:eastAsia="ja-JP"/>
        </w:rPr>
        <w:t xml:space="preserve">in deciding how and when to apply them. There are clear instances where </w:t>
      </w:r>
      <w:r>
        <w:rPr>
          <w:lang w:eastAsia="ja-JP"/>
        </w:rPr>
        <w:lastRenderedPageBreak/>
        <w:t>a specific commercial benefit can be identified for a specific system participant (for example, export certification) and a direct fee for service is easy to justify and implement. However, the national system is full of activities where there is a mix of public and private benefits</w:t>
      </w:r>
      <w:r w:rsidR="003107E8">
        <w:rPr>
          <w:lang w:eastAsia="ja-JP"/>
        </w:rPr>
        <w:t>,</w:t>
      </w:r>
      <w:r>
        <w:rPr>
          <w:lang w:eastAsia="ja-JP"/>
        </w:rPr>
        <w:t xml:space="preserve"> and the appropriate funding mix is less clear.</w:t>
      </w:r>
    </w:p>
    <w:p w14:paraId="081B4BD9" w14:textId="5CA3C5DB" w:rsidR="00004371" w:rsidRDefault="00C332A3" w:rsidP="00C17ED9">
      <w:pPr>
        <w:rPr>
          <w:lang w:eastAsia="ja-JP"/>
        </w:rPr>
      </w:pPr>
      <w:r>
        <w:rPr>
          <w:lang w:eastAsia="ja-JP"/>
        </w:rPr>
        <w:t xml:space="preserve">The </w:t>
      </w:r>
      <w:r w:rsidR="003107E8">
        <w:rPr>
          <w:lang w:eastAsia="ja-JP"/>
        </w:rPr>
        <w:t>p</w:t>
      </w:r>
      <w:r>
        <w:rPr>
          <w:lang w:eastAsia="ja-JP"/>
        </w:rPr>
        <w:t>anel is proposing the items below as potential sources of funds to meet the need for increased investment in envir</w:t>
      </w:r>
      <w:r w:rsidR="00DC25E1">
        <w:rPr>
          <w:lang w:eastAsia="ja-JP"/>
        </w:rPr>
        <w:t>onmental biosecurity activities and</w:t>
      </w:r>
      <w:r>
        <w:rPr>
          <w:lang w:eastAsia="ja-JP"/>
        </w:rPr>
        <w:t xml:space="preserve"> in activities on the left-hand side of the invasion curve (prevention, monitoring and surveillance)</w:t>
      </w:r>
      <w:r w:rsidR="00E6263B">
        <w:rPr>
          <w:lang w:eastAsia="ja-JP"/>
        </w:rPr>
        <w:t>;</w:t>
      </w:r>
      <w:r>
        <w:rPr>
          <w:lang w:eastAsia="ja-JP"/>
        </w:rPr>
        <w:t xml:space="preserve"> </w:t>
      </w:r>
      <w:r w:rsidR="002E716F">
        <w:rPr>
          <w:lang w:eastAsia="ja-JP"/>
        </w:rPr>
        <w:t>accelerate national system innovation</w:t>
      </w:r>
      <w:r w:rsidR="00E6263B">
        <w:rPr>
          <w:lang w:eastAsia="ja-JP"/>
        </w:rPr>
        <w:t>;</w:t>
      </w:r>
      <w:r>
        <w:rPr>
          <w:lang w:eastAsia="ja-JP"/>
        </w:rPr>
        <w:t xml:space="preserve"> improv</w:t>
      </w:r>
      <w:r w:rsidR="002E716F">
        <w:rPr>
          <w:lang w:eastAsia="ja-JP"/>
        </w:rPr>
        <w:t>e</w:t>
      </w:r>
      <w:r>
        <w:rPr>
          <w:lang w:eastAsia="ja-JP"/>
        </w:rPr>
        <w:t xml:space="preserve"> awareness of</w:t>
      </w:r>
      <w:r w:rsidR="002E716F">
        <w:rPr>
          <w:lang w:eastAsia="ja-JP"/>
        </w:rPr>
        <w:t xml:space="preserve"> biosecurity</w:t>
      </w:r>
      <w:r w:rsidR="00DC25E1">
        <w:rPr>
          <w:lang w:eastAsia="ja-JP"/>
        </w:rPr>
        <w:t xml:space="preserve"> roles and responsibilities</w:t>
      </w:r>
      <w:r w:rsidR="00E6263B">
        <w:rPr>
          <w:lang w:eastAsia="ja-JP"/>
        </w:rPr>
        <w:t>;</w:t>
      </w:r>
      <w:r>
        <w:rPr>
          <w:lang w:eastAsia="ja-JP"/>
        </w:rPr>
        <w:t xml:space="preserve"> and redress some of the funding cuts in recent years.</w:t>
      </w:r>
    </w:p>
    <w:p w14:paraId="4CAE8B6C" w14:textId="1F57461E" w:rsidR="00C332A3" w:rsidRDefault="00C332A3" w:rsidP="00C332A3">
      <w:pPr>
        <w:pStyle w:val="Heading4"/>
        <w:rPr>
          <w:lang w:eastAsia="ja-JP"/>
        </w:rPr>
      </w:pPr>
      <w:r>
        <w:rPr>
          <w:lang w:eastAsia="ja-JP"/>
        </w:rPr>
        <w:t>Governments</w:t>
      </w:r>
    </w:p>
    <w:p w14:paraId="5F279629" w14:textId="2CF472D4" w:rsidR="00C332A3" w:rsidRPr="00C332A3" w:rsidRDefault="00C332A3" w:rsidP="00C332A3">
      <w:pPr>
        <w:pStyle w:val="Picture"/>
        <w:rPr>
          <w:rStyle w:val="Strong"/>
        </w:rPr>
      </w:pPr>
      <w:r w:rsidRPr="00C332A3">
        <w:rPr>
          <w:rStyle w:val="Strong"/>
        </w:rPr>
        <w:t>Budget appropriations</w:t>
      </w:r>
    </w:p>
    <w:p w14:paraId="05215915" w14:textId="006423C3" w:rsidR="00C332A3" w:rsidRPr="00C332A3" w:rsidRDefault="00C332A3" w:rsidP="00C332A3">
      <w:pPr>
        <w:rPr>
          <w:rFonts w:eastAsia="Calibri" w:cs="Times New Roman"/>
          <w:lang w:eastAsia="ja-JP"/>
        </w:rPr>
      </w:pPr>
      <w:r w:rsidRPr="00C332A3">
        <w:rPr>
          <w:rFonts w:eastAsia="Calibri" w:cs="Times New Roman"/>
          <w:lang w:eastAsia="ja-JP"/>
        </w:rPr>
        <w:t xml:space="preserve">As noted frequently in submissions, government budgets for biosecurity have been under increasing pressure for some time and are likely to remain so. While there has been an increase in budget appropriations recently in some jurisdictions following various reviews, the situation is capable of being reversed as some of the increased funding is not ongoing (for example, funding for Australian Government </w:t>
      </w:r>
      <w:r w:rsidR="00506ACD">
        <w:rPr>
          <w:rFonts w:eastAsia="Calibri" w:cs="Times New Roman"/>
          <w:lang w:eastAsia="ja-JP"/>
        </w:rPr>
        <w:t>Department of A</w:t>
      </w:r>
      <w:r w:rsidRPr="00C332A3">
        <w:rPr>
          <w:rFonts w:eastAsia="Calibri" w:cs="Times New Roman"/>
          <w:lang w:eastAsia="ja-JP"/>
        </w:rPr>
        <w:t xml:space="preserve">griculture </w:t>
      </w:r>
      <w:r w:rsidR="00506ACD">
        <w:rPr>
          <w:rFonts w:eastAsia="Calibri" w:cs="Times New Roman"/>
          <w:lang w:eastAsia="ja-JP"/>
        </w:rPr>
        <w:t>and Water Resources</w:t>
      </w:r>
      <w:r w:rsidRPr="00C332A3">
        <w:rPr>
          <w:rFonts w:eastAsia="Calibri" w:cs="Times New Roman"/>
          <w:lang w:eastAsia="ja-JP"/>
        </w:rPr>
        <w:t xml:space="preserve"> that expires in 2018–19</w:t>
      </w:r>
      <w:r w:rsidR="00506ACD">
        <w:rPr>
          <w:rFonts w:eastAsia="Calibri" w:cs="Times New Roman"/>
          <w:lang w:eastAsia="ja-JP"/>
        </w:rPr>
        <w:t>,</w:t>
      </w:r>
      <w:r w:rsidRPr="00C332A3">
        <w:rPr>
          <w:rFonts w:eastAsia="Calibri" w:cs="Times New Roman"/>
          <w:lang w:eastAsia="ja-JP"/>
        </w:rPr>
        <w:t xml:space="preserve"> as noted above).</w:t>
      </w:r>
    </w:p>
    <w:p w14:paraId="6B632722" w14:textId="54BB1BC1" w:rsidR="00C332A3" w:rsidRDefault="00C332A3" w:rsidP="00C332A3">
      <w:pPr>
        <w:rPr>
          <w:rFonts w:eastAsia="Calibri" w:cs="Times New Roman"/>
          <w:lang w:eastAsia="ja-JP"/>
        </w:rPr>
      </w:pPr>
      <w:r w:rsidRPr="00C332A3">
        <w:rPr>
          <w:rFonts w:eastAsia="Calibri" w:cs="Times New Roman"/>
          <w:lang w:eastAsia="ja-JP"/>
        </w:rPr>
        <w:t xml:space="preserve">Given the competing pressures on government budgets and the overall fiscal situation in most jurisdictions at present, an increase in budget funding would be difficult. Conversely, though, any further cuts in government appropriations would be detrimental and send the wrong signals to industry and the community about the national importance of </w:t>
      </w:r>
      <w:r w:rsidRPr="00CE3CB8">
        <w:rPr>
          <w:rFonts w:eastAsia="Calibri" w:cs="Times New Roman"/>
          <w:lang w:eastAsia="ja-JP"/>
        </w:rPr>
        <w:t>biosecurity</w:t>
      </w:r>
      <w:r w:rsidR="009B73B4">
        <w:rPr>
          <w:rFonts w:eastAsia="Calibri" w:cs="Times New Roman"/>
          <w:lang w:eastAsia="ja-JP"/>
        </w:rPr>
        <w:t>.</w:t>
      </w:r>
    </w:p>
    <w:p w14:paraId="618DA5B4" w14:textId="4E6AE12D" w:rsidR="006C2CF1" w:rsidRPr="006C2CF1" w:rsidRDefault="006C2CF1" w:rsidP="006C2CF1">
      <w:pPr>
        <w:rPr>
          <w:rFonts w:eastAsia="Calibri" w:cs="Times New Roman"/>
          <w:lang w:eastAsia="ja-JP"/>
        </w:rPr>
      </w:pPr>
      <w:r w:rsidRPr="006C2CF1">
        <w:rPr>
          <w:rFonts w:eastAsia="Calibri" w:cs="Times New Roman"/>
          <w:lang w:eastAsia="ja-JP"/>
        </w:rPr>
        <w:t xml:space="preserve">The </w:t>
      </w:r>
      <w:r w:rsidR="002549C0">
        <w:rPr>
          <w:rFonts w:eastAsia="Calibri" w:cs="Times New Roman"/>
          <w:lang w:eastAsia="ja-JP"/>
        </w:rPr>
        <w:t>p</w:t>
      </w:r>
      <w:r w:rsidRPr="006C2CF1">
        <w:rPr>
          <w:rFonts w:eastAsia="Calibri" w:cs="Times New Roman"/>
          <w:lang w:eastAsia="ja-JP"/>
        </w:rPr>
        <w:t xml:space="preserve">anel recommends that budget appropriations to all Australian governments for biosecurity must be at least maintained at 2016–17 levels (in real terms) until after the next review of the IGAB. </w:t>
      </w:r>
      <w:r w:rsidR="003E7357">
        <w:rPr>
          <w:rFonts w:eastAsia="Calibri" w:cs="Times New Roman"/>
          <w:lang w:eastAsia="ja-JP"/>
        </w:rPr>
        <w:t xml:space="preserve">Stable funding commitments are critical </w:t>
      </w:r>
      <w:r w:rsidRPr="006C2CF1">
        <w:rPr>
          <w:rFonts w:eastAsia="Calibri" w:cs="Times New Roman"/>
          <w:lang w:eastAsia="ja-JP"/>
        </w:rPr>
        <w:t>for effective planning and delivery of biosecurity activities.</w:t>
      </w:r>
    </w:p>
    <w:p w14:paraId="611E86CE" w14:textId="77777777" w:rsidR="00C332A3" w:rsidRPr="00290792" w:rsidRDefault="00C332A3" w:rsidP="00363605">
      <w:pPr>
        <w:pStyle w:val="BoxHeading"/>
        <w:keepNext/>
        <w:shd w:val="clear" w:color="auto" w:fill="D9D9D9" w:themeFill="background1" w:themeFillShade="D9"/>
        <w:rPr>
          <w:sz w:val="22"/>
          <w:lang w:eastAsia="ja-JP"/>
        </w:rPr>
      </w:pPr>
      <w:bookmarkStart w:id="185" w:name="_Ref482710326"/>
      <w:r w:rsidRPr="00290792">
        <w:rPr>
          <w:sz w:val="22"/>
          <w:lang w:eastAsia="ja-JP"/>
        </w:rPr>
        <w:t xml:space="preserve">Recommendation </w:t>
      </w:r>
      <w:r w:rsidRPr="00290792">
        <w:rPr>
          <w:sz w:val="22"/>
          <w:lang w:eastAsia="ja-JP"/>
        </w:rPr>
        <w:fldChar w:fldCharType="begin"/>
      </w:r>
      <w:r w:rsidRPr="00290792">
        <w:rPr>
          <w:sz w:val="22"/>
          <w:lang w:eastAsia="ja-JP"/>
        </w:rPr>
        <w:instrText xml:space="preserve"> SEQ Recommendation \* ARABIC </w:instrText>
      </w:r>
      <w:r w:rsidRPr="00290792">
        <w:rPr>
          <w:sz w:val="22"/>
          <w:lang w:eastAsia="ja-JP"/>
        </w:rPr>
        <w:fldChar w:fldCharType="separate"/>
      </w:r>
      <w:r w:rsidR="009F6923">
        <w:rPr>
          <w:noProof/>
          <w:sz w:val="22"/>
          <w:lang w:eastAsia="ja-JP"/>
        </w:rPr>
        <w:t>31</w:t>
      </w:r>
      <w:r w:rsidRPr="00290792">
        <w:rPr>
          <w:sz w:val="22"/>
          <w:lang w:eastAsia="ja-JP"/>
        </w:rPr>
        <w:fldChar w:fldCharType="end"/>
      </w:r>
      <w:bookmarkEnd w:id="185"/>
    </w:p>
    <w:p w14:paraId="4F8673EC" w14:textId="23B873A0" w:rsidR="00C332A3" w:rsidRPr="00290792" w:rsidRDefault="005B60B5" w:rsidP="00363605">
      <w:pPr>
        <w:pStyle w:val="BoxText"/>
        <w:keepNext/>
        <w:shd w:val="clear" w:color="auto" w:fill="D9D9D9" w:themeFill="background1" w:themeFillShade="D9"/>
        <w:rPr>
          <w:sz w:val="22"/>
          <w:lang w:eastAsia="ja-JP"/>
        </w:rPr>
      </w:pPr>
      <w:r w:rsidRPr="00290792">
        <w:rPr>
          <w:sz w:val="22"/>
          <w:lang w:eastAsia="ja-JP"/>
        </w:rPr>
        <w:t xml:space="preserve">To provide greater system stability, </w:t>
      </w:r>
      <w:r w:rsidR="00C332A3" w:rsidRPr="00290792">
        <w:rPr>
          <w:sz w:val="22"/>
          <w:lang w:eastAsia="ja-JP"/>
        </w:rPr>
        <w:t>Australian governments’ appropriations funding for biosecurity should be maintained at 2016–17 levels (in real terms) or more until after completion of the next review of the IGAB.</w:t>
      </w:r>
    </w:p>
    <w:p w14:paraId="2D118534" w14:textId="0CE6483B" w:rsidR="00375F57" w:rsidRPr="00375F57" w:rsidRDefault="00192C0C" w:rsidP="00290792">
      <w:pPr>
        <w:spacing w:after="0" w:line="240" w:lineRule="auto"/>
        <w:rPr>
          <w:rStyle w:val="Strong"/>
        </w:rPr>
      </w:pPr>
      <w:r>
        <w:rPr>
          <w:rStyle w:val="Strong"/>
        </w:rPr>
        <w:t xml:space="preserve">Cost </w:t>
      </w:r>
      <w:r w:rsidRPr="0005500E">
        <w:rPr>
          <w:rStyle w:val="Strong"/>
        </w:rPr>
        <w:t>recovery</w:t>
      </w:r>
      <w:r>
        <w:rPr>
          <w:rStyle w:val="Strong"/>
        </w:rPr>
        <w:t xml:space="preserve">: </w:t>
      </w:r>
      <w:r w:rsidR="0005500E">
        <w:rPr>
          <w:rStyle w:val="Strong"/>
        </w:rPr>
        <w:t>fees and charges</w:t>
      </w:r>
    </w:p>
    <w:p w14:paraId="65515C6B" w14:textId="6531EE9E" w:rsidR="00375F57" w:rsidRDefault="00375F57" w:rsidP="00375F57">
      <w:r w:rsidRPr="008752DD">
        <w:t>The national stocktake of biosecurity investment for 201</w:t>
      </w:r>
      <w:r w:rsidR="00AD0C05" w:rsidRPr="008752DD">
        <w:t>5</w:t>
      </w:r>
      <w:r w:rsidRPr="008752DD">
        <w:t>–1</w:t>
      </w:r>
      <w:r w:rsidR="00AD0C05" w:rsidRPr="008752DD">
        <w:t>6</w:t>
      </w:r>
      <w:r w:rsidR="005F4489" w:rsidRPr="008752DD">
        <w:t xml:space="preserve"> (all investment categories combined)</w:t>
      </w:r>
      <w:r w:rsidRPr="008752DD">
        <w:t xml:space="preserve"> </w:t>
      </w:r>
      <w:r w:rsidR="005F4489" w:rsidRPr="008752DD">
        <w:t>shows</w:t>
      </w:r>
      <w:r w:rsidRPr="008752DD">
        <w:t xml:space="preserve"> that the Australian Government obtains 7</w:t>
      </w:r>
      <w:r w:rsidR="00AD0C05" w:rsidRPr="008752DD">
        <w:t>1</w:t>
      </w:r>
      <w:r w:rsidR="00A8440A">
        <w:t> </w:t>
      </w:r>
      <w:r w:rsidRPr="008752DD">
        <w:t>per</w:t>
      </w:r>
      <w:r w:rsidR="00A8440A">
        <w:t> </w:t>
      </w:r>
      <w:r w:rsidRPr="008752DD">
        <w:t xml:space="preserve">cent of the funds </w:t>
      </w:r>
      <w:r w:rsidRPr="008752DD">
        <w:lastRenderedPageBreak/>
        <w:t>it spen</w:t>
      </w:r>
      <w:r w:rsidR="005F4489" w:rsidRPr="008752DD">
        <w:t>t</w:t>
      </w:r>
      <w:r w:rsidRPr="008752DD">
        <w:t xml:space="preserve"> from external sources</w:t>
      </w:r>
      <w:r w:rsidR="005F4489" w:rsidRPr="008752DD">
        <w:t xml:space="preserve"> (that is, cost recovery and levies)</w:t>
      </w:r>
      <w:r w:rsidRPr="008752DD">
        <w:t xml:space="preserve"> and </w:t>
      </w:r>
      <w:r w:rsidR="00A8440A">
        <w:t>29 </w:t>
      </w:r>
      <w:r w:rsidRPr="008752DD">
        <w:t>per</w:t>
      </w:r>
      <w:r w:rsidR="00A8440A">
        <w:t> </w:t>
      </w:r>
      <w:r w:rsidRPr="008752DD">
        <w:t>cent from budget appropriations. By comparison, the states and territories obtain</w:t>
      </w:r>
      <w:r w:rsidR="005F4489" w:rsidRPr="008752DD">
        <w:t>ed around</w:t>
      </w:r>
      <w:r w:rsidRPr="008752DD">
        <w:t xml:space="preserve"> </w:t>
      </w:r>
      <w:r w:rsidR="00A8440A">
        <w:t>35 </w:t>
      </w:r>
      <w:r w:rsidRPr="008752DD">
        <w:t>per</w:t>
      </w:r>
      <w:r w:rsidR="00A8440A">
        <w:t> </w:t>
      </w:r>
      <w:r w:rsidRPr="008752DD">
        <w:t xml:space="preserve">cent from external sources and </w:t>
      </w:r>
      <w:r w:rsidR="00A8440A">
        <w:t>65 per </w:t>
      </w:r>
      <w:r w:rsidRPr="008752DD">
        <w:t>cent from budget appropriations.</w:t>
      </w:r>
      <w:r w:rsidR="005F4489" w:rsidRPr="008752DD">
        <w:t xml:space="preserve"> </w:t>
      </w:r>
      <w:r w:rsidR="005F4489" w:rsidRPr="008752DD">
        <w:rPr>
          <w:rFonts w:eastAsia="Calibri" w:cs="Times New Roman"/>
        </w:rPr>
        <w:t>For the national system (all jurisdictions combined), of the total funds spe</w:t>
      </w:r>
      <w:r w:rsidR="00A8440A">
        <w:rPr>
          <w:rFonts w:eastAsia="Calibri" w:cs="Times New Roman"/>
        </w:rPr>
        <w:t>nt ($998 million)</w:t>
      </w:r>
      <w:r w:rsidR="001540BA">
        <w:rPr>
          <w:rFonts w:eastAsia="Calibri" w:cs="Times New Roman"/>
        </w:rPr>
        <w:t>,</w:t>
      </w:r>
      <w:r w:rsidR="00A8440A">
        <w:rPr>
          <w:rFonts w:eastAsia="Calibri" w:cs="Times New Roman"/>
        </w:rPr>
        <w:t xml:space="preserve"> around 57 per </w:t>
      </w:r>
      <w:r w:rsidR="005F4489" w:rsidRPr="008752DD">
        <w:rPr>
          <w:rFonts w:eastAsia="Calibri" w:cs="Times New Roman"/>
        </w:rPr>
        <w:t xml:space="preserve">cent ($574 million) came from external sources and 43 per cent ($424 million) </w:t>
      </w:r>
      <w:r w:rsidR="001540BA">
        <w:rPr>
          <w:rFonts w:eastAsia="Calibri" w:cs="Times New Roman"/>
        </w:rPr>
        <w:t xml:space="preserve">came </w:t>
      </w:r>
      <w:r w:rsidR="005F4489" w:rsidRPr="008752DD">
        <w:rPr>
          <w:rFonts w:eastAsia="Calibri" w:cs="Times New Roman"/>
        </w:rPr>
        <w:t>from budget appropriations.</w:t>
      </w:r>
    </w:p>
    <w:p w14:paraId="7D535CB8" w14:textId="27051814" w:rsidR="00375F57" w:rsidRDefault="00375F57" w:rsidP="00375F57">
      <w:r>
        <w:t xml:space="preserve">The </w:t>
      </w:r>
      <w:r w:rsidR="001540BA">
        <w:t>p</w:t>
      </w:r>
      <w:r>
        <w:t>anel acknowledges that there are differences in the services provided between the jurisdictions and that it is not sensible to expect the states and territories to recover the same amount as the Australian Government does through fees and charges. However, the Australian Government has clearly benefited from the review it conducted in 2015</w:t>
      </w:r>
      <w:r w:rsidR="00AD0C05">
        <w:t xml:space="preserve"> (</w:t>
      </w:r>
      <w:hyperlink w:anchor="DAWR_2015a" w:history="1">
        <w:r w:rsidR="00AD0C05" w:rsidRPr="00AD0C05">
          <w:rPr>
            <w:rStyle w:val="Hyperlink"/>
          </w:rPr>
          <w:t>DAWR 2015a</w:t>
        </w:r>
      </w:hyperlink>
      <w:r w:rsidR="00AD0C05">
        <w:t>)</w:t>
      </w:r>
      <w:r>
        <w:t xml:space="preserve"> and not only through the increased recovery of funds. The states and territories would similarly </w:t>
      </w:r>
      <w:r w:rsidR="00E5313A">
        <w:t>benefit from a thorough review.</w:t>
      </w:r>
    </w:p>
    <w:p w14:paraId="2C6A9C1E" w14:textId="4FA31A6F" w:rsidR="00375F57" w:rsidRDefault="00375F57" w:rsidP="00375F57">
      <w:r>
        <w:t>There would be significant advantages for the states and territories in reviewing their c</w:t>
      </w:r>
      <w:r w:rsidR="00B038C7">
        <w:t>ost</w:t>
      </w:r>
      <w:r w:rsidR="007A47B2">
        <w:t>-</w:t>
      </w:r>
      <w:r>
        <w:t xml:space="preserve">recovery arrangements. Importantly, determining the areas for improvement requires a comprehensive understanding of actual costs of delivering services, including identifying those benefiting from the service that may not previously have been identified, as well as the costs of staff and resources directly and indirectly involved. </w:t>
      </w:r>
      <w:r w:rsidR="003E6BF5" w:rsidRPr="003E6BF5">
        <w:t xml:space="preserve">While it is recognised that state and territory </w:t>
      </w:r>
      <w:r w:rsidR="00A355BD">
        <w:t>t</w:t>
      </w:r>
      <w:r w:rsidR="003E6BF5" w:rsidRPr="003E6BF5">
        <w:t>reasury departments will have differing whole-of-government frameworks</w:t>
      </w:r>
      <w:r w:rsidR="003E6BF5">
        <w:t>,</w:t>
      </w:r>
      <w:r w:rsidR="003E6BF5" w:rsidRPr="003E6BF5">
        <w:t xml:space="preserve"> </w:t>
      </w:r>
      <w:r w:rsidR="003E6BF5">
        <w:t>i</w:t>
      </w:r>
      <w:r>
        <w:t>ncreased consistency of approach</w:t>
      </w:r>
      <w:r w:rsidR="003E6BF5">
        <w:t xml:space="preserve"> for biosecurity</w:t>
      </w:r>
      <w:r>
        <w:t xml:space="preserve"> across jurisdictions would also be a benefit</w:t>
      </w:r>
      <w:r w:rsidR="00291480">
        <w:t>,</w:t>
      </w:r>
      <w:r w:rsidR="00291480" w:rsidRPr="00291480">
        <w:t xml:space="preserve"> given that governments interact with a largely similar client base.</w:t>
      </w:r>
      <w:r>
        <w:t xml:space="preserve"> </w:t>
      </w:r>
      <w:r w:rsidR="00AD0C05">
        <w:t xml:space="preserve">This </w:t>
      </w:r>
      <w:r w:rsidR="00A355BD">
        <w:t>r</w:t>
      </w:r>
      <w:r>
        <w:t>eview was not in a position to conduc</w:t>
      </w:r>
      <w:r w:rsidR="0043587A">
        <w:t>t a detailed review of the co</w:t>
      </w:r>
      <w:r w:rsidR="00A355BD">
        <w:t>st-</w:t>
      </w:r>
      <w:r>
        <w:t>recovery arrangements</w:t>
      </w:r>
      <w:r w:rsidR="00A355BD">
        <w:t xml:space="preserve"> for the states and territories</w:t>
      </w:r>
      <w:r>
        <w:t xml:space="preserve"> but supports the Australian Government’s suggestion that all states and territories review the delivery of their biosecurity services and cost</w:t>
      </w:r>
      <w:r w:rsidR="00A355BD">
        <w:t>-recovery arrangements</w:t>
      </w:r>
      <w:r>
        <w:t xml:space="preserve"> and that they seek guidance from the Australian Government on the process.</w:t>
      </w:r>
    </w:p>
    <w:p w14:paraId="2296980E" w14:textId="77777777" w:rsidR="00375F57" w:rsidRPr="00CE3CB8" w:rsidRDefault="00375F57" w:rsidP="009D281A">
      <w:pPr>
        <w:pStyle w:val="BoxHeading"/>
        <w:shd w:val="clear" w:color="auto" w:fill="D9D9D9" w:themeFill="background1" w:themeFillShade="D9"/>
        <w:rPr>
          <w:sz w:val="22"/>
        </w:rPr>
      </w:pPr>
      <w:bookmarkStart w:id="186" w:name="_Ref482710315"/>
      <w:r w:rsidRPr="00CE3CB8">
        <w:rPr>
          <w:sz w:val="22"/>
        </w:rPr>
        <w:t xml:space="preserve">Recommendation </w:t>
      </w:r>
      <w:r w:rsidR="00522BEA" w:rsidRPr="00CE3CB8">
        <w:rPr>
          <w:sz w:val="22"/>
        </w:rPr>
        <w:fldChar w:fldCharType="begin"/>
      </w:r>
      <w:r w:rsidR="00522BEA" w:rsidRPr="00CE3CB8">
        <w:rPr>
          <w:sz w:val="22"/>
        </w:rPr>
        <w:instrText xml:space="preserve"> SEQ Recommendation \* ARABIC </w:instrText>
      </w:r>
      <w:r w:rsidR="00522BEA" w:rsidRPr="00CE3CB8">
        <w:rPr>
          <w:sz w:val="22"/>
        </w:rPr>
        <w:fldChar w:fldCharType="separate"/>
      </w:r>
      <w:r w:rsidR="009F6923">
        <w:rPr>
          <w:noProof/>
          <w:sz w:val="22"/>
        </w:rPr>
        <w:t>32</w:t>
      </w:r>
      <w:r w:rsidR="00522BEA" w:rsidRPr="00CE3CB8">
        <w:rPr>
          <w:noProof/>
          <w:sz w:val="22"/>
        </w:rPr>
        <w:fldChar w:fldCharType="end"/>
      </w:r>
      <w:bookmarkEnd w:id="186"/>
    </w:p>
    <w:p w14:paraId="08F78639" w14:textId="3C912288" w:rsidR="00375F57" w:rsidRPr="00E91CC4" w:rsidRDefault="00375F57" w:rsidP="009D281A">
      <w:pPr>
        <w:pStyle w:val="BoxText"/>
        <w:shd w:val="clear" w:color="auto" w:fill="D9D9D9" w:themeFill="background1" w:themeFillShade="D9"/>
        <w:rPr>
          <w:sz w:val="22"/>
        </w:rPr>
      </w:pPr>
      <w:r w:rsidRPr="00CE3CB8">
        <w:rPr>
          <w:sz w:val="22"/>
        </w:rPr>
        <w:t xml:space="preserve">State and territory governments should </w:t>
      </w:r>
      <w:r w:rsidR="00291480" w:rsidRPr="00CE3CB8">
        <w:rPr>
          <w:sz w:val="22"/>
        </w:rPr>
        <w:t>agree a common biosecurity cost</w:t>
      </w:r>
      <w:r w:rsidR="00B038C7">
        <w:rPr>
          <w:sz w:val="22"/>
        </w:rPr>
        <w:t>-</w:t>
      </w:r>
      <w:r w:rsidR="00291480" w:rsidRPr="00CE3CB8">
        <w:rPr>
          <w:sz w:val="22"/>
        </w:rPr>
        <w:t xml:space="preserve">recovery framework and </w:t>
      </w:r>
      <w:r w:rsidRPr="00CE3CB8">
        <w:rPr>
          <w:sz w:val="22"/>
        </w:rPr>
        <w:t>review their biosecurity cost</w:t>
      </w:r>
      <w:r w:rsidR="00B038C7">
        <w:rPr>
          <w:sz w:val="22"/>
        </w:rPr>
        <w:t>-</w:t>
      </w:r>
      <w:r w:rsidRPr="00CE3CB8">
        <w:rPr>
          <w:sz w:val="22"/>
        </w:rPr>
        <w:t xml:space="preserve">recovery arrangements to ensure they are </w:t>
      </w:r>
      <w:r w:rsidR="00052764">
        <w:rPr>
          <w:sz w:val="22"/>
        </w:rPr>
        <w:t xml:space="preserve">nationally </w:t>
      </w:r>
      <w:r w:rsidRPr="00CE3CB8">
        <w:rPr>
          <w:sz w:val="22"/>
        </w:rPr>
        <w:t>consistent, appropriate and transparent.</w:t>
      </w:r>
    </w:p>
    <w:p w14:paraId="1AE4EAC3" w14:textId="5A970334" w:rsidR="00375F57" w:rsidRPr="009D281A" w:rsidRDefault="009D281A" w:rsidP="00290792">
      <w:pPr>
        <w:spacing w:after="0"/>
        <w:rPr>
          <w:rStyle w:val="Strong"/>
        </w:rPr>
      </w:pPr>
      <w:r w:rsidRPr="009D281A">
        <w:rPr>
          <w:rStyle w:val="Strong"/>
        </w:rPr>
        <w:t>Levy on containers (sea and air)</w:t>
      </w:r>
    </w:p>
    <w:p w14:paraId="31F818FE" w14:textId="2CFFA843" w:rsidR="009D281A" w:rsidRPr="009D281A" w:rsidRDefault="009D281A" w:rsidP="009D281A">
      <w:r w:rsidRPr="009D281A">
        <w:t>Much of the material of concern to the national biosecurity system, including of environmental concern, arrives via vessels and containers—either in the contents of the container or on the external surfaces of the container itself. More than one</w:t>
      </w:r>
      <w:r w:rsidRPr="009D281A">
        <w:noBreakHyphen/>
        <w:t xml:space="preserve">third of the pests and diseases included in the RRRA model have containers as a pathway. The </w:t>
      </w:r>
      <w:r w:rsidR="00D32B58">
        <w:lastRenderedPageBreak/>
        <w:t>p</w:t>
      </w:r>
      <w:r w:rsidRPr="009D281A">
        <w:t>an</w:t>
      </w:r>
      <w:r w:rsidR="009F7382">
        <w:t>el is of the view that a broad-</w:t>
      </w:r>
      <w:r w:rsidRPr="009D281A">
        <w:t>based levy on containers should be implemented to contribute towards a greater effort on environmental biosecurity and improved national monitoring and surveillance generally. The levy should be extended to non</w:t>
      </w:r>
      <w:r w:rsidRPr="009D281A">
        <w:noBreakHyphen/>
        <w:t>containerised imports as well.</w:t>
      </w:r>
    </w:p>
    <w:p w14:paraId="15E3A929" w14:textId="3EF4CC73" w:rsidR="009D281A" w:rsidRPr="009D281A" w:rsidRDefault="009D281A" w:rsidP="009D281A">
      <w:r w:rsidRPr="009D281A">
        <w:t>The benefits of implementing a levy on incoming containers is that it is directly related to a primary risk</w:t>
      </w:r>
      <w:r w:rsidR="00D32B58">
        <w:t>-</w:t>
      </w:r>
      <w:r w:rsidRPr="009D281A">
        <w:t xml:space="preserve">creating activity, revenue will </w:t>
      </w:r>
      <w:r w:rsidR="003E6BF5">
        <w:t>reflect changes in</w:t>
      </w:r>
      <w:r w:rsidRPr="009D281A">
        <w:t xml:space="preserve"> the volume of risk material</w:t>
      </w:r>
      <w:r w:rsidR="003E6BF5">
        <w:t xml:space="preserve"> over time</w:t>
      </w:r>
      <w:r w:rsidRPr="009D281A">
        <w:t>, and a collection mechanism has already been created.</w:t>
      </w:r>
    </w:p>
    <w:p w14:paraId="59DD380D" w14:textId="2624FB5F" w:rsidR="009D281A" w:rsidRPr="009D281A" w:rsidRDefault="009D281A" w:rsidP="009D281A">
      <w:r w:rsidRPr="009D281A">
        <w:t xml:space="preserve">The Australian Government Bureau of Infrastructure, Transport and Regional Economics (BITRE) forecasts </w:t>
      </w:r>
      <w:r w:rsidR="00D32B58">
        <w:t xml:space="preserve">the </w:t>
      </w:r>
      <w:r w:rsidRPr="009D281A">
        <w:t xml:space="preserve">total </w:t>
      </w:r>
      <w:r w:rsidR="00D32B58">
        <w:t xml:space="preserve">number of </w:t>
      </w:r>
      <w:r w:rsidRPr="009D281A">
        <w:t xml:space="preserve">incoming sea containers to increase from 3.6 million </w:t>
      </w:r>
      <w:r w:rsidR="00D32B58">
        <w:t>twenty-foot equivalent units (</w:t>
      </w:r>
      <w:r w:rsidRPr="009D281A">
        <w:t>TEUs</w:t>
      </w:r>
      <w:r w:rsidR="00D32B58">
        <w:t>)</w:t>
      </w:r>
      <w:r w:rsidRPr="009D281A">
        <w:t xml:space="preserve"> in 2012–13 to approximately 9.8 million TEUs</w:t>
      </w:r>
      <w:r w:rsidR="00A8440A">
        <w:t xml:space="preserve"> in 2032–33, growing at about 5 </w:t>
      </w:r>
      <w:r w:rsidRPr="009D281A">
        <w:t>per</w:t>
      </w:r>
      <w:r w:rsidR="00A8440A">
        <w:t> </w:t>
      </w:r>
      <w:r w:rsidRPr="009D281A">
        <w:t>cent per annum. In 2015–16 it is estimated that there were approximately 4.2</w:t>
      </w:r>
      <w:r w:rsidR="000E2249">
        <w:t> </w:t>
      </w:r>
      <w:r w:rsidRPr="009D281A">
        <w:t xml:space="preserve">million incoming TEUs. In addition, non-containerised imports through Australian ports </w:t>
      </w:r>
      <w:r w:rsidR="000E2249">
        <w:t>are forecast to be around 138.5 </w:t>
      </w:r>
      <w:r w:rsidRPr="009D281A">
        <w:t xml:space="preserve">million tonnes in 2032–33 </w:t>
      </w:r>
      <w:r w:rsidRPr="008205D9">
        <w:t>(</w:t>
      </w:r>
      <w:hyperlink w:anchor="BITRE_2014" w:history="1">
        <w:r w:rsidRPr="008205D9">
          <w:rPr>
            <w:rStyle w:val="Hyperlink"/>
          </w:rPr>
          <w:t>BITRE 2014</w:t>
        </w:r>
      </w:hyperlink>
      <w:r w:rsidRPr="008205D9">
        <w:t>).</w:t>
      </w:r>
    </w:p>
    <w:p w14:paraId="16BC205E" w14:textId="15CEBF18" w:rsidR="009D281A" w:rsidRPr="009D281A" w:rsidRDefault="00DE4990" w:rsidP="009D281A">
      <w:r w:rsidRPr="00DE4990">
        <w:t xml:space="preserve">Current statistics on air container numbers is not readily available. This information is not recorded by the Australian Government Department of Immigration and Border Protection in its Integrated Cargo System (ICS), and the </w:t>
      </w:r>
      <w:r w:rsidR="00091F7F">
        <w:t>Department of Agriculture and Water Resources</w:t>
      </w:r>
      <w:r w:rsidRPr="00DE4990">
        <w:t xml:space="preserve"> only captures data on air containers referred for inspection (a small subset of the total). The Australian Government should look to address this information gap. The last complete year of data is for 2008, where all incoming containers were inspected—this </w:t>
      </w:r>
      <w:r w:rsidR="00CF7AAE">
        <w:t>was</w:t>
      </w:r>
      <w:r w:rsidRPr="00DE4990">
        <w:t xml:space="preserve"> prior to the Australian Government’s move to risk-based approach for interventions at the border. A total of 389,882 air containers were recorded in this year.</w:t>
      </w:r>
    </w:p>
    <w:p w14:paraId="2197BA2F" w14:textId="4F11B635" w:rsidR="009D281A" w:rsidRPr="009D281A" w:rsidRDefault="00DE4990" w:rsidP="009D281A">
      <w:r w:rsidRPr="00DE4990">
        <w:t xml:space="preserve">The </w:t>
      </w:r>
      <w:r w:rsidR="00CF7AAE">
        <w:t>p</w:t>
      </w:r>
      <w:r w:rsidRPr="00DE4990">
        <w:t>anel considers that a $10 levy per</w:t>
      </w:r>
      <w:r w:rsidR="00740A76">
        <w:t xml:space="preserve"> incoming</w:t>
      </w:r>
      <w:r w:rsidRPr="00DE4990">
        <w:t xml:space="preserve"> TEU for sea containers and a $5 </w:t>
      </w:r>
      <w:r w:rsidR="00957D87">
        <w:t xml:space="preserve">levy </w:t>
      </w:r>
      <w:r w:rsidRPr="00DE4990">
        <w:t>per</w:t>
      </w:r>
      <w:r w:rsidR="00740A76">
        <w:t xml:space="preserve"> incoming</w:t>
      </w:r>
      <w:r w:rsidRPr="00DE4990">
        <w:t xml:space="preserve"> air container be implemented in the first instance. This would generate approxima</w:t>
      </w:r>
      <w:r w:rsidR="0031701E">
        <w:t>tely $44 </w:t>
      </w:r>
      <w:r w:rsidR="002A630F">
        <w:t>million per annum ($42 </w:t>
      </w:r>
      <w:r w:rsidRPr="00DE4990">
        <w:t>mil</w:t>
      </w:r>
      <w:r w:rsidR="002A630F">
        <w:t>lion from sea containers and $2 </w:t>
      </w:r>
      <w:r w:rsidRPr="00DE4990">
        <w:t xml:space="preserve">million from a conservative estimate of 400,000 air containers). The </w:t>
      </w:r>
      <w:r w:rsidR="00957D87">
        <w:t>p</w:t>
      </w:r>
      <w:r w:rsidRPr="00DE4990">
        <w:t>anel believes that, on equity grounds, the levy should be expanded to include n</w:t>
      </w:r>
      <w:r w:rsidR="005B60B5">
        <w:t>on-</w:t>
      </w:r>
      <w:r w:rsidRPr="00DE4990">
        <w:t xml:space="preserve">containerised incoming trade in the future, as </w:t>
      </w:r>
      <w:r w:rsidR="006C2CF1" w:rsidRPr="006C2CF1">
        <w:rPr>
          <w:rFonts w:eastAsia="Calibri" w:cs="Times New Roman"/>
          <w:lang w:eastAsia="ja-JP"/>
        </w:rPr>
        <w:t xml:space="preserve">the vessels themselves also create biosecurity risks. However, the </w:t>
      </w:r>
      <w:r w:rsidR="00696314">
        <w:rPr>
          <w:rFonts w:eastAsia="Calibri" w:cs="Times New Roman"/>
          <w:lang w:eastAsia="ja-JP"/>
        </w:rPr>
        <w:t>p</w:t>
      </w:r>
      <w:r w:rsidR="006C2CF1" w:rsidRPr="006C2CF1">
        <w:rPr>
          <w:rFonts w:eastAsia="Calibri" w:cs="Times New Roman"/>
          <w:lang w:eastAsia="ja-JP"/>
        </w:rPr>
        <w:t xml:space="preserve">anel notes the finding in the Cost Recovery Implementation Statement </w:t>
      </w:r>
      <w:r w:rsidR="008205D9">
        <w:rPr>
          <w:rFonts w:eastAsia="Calibri" w:cs="Times New Roman"/>
          <w:lang w:eastAsia="ja-JP"/>
        </w:rPr>
        <w:t xml:space="preserve">Biosecurity </w:t>
      </w:r>
      <w:r w:rsidR="006C2CF1" w:rsidRPr="006C2CF1">
        <w:rPr>
          <w:rFonts w:eastAsia="Calibri" w:cs="Times New Roman"/>
          <w:lang w:eastAsia="ja-JP"/>
        </w:rPr>
        <w:t>2015</w:t>
      </w:r>
      <w:r w:rsidR="008205D9">
        <w:rPr>
          <w:rFonts w:eastAsia="Calibri" w:cs="Times New Roman"/>
          <w:lang w:eastAsia="ja-JP"/>
        </w:rPr>
        <w:t xml:space="preserve">–16 </w:t>
      </w:r>
      <w:r w:rsidR="006C2CF1" w:rsidRPr="006C2CF1">
        <w:rPr>
          <w:rFonts w:eastAsia="Calibri" w:cs="Times New Roman"/>
          <w:lang w:eastAsia="ja-JP"/>
        </w:rPr>
        <w:t>that:</w:t>
      </w:r>
    </w:p>
    <w:p w14:paraId="54CE65AE" w14:textId="090FBED0" w:rsidR="009D281A" w:rsidRPr="009D281A" w:rsidRDefault="00696314" w:rsidP="00DE4990">
      <w:pPr>
        <w:pStyle w:val="Quote"/>
      </w:pPr>
      <w:r>
        <w:t>[T</w:t>
      </w:r>
      <w:r w:rsidRPr="006C2CF1">
        <w:rPr>
          <w:rFonts w:eastAsia="Calibri" w:cs="Times New Roman"/>
          <w:lang w:eastAsia="ja-JP"/>
        </w:rPr>
        <w:t>he Australian Government</w:t>
      </w:r>
      <w:r>
        <w:t xml:space="preserve">] </w:t>
      </w:r>
      <w:r w:rsidR="009D281A" w:rsidRPr="009D281A">
        <w:t>did examine other options to apply a levy to all types of imported cargo, however, there are no other cost effective mechanisms available at this time (</w:t>
      </w:r>
      <w:hyperlink w:anchor="DAWR_2015a" w:history="1">
        <w:r w:rsidR="00D457B1" w:rsidRPr="00D457B1">
          <w:rPr>
            <w:rStyle w:val="Hyperlink"/>
          </w:rPr>
          <w:t>DAWR 2015a</w:t>
        </w:r>
      </w:hyperlink>
      <w:r w:rsidR="009D281A" w:rsidRPr="009D281A">
        <w:t>)</w:t>
      </w:r>
    </w:p>
    <w:p w14:paraId="0D1F9E6E" w14:textId="264F94B0" w:rsidR="009D281A" w:rsidRPr="009D281A" w:rsidRDefault="00DE4990" w:rsidP="009D281A">
      <w:r w:rsidRPr="00DE4990">
        <w:lastRenderedPageBreak/>
        <w:t xml:space="preserve">The </w:t>
      </w:r>
      <w:r w:rsidR="00E409E1">
        <w:t>p</w:t>
      </w:r>
      <w:r w:rsidRPr="00DE4990">
        <w:t>anel acknowledges that the Au</w:t>
      </w:r>
      <w:r w:rsidR="0043587A">
        <w:t xml:space="preserve">stralian Government’s 2015 cost </w:t>
      </w:r>
      <w:r w:rsidRPr="00DE4990">
        <w:t>recovery review removed the previous charge on air and sea containers as part of the overall restructuring package. A charge of $30 per full container and $8 per partially filled container had applied. Additional fees applied if the contents of the container were assessed as being of potential biosecurity concern and needed inspection. The charge covered the cost of the department examining 100 percent of sea containers, but</w:t>
      </w:r>
      <w:r w:rsidR="00E409E1">
        <w:t>,</w:t>
      </w:r>
      <w:r w:rsidRPr="00DE4990">
        <w:t xml:space="preserve"> with the move towards risk-based</w:t>
      </w:r>
      <w:r w:rsidR="0075013C">
        <w:t xml:space="preserve"> inspections</w:t>
      </w:r>
      <w:r w:rsidR="00E91CC4">
        <w:t>,</w:t>
      </w:r>
      <w:r w:rsidRPr="00DE4990">
        <w:t xml:space="preserve"> it was decided to switch charging to another mechanism. Having considered the 2015 cost</w:t>
      </w:r>
      <w:r w:rsidR="0043587A">
        <w:t xml:space="preserve"> </w:t>
      </w:r>
      <w:r w:rsidRPr="00DE4990">
        <w:t xml:space="preserve">recovery review, the </w:t>
      </w:r>
      <w:r w:rsidR="00E409E1">
        <w:t>p</w:t>
      </w:r>
      <w:r w:rsidRPr="00DE4990">
        <w:t>anel believes that a levy would be justifiable provided it is smaller than the previous charges and is implemented for the purpose of improving environmental biosecurity and national monitoring and surveillance.</w:t>
      </w:r>
    </w:p>
    <w:p w14:paraId="7D316466" w14:textId="22F6581E" w:rsidR="009D281A" w:rsidRPr="009D281A" w:rsidRDefault="009D281A" w:rsidP="00290792">
      <w:pPr>
        <w:tabs>
          <w:tab w:val="left" w:pos="2970"/>
        </w:tabs>
        <w:spacing w:after="0"/>
        <w:rPr>
          <w:rStyle w:val="Strong"/>
        </w:rPr>
      </w:pPr>
      <w:r w:rsidRPr="009D281A">
        <w:rPr>
          <w:rStyle w:val="Strong"/>
        </w:rPr>
        <w:t>Full import declaration</w:t>
      </w:r>
    </w:p>
    <w:p w14:paraId="5AE509C7" w14:textId="1ABE00B4" w:rsidR="009D281A" w:rsidRDefault="009D281A" w:rsidP="009D281A">
      <w:pPr>
        <w:tabs>
          <w:tab w:val="left" w:pos="2970"/>
        </w:tabs>
      </w:pPr>
      <w:r>
        <w:t xml:space="preserve">If a container levy (sea and air) is considered unacceptable, given </w:t>
      </w:r>
      <w:r w:rsidR="00624870">
        <w:t>a levy</w:t>
      </w:r>
      <w:r w:rsidR="0043587A">
        <w:t xml:space="preserve"> was removed in the 2015 cost </w:t>
      </w:r>
      <w:r>
        <w:t>recovery review, an alternative would be to supplement the charge on Full Import Declarations (FIDs) with a levy to collect a similar amount to the proposed container charge.</w:t>
      </w:r>
    </w:p>
    <w:p w14:paraId="7B0A01C6" w14:textId="10BAAB88" w:rsidR="00411935" w:rsidRDefault="009D281A" w:rsidP="009D281A">
      <w:pPr>
        <w:tabs>
          <w:tab w:val="left" w:pos="2970"/>
        </w:tabs>
        <w:rPr>
          <w:lang w:eastAsia="ja-JP"/>
        </w:rPr>
      </w:pPr>
      <w:r>
        <w:t xml:space="preserve">Information provided by the Australian Government Department of Immigration and Border Protection </w:t>
      </w:r>
      <w:r w:rsidR="00BD62AD">
        <w:t xml:space="preserve">was </w:t>
      </w:r>
      <w:r>
        <w:t>that in 2015–16 there were around 4.1</w:t>
      </w:r>
      <w:r w:rsidR="000E2249">
        <w:t> </w:t>
      </w:r>
      <w:r>
        <w:t>million FIDs. Therefore</w:t>
      </w:r>
      <w:r w:rsidR="00BD62AD">
        <w:t>,</w:t>
      </w:r>
      <w:r>
        <w:t xml:space="preserve"> the levy required would need to be in the order of $10 per FID.</w:t>
      </w:r>
    </w:p>
    <w:p w14:paraId="3B4A0376" w14:textId="3E64FD95" w:rsidR="009D281A" w:rsidRPr="009D281A" w:rsidRDefault="009D281A" w:rsidP="00BC544F">
      <w:pPr>
        <w:keepNext/>
        <w:tabs>
          <w:tab w:val="left" w:pos="2970"/>
        </w:tabs>
        <w:spacing w:after="0"/>
        <w:rPr>
          <w:rStyle w:val="Strong"/>
        </w:rPr>
      </w:pPr>
      <w:r w:rsidRPr="009D281A">
        <w:rPr>
          <w:rStyle w:val="Strong"/>
        </w:rPr>
        <w:t>Insurance model</w:t>
      </w:r>
    </w:p>
    <w:p w14:paraId="0EFBBE1A" w14:textId="5B674842" w:rsidR="009D281A" w:rsidRPr="009D281A" w:rsidRDefault="009D281A" w:rsidP="009D281A">
      <w:pPr>
        <w:tabs>
          <w:tab w:val="left" w:pos="2970"/>
        </w:tabs>
        <w:rPr>
          <w:lang w:eastAsia="ja-JP"/>
        </w:rPr>
      </w:pPr>
      <w:r w:rsidRPr="009D281A">
        <w:rPr>
          <w:lang w:eastAsia="ja-JP"/>
        </w:rPr>
        <w:t xml:space="preserve">The </w:t>
      </w:r>
      <w:r w:rsidR="00BD62AD">
        <w:rPr>
          <w:lang w:eastAsia="ja-JP"/>
        </w:rPr>
        <w:t>p</w:t>
      </w:r>
      <w:r w:rsidRPr="009D281A">
        <w:rPr>
          <w:lang w:eastAsia="ja-JP"/>
        </w:rPr>
        <w:t>anel has also considered whether an insurance approach may be possible for elements of the national biosecurity system. For example, if insurance for the cost of responding to and remediation from a major biosecurity incursion were available</w:t>
      </w:r>
      <w:r w:rsidR="00BD62AD">
        <w:rPr>
          <w:lang w:eastAsia="ja-JP"/>
        </w:rPr>
        <w:t>,</w:t>
      </w:r>
      <w:r w:rsidRPr="009D281A">
        <w:rPr>
          <w:lang w:eastAsia="ja-JP"/>
        </w:rPr>
        <w:t xml:space="preserve"> would it be useful to the states and territori</w:t>
      </w:r>
      <w:r w:rsidR="0005500E">
        <w:rPr>
          <w:lang w:eastAsia="ja-JP"/>
        </w:rPr>
        <w:t>es or industry?</w:t>
      </w:r>
    </w:p>
    <w:p w14:paraId="6AB89853" w14:textId="77777777" w:rsidR="009D281A" w:rsidRPr="009D281A" w:rsidRDefault="009D281A" w:rsidP="009D281A">
      <w:pPr>
        <w:tabs>
          <w:tab w:val="left" w:pos="2970"/>
        </w:tabs>
        <w:rPr>
          <w:lang w:eastAsia="ja-JP"/>
        </w:rPr>
      </w:pPr>
      <w:r w:rsidRPr="009D281A">
        <w:rPr>
          <w:lang w:eastAsia="ja-JP"/>
        </w:rPr>
        <w:t>While commercial insurance does offer some products that may be of limited use (for example, business disruption insurance), there is nothing at the moment for states and territories or peak industry bodies to use to insure against the large costs of responding to a major incursion.</w:t>
      </w:r>
    </w:p>
    <w:p w14:paraId="46B8A0C9" w14:textId="1E10E3F8" w:rsidR="009D281A" w:rsidRPr="009D281A" w:rsidRDefault="009D281A" w:rsidP="009D281A">
      <w:pPr>
        <w:tabs>
          <w:tab w:val="left" w:pos="2970"/>
        </w:tabs>
        <w:rPr>
          <w:lang w:eastAsia="ja-JP"/>
        </w:rPr>
      </w:pPr>
      <w:r w:rsidRPr="009D281A">
        <w:rPr>
          <w:lang w:eastAsia="ja-JP"/>
        </w:rPr>
        <w:t>The inability to obtain commercial insurance is not unique to biosecurity. It arose in the wake of the 9/11 attacks</w:t>
      </w:r>
      <w:r w:rsidR="00BD62AD">
        <w:rPr>
          <w:lang w:eastAsia="ja-JP"/>
        </w:rPr>
        <w:t>,</w:t>
      </w:r>
      <w:r w:rsidRPr="009D281A">
        <w:rPr>
          <w:lang w:eastAsia="ja-JP"/>
        </w:rPr>
        <w:t xml:space="preserve"> when commercial providers withdrew from providing coverage for commercial losses arising from terrorist incidents. The Australian Government responded with the </w:t>
      </w:r>
      <w:r w:rsidRPr="009D281A">
        <w:rPr>
          <w:i/>
          <w:lang w:eastAsia="ja-JP"/>
        </w:rPr>
        <w:t>Terrorist Insurance Act 2003</w:t>
      </w:r>
      <w:r w:rsidRPr="009D281A">
        <w:rPr>
          <w:lang w:eastAsia="ja-JP"/>
        </w:rPr>
        <w:t xml:space="preserve"> (Cwlth) and established the Australian Reinsurance Pool Corporation to fill the void. The Productivity Commission has also made a recommendation in relation to funding for </w:t>
      </w:r>
      <w:r w:rsidR="00BD62AD">
        <w:rPr>
          <w:lang w:eastAsia="ja-JP"/>
        </w:rPr>
        <w:t>natural disaster recovery costs—</w:t>
      </w:r>
      <w:r w:rsidRPr="009D281A">
        <w:rPr>
          <w:lang w:eastAsia="ja-JP"/>
        </w:rPr>
        <w:lastRenderedPageBreak/>
        <w:t>namely</w:t>
      </w:r>
      <w:r w:rsidR="00BD62AD">
        <w:rPr>
          <w:lang w:eastAsia="ja-JP"/>
        </w:rPr>
        <w:t>,</w:t>
      </w:r>
      <w:r w:rsidRPr="009D281A">
        <w:rPr>
          <w:lang w:eastAsia="ja-JP"/>
        </w:rPr>
        <w:t xml:space="preserve"> that the Australian Government provide an option for state and territory governments to purchase top-up fiscal support at an actuarially fair price </w:t>
      </w:r>
      <w:r w:rsidRPr="00D27D3A">
        <w:rPr>
          <w:lang w:eastAsia="ja-JP"/>
        </w:rPr>
        <w:t>(</w:t>
      </w:r>
      <w:hyperlink w:anchor="PC_2014" w:history="1">
        <w:r w:rsidRPr="00D27D3A">
          <w:rPr>
            <w:rStyle w:val="Hyperlink"/>
            <w:lang w:eastAsia="ja-JP"/>
          </w:rPr>
          <w:t>PC 201</w:t>
        </w:r>
        <w:r w:rsidR="00D27D3A" w:rsidRPr="00D27D3A">
          <w:rPr>
            <w:rStyle w:val="Hyperlink"/>
            <w:lang w:eastAsia="ja-JP"/>
          </w:rPr>
          <w:t>4</w:t>
        </w:r>
      </w:hyperlink>
      <w:r w:rsidRPr="00D27D3A">
        <w:rPr>
          <w:lang w:eastAsia="ja-JP"/>
        </w:rPr>
        <w:t>)</w:t>
      </w:r>
      <w:r w:rsidRPr="009D281A">
        <w:rPr>
          <w:lang w:eastAsia="ja-JP"/>
        </w:rPr>
        <w:t>. In both examples the Australian Government is, or would be, the operator of the insurance model, reflecting the lack of commercial providers.</w:t>
      </w:r>
    </w:p>
    <w:p w14:paraId="33FD29CB" w14:textId="359BC63A" w:rsidR="009D281A" w:rsidRPr="009D281A" w:rsidRDefault="001401EE" w:rsidP="009D281A">
      <w:pPr>
        <w:tabs>
          <w:tab w:val="left" w:pos="2970"/>
        </w:tabs>
        <w:rPr>
          <w:lang w:eastAsia="ja-JP"/>
        </w:rPr>
      </w:pPr>
      <w:r w:rsidRPr="001401EE">
        <w:rPr>
          <w:lang w:eastAsia="ja-JP"/>
        </w:rPr>
        <w:t xml:space="preserve">The </w:t>
      </w:r>
      <w:r w:rsidR="000B258B">
        <w:rPr>
          <w:lang w:eastAsia="ja-JP"/>
        </w:rPr>
        <w:t>p</w:t>
      </w:r>
      <w:r w:rsidRPr="001401EE">
        <w:rPr>
          <w:lang w:eastAsia="ja-JP"/>
        </w:rPr>
        <w:t xml:space="preserve">anel considers </w:t>
      </w:r>
      <w:r w:rsidR="000B258B">
        <w:rPr>
          <w:lang w:eastAsia="ja-JP"/>
        </w:rPr>
        <w:t xml:space="preserve">that </w:t>
      </w:r>
      <w:r w:rsidRPr="001401EE">
        <w:rPr>
          <w:lang w:eastAsia="ja-JP"/>
        </w:rPr>
        <w:t xml:space="preserve">the same would have to happen if an insurance type approach </w:t>
      </w:r>
      <w:r w:rsidR="000B258B">
        <w:rPr>
          <w:lang w:eastAsia="ja-JP"/>
        </w:rPr>
        <w:t>were</w:t>
      </w:r>
      <w:r w:rsidRPr="001401EE">
        <w:rPr>
          <w:lang w:eastAsia="ja-JP"/>
        </w:rPr>
        <w:t xml:space="preserve"> to be developed for elements of the national biosecurity system. The Australian Government would have to establish the insurance architecture and run it for some time until enough information was available to determine whether it would be a commercially appealing activity for the private sector to assume. An insurance model may be of most value to smaller jurisdictions and industries </w:t>
      </w:r>
      <w:r w:rsidR="000B258B">
        <w:rPr>
          <w:lang w:eastAsia="ja-JP"/>
        </w:rPr>
        <w:t>that</w:t>
      </w:r>
      <w:r w:rsidRPr="001401EE">
        <w:rPr>
          <w:lang w:eastAsia="ja-JP"/>
        </w:rPr>
        <w:t xml:space="preserve"> have </w:t>
      </w:r>
      <w:r w:rsidR="000B258B">
        <w:rPr>
          <w:lang w:eastAsia="ja-JP"/>
        </w:rPr>
        <w:t>fewer</w:t>
      </w:r>
      <w:r w:rsidRPr="001401EE">
        <w:rPr>
          <w:lang w:eastAsia="ja-JP"/>
        </w:rPr>
        <w:t xml:space="preserve"> resources and </w:t>
      </w:r>
      <w:r w:rsidR="000B258B">
        <w:rPr>
          <w:lang w:eastAsia="ja-JP"/>
        </w:rPr>
        <w:t xml:space="preserve">less </w:t>
      </w:r>
      <w:r w:rsidRPr="001401EE">
        <w:rPr>
          <w:lang w:eastAsia="ja-JP"/>
        </w:rPr>
        <w:t>budget flexibility to cope with potentially large costs involved in a major biosecurity incursion.</w:t>
      </w:r>
    </w:p>
    <w:p w14:paraId="4361068F" w14:textId="72D3C42A" w:rsidR="009D281A" w:rsidRDefault="009D281A" w:rsidP="009D281A">
      <w:pPr>
        <w:tabs>
          <w:tab w:val="left" w:pos="2970"/>
        </w:tabs>
        <w:rPr>
          <w:lang w:eastAsia="ja-JP"/>
        </w:rPr>
      </w:pPr>
      <w:r w:rsidRPr="009D281A">
        <w:rPr>
          <w:lang w:eastAsia="ja-JP"/>
        </w:rPr>
        <w:t xml:space="preserve">At this stage, however, the </w:t>
      </w:r>
      <w:r w:rsidR="000B258B">
        <w:rPr>
          <w:lang w:eastAsia="ja-JP"/>
        </w:rPr>
        <w:t>p</w:t>
      </w:r>
      <w:r w:rsidRPr="009D281A">
        <w:rPr>
          <w:lang w:eastAsia="ja-JP"/>
        </w:rPr>
        <w:t>anel does not consider such a proposal as sufficiently high priority to warrant pursuing given the other work that needs to be done and the complexity in establishing such a model.</w:t>
      </w:r>
    </w:p>
    <w:p w14:paraId="7C457616" w14:textId="6438CE67" w:rsidR="009D281A" w:rsidRPr="009D281A" w:rsidRDefault="009D281A" w:rsidP="00290792">
      <w:pPr>
        <w:tabs>
          <w:tab w:val="left" w:pos="2970"/>
        </w:tabs>
        <w:spacing w:after="0"/>
        <w:rPr>
          <w:rStyle w:val="Strong"/>
        </w:rPr>
      </w:pPr>
      <w:r w:rsidRPr="009D281A">
        <w:rPr>
          <w:rStyle w:val="Strong"/>
        </w:rPr>
        <w:t>Passenger Movement Charge</w:t>
      </w:r>
    </w:p>
    <w:p w14:paraId="13CC4007" w14:textId="08B4B535" w:rsidR="009D281A" w:rsidRDefault="009D281A" w:rsidP="009D281A">
      <w:pPr>
        <w:tabs>
          <w:tab w:val="left" w:pos="2970"/>
        </w:tabs>
        <w:rPr>
          <w:lang w:eastAsia="ja-JP"/>
        </w:rPr>
      </w:pPr>
      <w:r>
        <w:rPr>
          <w:lang w:eastAsia="ja-JP"/>
        </w:rPr>
        <w:t xml:space="preserve">The </w:t>
      </w:r>
      <w:r w:rsidR="000B258B">
        <w:rPr>
          <w:lang w:eastAsia="ja-JP"/>
        </w:rPr>
        <w:t>p</w:t>
      </w:r>
      <w:r>
        <w:rPr>
          <w:lang w:eastAsia="ja-JP"/>
        </w:rPr>
        <w:t>anel is of the view that inbound passengers are a significant source of biosecurity risk. Many are also tourists who come to experience Australia’s unique natural environment and are therefore beneficiaries of our national biosecurity system. If the principles contained in the IGAB, as well principles espoused in government charging guidelines, are applied then incoming passengers should contribute to the cost of biosecurity services. Using the Passenger Movement Charge (PMC) to collect a contribution towards the national system would be the most effective and efficient means of doing so.</w:t>
      </w:r>
    </w:p>
    <w:p w14:paraId="0FFFE476" w14:textId="4CFE16FD" w:rsidR="009D281A" w:rsidRDefault="009D281A" w:rsidP="009D281A">
      <w:pPr>
        <w:tabs>
          <w:tab w:val="left" w:pos="2970"/>
        </w:tabs>
        <w:rPr>
          <w:lang w:eastAsia="ja-JP"/>
        </w:rPr>
      </w:pPr>
      <w:r>
        <w:rPr>
          <w:lang w:eastAsia="ja-JP"/>
        </w:rPr>
        <w:t>While it is true that biosecurity activities were used to justify some past increases (part of the $2 increase in 1995 and the $8 increase in 2001 (</w:t>
      </w:r>
      <w:r w:rsidR="001401EE">
        <w:rPr>
          <w:lang w:eastAsia="ja-JP"/>
        </w:rPr>
        <w:fldChar w:fldCharType="begin"/>
      </w:r>
      <w:r w:rsidR="001401EE">
        <w:rPr>
          <w:lang w:eastAsia="ja-JP"/>
        </w:rPr>
        <w:instrText xml:space="preserve"> REF _Ref481743646 \h </w:instrText>
      </w:r>
      <w:r w:rsidR="001401EE">
        <w:rPr>
          <w:lang w:eastAsia="ja-JP"/>
        </w:rPr>
      </w:r>
      <w:r w:rsidR="001401EE">
        <w:rPr>
          <w:lang w:eastAsia="ja-JP"/>
        </w:rPr>
        <w:fldChar w:fldCharType="separate"/>
      </w:r>
      <w:r w:rsidR="009F6923">
        <w:t xml:space="preserve">Table </w:t>
      </w:r>
      <w:r w:rsidR="009F6923">
        <w:rPr>
          <w:noProof/>
        </w:rPr>
        <w:t>11</w:t>
      </w:r>
      <w:r w:rsidR="001401EE">
        <w:rPr>
          <w:lang w:eastAsia="ja-JP"/>
        </w:rPr>
        <w:fldChar w:fldCharType="end"/>
      </w:r>
      <w:r>
        <w:rPr>
          <w:lang w:eastAsia="ja-JP"/>
        </w:rPr>
        <w:t>), the fact is that the PMC is now considered a general tax and funds are not hypothecate</w:t>
      </w:r>
      <w:r w:rsidR="001401EE">
        <w:rPr>
          <w:lang w:eastAsia="ja-JP"/>
        </w:rPr>
        <w:t>d</w:t>
      </w:r>
      <w:r>
        <w:rPr>
          <w:lang w:eastAsia="ja-JP"/>
        </w:rPr>
        <w:t xml:space="preserve"> to</w:t>
      </w:r>
      <w:r w:rsidR="001401EE">
        <w:rPr>
          <w:lang w:eastAsia="ja-JP"/>
        </w:rPr>
        <w:t xml:space="preserve"> the</w:t>
      </w:r>
      <w:r>
        <w:rPr>
          <w:lang w:eastAsia="ja-JP"/>
        </w:rPr>
        <w:t xml:space="preserve"> Australian Government </w:t>
      </w:r>
      <w:r w:rsidR="004E4A4E">
        <w:rPr>
          <w:lang w:eastAsia="ja-JP"/>
        </w:rPr>
        <w:t>agriculture d</w:t>
      </w:r>
      <w:r w:rsidR="00070412">
        <w:rPr>
          <w:lang w:eastAsia="ja-JP"/>
        </w:rPr>
        <w:t xml:space="preserve">epartment </w:t>
      </w:r>
      <w:r>
        <w:rPr>
          <w:lang w:eastAsia="ja-JP"/>
        </w:rPr>
        <w:t>for its biosecurity functions.</w:t>
      </w:r>
    </w:p>
    <w:p w14:paraId="5C6D1337" w14:textId="6B14341F" w:rsidR="00DC580B" w:rsidRPr="00F4476B" w:rsidRDefault="00DC580B" w:rsidP="00DC580B">
      <w:pPr>
        <w:pStyle w:val="Caption"/>
        <w:rPr>
          <w:szCs w:val="22"/>
          <w:lang w:eastAsia="ja-JP"/>
        </w:rPr>
      </w:pPr>
      <w:bookmarkStart w:id="187" w:name="_Ref481743646"/>
      <w:bookmarkStart w:id="188" w:name="_Toc468176730"/>
      <w:r>
        <w:t xml:space="preserve">Table </w:t>
      </w:r>
      <w:fldSimple w:instr=" SEQ Table \* ARABIC ">
        <w:r w:rsidR="009F6923">
          <w:rPr>
            <w:noProof/>
          </w:rPr>
          <w:t>11</w:t>
        </w:r>
      </w:fldSimple>
      <w:bookmarkEnd w:id="187"/>
      <w:r w:rsidRPr="00F4476B">
        <w:rPr>
          <w:szCs w:val="22"/>
        </w:rPr>
        <w:t xml:space="preserve"> Passenger Movement Charge from 1995 to 2017</w:t>
      </w:r>
      <w:bookmarkEnd w:id="188"/>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6946"/>
      </w:tblGrid>
      <w:tr w:rsidR="00DC580B" w:rsidRPr="00A668B2" w14:paraId="450B0224" w14:textId="77777777" w:rsidTr="009C4FA8">
        <w:trPr>
          <w:tblHeader/>
        </w:trPr>
        <w:tc>
          <w:tcPr>
            <w:tcW w:w="1985" w:type="dxa"/>
          </w:tcPr>
          <w:p w14:paraId="5F870F01" w14:textId="77777777" w:rsidR="00DC580B" w:rsidRPr="00A668B2" w:rsidRDefault="00DC580B" w:rsidP="008860D5">
            <w:pPr>
              <w:pStyle w:val="TableHeading"/>
              <w:rPr>
                <w:lang w:eastAsia="ja-JP"/>
              </w:rPr>
            </w:pPr>
            <w:r w:rsidRPr="00A668B2">
              <w:rPr>
                <w:lang w:eastAsia="ja-JP"/>
              </w:rPr>
              <w:t>Year</w:t>
            </w:r>
          </w:p>
        </w:tc>
        <w:tc>
          <w:tcPr>
            <w:tcW w:w="6946" w:type="dxa"/>
          </w:tcPr>
          <w:p w14:paraId="5B577406" w14:textId="77777777" w:rsidR="00DC580B" w:rsidRPr="00A668B2" w:rsidRDefault="00DC580B" w:rsidP="008860D5">
            <w:pPr>
              <w:pStyle w:val="TableHeading"/>
              <w:rPr>
                <w:lang w:eastAsia="ja-JP"/>
              </w:rPr>
            </w:pPr>
            <w:r w:rsidRPr="00A668B2">
              <w:rPr>
                <w:lang w:eastAsia="ja-JP"/>
              </w:rPr>
              <w:t>Charge</w:t>
            </w:r>
          </w:p>
        </w:tc>
      </w:tr>
      <w:tr w:rsidR="00DC580B" w:rsidRPr="00A668B2" w14:paraId="0B7C8937" w14:textId="77777777" w:rsidTr="009C4FA8">
        <w:tc>
          <w:tcPr>
            <w:tcW w:w="1985" w:type="dxa"/>
          </w:tcPr>
          <w:p w14:paraId="525DF180" w14:textId="77777777" w:rsidR="00DC580B" w:rsidRPr="00A668B2" w:rsidRDefault="00DC580B" w:rsidP="008860D5">
            <w:pPr>
              <w:pStyle w:val="TableText"/>
              <w:rPr>
                <w:lang w:eastAsia="ja-JP"/>
              </w:rPr>
            </w:pPr>
            <w:r w:rsidRPr="00A668B2">
              <w:rPr>
                <w:lang w:eastAsia="ja-JP"/>
              </w:rPr>
              <w:t>Before 1995</w:t>
            </w:r>
          </w:p>
        </w:tc>
        <w:tc>
          <w:tcPr>
            <w:tcW w:w="6946" w:type="dxa"/>
          </w:tcPr>
          <w:p w14:paraId="79068DD8" w14:textId="77777777" w:rsidR="00DC580B" w:rsidRPr="00A668B2" w:rsidRDefault="00DC580B" w:rsidP="008860D5">
            <w:pPr>
              <w:pStyle w:val="TableText"/>
              <w:rPr>
                <w:lang w:eastAsia="ja-JP"/>
              </w:rPr>
            </w:pPr>
            <w:r w:rsidRPr="00A668B2">
              <w:rPr>
                <w:lang w:eastAsia="ja-JP"/>
              </w:rPr>
              <w:t>Departure Tax $25</w:t>
            </w:r>
          </w:p>
        </w:tc>
      </w:tr>
      <w:tr w:rsidR="00DC580B" w:rsidRPr="00A668B2" w14:paraId="58E2EE9B" w14:textId="77777777" w:rsidTr="009C4FA8">
        <w:tc>
          <w:tcPr>
            <w:tcW w:w="1985" w:type="dxa"/>
          </w:tcPr>
          <w:p w14:paraId="43A8AC44" w14:textId="77777777" w:rsidR="00DC580B" w:rsidRPr="00A668B2" w:rsidRDefault="00DC580B" w:rsidP="008860D5">
            <w:pPr>
              <w:pStyle w:val="TableText"/>
              <w:rPr>
                <w:lang w:eastAsia="ja-JP"/>
              </w:rPr>
            </w:pPr>
            <w:r w:rsidRPr="00A668B2">
              <w:rPr>
                <w:lang w:eastAsia="ja-JP"/>
              </w:rPr>
              <w:t>1995</w:t>
            </w:r>
          </w:p>
        </w:tc>
        <w:tc>
          <w:tcPr>
            <w:tcW w:w="6946" w:type="dxa"/>
          </w:tcPr>
          <w:p w14:paraId="38E589C4" w14:textId="77777777" w:rsidR="00DC580B" w:rsidRPr="00A668B2" w:rsidRDefault="00DC580B" w:rsidP="008860D5">
            <w:pPr>
              <w:pStyle w:val="TableText"/>
              <w:rPr>
                <w:lang w:eastAsia="ja-JP"/>
              </w:rPr>
            </w:pPr>
            <w:r w:rsidRPr="00A668B2">
              <w:rPr>
                <w:lang w:eastAsia="ja-JP"/>
              </w:rPr>
              <w:t>$27 (Offset costs of border agencies)</w:t>
            </w:r>
          </w:p>
        </w:tc>
      </w:tr>
      <w:tr w:rsidR="00DC580B" w:rsidRPr="00A668B2" w14:paraId="28BD400C" w14:textId="77777777" w:rsidTr="009C4FA8">
        <w:tc>
          <w:tcPr>
            <w:tcW w:w="1985" w:type="dxa"/>
          </w:tcPr>
          <w:p w14:paraId="14E89850" w14:textId="77777777" w:rsidR="00DC580B" w:rsidRPr="00A668B2" w:rsidRDefault="00DC580B" w:rsidP="008860D5">
            <w:pPr>
              <w:pStyle w:val="TableText"/>
              <w:rPr>
                <w:lang w:eastAsia="ja-JP"/>
              </w:rPr>
            </w:pPr>
            <w:r w:rsidRPr="00A668B2">
              <w:rPr>
                <w:lang w:eastAsia="ja-JP"/>
              </w:rPr>
              <w:t>1999</w:t>
            </w:r>
          </w:p>
        </w:tc>
        <w:tc>
          <w:tcPr>
            <w:tcW w:w="6946" w:type="dxa"/>
          </w:tcPr>
          <w:p w14:paraId="3A27ED09" w14:textId="77777777" w:rsidR="00DC580B" w:rsidRPr="00A668B2" w:rsidRDefault="00DC580B" w:rsidP="008860D5">
            <w:pPr>
              <w:pStyle w:val="TableText"/>
              <w:rPr>
                <w:lang w:eastAsia="ja-JP"/>
              </w:rPr>
            </w:pPr>
            <w:r w:rsidRPr="00A668B2">
              <w:rPr>
                <w:lang w:eastAsia="ja-JP"/>
              </w:rPr>
              <w:t>$30 (Sydney 2000 Olympics levy)</w:t>
            </w:r>
          </w:p>
        </w:tc>
      </w:tr>
      <w:tr w:rsidR="00DC580B" w:rsidRPr="00A668B2" w14:paraId="7D6B2780" w14:textId="77777777" w:rsidTr="009C4FA8">
        <w:tc>
          <w:tcPr>
            <w:tcW w:w="1985" w:type="dxa"/>
          </w:tcPr>
          <w:p w14:paraId="7F4ED4A9" w14:textId="77777777" w:rsidR="00DC580B" w:rsidRPr="00A668B2" w:rsidRDefault="00DC580B" w:rsidP="008860D5">
            <w:pPr>
              <w:pStyle w:val="TableText"/>
              <w:rPr>
                <w:lang w:eastAsia="ja-JP"/>
              </w:rPr>
            </w:pPr>
            <w:r w:rsidRPr="00A668B2">
              <w:rPr>
                <w:lang w:eastAsia="ja-JP"/>
              </w:rPr>
              <w:t>2001</w:t>
            </w:r>
          </w:p>
        </w:tc>
        <w:tc>
          <w:tcPr>
            <w:tcW w:w="6946" w:type="dxa"/>
          </w:tcPr>
          <w:p w14:paraId="0E416277" w14:textId="77777777" w:rsidR="00DC580B" w:rsidRPr="00A668B2" w:rsidRDefault="00DC580B" w:rsidP="008860D5">
            <w:pPr>
              <w:pStyle w:val="TableText"/>
              <w:rPr>
                <w:lang w:eastAsia="ja-JP"/>
              </w:rPr>
            </w:pPr>
            <w:r w:rsidRPr="00A668B2">
              <w:rPr>
                <w:lang w:eastAsia="ja-JP"/>
              </w:rPr>
              <w:t>$38 (Foot-and-mouth disease levy)</w:t>
            </w:r>
          </w:p>
        </w:tc>
      </w:tr>
      <w:tr w:rsidR="00DC580B" w:rsidRPr="00A668B2" w14:paraId="66AB1DDA" w14:textId="77777777" w:rsidTr="009C4FA8">
        <w:tc>
          <w:tcPr>
            <w:tcW w:w="1985" w:type="dxa"/>
          </w:tcPr>
          <w:p w14:paraId="12D74327" w14:textId="77777777" w:rsidR="00DC580B" w:rsidRPr="00A668B2" w:rsidRDefault="00DC580B" w:rsidP="008860D5">
            <w:pPr>
              <w:pStyle w:val="TableText"/>
              <w:rPr>
                <w:lang w:eastAsia="ja-JP"/>
              </w:rPr>
            </w:pPr>
            <w:r w:rsidRPr="00A668B2">
              <w:rPr>
                <w:lang w:eastAsia="ja-JP"/>
              </w:rPr>
              <w:t>2008</w:t>
            </w:r>
          </w:p>
        </w:tc>
        <w:tc>
          <w:tcPr>
            <w:tcW w:w="6946" w:type="dxa"/>
          </w:tcPr>
          <w:p w14:paraId="6737E723" w14:textId="77777777" w:rsidR="00DC580B" w:rsidRPr="00A668B2" w:rsidRDefault="00DC580B" w:rsidP="008860D5">
            <w:pPr>
              <w:pStyle w:val="TableText"/>
              <w:rPr>
                <w:lang w:eastAsia="ja-JP"/>
              </w:rPr>
            </w:pPr>
            <w:r w:rsidRPr="00A668B2">
              <w:rPr>
                <w:lang w:eastAsia="ja-JP"/>
              </w:rPr>
              <w:t xml:space="preserve">$47 (National aviation security measures) </w:t>
            </w:r>
          </w:p>
        </w:tc>
      </w:tr>
      <w:tr w:rsidR="00DC580B" w:rsidRPr="00A668B2" w14:paraId="0DF7348C" w14:textId="77777777" w:rsidTr="009C4FA8">
        <w:tc>
          <w:tcPr>
            <w:tcW w:w="1985" w:type="dxa"/>
          </w:tcPr>
          <w:p w14:paraId="4DA522DD" w14:textId="77777777" w:rsidR="00DC580B" w:rsidRPr="00A668B2" w:rsidRDefault="00DC580B" w:rsidP="008860D5">
            <w:pPr>
              <w:pStyle w:val="TableText"/>
              <w:rPr>
                <w:lang w:eastAsia="ja-JP"/>
              </w:rPr>
            </w:pPr>
            <w:r w:rsidRPr="00A668B2">
              <w:rPr>
                <w:lang w:eastAsia="ja-JP"/>
              </w:rPr>
              <w:t>2012</w:t>
            </w:r>
          </w:p>
        </w:tc>
        <w:tc>
          <w:tcPr>
            <w:tcW w:w="6946" w:type="dxa"/>
          </w:tcPr>
          <w:p w14:paraId="53375CFD" w14:textId="77777777" w:rsidR="00DC580B" w:rsidRPr="00A668B2" w:rsidRDefault="00DC580B" w:rsidP="008860D5">
            <w:pPr>
              <w:pStyle w:val="TableText"/>
              <w:rPr>
                <w:lang w:eastAsia="ja-JP"/>
              </w:rPr>
            </w:pPr>
            <w:r w:rsidRPr="00A668B2">
              <w:rPr>
                <w:lang w:eastAsia="ja-JP"/>
              </w:rPr>
              <w:t>$55 (Asian marketing fund &amp; tourism industry regional development grant)</w:t>
            </w:r>
          </w:p>
        </w:tc>
      </w:tr>
      <w:tr w:rsidR="00DC580B" w:rsidRPr="00A668B2" w14:paraId="67A33753" w14:textId="77777777" w:rsidTr="009C4FA8">
        <w:tc>
          <w:tcPr>
            <w:tcW w:w="1985" w:type="dxa"/>
          </w:tcPr>
          <w:p w14:paraId="5FA7A225" w14:textId="77777777" w:rsidR="00DC580B" w:rsidRPr="00BF0F34" w:rsidRDefault="00DC580B" w:rsidP="008860D5">
            <w:pPr>
              <w:pStyle w:val="TableText"/>
              <w:rPr>
                <w:lang w:eastAsia="ja-JP"/>
              </w:rPr>
            </w:pPr>
            <w:r>
              <w:rPr>
                <w:lang w:eastAsia="ja-JP"/>
              </w:rPr>
              <w:lastRenderedPageBreak/>
              <w:t>From 1 July 2</w:t>
            </w:r>
            <w:r w:rsidRPr="00BF0F34">
              <w:rPr>
                <w:lang w:eastAsia="ja-JP"/>
              </w:rPr>
              <w:t>017</w:t>
            </w:r>
          </w:p>
        </w:tc>
        <w:tc>
          <w:tcPr>
            <w:tcW w:w="6946" w:type="dxa"/>
          </w:tcPr>
          <w:p w14:paraId="3D0443A0" w14:textId="77777777" w:rsidR="00DC580B" w:rsidRPr="00BF0F34" w:rsidRDefault="00DC580B" w:rsidP="008860D5">
            <w:pPr>
              <w:pStyle w:val="TableText"/>
              <w:rPr>
                <w:lang w:eastAsia="ja-JP"/>
              </w:rPr>
            </w:pPr>
            <w:r w:rsidRPr="00BF0F34">
              <w:rPr>
                <w:lang w:eastAsia="ja-JP"/>
              </w:rPr>
              <w:t>$60</w:t>
            </w:r>
            <w:r>
              <w:rPr>
                <w:lang w:eastAsia="ja-JP"/>
              </w:rPr>
              <w:t xml:space="preserve"> (part of changes to the Australian Government’s working holiday maker reform package)</w:t>
            </w:r>
          </w:p>
        </w:tc>
      </w:tr>
    </w:tbl>
    <w:p w14:paraId="0FD0178A" w14:textId="7B8E620F" w:rsidR="009D281A" w:rsidRDefault="00DC580B" w:rsidP="001B6E4B">
      <w:pPr>
        <w:pStyle w:val="FigureTableNoteSource"/>
        <w:rPr>
          <w:lang w:eastAsia="ja-JP"/>
        </w:rPr>
      </w:pPr>
      <w:r>
        <w:t>Source: Tourism and Transport Forum.</w:t>
      </w:r>
    </w:p>
    <w:p w14:paraId="05BB90F5" w14:textId="2981AD49" w:rsidR="00DC580B" w:rsidRDefault="00DC580B" w:rsidP="001A141E">
      <w:pPr>
        <w:keepNext/>
        <w:tabs>
          <w:tab w:val="left" w:pos="2970"/>
        </w:tabs>
        <w:rPr>
          <w:lang w:eastAsia="ja-JP"/>
        </w:rPr>
      </w:pPr>
      <w:r>
        <w:rPr>
          <w:lang w:eastAsia="ja-JP"/>
        </w:rPr>
        <w:t xml:space="preserve">The </w:t>
      </w:r>
      <w:r w:rsidR="002F5799">
        <w:rPr>
          <w:lang w:eastAsia="ja-JP"/>
        </w:rPr>
        <w:t>p</w:t>
      </w:r>
      <w:r>
        <w:rPr>
          <w:lang w:eastAsia="ja-JP"/>
        </w:rPr>
        <w:t xml:space="preserve">anel believes that a claim for an increase to the PMC of $5 per passenger </w:t>
      </w:r>
      <w:r w:rsidR="009612AA">
        <w:rPr>
          <w:lang w:eastAsia="ja-JP"/>
        </w:rPr>
        <w:t>should be made. There were 18.9 </w:t>
      </w:r>
      <w:r>
        <w:rPr>
          <w:lang w:eastAsia="ja-JP"/>
        </w:rPr>
        <w:t>million passenger arrivals in 2016 (</w:t>
      </w:r>
      <w:bookmarkStart w:id="189" w:name="DIBP_2017"/>
      <w:r w:rsidR="002A746B">
        <w:rPr>
          <w:lang w:eastAsia="ja-JP"/>
        </w:rPr>
        <w:fldChar w:fldCharType="begin"/>
      </w:r>
      <w:r w:rsidR="002A746B">
        <w:rPr>
          <w:lang w:eastAsia="ja-JP"/>
        </w:rPr>
        <w:instrText xml:space="preserve"> HYPERLINK  \l "DIBP_2017" </w:instrText>
      </w:r>
      <w:r w:rsidR="002A746B">
        <w:rPr>
          <w:lang w:eastAsia="ja-JP"/>
        </w:rPr>
        <w:fldChar w:fldCharType="separate"/>
      </w:r>
      <w:r w:rsidR="00AB62FA" w:rsidRPr="002A746B">
        <w:rPr>
          <w:rStyle w:val="Hyperlink"/>
          <w:lang w:eastAsia="ja-JP"/>
        </w:rPr>
        <w:t>DIBP 2017</w:t>
      </w:r>
      <w:bookmarkEnd w:id="189"/>
      <w:r w:rsidR="002A746B">
        <w:rPr>
          <w:lang w:eastAsia="ja-JP"/>
        </w:rPr>
        <w:fldChar w:fldCharType="end"/>
      </w:r>
      <w:r>
        <w:rPr>
          <w:lang w:eastAsia="ja-JP"/>
        </w:rPr>
        <w:t>), so a $5 levy would raise in the order of $95</w:t>
      </w:r>
      <w:r w:rsidR="000E2249">
        <w:rPr>
          <w:lang w:eastAsia="ja-JP"/>
        </w:rPr>
        <w:t> </w:t>
      </w:r>
      <w:r>
        <w:rPr>
          <w:lang w:eastAsia="ja-JP"/>
        </w:rPr>
        <w:t>million. All revenue collected should be hypothecated to the Australian Government agriculture department</w:t>
      </w:r>
      <w:r w:rsidR="00291480">
        <w:rPr>
          <w:lang w:eastAsia="ja-JP"/>
        </w:rPr>
        <w:t xml:space="preserve">, </w:t>
      </w:r>
      <w:r w:rsidR="006C2CF1" w:rsidRPr="006C2CF1">
        <w:rPr>
          <w:lang w:eastAsia="ja-JP"/>
        </w:rPr>
        <w:t>for use</w:t>
      </w:r>
      <w:r w:rsidR="00863540">
        <w:rPr>
          <w:lang w:eastAsia="ja-JP"/>
        </w:rPr>
        <w:t xml:space="preserve"> nationally</w:t>
      </w:r>
      <w:r w:rsidR="006C2CF1" w:rsidRPr="006C2CF1">
        <w:rPr>
          <w:lang w:eastAsia="ja-JP"/>
        </w:rPr>
        <w:t xml:space="preserve"> in </w:t>
      </w:r>
      <w:r w:rsidR="00863540">
        <w:rPr>
          <w:lang w:eastAsia="ja-JP"/>
        </w:rPr>
        <w:t>enhancing</w:t>
      </w:r>
      <w:r w:rsidR="006C2CF1" w:rsidRPr="006C2CF1">
        <w:rPr>
          <w:lang w:eastAsia="ja-JP"/>
        </w:rPr>
        <w:t xml:space="preserve"> the national biosecurity system. In order for the PMC to be a hypothecated tax, it would need to be directly linked to biosecurity services. Therefore</w:t>
      </w:r>
      <w:r w:rsidR="002F5799">
        <w:rPr>
          <w:lang w:eastAsia="ja-JP"/>
        </w:rPr>
        <w:t>,</w:t>
      </w:r>
      <w:r w:rsidR="006C2CF1" w:rsidRPr="006C2CF1">
        <w:rPr>
          <w:lang w:eastAsia="ja-JP"/>
        </w:rPr>
        <w:t xml:space="preserve"> the PMC would need to be changed </w:t>
      </w:r>
      <w:r w:rsidR="002F5799">
        <w:rPr>
          <w:lang w:eastAsia="ja-JP"/>
        </w:rPr>
        <w:t>so that</w:t>
      </w:r>
      <w:r w:rsidR="006C2CF1" w:rsidRPr="006C2CF1">
        <w:rPr>
          <w:lang w:eastAsia="ja-JP"/>
        </w:rPr>
        <w:t xml:space="preserve"> arriving passengers </w:t>
      </w:r>
      <w:r w:rsidR="002F5799">
        <w:rPr>
          <w:lang w:eastAsia="ja-JP"/>
        </w:rPr>
        <w:t>were charge</w:t>
      </w:r>
      <w:r w:rsidR="00DD690E">
        <w:rPr>
          <w:lang w:eastAsia="ja-JP"/>
        </w:rPr>
        <w:t xml:space="preserve">d </w:t>
      </w:r>
      <w:r w:rsidR="006C2CF1" w:rsidRPr="006C2CF1">
        <w:rPr>
          <w:lang w:eastAsia="ja-JP"/>
        </w:rPr>
        <w:t>rather than departing ones.</w:t>
      </w:r>
    </w:p>
    <w:p w14:paraId="07B4B5FD" w14:textId="7C0EF612" w:rsidR="00DC580B" w:rsidRDefault="00DC580B" w:rsidP="00DC580B">
      <w:pPr>
        <w:tabs>
          <w:tab w:val="left" w:pos="2970"/>
        </w:tabs>
        <w:rPr>
          <w:lang w:eastAsia="ja-JP"/>
        </w:rPr>
      </w:pPr>
      <w:r>
        <w:rPr>
          <w:lang w:eastAsia="ja-JP"/>
        </w:rPr>
        <w:t xml:space="preserve">The </w:t>
      </w:r>
      <w:r w:rsidR="00DD690E">
        <w:rPr>
          <w:lang w:eastAsia="ja-JP"/>
        </w:rPr>
        <w:t>p</w:t>
      </w:r>
      <w:r>
        <w:rPr>
          <w:lang w:eastAsia="ja-JP"/>
        </w:rPr>
        <w:t xml:space="preserve">anel notes that in late 2016 the Parliament of Australia passed the </w:t>
      </w:r>
      <w:r w:rsidRPr="001401EE">
        <w:rPr>
          <w:i/>
          <w:lang w:eastAsia="ja-JP"/>
        </w:rPr>
        <w:t>Passenger Movement Charge Amendment Act</w:t>
      </w:r>
      <w:r>
        <w:rPr>
          <w:lang w:eastAsia="ja-JP"/>
        </w:rPr>
        <w:t xml:space="preserve"> </w:t>
      </w:r>
      <w:r w:rsidRPr="001401EE">
        <w:rPr>
          <w:i/>
          <w:lang w:eastAsia="ja-JP"/>
        </w:rPr>
        <w:t>(No.2) 2016</w:t>
      </w:r>
      <w:r w:rsidR="00D457B1">
        <w:rPr>
          <w:i/>
          <w:lang w:eastAsia="ja-JP"/>
        </w:rPr>
        <w:t xml:space="preserve"> </w:t>
      </w:r>
      <w:r w:rsidR="00D457B1">
        <w:rPr>
          <w:lang w:eastAsia="ja-JP"/>
        </w:rPr>
        <w:t>(Cwlth)</w:t>
      </w:r>
      <w:r>
        <w:rPr>
          <w:lang w:eastAsia="ja-JP"/>
        </w:rPr>
        <w:t xml:space="preserve"> which placed a moratorium on any further increase in the </w:t>
      </w:r>
      <w:r w:rsidR="00DD690E">
        <w:rPr>
          <w:lang w:eastAsia="ja-JP"/>
        </w:rPr>
        <w:t>PMC</w:t>
      </w:r>
      <w:r>
        <w:rPr>
          <w:lang w:eastAsia="ja-JP"/>
        </w:rPr>
        <w:t xml:space="preserve"> until 1 July 2022. Therefore the proposed increase should take effect from 1 July 2022.</w:t>
      </w:r>
    </w:p>
    <w:p w14:paraId="3AB65A1E" w14:textId="24D3F78A" w:rsidR="00DC580B" w:rsidRDefault="00DC580B" w:rsidP="00DC580B">
      <w:pPr>
        <w:tabs>
          <w:tab w:val="left" w:pos="2970"/>
        </w:tabs>
        <w:rPr>
          <w:lang w:eastAsia="ja-JP"/>
        </w:rPr>
      </w:pPr>
      <w:r>
        <w:rPr>
          <w:lang w:eastAsia="ja-JP"/>
        </w:rPr>
        <w:t xml:space="preserve">The tourism industry made submissions opposing any increase </w:t>
      </w:r>
      <w:r w:rsidR="00D457B1">
        <w:rPr>
          <w:lang w:eastAsia="ja-JP"/>
        </w:rPr>
        <w:t xml:space="preserve">to </w:t>
      </w:r>
      <w:r>
        <w:rPr>
          <w:lang w:eastAsia="ja-JP"/>
        </w:rPr>
        <w:t xml:space="preserve">the </w:t>
      </w:r>
      <w:r w:rsidR="00D457B1">
        <w:rPr>
          <w:lang w:eastAsia="ja-JP"/>
        </w:rPr>
        <w:t>PMC</w:t>
      </w:r>
      <w:r w:rsidR="004E4A4E">
        <w:rPr>
          <w:lang w:eastAsia="ja-JP"/>
        </w:rPr>
        <w:t>, for example</w:t>
      </w:r>
      <w:r w:rsidR="00C057D2">
        <w:rPr>
          <w:lang w:eastAsia="ja-JP"/>
        </w:rPr>
        <w:t>:</w:t>
      </w:r>
    </w:p>
    <w:p w14:paraId="1A14E263" w14:textId="51BE1C6C" w:rsidR="00C057D2" w:rsidRDefault="00C057D2" w:rsidP="00C057D2">
      <w:pPr>
        <w:pStyle w:val="Quote"/>
        <w:rPr>
          <w:lang w:eastAsia="ja-JP"/>
        </w:rPr>
      </w:pPr>
      <w:r w:rsidRPr="00C057D2">
        <w:rPr>
          <w:lang w:eastAsia="ja-JP"/>
        </w:rPr>
        <w:t>The tourism industry does not receive fair re-investment from the revenue raised from the Passenger Movement Charge, and again to impose an increase on travel levies would further compromise the competitiveness of travel to Australia (Queensland Tourism Industry Council sub.</w:t>
      </w:r>
      <w:r w:rsidR="000A2F44">
        <w:rPr>
          <w:lang w:eastAsia="ja-JP"/>
        </w:rPr>
        <w:t xml:space="preserve"> </w:t>
      </w:r>
      <w:r w:rsidR="008857A3" w:rsidRPr="008857A3">
        <w:rPr>
          <w:rFonts w:eastAsia="Calibri" w:cs="Times New Roman"/>
          <w:iCs w:val="0"/>
          <w:color w:val="auto"/>
          <w:lang w:eastAsia="ja-JP"/>
        </w:rPr>
        <w:t>DR97)</w:t>
      </w:r>
    </w:p>
    <w:p w14:paraId="077489BF" w14:textId="1CD509DA" w:rsidR="008515CC" w:rsidRDefault="008515CC" w:rsidP="00DC580B">
      <w:pPr>
        <w:tabs>
          <w:tab w:val="left" w:pos="2970"/>
        </w:tabs>
        <w:rPr>
          <w:lang w:eastAsia="ja-JP"/>
        </w:rPr>
      </w:pPr>
      <w:r>
        <w:rPr>
          <w:rFonts w:cs="Cambria"/>
          <w:color w:val="000000"/>
        </w:rPr>
        <w:t>By way of precedent, in January 2016, the New Zealand Government imposed an additional border clearance levy of NZ$18.76 for air passengers and NZ$22.80 for cruise ship passengers, to be directed towards recovering biosecurity and border protection costs. This charge is additional to New Zealand’s existing passenger service charges (a NZ$12.50 charge to both incoming and outgoing passengers).</w:t>
      </w:r>
    </w:p>
    <w:p w14:paraId="543DA844" w14:textId="737AB688" w:rsidR="00DC580B" w:rsidRDefault="00DC580B" w:rsidP="00DC580B">
      <w:pPr>
        <w:tabs>
          <w:tab w:val="left" w:pos="2970"/>
        </w:tabs>
        <w:rPr>
          <w:lang w:eastAsia="ja-JP"/>
        </w:rPr>
      </w:pPr>
      <w:r>
        <w:rPr>
          <w:lang w:eastAsia="ja-JP"/>
        </w:rPr>
        <w:t>An alternative to an increase in the PMC would be to place a levy on every aircraft and cruise ship entering Australia to collect a similar amount of revenue. This would be in addition to the vessel inspection charges that already apply. The rationale for imposin</w:t>
      </w:r>
      <w:r w:rsidR="00DD690E">
        <w:rPr>
          <w:lang w:eastAsia="ja-JP"/>
        </w:rPr>
        <w:t>g this alternative is the same—</w:t>
      </w:r>
      <w:r>
        <w:rPr>
          <w:lang w:eastAsia="ja-JP"/>
        </w:rPr>
        <w:t>namely</w:t>
      </w:r>
      <w:r w:rsidR="00DD690E">
        <w:rPr>
          <w:lang w:eastAsia="ja-JP"/>
        </w:rPr>
        <w:t>,</w:t>
      </w:r>
      <w:r>
        <w:rPr>
          <w:lang w:eastAsia="ja-JP"/>
        </w:rPr>
        <w:t xml:space="preserve"> that the passengers being conveyed to Australia by the aircraft and ship operators are a source of risk. If the direct risk creator cannot be charged via a mechanism like the PMC then a proxy in the form of the carriage provider would be a fall-back option. However, this is not the </w:t>
      </w:r>
      <w:r w:rsidR="00DD690E">
        <w:rPr>
          <w:lang w:eastAsia="ja-JP"/>
        </w:rPr>
        <w:t>p</w:t>
      </w:r>
      <w:r>
        <w:rPr>
          <w:lang w:eastAsia="ja-JP"/>
        </w:rPr>
        <w:t>anel’s preferred option.</w:t>
      </w:r>
    </w:p>
    <w:p w14:paraId="52BEF134" w14:textId="793B1190" w:rsidR="00DC580B" w:rsidRPr="00DC580B" w:rsidRDefault="00DC580B" w:rsidP="00290792">
      <w:pPr>
        <w:tabs>
          <w:tab w:val="left" w:pos="2970"/>
        </w:tabs>
        <w:spacing w:after="0"/>
        <w:rPr>
          <w:rStyle w:val="Strong"/>
        </w:rPr>
      </w:pPr>
      <w:r w:rsidRPr="00DC580B">
        <w:rPr>
          <w:rStyle w:val="Strong"/>
        </w:rPr>
        <w:t>Self-Assessed Clearances</w:t>
      </w:r>
    </w:p>
    <w:p w14:paraId="50C51D28" w14:textId="406D161C" w:rsidR="00DC580B" w:rsidRDefault="00DC580B" w:rsidP="00DC580B">
      <w:pPr>
        <w:tabs>
          <w:tab w:val="left" w:pos="2970"/>
        </w:tabs>
        <w:rPr>
          <w:lang w:eastAsia="ja-JP"/>
        </w:rPr>
      </w:pPr>
      <w:r>
        <w:rPr>
          <w:lang w:eastAsia="ja-JP"/>
        </w:rPr>
        <w:lastRenderedPageBreak/>
        <w:t xml:space="preserve">The number of Self-Assessed Clearances (SACs) is growing as internet shopping grows. Information provided by the Australian Government Department of Immigration and Border Protection to the </w:t>
      </w:r>
      <w:r w:rsidR="00591F5E">
        <w:rPr>
          <w:lang w:eastAsia="ja-JP"/>
        </w:rPr>
        <w:t>r</w:t>
      </w:r>
      <w:r>
        <w:rPr>
          <w:lang w:eastAsia="ja-JP"/>
        </w:rPr>
        <w:t>eview show</w:t>
      </w:r>
      <w:r w:rsidR="000E2249">
        <w:rPr>
          <w:lang w:eastAsia="ja-JP"/>
        </w:rPr>
        <w:t xml:space="preserve">s that </w:t>
      </w:r>
      <w:r w:rsidR="00591F5E">
        <w:rPr>
          <w:lang w:eastAsia="ja-JP"/>
        </w:rPr>
        <w:t xml:space="preserve">the number of </w:t>
      </w:r>
      <w:r w:rsidR="000E2249">
        <w:rPr>
          <w:lang w:eastAsia="ja-JP"/>
        </w:rPr>
        <w:t>SACs increased from 15.1 </w:t>
      </w:r>
      <w:r>
        <w:rPr>
          <w:lang w:eastAsia="ja-JP"/>
        </w:rPr>
        <w:t>million in 2011–12 to 31.3</w:t>
      </w:r>
      <w:r w:rsidR="000311C2">
        <w:rPr>
          <w:lang w:eastAsia="ja-JP"/>
        </w:rPr>
        <w:t> </w:t>
      </w:r>
      <w:r w:rsidR="00591F5E">
        <w:rPr>
          <w:lang w:eastAsia="ja-JP"/>
        </w:rPr>
        <w:t>million in 2015–16—</w:t>
      </w:r>
      <w:r>
        <w:rPr>
          <w:lang w:eastAsia="ja-JP"/>
        </w:rPr>
        <w:t xml:space="preserve">an average </w:t>
      </w:r>
      <w:r w:rsidR="00A8440A">
        <w:rPr>
          <w:lang w:eastAsia="ja-JP"/>
        </w:rPr>
        <w:t>annual growth rate of almost 20 </w:t>
      </w:r>
      <w:r>
        <w:rPr>
          <w:lang w:eastAsia="ja-JP"/>
        </w:rPr>
        <w:t>per</w:t>
      </w:r>
      <w:r w:rsidR="00A8440A">
        <w:rPr>
          <w:lang w:eastAsia="ja-JP"/>
        </w:rPr>
        <w:t> </w:t>
      </w:r>
      <w:r>
        <w:rPr>
          <w:lang w:eastAsia="ja-JP"/>
        </w:rPr>
        <w:t>cent. While the biosecurity risk of many SACs is considered low, they remain a potential source of biosecurity risk</w:t>
      </w:r>
      <w:r w:rsidR="00591F5E">
        <w:rPr>
          <w:lang w:eastAsia="ja-JP"/>
        </w:rPr>
        <w:t>,</w:t>
      </w:r>
      <w:r>
        <w:rPr>
          <w:lang w:eastAsia="ja-JP"/>
        </w:rPr>
        <w:t xml:space="preserve"> and the sheer growth in volume means that the overall task is growing rapidly.</w:t>
      </w:r>
    </w:p>
    <w:p w14:paraId="34FC5DC6" w14:textId="403C4DF3" w:rsidR="00DC580B" w:rsidRDefault="00DC580B" w:rsidP="00DC580B">
      <w:pPr>
        <w:tabs>
          <w:tab w:val="left" w:pos="2970"/>
        </w:tabs>
        <w:rPr>
          <w:lang w:eastAsia="ja-JP"/>
        </w:rPr>
      </w:pPr>
      <w:r>
        <w:rPr>
          <w:lang w:eastAsia="ja-JP"/>
        </w:rPr>
        <w:t xml:space="preserve">The growth in </w:t>
      </w:r>
      <w:r w:rsidR="00591F5E">
        <w:rPr>
          <w:lang w:eastAsia="ja-JP"/>
        </w:rPr>
        <w:t xml:space="preserve">the number of </w:t>
      </w:r>
      <w:r>
        <w:rPr>
          <w:lang w:eastAsia="ja-JP"/>
        </w:rPr>
        <w:t>SACs and the cost to clear them was raised during the Au</w:t>
      </w:r>
      <w:r w:rsidR="0043587A">
        <w:rPr>
          <w:lang w:eastAsia="ja-JP"/>
        </w:rPr>
        <w:t xml:space="preserve">stralian Government’s 2015 cost </w:t>
      </w:r>
      <w:r>
        <w:rPr>
          <w:lang w:eastAsia="ja-JP"/>
        </w:rPr>
        <w:t>recovery review</w:t>
      </w:r>
      <w:r w:rsidR="00D457B1">
        <w:rPr>
          <w:lang w:eastAsia="ja-JP"/>
        </w:rPr>
        <w:t xml:space="preserve"> (</w:t>
      </w:r>
      <w:hyperlink w:anchor="DAWR_2015a" w:history="1">
        <w:r w:rsidR="00D457B1" w:rsidRPr="00D457B1">
          <w:rPr>
            <w:rStyle w:val="Hyperlink"/>
            <w:lang w:eastAsia="ja-JP"/>
          </w:rPr>
          <w:t>DAWR 2015a</w:t>
        </w:r>
      </w:hyperlink>
      <w:r w:rsidR="00D457B1">
        <w:rPr>
          <w:lang w:eastAsia="ja-JP"/>
        </w:rPr>
        <w:t>)</w:t>
      </w:r>
      <w:r>
        <w:rPr>
          <w:lang w:eastAsia="ja-JP"/>
        </w:rPr>
        <w:t>:</w:t>
      </w:r>
    </w:p>
    <w:p w14:paraId="50A65164" w14:textId="77777777" w:rsidR="00DC580B" w:rsidRDefault="00DC580B" w:rsidP="00DC580B">
      <w:pPr>
        <w:pStyle w:val="Quote"/>
        <w:rPr>
          <w:lang w:eastAsia="ja-JP"/>
        </w:rPr>
      </w:pPr>
      <w:r>
        <w:rPr>
          <w:lang w:eastAsia="ja-JP"/>
        </w:rPr>
        <w:t>Some [Industry Consultative Committee] members also raised concerns that the costs of clearing low-value imports (more commonly known as Self Assessed Clearances or SACs) were being cross-subsidised by importers of other cargo. Industry members sought the introduction of a specific SAC charge that would directly recover the costs of low value import clearance.</w:t>
      </w:r>
    </w:p>
    <w:p w14:paraId="178D48B7" w14:textId="2CA9A11B" w:rsidR="00DC580B" w:rsidRDefault="00DC580B" w:rsidP="00DC580B">
      <w:pPr>
        <w:pStyle w:val="Quote"/>
        <w:rPr>
          <w:lang w:eastAsia="ja-JP"/>
        </w:rPr>
      </w:pPr>
      <w:r>
        <w:rPr>
          <w:lang w:eastAsia="ja-JP"/>
        </w:rPr>
        <w:t>The proposal to introduce a specific SAC charge was also raised at public consultation sessions</w:t>
      </w:r>
      <w:r w:rsidR="009F7382">
        <w:rPr>
          <w:lang w:eastAsia="ja-JP"/>
        </w:rPr>
        <w:t>—</w:t>
      </w:r>
      <w:r>
        <w:rPr>
          <w:lang w:eastAsia="ja-JP"/>
        </w:rPr>
        <w:t>with the primary concern being the potential for the current charges to lead to cross-subsidy of low value clearance costs. It was noted that a SAC charge is still under consideration by government.</w:t>
      </w:r>
    </w:p>
    <w:p w14:paraId="02383063" w14:textId="5C957A4C" w:rsidR="00DC580B" w:rsidRDefault="00DC580B" w:rsidP="00DC580B">
      <w:pPr>
        <w:tabs>
          <w:tab w:val="left" w:pos="2970"/>
        </w:tabs>
        <w:rPr>
          <w:lang w:eastAsia="ja-JP"/>
        </w:rPr>
      </w:pPr>
      <w:r>
        <w:rPr>
          <w:lang w:eastAsia="ja-JP"/>
        </w:rPr>
        <w:t xml:space="preserve">However, it was decided not to impose a charge at that time. With the continuing growth in </w:t>
      </w:r>
      <w:r w:rsidR="00F52DD8">
        <w:rPr>
          <w:lang w:eastAsia="ja-JP"/>
        </w:rPr>
        <w:t xml:space="preserve">the number of </w:t>
      </w:r>
      <w:r>
        <w:rPr>
          <w:lang w:eastAsia="ja-JP"/>
        </w:rPr>
        <w:t>SACs and the consequent increase in the clearance task, there is a growing case for imposing a charge. To do so would be consistent with the principles in the IGAB and</w:t>
      </w:r>
      <w:r w:rsidR="007B1D3C">
        <w:rPr>
          <w:lang w:eastAsia="ja-JP"/>
        </w:rPr>
        <w:t xml:space="preserve"> Australian</w:t>
      </w:r>
      <w:r>
        <w:rPr>
          <w:lang w:eastAsia="ja-JP"/>
        </w:rPr>
        <w:t xml:space="preserve"> </w:t>
      </w:r>
      <w:r w:rsidR="007B1D3C">
        <w:rPr>
          <w:lang w:eastAsia="ja-JP"/>
        </w:rPr>
        <w:t>G</w:t>
      </w:r>
      <w:r>
        <w:rPr>
          <w:lang w:eastAsia="ja-JP"/>
        </w:rPr>
        <w:t xml:space="preserve">overnment charging guidelines. The </w:t>
      </w:r>
      <w:r w:rsidR="00F52DD8">
        <w:rPr>
          <w:lang w:eastAsia="ja-JP"/>
        </w:rPr>
        <w:t>p</w:t>
      </w:r>
      <w:r>
        <w:rPr>
          <w:lang w:eastAsia="ja-JP"/>
        </w:rPr>
        <w:t>anel encourages the Australian Government agriculture department to continue investigations into whether an efficient and effective charging mechanism can be found to recover costs.</w:t>
      </w:r>
    </w:p>
    <w:p w14:paraId="40A4E6EF" w14:textId="4583C6E4" w:rsidR="00DC580B" w:rsidRPr="00DC580B" w:rsidRDefault="00DC580B" w:rsidP="00F52DD8">
      <w:pPr>
        <w:keepNext/>
        <w:keepLines/>
        <w:tabs>
          <w:tab w:val="left" w:pos="2970"/>
        </w:tabs>
        <w:spacing w:after="0"/>
        <w:rPr>
          <w:rStyle w:val="Strong"/>
        </w:rPr>
      </w:pPr>
      <w:r w:rsidRPr="00DC580B">
        <w:rPr>
          <w:rStyle w:val="Strong"/>
        </w:rPr>
        <w:t>Property-base</w:t>
      </w:r>
      <w:r w:rsidR="00D457B1">
        <w:rPr>
          <w:rStyle w:val="Strong"/>
        </w:rPr>
        <w:t>d</w:t>
      </w:r>
      <w:r w:rsidRPr="00DC580B">
        <w:rPr>
          <w:rStyle w:val="Strong"/>
        </w:rPr>
        <w:t xml:space="preserve"> levies</w:t>
      </w:r>
    </w:p>
    <w:p w14:paraId="4DDB2052" w14:textId="16602031" w:rsidR="00DC580B" w:rsidRDefault="00DC580B" w:rsidP="00DC580B">
      <w:pPr>
        <w:tabs>
          <w:tab w:val="left" w:pos="2970"/>
        </w:tabs>
        <w:rPr>
          <w:lang w:eastAsia="ja-JP"/>
        </w:rPr>
      </w:pPr>
      <w:r>
        <w:rPr>
          <w:lang w:eastAsia="ja-JP"/>
        </w:rPr>
        <w:t xml:space="preserve">Most comments received by the </w:t>
      </w:r>
      <w:r w:rsidR="00F52DD8">
        <w:rPr>
          <w:lang w:eastAsia="ja-JP"/>
        </w:rPr>
        <w:t>p</w:t>
      </w:r>
      <w:r>
        <w:rPr>
          <w:lang w:eastAsia="ja-JP"/>
        </w:rPr>
        <w:t>anel about funding pressures related to the budgets of the state and territory agencies. The findings of recent reviews of biosecurity systems in Queensland</w:t>
      </w:r>
      <w:r w:rsidR="006E773A">
        <w:rPr>
          <w:lang w:eastAsia="ja-JP"/>
        </w:rPr>
        <w:t xml:space="preserve"> (</w:t>
      </w:r>
      <w:hyperlink w:anchor="Brooks_2015" w:history="1">
        <w:r w:rsidR="006E773A" w:rsidRPr="006E773A">
          <w:rPr>
            <w:rStyle w:val="Hyperlink"/>
            <w:lang w:eastAsia="ja-JP"/>
          </w:rPr>
          <w:t>Brooks</w:t>
        </w:r>
        <w:r w:rsidR="00910478">
          <w:rPr>
            <w:rStyle w:val="Hyperlink"/>
            <w:lang w:eastAsia="ja-JP"/>
          </w:rPr>
          <w:t xml:space="preserve"> et al.</w:t>
        </w:r>
        <w:r w:rsidR="006E773A" w:rsidRPr="006E773A">
          <w:rPr>
            <w:rStyle w:val="Hyperlink"/>
            <w:lang w:eastAsia="ja-JP"/>
          </w:rPr>
          <w:t xml:space="preserve"> 2015</w:t>
        </w:r>
      </w:hyperlink>
      <w:r w:rsidR="006E773A">
        <w:rPr>
          <w:lang w:eastAsia="ja-JP"/>
        </w:rPr>
        <w:t xml:space="preserve">) </w:t>
      </w:r>
      <w:r>
        <w:rPr>
          <w:lang w:eastAsia="ja-JP"/>
        </w:rPr>
        <w:t>and Victoria</w:t>
      </w:r>
      <w:r w:rsidR="006E773A">
        <w:rPr>
          <w:lang w:eastAsia="ja-JP"/>
        </w:rPr>
        <w:t xml:space="preserve"> (</w:t>
      </w:r>
      <w:hyperlink w:anchor="VAGO_2015" w:history="1">
        <w:r w:rsidR="006E773A" w:rsidRPr="006E773A">
          <w:rPr>
            <w:rStyle w:val="Hyperlink"/>
            <w:lang w:eastAsia="ja-JP"/>
          </w:rPr>
          <w:t>V</w:t>
        </w:r>
        <w:r w:rsidR="00910478">
          <w:rPr>
            <w:rStyle w:val="Hyperlink"/>
            <w:lang w:eastAsia="ja-JP"/>
          </w:rPr>
          <w:t>AGO</w:t>
        </w:r>
        <w:r w:rsidR="006E773A" w:rsidRPr="006E773A">
          <w:rPr>
            <w:rStyle w:val="Hyperlink"/>
            <w:lang w:eastAsia="ja-JP"/>
          </w:rPr>
          <w:t xml:space="preserve"> 2015</w:t>
        </w:r>
      </w:hyperlink>
      <w:r w:rsidR="006E773A">
        <w:rPr>
          <w:lang w:eastAsia="ja-JP"/>
        </w:rPr>
        <w:t>)</w:t>
      </w:r>
      <w:r>
        <w:rPr>
          <w:lang w:eastAsia="ja-JP"/>
        </w:rPr>
        <w:t xml:space="preserve"> support the comments received.</w:t>
      </w:r>
    </w:p>
    <w:p w14:paraId="6A73DB61" w14:textId="561A3D72" w:rsidR="00DC580B" w:rsidRDefault="00DC580B" w:rsidP="00DC580B">
      <w:pPr>
        <w:tabs>
          <w:tab w:val="left" w:pos="2970"/>
        </w:tabs>
        <w:rPr>
          <w:lang w:eastAsia="ja-JP"/>
        </w:rPr>
      </w:pPr>
      <w:r>
        <w:rPr>
          <w:lang w:eastAsia="ja-JP"/>
        </w:rPr>
        <w:t xml:space="preserve">The </w:t>
      </w:r>
      <w:r w:rsidR="00F52DD8">
        <w:rPr>
          <w:lang w:eastAsia="ja-JP"/>
        </w:rPr>
        <w:t>p</w:t>
      </w:r>
      <w:r>
        <w:rPr>
          <w:lang w:eastAsia="ja-JP"/>
        </w:rPr>
        <w:t>anel considers that the states and territories need to do more if they are to fulfil their obligations to the national</w:t>
      </w:r>
      <w:r w:rsidR="00D457B1">
        <w:rPr>
          <w:lang w:eastAsia="ja-JP"/>
        </w:rPr>
        <w:t xml:space="preserve"> biosecurity</w:t>
      </w:r>
      <w:r>
        <w:rPr>
          <w:lang w:eastAsia="ja-JP"/>
        </w:rPr>
        <w:t xml:space="preserve"> system. A comprehensive review of their fees and charges as recommended above would be a good start, but </w:t>
      </w:r>
      <w:r w:rsidR="00740A76" w:rsidRPr="00740A76">
        <w:rPr>
          <w:lang w:eastAsia="ja-JP"/>
        </w:rPr>
        <w:t>further consideration of funding to support the biosecurity system is required.</w:t>
      </w:r>
    </w:p>
    <w:p w14:paraId="3A743E25" w14:textId="624FDB8B" w:rsidR="00DC580B" w:rsidRDefault="00DC580B" w:rsidP="00DC580B">
      <w:pPr>
        <w:tabs>
          <w:tab w:val="left" w:pos="2970"/>
        </w:tabs>
        <w:rPr>
          <w:lang w:eastAsia="ja-JP"/>
        </w:rPr>
      </w:pPr>
      <w:r>
        <w:rPr>
          <w:lang w:eastAsia="ja-JP"/>
        </w:rPr>
        <w:lastRenderedPageBreak/>
        <w:t xml:space="preserve">The </w:t>
      </w:r>
      <w:r w:rsidR="00F52DD8">
        <w:rPr>
          <w:lang w:eastAsia="ja-JP"/>
        </w:rPr>
        <w:t>p</w:t>
      </w:r>
      <w:r>
        <w:rPr>
          <w:lang w:eastAsia="ja-JP"/>
        </w:rPr>
        <w:t>anel i</w:t>
      </w:r>
      <w:r w:rsidR="009F7382">
        <w:rPr>
          <w:lang w:eastAsia="ja-JP"/>
        </w:rPr>
        <w:t>s aware of some of the property-</w:t>
      </w:r>
      <w:r>
        <w:rPr>
          <w:lang w:eastAsia="ja-JP"/>
        </w:rPr>
        <w:t xml:space="preserve">based levies being implemented by governments around Australia, particularly for contributions to emergency </w:t>
      </w:r>
      <w:r w:rsidRPr="007B1D3C">
        <w:t>services (</w:t>
      </w:r>
      <w:r w:rsidR="00C057D2" w:rsidRPr="007B1D3C">
        <w:rPr>
          <w:highlight w:val="yellow"/>
        </w:rPr>
        <w:fldChar w:fldCharType="begin"/>
      </w:r>
      <w:r w:rsidR="00C057D2" w:rsidRPr="007B1D3C">
        <w:instrText xml:space="preserve"> REF _Ref481744572 \h </w:instrText>
      </w:r>
      <w:r w:rsidR="007B1D3C">
        <w:rPr>
          <w:highlight w:val="yellow"/>
        </w:rPr>
        <w:instrText xml:space="preserve"> \* MERGEFORMAT </w:instrText>
      </w:r>
      <w:r w:rsidR="00C057D2" w:rsidRPr="007B1D3C">
        <w:rPr>
          <w:highlight w:val="yellow"/>
        </w:rPr>
      </w:r>
      <w:r w:rsidR="00C057D2" w:rsidRPr="007B1D3C">
        <w:rPr>
          <w:highlight w:val="yellow"/>
        </w:rPr>
        <w:fldChar w:fldCharType="separate"/>
      </w:r>
      <w:r w:rsidR="009F6923" w:rsidRPr="00DC580B">
        <w:t xml:space="preserve">Box </w:t>
      </w:r>
      <w:r w:rsidR="009F6923">
        <w:t>14</w:t>
      </w:r>
      <w:r w:rsidR="00C057D2" w:rsidRPr="007B1D3C">
        <w:rPr>
          <w:highlight w:val="yellow"/>
        </w:rPr>
        <w:fldChar w:fldCharType="end"/>
      </w:r>
      <w:r w:rsidRPr="007B1D3C">
        <w:t>).</w:t>
      </w:r>
      <w:r>
        <w:rPr>
          <w:lang w:eastAsia="ja-JP"/>
        </w:rPr>
        <w:t xml:space="preserve"> Of note to the biosecurity community is that the Queensland emergency service agency received $457.4</w:t>
      </w:r>
      <w:r w:rsidR="006E773A">
        <w:rPr>
          <w:lang w:eastAsia="ja-JP"/>
        </w:rPr>
        <w:t> </w:t>
      </w:r>
      <w:r>
        <w:rPr>
          <w:lang w:eastAsia="ja-JP"/>
        </w:rPr>
        <w:t>million in levies in 2015–16 and Victoria is forecast to raise revenue of $674</w:t>
      </w:r>
      <w:r w:rsidR="000E2249">
        <w:rPr>
          <w:lang w:eastAsia="ja-JP"/>
        </w:rPr>
        <w:t> </w:t>
      </w:r>
      <w:r>
        <w:rPr>
          <w:lang w:eastAsia="ja-JP"/>
        </w:rPr>
        <w:t>million in 2016–17 from its fire services property levy.</w:t>
      </w:r>
    </w:p>
    <w:p w14:paraId="75990D62" w14:textId="2CA6408F" w:rsidR="00DC580B" w:rsidRPr="00DC580B" w:rsidRDefault="00DC580B" w:rsidP="0005500E">
      <w:pPr>
        <w:pStyle w:val="BoxHeading"/>
        <w:keepNext/>
        <w:keepLines/>
        <w:rPr>
          <w:lang w:eastAsia="ja-JP"/>
        </w:rPr>
      </w:pPr>
      <w:bookmarkStart w:id="190" w:name="_Ref481744572"/>
      <w:r w:rsidRPr="00DC580B">
        <w:rPr>
          <w:lang w:eastAsia="ja-JP"/>
        </w:rPr>
        <w:lastRenderedPageBreak/>
        <w:t xml:space="preserve">Box </w:t>
      </w:r>
      <w:r w:rsidRPr="00DC580B">
        <w:rPr>
          <w:lang w:eastAsia="ja-JP"/>
        </w:rPr>
        <w:fldChar w:fldCharType="begin"/>
      </w:r>
      <w:r w:rsidRPr="00DC580B">
        <w:rPr>
          <w:lang w:eastAsia="ja-JP"/>
        </w:rPr>
        <w:instrText xml:space="preserve"> SEQ Box \* ARABIC </w:instrText>
      </w:r>
      <w:r w:rsidRPr="00DC580B">
        <w:rPr>
          <w:lang w:eastAsia="ja-JP"/>
        </w:rPr>
        <w:fldChar w:fldCharType="separate"/>
      </w:r>
      <w:r w:rsidR="009F6923">
        <w:rPr>
          <w:noProof/>
          <w:lang w:eastAsia="ja-JP"/>
        </w:rPr>
        <w:t>14</w:t>
      </w:r>
      <w:r w:rsidRPr="00DC580B">
        <w:rPr>
          <w:lang w:eastAsia="ja-JP"/>
        </w:rPr>
        <w:fldChar w:fldCharType="end"/>
      </w:r>
      <w:bookmarkEnd w:id="190"/>
      <w:r w:rsidRPr="00DC580B">
        <w:rPr>
          <w:lang w:eastAsia="ja-JP"/>
        </w:rPr>
        <w:t xml:space="preserve"> Property-based levies for emergency services</w:t>
      </w:r>
    </w:p>
    <w:p w14:paraId="6D8696D1" w14:textId="77777777" w:rsidR="00DC580B" w:rsidRPr="00DC580B" w:rsidRDefault="00DC580B" w:rsidP="00BC28A1">
      <w:pPr>
        <w:pStyle w:val="BoxHeading"/>
        <w:keepNext/>
        <w:keepLines/>
        <w:rPr>
          <w:lang w:eastAsia="ja-JP"/>
        </w:rPr>
      </w:pPr>
      <w:r w:rsidRPr="00DC580B">
        <w:rPr>
          <w:lang w:eastAsia="ja-JP"/>
        </w:rPr>
        <w:t xml:space="preserve">Queensland Government Emergency Management </w:t>
      </w:r>
      <w:r w:rsidRPr="0005500E">
        <w:rPr>
          <w:lang w:eastAsia="ja-JP"/>
        </w:rPr>
        <w:t>Levy</w:t>
      </w:r>
    </w:p>
    <w:p w14:paraId="5F54D2C0" w14:textId="615D76E6" w:rsidR="00DC580B" w:rsidRPr="00DC580B" w:rsidRDefault="00DC580B" w:rsidP="00BC28A1">
      <w:pPr>
        <w:pStyle w:val="BoxText"/>
        <w:keepNext/>
        <w:keepLines/>
        <w:rPr>
          <w:lang w:eastAsia="ja-JP"/>
        </w:rPr>
      </w:pPr>
      <w:r w:rsidRPr="00DC580B">
        <w:rPr>
          <w:lang w:eastAsia="ja-JP"/>
        </w:rPr>
        <w:t xml:space="preserve">The emergency management levy is established by the </w:t>
      </w:r>
      <w:r w:rsidRPr="00DC580B">
        <w:rPr>
          <w:i/>
          <w:lang w:eastAsia="ja-JP"/>
        </w:rPr>
        <w:t>Fire and Emergency Services Act 1990</w:t>
      </w:r>
      <w:r w:rsidRPr="00DC580B">
        <w:rPr>
          <w:lang w:eastAsia="ja-JP"/>
        </w:rPr>
        <w:t xml:space="preserve"> (Qld) which applies a levy on properties within levy districts. The Act places a legal obligation on local governments to administer the levy, which is collected through local government rate notices. </w:t>
      </w:r>
    </w:p>
    <w:p w14:paraId="5425EF48" w14:textId="2D2542C4" w:rsidR="00DC580B" w:rsidRPr="00DC580B" w:rsidRDefault="00DC580B" w:rsidP="00BC28A1">
      <w:pPr>
        <w:pStyle w:val="BoxText"/>
        <w:keepNext/>
        <w:keepLines/>
        <w:rPr>
          <w:lang w:eastAsia="ja-JP"/>
        </w:rPr>
      </w:pPr>
      <w:r w:rsidRPr="00DC580B">
        <w:rPr>
          <w:lang w:eastAsia="ja-JP"/>
        </w:rPr>
        <w:t>The levy is applied to all Queensland property to ensure there is a sustainable funding base for fire and emergency services and recognises that all Queenslanders are at risk from a wide range of emergencies inc</w:t>
      </w:r>
      <w:r w:rsidR="000A797D">
        <w:rPr>
          <w:lang w:eastAsia="ja-JP"/>
        </w:rPr>
        <w:t>luding floods, cyclones and</w:t>
      </w:r>
      <w:r w:rsidRPr="00DC580B">
        <w:rPr>
          <w:lang w:eastAsia="ja-JP"/>
        </w:rPr>
        <w:t xml:space="preserve"> storms as well as fire and accidents.</w:t>
      </w:r>
    </w:p>
    <w:p w14:paraId="4E598DB3" w14:textId="295AA978" w:rsidR="00DC580B" w:rsidRPr="00DC580B" w:rsidRDefault="00DC580B" w:rsidP="00BC28A1">
      <w:pPr>
        <w:pStyle w:val="BoxText"/>
        <w:keepNext/>
        <w:keepLines/>
      </w:pPr>
      <w:r w:rsidRPr="00DC580B">
        <w:rPr>
          <w:lang w:eastAsia="ja-JP"/>
        </w:rPr>
        <w:t xml:space="preserve">The levy remains the primary source of funding for the Queensland Fire Emergency Services (QFES). In 2015–16, QFES received income from </w:t>
      </w:r>
      <w:r w:rsidRPr="00DC580B">
        <w:t>continuing operations totalling $622.2</w:t>
      </w:r>
      <w:r w:rsidR="000E2249">
        <w:t> </w:t>
      </w:r>
      <w:r w:rsidRPr="00DC580B">
        <w:t>million, of which 74</w:t>
      </w:r>
      <w:r w:rsidR="00A8440A">
        <w:t> per </w:t>
      </w:r>
      <w:r w:rsidR="000E2249">
        <w:t>cent (or a total of $457.4 </w:t>
      </w:r>
      <w:r w:rsidRPr="00DC580B">
        <w:t>million) came from emergency management levies.</w:t>
      </w:r>
    </w:p>
    <w:p w14:paraId="5C9DDF1F" w14:textId="2BF5E085" w:rsidR="00DC580B" w:rsidRPr="00DC580B" w:rsidRDefault="00DC580B" w:rsidP="00BC28A1">
      <w:pPr>
        <w:pStyle w:val="BoxSource"/>
        <w:keepNext/>
        <w:keepLines/>
        <w:rPr>
          <w:lang w:eastAsia="ja-JP"/>
        </w:rPr>
      </w:pPr>
      <w:r w:rsidRPr="00DC580B">
        <w:rPr>
          <w:lang w:eastAsia="ja-JP"/>
        </w:rPr>
        <w:t xml:space="preserve">Source: </w:t>
      </w:r>
      <w:r w:rsidR="002A746B">
        <w:rPr>
          <w:lang w:eastAsia="ja-JP"/>
        </w:rPr>
        <w:t xml:space="preserve">The </w:t>
      </w:r>
      <w:r w:rsidRPr="00DC580B">
        <w:rPr>
          <w:lang w:eastAsia="ja-JP"/>
        </w:rPr>
        <w:t>Queensland Government</w:t>
      </w:r>
      <w:r w:rsidR="002A746B">
        <w:rPr>
          <w:lang w:eastAsia="ja-JP"/>
        </w:rPr>
        <w:t>’s</w:t>
      </w:r>
      <w:r w:rsidRPr="00DC580B">
        <w:rPr>
          <w:lang w:eastAsia="ja-JP"/>
        </w:rPr>
        <w:t xml:space="preserve"> </w:t>
      </w:r>
      <w:hyperlink r:id="rId71" w:history="1">
        <w:r w:rsidRPr="00DC580B">
          <w:rPr>
            <w:color w:val="165788"/>
            <w:u w:val="single"/>
            <w:lang w:eastAsia="ja-JP"/>
          </w:rPr>
          <w:t>Emergency Management Fire and Rescue Levy</w:t>
        </w:r>
      </w:hyperlink>
      <w:r w:rsidRPr="00DC580B">
        <w:rPr>
          <w:color w:val="165788"/>
          <w:lang w:eastAsia="ja-JP"/>
        </w:rPr>
        <w:t xml:space="preserve"> </w:t>
      </w:r>
      <w:r w:rsidRPr="00DC580B">
        <w:t>website</w:t>
      </w:r>
      <w:r w:rsidRPr="00DC580B">
        <w:rPr>
          <w:lang w:eastAsia="ja-JP"/>
        </w:rPr>
        <w:t>; Queensland Fire and Emergency Services 2015–16 Annual Report</w:t>
      </w:r>
      <w:r w:rsidR="002226E9">
        <w:rPr>
          <w:lang w:eastAsia="ja-JP"/>
        </w:rPr>
        <w:t xml:space="preserve"> (</w:t>
      </w:r>
      <w:hyperlink w:anchor="QFES_2016" w:history="1">
        <w:r w:rsidR="002226E9" w:rsidRPr="002226E9">
          <w:rPr>
            <w:rStyle w:val="Hyperlink"/>
            <w:rFonts w:eastAsia="Calibri" w:cs="Times New Roman"/>
            <w:lang w:eastAsia="ja-JP"/>
          </w:rPr>
          <w:t>QFES 2016</w:t>
        </w:r>
      </w:hyperlink>
      <w:r w:rsidR="002226E9">
        <w:rPr>
          <w:lang w:eastAsia="ja-JP"/>
        </w:rPr>
        <w:t>)</w:t>
      </w:r>
      <w:r w:rsidRPr="00DC580B">
        <w:rPr>
          <w:lang w:eastAsia="ja-JP"/>
        </w:rPr>
        <w:t>.</w:t>
      </w:r>
    </w:p>
    <w:p w14:paraId="2F8592F6" w14:textId="26B5365A" w:rsidR="00DC580B" w:rsidRPr="00DC580B" w:rsidRDefault="00DC580B" w:rsidP="00BC28A1">
      <w:pPr>
        <w:pStyle w:val="BoxHeading"/>
        <w:keepNext/>
        <w:keepLines/>
        <w:rPr>
          <w:lang w:eastAsia="ja-JP"/>
        </w:rPr>
      </w:pPr>
      <w:r w:rsidRPr="00DC580B">
        <w:rPr>
          <w:lang w:eastAsia="ja-JP"/>
        </w:rPr>
        <w:t>Victor</w:t>
      </w:r>
      <w:r w:rsidR="002B2A67">
        <w:rPr>
          <w:lang w:eastAsia="ja-JP"/>
        </w:rPr>
        <w:t>ian Fire Services Property Levy</w:t>
      </w:r>
    </w:p>
    <w:p w14:paraId="3263B405" w14:textId="448B5442" w:rsidR="00DC580B" w:rsidRPr="00DC580B" w:rsidRDefault="00DC580B" w:rsidP="00BC28A1">
      <w:pPr>
        <w:pStyle w:val="BoxText"/>
        <w:keepNext/>
        <w:keepLines/>
      </w:pPr>
      <w:r w:rsidRPr="005B60B5">
        <w:rPr>
          <w:lang w:eastAsia="ja-JP"/>
        </w:rPr>
        <w:t xml:space="preserve">The Victorian Government replaced its insurance-based fire services levy with a </w:t>
      </w:r>
      <w:r w:rsidR="002B2A67">
        <w:rPr>
          <w:lang w:eastAsia="ja-JP"/>
        </w:rPr>
        <w:t>F</w:t>
      </w:r>
      <w:r w:rsidRPr="005B60B5">
        <w:rPr>
          <w:lang w:eastAsia="ja-JP"/>
        </w:rPr>
        <w:t xml:space="preserve">ire </w:t>
      </w:r>
      <w:r w:rsidR="002B2A67">
        <w:rPr>
          <w:lang w:eastAsia="ja-JP"/>
        </w:rPr>
        <w:t>S</w:t>
      </w:r>
      <w:r w:rsidRPr="005B60B5">
        <w:rPr>
          <w:lang w:eastAsia="ja-JP"/>
        </w:rPr>
        <w:t xml:space="preserve">ervices </w:t>
      </w:r>
      <w:r w:rsidR="002B2A67">
        <w:rPr>
          <w:lang w:eastAsia="ja-JP"/>
        </w:rPr>
        <w:t>P</w:t>
      </w:r>
      <w:r w:rsidRPr="005B60B5">
        <w:rPr>
          <w:lang w:eastAsia="ja-JP"/>
        </w:rPr>
        <w:t xml:space="preserve">roperty </w:t>
      </w:r>
      <w:r w:rsidR="002B2A67">
        <w:rPr>
          <w:lang w:eastAsia="ja-JP"/>
        </w:rPr>
        <w:t>L</w:t>
      </w:r>
      <w:r w:rsidRPr="005B60B5">
        <w:rPr>
          <w:lang w:eastAsia="ja-JP"/>
        </w:rPr>
        <w:t>evy (FSPL) in 2013, as recommended by the Victo</w:t>
      </w:r>
      <w:r w:rsidR="005B60B5" w:rsidRPr="005B60B5">
        <w:rPr>
          <w:lang w:eastAsia="ja-JP"/>
        </w:rPr>
        <w:t>rian Bushfires Royal Commission</w:t>
      </w:r>
      <w:r w:rsidR="00D26EFC" w:rsidRPr="005B60B5">
        <w:rPr>
          <w:lang w:eastAsia="ja-JP"/>
        </w:rPr>
        <w:t xml:space="preserve">. </w:t>
      </w:r>
      <w:r w:rsidRPr="005B60B5">
        <w:rPr>
          <w:lang w:eastAsia="ja-JP"/>
        </w:rPr>
        <w:t xml:space="preserve">The FSPL is collected under the </w:t>
      </w:r>
      <w:r w:rsidRPr="005B60B5">
        <w:rPr>
          <w:i/>
        </w:rPr>
        <w:t>Fire Services Property Levy Act 2012</w:t>
      </w:r>
      <w:r w:rsidRPr="005B60B5">
        <w:t xml:space="preserve"> (Vic.), which legislates that all Victorian property owners are liable for a financial contribution to Victoria’s fire services. The FSPL is </w:t>
      </w:r>
      <w:r w:rsidRPr="005B60B5">
        <w:rPr>
          <w:lang w:eastAsia="ja-JP"/>
        </w:rPr>
        <w:t>collected through local government rate notices.</w:t>
      </w:r>
    </w:p>
    <w:p w14:paraId="55DC1894" w14:textId="33BF0EFB" w:rsidR="006E773A" w:rsidRDefault="00DC580B" w:rsidP="00BC28A1">
      <w:pPr>
        <w:pStyle w:val="BoxText"/>
        <w:keepNext/>
        <w:keepLines/>
        <w:rPr>
          <w:lang w:eastAsia="ja-JP"/>
        </w:rPr>
      </w:pPr>
      <w:r w:rsidRPr="00DC580B">
        <w:rPr>
          <w:lang w:eastAsia="ja-JP"/>
        </w:rPr>
        <w:t>The Victorian Department of Treasury and Finance 2016–17 B</w:t>
      </w:r>
      <w:r w:rsidR="000E2249">
        <w:rPr>
          <w:lang w:eastAsia="ja-JP"/>
        </w:rPr>
        <w:t>udget forecasts revenue of $674 </w:t>
      </w:r>
      <w:r w:rsidRPr="00DC580B">
        <w:rPr>
          <w:lang w:eastAsia="ja-JP"/>
        </w:rPr>
        <w:t xml:space="preserve">million from the FSPL. </w:t>
      </w:r>
      <w:r w:rsidRPr="00DC580B">
        <w:t xml:space="preserve">The Metropolitan Fire and Emergency Services Board </w:t>
      </w:r>
      <w:r w:rsidR="002B2A67">
        <w:t xml:space="preserve">(MFB) </w:t>
      </w:r>
      <w:r w:rsidRPr="00DC580B">
        <w:t xml:space="preserve">and the Country Fire Authority </w:t>
      </w:r>
      <w:r w:rsidR="002B2A67">
        <w:t xml:space="preserve">(CFA) </w:t>
      </w:r>
      <w:r w:rsidRPr="00DC580B">
        <w:t>are largely funded by the FSPL which is collected by councils, and the Victorian Go</w:t>
      </w:r>
      <w:r w:rsidR="00A8440A">
        <w:t>vernment. Councils collect 87.5 </w:t>
      </w:r>
      <w:r w:rsidRPr="00DC580B">
        <w:t>per</w:t>
      </w:r>
      <w:r w:rsidR="00A8440A">
        <w:t> cent of MFB budget and 77.5 </w:t>
      </w:r>
      <w:r w:rsidRPr="00DC580B">
        <w:t>per</w:t>
      </w:r>
      <w:r w:rsidR="00A8440A">
        <w:t> </w:t>
      </w:r>
      <w:r w:rsidRPr="00DC580B">
        <w:t>cent</w:t>
      </w:r>
      <w:r w:rsidRPr="00DC580B">
        <w:rPr>
          <w:lang w:eastAsia="ja-JP"/>
        </w:rPr>
        <w:t xml:space="preserve"> of CFA budget from Victorian property owners. The Victorian Government contributes the remaining 12.5</w:t>
      </w:r>
      <w:r w:rsidR="00A8440A">
        <w:rPr>
          <w:lang w:eastAsia="ja-JP"/>
        </w:rPr>
        <w:t> </w:t>
      </w:r>
      <w:r w:rsidRPr="00DC580B">
        <w:rPr>
          <w:lang w:eastAsia="ja-JP"/>
        </w:rPr>
        <w:t>per</w:t>
      </w:r>
      <w:r w:rsidR="00A8440A">
        <w:rPr>
          <w:lang w:eastAsia="ja-JP"/>
        </w:rPr>
        <w:t> cent of the MFB budget and 22.5 </w:t>
      </w:r>
      <w:r w:rsidRPr="00DC580B">
        <w:rPr>
          <w:lang w:eastAsia="ja-JP"/>
        </w:rPr>
        <w:t>per</w:t>
      </w:r>
      <w:r w:rsidR="00A8440A">
        <w:rPr>
          <w:lang w:eastAsia="ja-JP"/>
        </w:rPr>
        <w:t> </w:t>
      </w:r>
      <w:r w:rsidRPr="00DC580B">
        <w:rPr>
          <w:lang w:eastAsia="ja-JP"/>
        </w:rPr>
        <w:t>cent of the CFA budget.</w:t>
      </w:r>
    </w:p>
    <w:p w14:paraId="7FEFE809" w14:textId="34C85372" w:rsidR="008857A3" w:rsidRPr="00CD571C" w:rsidRDefault="00DC580B" w:rsidP="00BC28A1">
      <w:pPr>
        <w:pStyle w:val="BoxSource"/>
        <w:keepNext/>
        <w:keepLines/>
      </w:pPr>
      <w:r w:rsidRPr="00CD571C">
        <w:t>Source:</w:t>
      </w:r>
      <w:r w:rsidR="002A746B" w:rsidRPr="00CD571C">
        <w:t xml:space="preserve"> The</w:t>
      </w:r>
      <w:r w:rsidRPr="00CD571C">
        <w:t xml:space="preserve"> Victorian </w:t>
      </w:r>
      <w:r w:rsidRPr="00CC5EA7">
        <w:t>Government</w:t>
      </w:r>
      <w:r w:rsidR="002A746B" w:rsidRPr="00CC5EA7">
        <w:t>’s</w:t>
      </w:r>
      <w:r w:rsidRPr="00CC5EA7">
        <w:t xml:space="preserve"> </w:t>
      </w:r>
      <w:hyperlink r:id="rId72" w:history="1">
        <w:r w:rsidRPr="00CC5EA7">
          <w:rPr>
            <w:rStyle w:val="Hyperlink"/>
          </w:rPr>
          <w:t>Fire Services Property Levy</w:t>
        </w:r>
      </w:hyperlink>
      <w:r w:rsidR="002B2A67" w:rsidRPr="00CC5EA7">
        <w:t xml:space="preserve"> website</w:t>
      </w:r>
      <w:r w:rsidR="002B2A67">
        <w:t>;</w:t>
      </w:r>
      <w:r w:rsidR="008857A3" w:rsidRPr="00CD571C">
        <w:t xml:space="preserve"> Victorian Government sub</w:t>
      </w:r>
      <w:r w:rsidR="00D26EFC" w:rsidRPr="00CD571C">
        <w:t>.</w:t>
      </w:r>
      <w:r w:rsidR="008857A3" w:rsidRPr="00CD571C">
        <w:t xml:space="preserve"> D</w:t>
      </w:r>
      <w:r w:rsidR="00D26EFC" w:rsidRPr="00CD571C">
        <w:t>R118</w:t>
      </w:r>
      <w:r w:rsidR="008857A3" w:rsidRPr="00CD571C">
        <w:t>.</w:t>
      </w:r>
    </w:p>
    <w:p w14:paraId="374945F3" w14:textId="5AC0A584" w:rsidR="00DC580B" w:rsidRPr="00DC580B" w:rsidRDefault="00DC580B" w:rsidP="00BC28A1">
      <w:pPr>
        <w:pStyle w:val="BoxHeading"/>
        <w:keepNext/>
        <w:keepLines/>
        <w:rPr>
          <w:lang w:eastAsia="ja-JP"/>
        </w:rPr>
      </w:pPr>
      <w:r w:rsidRPr="00DC580B">
        <w:rPr>
          <w:lang w:eastAsia="ja-JP"/>
        </w:rPr>
        <w:t>The N</w:t>
      </w:r>
      <w:r w:rsidR="002B2A67">
        <w:rPr>
          <w:lang w:eastAsia="ja-JP"/>
        </w:rPr>
        <w:t xml:space="preserve">ew </w:t>
      </w:r>
      <w:r w:rsidRPr="00DC580B">
        <w:rPr>
          <w:lang w:eastAsia="ja-JP"/>
        </w:rPr>
        <w:t>S</w:t>
      </w:r>
      <w:r w:rsidR="002B2A67">
        <w:rPr>
          <w:lang w:eastAsia="ja-JP"/>
        </w:rPr>
        <w:t xml:space="preserve">outh </w:t>
      </w:r>
      <w:r w:rsidRPr="00DC580B">
        <w:rPr>
          <w:lang w:eastAsia="ja-JP"/>
        </w:rPr>
        <w:t>W</w:t>
      </w:r>
      <w:r w:rsidR="002B2A67">
        <w:rPr>
          <w:lang w:eastAsia="ja-JP"/>
        </w:rPr>
        <w:t>ales</w:t>
      </w:r>
      <w:r w:rsidRPr="00DC580B">
        <w:rPr>
          <w:lang w:eastAsia="ja-JP"/>
        </w:rPr>
        <w:t xml:space="preserve"> Emergency Services Levy</w:t>
      </w:r>
    </w:p>
    <w:p w14:paraId="110D4D07" w14:textId="61BBEE59" w:rsidR="00DC580B" w:rsidRPr="00DC580B" w:rsidRDefault="00DC580B" w:rsidP="00BC28A1">
      <w:pPr>
        <w:pStyle w:val="BoxText"/>
        <w:keepNext/>
        <w:keepLines/>
      </w:pPr>
      <w:r w:rsidRPr="00DC580B">
        <w:t>The majority of the funding for the N</w:t>
      </w:r>
      <w:r w:rsidR="002B2A67">
        <w:t xml:space="preserve">ew </w:t>
      </w:r>
      <w:r w:rsidRPr="00DC580B">
        <w:t>S</w:t>
      </w:r>
      <w:r w:rsidR="002B2A67">
        <w:t xml:space="preserve">outh </w:t>
      </w:r>
      <w:r w:rsidRPr="00DC580B">
        <w:t>W</w:t>
      </w:r>
      <w:r w:rsidR="002B2A67">
        <w:t>ales</w:t>
      </w:r>
      <w:r w:rsidRPr="00DC580B">
        <w:t xml:space="preserve"> State Emergency Services, NSW Rural Fire Service and Fire and Rescue </w:t>
      </w:r>
      <w:r w:rsidR="002B2A67">
        <w:t>NSW</w:t>
      </w:r>
      <w:r w:rsidRPr="00DC580B">
        <w:t xml:space="preserve"> currently comes from an Emergency Services Levy (ESL) imposed on property insurance policy holders. The </w:t>
      </w:r>
      <w:r w:rsidR="002B2A67" w:rsidRPr="00DC580B">
        <w:t>N</w:t>
      </w:r>
      <w:r w:rsidR="002B2A67">
        <w:t xml:space="preserve">ew </w:t>
      </w:r>
      <w:r w:rsidR="002B2A67" w:rsidRPr="00DC580B">
        <w:t>S</w:t>
      </w:r>
      <w:r w:rsidR="002B2A67">
        <w:t xml:space="preserve">outh </w:t>
      </w:r>
      <w:r w:rsidR="002B2A67" w:rsidRPr="00DC580B">
        <w:t>W</w:t>
      </w:r>
      <w:r w:rsidR="002B2A67">
        <w:t>ales</w:t>
      </w:r>
      <w:r w:rsidRPr="00DC580B">
        <w:t xml:space="preserve"> Government determines the total budget for the emergency services authorities and requires insuran</w:t>
      </w:r>
      <w:r w:rsidR="00A8440A">
        <w:t>ce companies to contribute 73.7 </w:t>
      </w:r>
      <w:r w:rsidRPr="00DC580B">
        <w:t>per</w:t>
      </w:r>
      <w:r w:rsidR="00A8440A">
        <w:t> </w:t>
      </w:r>
      <w:r w:rsidRPr="00DC580B">
        <w:t>cent of the total. The balance is</w:t>
      </w:r>
      <w:r w:rsidR="00A8440A">
        <w:t xml:space="preserve"> provided by the Treasury (14.6 </w:t>
      </w:r>
      <w:r w:rsidRPr="00DC580B">
        <w:t>per</w:t>
      </w:r>
      <w:r w:rsidR="00A8440A">
        <w:t> </w:t>
      </w:r>
      <w:r w:rsidRPr="00DC580B">
        <w:t>cent) and local councils (11.7</w:t>
      </w:r>
      <w:r w:rsidR="00A8440A">
        <w:t> per </w:t>
      </w:r>
      <w:r w:rsidRPr="00DC580B">
        <w:t>cent).</w:t>
      </w:r>
    </w:p>
    <w:p w14:paraId="4650BF8A" w14:textId="35828600" w:rsidR="00DC580B" w:rsidRPr="00DC580B" w:rsidRDefault="00DC580B" w:rsidP="00BC28A1">
      <w:pPr>
        <w:pStyle w:val="BoxText"/>
        <w:keepNext/>
        <w:keepLines/>
        <w:rPr>
          <w:lang w:eastAsia="ja-JP"/>
        </w:rPr>
      </w:pPr>
      <w:r w:rsidRPr="00DC580B">
        <w:lastRenderedPageBreak/>
        <w:t xml:space="preserve">In 2015, the </w:t>
      </w:r>
      <w:r w:rsidR="002B2A67" w:rsidRPr="00DC580B">
        <w:t>N</w:t>
      </w:r>
      <w:r w:rsidR="002B2A67">
        <w:t xml:space="preserve">ew </w:t>
      </w:r>
      <w:r w:rsidR="002B2A67" w:rsidRPr="00DC580B">
        <w:t>S</w:t>
      </w:r>
      <w:r w:rsidR="002B2A67">
        <w:t xml:space="preserve">outh </w:t>
      </w:r>
      <w:r w:rsidR="002B2A67" w:rsidRPr="00DC580B">
        <w:t>W</w:t>
      </w:r>
      <w:r w:rsidR="002B2A67">
        <w:t>ales</w:t>
      </w:r>
      <w:r w:rsidRPr="00DC580B">
        <w:t xml:space="preserve"> Government announced its intention to move away from the insurance-based ESL model to a new property-based model, called the</w:t>
      </w:r>
      <w:r w:rsidR="00F26BDB">
        <w:t xml:space="preserve"> Fire and </w:t>
      </w:r>
      <w:r w:rsidRPr="00DC580B">
        <w:t>Emergency Services Levy (</w:t>
      </w:r>
      <w:r w:rsidR="00F26BDB">
        <w:t>F</w:t>
      </w:r>
      <w:r w:rsidRPr="00DC580B">
        <w:t>ESL</w:t>
      </w:r>
      <w:r w:rsidRPr="00CE3CB8">
        <w:t>)</w:t>
      </w:r>
      <w:r w:rsidRPr="00CE3CB8">
        <w:rPr>
          <w:lang w:eastAsia="ja-JP"/>
        </w:rPr>
        <w:t xml:space="preserve">. </w:t>
      </w:r>
      <w:r w:rsidR="000B6C34" w:rsidRPr="00CE3CB8">
        <w:rPr>
          <w:lang w:eastAsia="ja-JP"/>
        </w:rPr>
        <w:t xml:space="preserve">While the </w:t>
      </w:r>
      <w:r w:rsidR="002B2A67" w:rsidRPr="00DC580B">
        <w:t>N</w:t>
      </w:r>
      <w:r w:rsidR="002B2A67">
        <w:t xml:space="preserve">ew </w:t>
      </w:r>
      <w:r w:rsidR="002B2A67" w:rsidRPr="00DC580B">
        <w:t>S</w:t>
      </w:r>
      <w:r w:rsidR="002B2A67">
        <w:t xml:space="preserve">outh </w:t>
      </w:r>
      <w:r w:rsidR="002B2A67" w:rsidRPr="00DC580B">
        <w:t>W</w:t>
      </w:r>
      <w:r w:rsidR="002B2A67">
        <w:t>ales</w:t>
      </w:r>
      <w:r w:rsidR="000B6C34" w:rsidRPr="00CE3CB8">
        <w:rPr>
          <w:lang w:eastAsia="ja-JP"/>
        </w:rPr>
        <w:t xml:space="preserve"> Government has recently announced </w:t>
      </w:r>
      <w:r w:rsidR="0043587A" w:rsidRPr="00CE3CB8">
        <w:rPr>
          <w:lang w:eastAsia="ja-JP"/>
        </w:rPr>
        <w:t xml:space="preserve">a deferral to its </w:t>
      </w:r>
      <w:r w:rsidR="000B6C34" w:rsidRPr="00CE3CB8">
        <w:rPr>
          <w:lang w:eastAsia="ja-JP"/>
        </w:rPr>
        <w:t>implementation</w:t>
      </w:r>
      <w:r w:rsidR="0043587A" w:rsidRPr="00CE3CB8">
        <w:rPr>
          <w:lang w:eastAsia="ja-JP"/>
        </w:rPr>
        <w:t xml:space="preserve"> pending a review</w:t>
      </w:r>
      <w:r w:rsidR="000B6C34" w:rsidRPr="00CE3CB8">
        <w:rPr>
          <w:lang w:eastAsia="ja-JP"/>
        </w:rPr>
        <w:t xml:space="preserve">, it </w:t>
      </w:r>
      <w:r w:rsidRPr="00CE3CB8">
        <w:rPr>
          <w:lang w:eastAsia="ja-JP"/>
        </w:rPr>
        <w:t>expects</w:t>
      </w:r>
      <w:r w:rsidRPr="00DC580B">
        <w:rPr>
          <w:lang w:eastAsia="ja-JP"/>
        </w:rPr>
        <w:t xml:space="preserve"> the change to result in a reduction in the cost of property insurance and encourage more people to insure their properties. The new </w:t>
      </w:r>
      <w:r w:rsidR="00F26BDB">
        <w:rPr>
          <w:lang w:eastAsia="ja-JP"/>
        </w:rPr>
        <w:t>F</w:t>
      </w:r>
      <w:r w:rsidRPr="00DC580B">
        <w:rPr>
          <w:lang w:eastAsia="ja-JP"/>
        </w:rPr>
        <w:t xml:space="preserve">ESL will be collected on behalf of the </w:t>
      </w:r>
      <w:r w:rsidR="002B2A67" w:rsidRPr="00DC580B">
        <w:t>N</w:t>
      </w:r>
      <w:r w:rsidR="002B2A67">
        <w:t xml:space="preserve">ew </w:t>
      </w:r>
      <w:r w:rsidR="002B2A67" w:rsidRPr="00DC580B">
        <w:t>S</w:t>
      </w:r>
      <w:r w:rsidR="002B2A67">
        <w:t xml:space="preserve">outh </w:t>
      </w:r>
      <w:r w:rsidR="002B2A67" w:rsidRPr="00DC580B">
        <w:t>W</w:t>
      </w:r>
      <w:r w:rsidR="002B2A67">
        <w:t>ales</w:t>
      </w:r>
      <w:r w:rsidRPr="00DC580B">
        <w:rPr>
          <w:lang w:eastAsia="ja-JP"/>
        </w:rPr>
        <w:t xml:space="preserve"> </w:t>
      </w:r>
      <w:r w:rsidR="00F83170">
        <w:rPr>
          <w:lang w:eastAsia="ja-JP"/>
        </w:rPr>
        <w:t>G</w:t>
      </w:r>
      <w:r w:rsidR="002B2A67">
        <w:rPr>
          <w:lang w:eastAsia="ja-JP"/>
        </w:rPr>
        <w:t>overnment</w:t>
      </w:r>
      <w:r w:rsidRPr="00DC580B">
        <w:rPr>
          <w:lang w:eastAsia="ja-JP"/>
        </w:rPr>
        <w:t xml:space="preserve"> alongside council rates.</w:t>
      </w:r>
    </w:p>
    <w:p w14:paraId="22D0DB3D" w14:textId="6F95EACB" w:rsidR="00DC580B" w:rsidRPr="00DC580B" w:rsidRDefault="00DC580B" w:rsidP="00BC28A1">
      <w:pPr>
        <w:pStyle w:val="BoxSource"/>
        <w:keepNext/>
        <w:keepLines/>
        <w:rPr>
          <w:rFonts w:eastAsia="Calibri" w:cs="Times New Roman"/>
          <w:lang w:eastAsia="ja-JP"/>
        </w:rPr>
      </w:pPr>
      <w:r w:rsidRPr="00DC580B">
        <w:rPr>
          <w:rFonts w:eastAsia="Calibri" w:cs="Times New Roman"/>
          <w:lang w:eastAsia="ja-JP"/>
        </w:rPr>
        <w:t xml:space="preserve">Source: </w:t>
      </w:r>
      <w:r w:rsidR="002A746B">
        <w:rPr>
          <w:rFonts w:eastAsia="Calibri" w:cs="Times New Roman"/>
          <w:lang w:eastAsia="ja-JP"/>
        </w:rPr>
        <w:t xml:space="preserve">The </w:t>
      </w:r>
      <w:r w:rsidRPr="00DC580B">
        <w:rPr>
          <w:rFonts w:eastAsia="Calibri" w:cs="Times New Roman"/>
          <w:lang w:eastAsia="ja-JP"/>
        </w:rPr>
        <w:t>NSW Government</w:t>
      </w:r>
      <w:r w:rsidR="002A746B">
        <w:rPr>
          <w:rFonts w:eastAsia="Calibri" w:cs="Times New Roman"/>
          <w:lang w:eastAsia="ja-JP"/>
        </w:rPr>
        <w:t>’s</w:t>
      </w:r>
      <w:r w:rsidRPr="00DC580B">
        <w:rPr>
          <w:rFonts w:eastAsia="Calibri" w:cs="Times New Roman"/>
          <w:lang w:eastAsia="ja-JP"/>
        </w:rPr>
        <w:t xml:space="preserve"> </w:t>
      </w:r>
      <w:hyperlink r:id="rId73" w:history="1">
        <w:r w:rsidRPr="00DC580B">
          <w:rPr>
            <w:rFonts w:eastAsia="Calibri" w:cs="Times New Roman"/>
            <w:color w:val="165788"/>
            <w:u w:val="single"/>
            <w:lang w:eastAsia="ja-JP"/>
          </w:rPr>
          <w:t>Insurance Monitor</w:t>
        </w:r>
      </w:hyperlink>
      <w:r w:rsidRPr="00DC580B">
        <w:rPr>
          <w:rFonts w:eastAsia="Calibri" w:cs="Times New Roman"/>
        </w:rPr>
        <w:t xml:space="preserve"> website.</w:t>
      </w:r>
    </w:p>
    <w:p w14:paraId="60A8DAAB" w14:textId="540A2BF8" w:rsidR="00DC580B" w:rsidRDefault="00DC580B" w:rsidP="00DC580B">
      <w:pPr>
        <w:tabs>
          <w:tab w:val="left" w:pos="2970"/>
        </w:tabs>
        <w:rPr>
          <w:lang w:eastAsia="ja-JP"/>
        </w:rPr>
      </w:pPr>
      <w:r>
        <w:rPr>
          <w:lang w:eastAsia="ja-JP"/>
        </w:rPr>
        <w:t>In some jurisdictions, biosecurity activities are already funded by contributions from local l</w:t>
      </w:r>
      <w:r w:rsidR="007A6D0A">
        <w:rPr>
          <w:lang w:eastAsia="ja-JP"/>
        </w:rPr>
        <w:t>andholders or local governments;</w:t>
      </w:r>
      <w:r>
        <w:rPr>
          <w:lang w:eastAsia="ja-JP"/>
        </w:rPr>
        <w:t xml:space="preserve"> however</w:t>
      </w:r>
      <w:r w:rsidR="007A6D0A">
        <w:rPr>
          <w:lang w:eastAsia="ja-JP"/>
        </w:rPr>
        <w:t>,</w:t>
      </w:r>
      <w:r>
        <w:rPr>
          <w:lang w:eastAsia="ja-JP"/>
        </w:rPr>
        <w:t xml:space="preserve"> there is no consistent or necessarily equitable national application of levies on landhol</w:t>
      </w:r>
      <w:r w:rsidR="001D626E">
        <w:rPr>
          <w:lang w:eastAsia="ja-JP"/>
        </w:rPr>
        <w:t>ders for biosecurity activities:</w:t>
      </w:r>
    </w:p>
    <w:p w14:paraId="48D9BDA5" w14:textId="49FB2C89" w:rsidR="00DC580B" w:rsidRDefault="00DC580B" w:rsidP="00DC580B">
      <w:pPr>
        <w:pStyle w:val="Quote"/>
        <w:rPr>
          <w:lang w:eastAsia="ja-JP"/>
        </w:rPr>
      </w:pPr>
      <w:r>
        <w:rPr>
          <w:lang w:eastAsia="ja-JP"/>
        </w:rPr>
        <w:t>Confusion is further exasperated by the fragmented biosecurity systems and programs adopted by state and national jurisdictions. On the whole in [Western Australia], producers and growers are contributing funding up to six times towards biosecurity programs without having clear understanding of how this money is being spent on the ground, whether outcomes are being achieved or analysis of budgetary breakdowns (The Western Australian Farmers</w:t>
      </w:r>
      <w:r w:rsidR="002226E9">
        <w:rPr>
          <w:lang w:eastAsia="ja-JP"/>
        </w:rPr>
        <w:t>’</w:t>
      </w:r>
      <w:r>
        <w:rPr>
          <w:lang w:eastAsia="ja-JP"/>
        </w:rPr>
        <w:t xml:space="preserve"> Federation sub, DP32)</w:t>
      </w:r>
    </w:p>
    <w:p w14:paraId="1880E31E" w14:textId="359FB469" w:rsidR="00DC580B" w:rsidRPr="00315F01" w:rsidRDefault="00DC580B" w:rsidP="00DC580B">
      <w:pPr>
        <w:tabs>
          <w:tab w:val="left" w:pos="2970"/>
        </w:tabs>
      </w:pPr>
      <w:r>
        <w:rPr>
          <w:lang w:eastAsia="ja-JP"/>
        </w:rPr>
        <w:t xml:space="preserve">The </w:t>
      </w:r>
      <w:r w:rsidR="007A6D0A" w:rsidRPr="00DC580B">
        <w:t>N</w:t>
      </w:r>
      <w:r w:rsidR="007A6D0A">
        <w:t xml:space="preserve">ew </w:t>
      </w:r>
      <w:r w:rsidR="007A6D0A" w:rsidRPr="00DC580B">
        <w:t>S</w:t>
      </w:r>
      <w:r w:rsidR="007A6D0A">
        <w:t xml:space="preserve">outh </w:t>
      </w:r>
      <w:r w:rsidR="007A6D0A" w:rsidRPr="00DC580B">
        <w:t>W</w:t>
      </w:r>
      <w:r w:rsidR="007A6D0A">
        <w:t>ales</w:t>
      </w:r>
      <w:r>
        <w:rPr>
          <w:lang w:eastAsia="ja-JP"/>
        </w:rPr>
        <w:t xml:space="preserve"> Government</w:t>
      </w:r>
      <w:r w:rsidR="002226E9">
        <w:rPr>
          <w:lang w:eastAsia="ja-JP"/>
        </w:rPr>
        <w:t xml:space="preserve"> D</w:t>
      </w:r>
      <w:r w:rsidR="007A6D0A">
        <w:rPr>
          <w:lang w:eastAsia="ja-JP"/>
        </w:rPr>
        <w:t xml:space="preserve">epartment of Primary Industries </w:t>
      </w:r>
      <w:r>
        <w:rPr>
          <w:lang w:eastAsia="ja-JP"/>
        </w:rPr>
        <w:t xml:space="preserve">highlighted to the </w:t>
      </w:r>
      <w:r w:rsidR="007A6D0A">
        <w:rPr>
          <w:lang w:eastAsia="ja-JP"/>
        </w:rPr>
        <w:t>p</w:t>
      </w:r>
      <w:r>
        <w:rPr>
          <w:lang w:eastAsia="ja-JP"/>
        </w:rPr>
        <w:t xml:space="preserve">anel the benefits of the existing model that captures landholder contributions and how it can be used as a model for increasing local and regional participation in decision making while still addressing regional, state and national biosecurity </w:t>
      </w:r>
      <w:r w:rsidRPr="00315F01">
        <w:t>priorities (</w:t>
      </w:r>
      <w:r w:rsidR="00F57DAE" w:rsidRPr="00863540">
        <w:rPr>
          <w:highlight w:val="yellow"/>
        </w:rPr>
        <w:fldChar w:fldCharType="begin"/>
      </w:r>
      <w:r w:rsidR="00F57DAE" w:rsidRPr="00863540">
        <w:instrText xml:space="preserve"> REF _Ref481744645 \h </w:instrText>
      </w:r>
      <w:r w:rsidR="00315F01" w:rsidRPr="00863540">
        <w:rPr>
          <w:highlight w:val="yellow"/>
        </w:rPr>
        <w:instrText xml:space="preserve"> \* MERGEFORMAT </w:instrText>
      </w:r>
      <w:r w:rsidR="00F57DAE" w:rsidRPr="00863540">
        <w:rPr>
          <w:highlight w:val="yellow"/>
        </w:rPr>
      </w:r>
      <w:r w:rsidR="00F57DAE" w:rsidRPr="00863540">
        <w:rPr>
          <w:highlight w:val="yellow"/>
        </w:rPr>
        <w:fldChar w:fldCharType="separate"/>
      </w:r>
      <w:r w:rsidR="009F6923" w:rsidRPr="00C03003">
        <w:t xml:space="preserve">Box </w:t>
      </w:r>
      <w:r w:rsidR="009F6923">
        <w:t>15</w:t>
      </w:r>
      <w:r w:rsidR="00F57DAE" w:rsidRPr="00863540">
        <w:rPr>
          <w:highlight w:val="yellow"/>
        </w:rPr>
        <w:fldChar w:fldCharType="end"/>
      </w:r>
      <w:r w:rsidRPr="00315F01">
        <w:t>).</w:t>
      </w:r>
    </w:p>
    <w:p w14:paraId="58EF7596" w14:textId="3FF01BBA" w:rsidR="00C03003" w:rsidRPr="00C03003" w:rsidRDefault="00C03003" w:rsidP="0005500E">
      <w:pPr>
        <w:pStyle w:val="BoxHeading"/>
        <w:rPr>
          <w:lang w:eastAsia="ja-JP"/>
        </w:rPr>
      </w:pPr>
      <w:bookmarkStart w:id="191" w:name="_Ref481744645"/>
      <w:r w:rsidRPr="00C03003">
        <w:t xml:space="preserve">Box </w:t>
      </w:r>
      <w:fldSimple w:instr=" SEQ Box \* ARABIC ">
        <w:r w:rsidR="009F6923">
          <w:rPr>
            <w:noProof/>
          </w:rPr>
          <w:t>15</w:t>
        </w:r>
      </w:fldSimple>
      <w:bookmarkEnd w:id="191"/>
      <w:r w:rsidRPr="00C03003">
        <w:t xml:space="preserve"> N</w:t>
      </w:r>
      <w:r w:rsidR="007A6D0A">
        <w:t xml:space="preserve">ew </w:t>
      </w:r>
      <w:r w:rsidRPr="00C03003">
        <w:t>S</w:t>
      </w:r>
      <w:r w:rsidR="007A6D0A">
        <w:t xml:space="preserve">outh </w:t>
      </w:r>
      <w:r w:rsidRPr="00C03003">
        <w:t>W</w:t>
      </w:r>
      <w:r w:rsidR="007A6D0A">
        <w:t>ales</w:t>
      </w:r>
      <w:r w:rsidRPr="00C03003">
        <w:t xml:space="preserve"> Local Land Services</w:t>
      </w:r>
    </w:p>
    <w:p w14:paraId="757EE729" w14:textId="57826554" w:rsidR="00C03003" w:rsidRPr="00BC28A1" w:rsidRDefault="00C03003" w:rsidP="00BC28A1">
      <w:pPr>
        <w:pStyle w:val="BoxText"/>
      </w:pPr>
      <w:r w:rsidRPr="00BC28A1">
        <w:t xml:space="preserve">Under the </w:t>
      </w:r>
      <w:r w:rsidRPr="007A6D0A">
        <w:rPr>
          <w:i/>
        </w:rPr>
        <w:t>Local Land Services Act 2013</w:t>
      </w:r>
      <w:r w:rsidRPr="00BC28A1">
        <w:t xml:space="preserve"> (NSW), Local Land Services (LLS) must charge rates on all parcels of land that are classified as rateable under the Act. Each region has a minimum rating area for properties. The rateable area is generally 10 </w:t>
      </w:r>
      <w:r w:rsidR="007A6D0A">
        <w:t>hectares</w:t>
      </w:r>
      <w:r w:rsidRPr="00BC28A1">
        <w:t xml:space="preserve"> in coastal and tablelands areas and is larger (40 </w:t>
      </w:r>
      <w:r w:rsidR="007A6D0A">
        <w:t>hectares</w:t>
      </w:r>
      <w:r w:rsidRPr="00BC28A1">
        <w:t xml:space="preserve"> in the Western Division and 20 </w:t>
      </w:r>
      <w:r w:rsidR="007A6D0A">
        <w:t>hectares</w:t>
      </w:r>
      <w:r w:rsidRPr="00BC28A1">
        <w:t xml:space="preserve"> in some parts of </w:t>
      </w:r>
      <w:r w:rsidR="007A6D0A">
        <w:t xml:space="preserve">the </w:t>
      </w:r>
      <w:r w:rsidRPr="00BC28A1">
        <w:t xml:space="preserve">Murray and Riverina </w:t>
      </w:r>
      <w:r w:rsidR="007A6D0A">
        <w:t>r</w:t>
      </w:r>
      <w:r w:rsidRPr="00BC28A1">
        <w:t>egions) in more western regions.</w:t>
      </w:r>
    </w:p>
    <w:p w14:paraId="207710C6" w14:textId="21AE2D38" w:rsidR="00C03003" w:rsidRPr="00BC28A1" w:rsidRDefault="00C03003" w:rsidP="00BC28A1">
      <w:pPr>
        <w:pStyle w:val="BoxText"/>
      </w:pPr>
      <w:r w:rsidRPr="00BC28A1">
        <w:t xml:space="preserve">Rates </w:t>
      </w:r>
      <w:r w:rsidR="00525F48">
        <w:t>are charged on a two-tier basis</w:t>
      </w:r>
      <w:r w:rsidRPr="00BC28A1">
        <w:t xml:space="preserve"> involving a general rate paid by all landholders and an animal health rate paid by eligible ratepayers. Each rate type consists of a base charge plus a variable component. The base charge is a uniform charge on all rateable land. Rates help pay for the biosecurity and animal health services in each region. Examples of biosecurity projects include outbreaks of fire ants and avian influenza, state-wide wild dog management programs, and pest and weed support programs to help minimise the impact on agricultural productivity.</w:t>
      </w:r>
    </w:p>
    <w:p w14:paraId="12CB3F98" w14:textId="36FBD1B2" w:rsidR="00C03003" w:rsidRPr="00BC28A1" w:rsidRDefault="00C03003" w:rsidP="00BC28A1">
      <w:pPr>
        <w:pStyle w:val="BoxText"/>
      </w:pPr>
      <w:r w:rsidRPr="00BC28A1">
        <w:lastRenderedPageBreak/>
        <w:t>LLS rates raised $32.6</w:t>
      </w:r>
      <w:r w:rsidR="000E2249">
        <w:t> </w:t>
      </w:r>
      <w:r w:rsidR="00A8440A">
        <w:t>million</w:t>
      </w:r>
      <w:r w:rsidR="00525F48">
        <w:t>,</w:t>
      </w:r>
      <w:r w:rsidR="00A8440A">
        <w:t xml:space="preserve"> or about 23 </w:t>
      </w:r>
      <w:r w:rsidRPr="00BC28A1">
        <w:t>per</w:t>
      </w:r>
      <w:r w:rsidR="00A8440A">
        <w:t> </w:t>
      </w:r>
      <w:r w:rsidRPr="00BC28A1">
        <w:t>cent of LLS funding</w:t>
      </w:r>
      <w:r w:rsidR="00525F48">
        <w:t>,</w:t>
      </w:r>
      <w:r w:rsidRPr="00BC28A1">
        <w:t xml:space="preserve"> in 2015–16. As well as rates, the N</w:t>
      </w:r>
      <w:r w:rsidR="00525F48">
        <w:t>ew South Wales and Australian g</w:t>
      </w:r>
      <w:r w:rsidRPr="00BC28A1">
        <w:t xml:space="preserve">overnments contribute funding through Catchment Action NSW </w:t>
      </w:r>
      <w:r w:rsidR="0075013C" w:rsidRPr="00BC28A1">
        <w:t xml:space="preserve">and </w:t>
      </w:r>
      <w:r w:rsidRPr="00BC28A1">
        <w:t>the National Landcare Programme, respectively, for a range of environmental and natural resource management programs.</w:t>
      </w:r>
    </w:p>
    <w:p w14:paraId="1A535E85" w14:textId="7D21DEA4" w:rsidR="00C03003" w:rsidRPr="00C03003" w:rsidRDefault="00C03003" w:rsidP="00CD571C">
      <w:pPr>
        <w:pStyle w:val="BoxSource"/>
        <w:rPr>
          <w:lang w:eastAsia="ja-JP"/>
        </w:rPr>
      </w:pPr>
      <w:r w:rsidRPr="00C03003">
        <w:rPr>
          <w:lang w:eastAsia="ja-JP"/>
        </w:rPr>
        <w:t xml:space="preserve">Source: </w:t>
      </w:r>
      <w:r w:rsidR="002A746B">
        <w:rPr>
          <w:lang w:eastAsia="ja-JP"/>
        </w:rPr>
        <w:t xml:space="preserve">The </w:t>
      </w:r>
      <w:r w:rsidRPr="00C03003">
        <w:rPr>
          <w:lang w:eastAsia="ja-JP"/>
        </w:rPr>
        <w:t>N</w:t>
      </w:r>
      <w:r w:rsidR="00525F48">
        <w:rPr>
          <w:lang w:eastAsia="ja-JP"/>
        </w:rPr>
        <w:t xml:space="preserve">ew </w:t>
      </w:r>
      <w:r w:rsidRPr="00C03003">
        <w:rPr>
          <w:lang w:eastAsia="ja-JP"/>
        </w:rPr>
        <w:t>S</w:t>
      </w:r>
      <w:r w:rsidR="00525F48">
        <w:rPr>
          <w:lang w:eastAsia="ja-JP"/>
        </w:rPr>
        <w:t xml:space="preserve">outh </w:t>
      </w:r>
      <w:r w:rsidRPr="00C03003">
        <w:rPr>
          <w:lang w:eastAsia="ja-JP"/>
        </w:rPr>
        <w:t>W</w:t>
      </w:r>
      <w:r w:rsidR="00525F48">
        <w:rPr>
          <w:lang w:eastAsia="ja-JP"/>
        </w:rPr>
        <w:t>ales</w:t>
      </w:r>
      <w:r w:rsidRPr="00C03003">
        <w:rPr>
          <w:lang w:eastAsia="ja-JP"/>
        </w:rPr>
        <w:t xml:space="preserve"> Government</w:t>
      </w:r>
      <w:r w:rsidR="002A746B">
        <w:rPr>
          <w:lang w:eastAsia="ja-JP"/>
        </w:rPr>
        <w:t>’s</w:t>
      </w:r>
      <w:r w:rsidRPr="00C03003">
        <w:rPr>
          <w:lang w:eastAsia="ja-JP"/>
        </w:rPr>
        <w:t xml:space="preserve"> </w:t>
      </w:r>
      <w:hyperlink r:id="rId74" w:history="1">
        <w:r w:rsidRPr="002A746B">
          <w:rPr>
            <w:rStyle w:val="Hyperlink"/>
            <w:rFonts w:eastAsia="Calibri" w:cs="Times New Roman"/>
            <w:lang w:eastAsia="ja-JP"/>
          </w:rPr>
          <w:t>Local Land Services</w:t>
        </w:r>
      </w:hyperlink>
      <w:r w:rsidR="00241085">
        <w:t xml:space="preserve"> website; L</w:t>
      </w:r>
      <w:r w:rsidRPr="00C03003">
        <w:t>ocal Land Services Annual Report 2015–16</w:t>
      </w:r>
      <w:r w:rsidR="00A54F7E">
        <w:t xml:space="preserve"> (</w:t>
      </w:r>
      <w:hyperlink w:anchor="LLS_2016" w:history="1">
        <w:r w:rsidR="00A54F7E" w:rsidRPr="00A54F7E">
          <w:rPr>
            <w:rStyle w:val="Hyperlink"/>
            <w:rFonts w:eastAsia="Calibri" w:cs="Times New Roman"/>
          </w:rPr>
          <w:t>LLS 2016</w:t>
        </w:r>
      </w:hyperlink>
      <w:r w:rsidR="00A54F7E">
        <w:t>)</w:t>
      </w:r>
      <w:r w:rsidRPr="00C03003">
        <w:t>.</w:t>
      </w:r>
    </w:p>
    <w:p w14:paraId="5D4B2528" w14:textId="5C2406C5" w:rsidR="00C03003" w:rsidRDefault="00C03003" w:rsidP="00C03003">
      <w:pPr>
        <w:tabs>
          <w:tab w:val="left" w:pos="2970"/>
        </w:tabs>
        <w:rPr>
          <w:lang w:eastAsia="ja-JP"/>
        </w:rPr>
      </w:pPr>
      <w:r>
        <w:rPr>
          <w:lang w:eastAsia="ja-JP"/>
        </w:rPr>
        <w:t>In its Pest Animal Management Review draft report (</w:t>
      </w:r>
      <w:hyperlink w:anchor="NRC_2016" w:history="1">
        <w:r w:rsidRPr="009D39B1">
          <w:rPr>
            <w:rStyle w:val="Hyperlink"/>
            <w:lang w:eastAsia="ja-JP"/>
          </w:rPr>
          <w:t>NRC 2016</w:t>
        </w:r>
      </w:hyperlink>
      <w:r w:rsidRPr="009D39B1">
        <w:rPr>
          <w:lang w:eastAsia="ja-JP"/>
        </w:rPr>
        <w:t>)</w:t>
      </w:r>
      <w:r>
        <w:rPr>
          <w:lang w:eastAsia="ja-JP"/>
        </w:rPr>
        <w:t xml:space="preserve">, the NSW Natural Resources Commission recommended reducing the minimum rateable area for landholders to better reflect the biosecurity risks created by smaller landholders—specifically, the </w:t>
      </w:r>
      <w:r w:rsidR="00A54F7E">
        <w:rPr>
          <w:lang w:eastAsia="ja-JP"/>
        </w:rPr>
        <w:t xml:space="preserve">commission proposed </w:t>
      </w:r>
      <w:r>
        <w:rPr>
          <w:lang w:eastAsia="ja-JP"/>
        </w:rPr>
        <w:t>the minimum rateable area</w:t>
      </w:r>
      <w:r w:rsidR="003D5C60">
        <w:rPr>
          <w:lang w:eastAsia="ja-JP"/>
        </w:rPr>
        <w:t xml:space="preserve"> </w:t>
      </w:r>
      <w:r w:rsidR="00E91CC4">
        <w:rPr>
          <w:lang w:eastAsia="ja-JP"/>
        </w:rPr>
        <w:t xml:space="preserve">be reduced </w:t>
      </w:r>
      <w:r w:rsidR="003D5C60">
        <w:rPr>
          <w:lang w:eastAsia="ja-JP"/>
        </w:rPr>
        <w:t>to two hectares</w:t>
      </w:r>
      <w:r>
        <w:rPr>
          <w:lang w:eastAsia="ja-JP"/>
        </w:rPr>
        <w:t xml:space="preserve"> (from 10 hectares). The </w:t>
      </w:r>
      <w:r w:rsidR="007A47B2">
        <w:rPr>
          <w:lang w:eastAsia="ja-JP"/>
        </w:rPr>
        <w:t>p</w:t>
      </w:r>
      <w:r>
        <w:rPr>
          <w:lang w:eastAsia="ja-JP"/>
        </w:rPr>
        <w:t>anel suggests reducing the</w:t>
      </w:r>
      <w:r w:rsidR="008857A3">
        <w:rPr>
          <w:lang w:eastAsia="ja-JP"/>
        </w:rPr>
        <w:t xml:space="preserve"> </w:t>
      </w:r>
      <w:r w:rsidR="00DB3973">
        <w:rPr>
          <w:lang w:eastAsia="ja-JP"/>
        </w:rPr>
        <w:t>mi</w:t>
      </w:r>
      <w:r w:rsidR="008205D9">
        <w:rPr>
          <w:lang w:eastAsia="ja-JP"/>
        </w:rPr>
        <w:t>n</w:t>
      </w:r>
      <w:r w:rsidR="00DB3973">
        <w:rPr>
          <w:lang w:eastAsia="ja-JP"/>
        </w:rPr>
        <w:t xml:space="preserve">imal </w:t>
      </w:r>
      <w:r>
        <w:rPr>
          <w:lang w:eastAsia="ja-JP"/>
        </w:rPr>
        <w:t>rateable area to two hectares be considered by all state and territory governments, given the increasing risks attached to peri-urban activities.</w:t>
      </w:r>
    </w:p>
    <w:p w14:paraId="26DD5BF4" w14:textId="4430B817" w:rsidR="00C03003" w:rsidRDefault="008857A3" w:rsidP="00C03003">
      <w:pPr>
        <w:tabs>
          <w:tab w:val="left" w:pos="2970"/>
        </w:tabs>
        <w:rPr>
          <w:lang w:eastAsia="ja-JP"/>
        </w:rPr>
      </w:pPr>
      <w:r w:rsidRPr="008857A3">
        <w:rPr>
          <w:lang w:eastAsia="ja-JP"/>
        </w:rPr>
        <w:t xml:space="preserve">The </w:t>
      </w:r>
      <w:r w:rsidR="003D5C60">
        <w:rPr>
          <w:lang w:eastAsia="ja-JP"/>
        </w:rPr>
        <w:t>commis</w:t>
      </w:r>
      <w:r w:rsidR="00392F65">
        <w:rPr>
          <w:lang w:eastAsia="ja-JP"/>
        </w:rPr>
        <w:t>s</w:t>
      </w:r>
      <w:r w:rsidR="003D5C60">
        <w:rPr>
          <w:lang w:eastAsia="ja-JP"/>
        </w:rPr>
        <w:t>ion’s</w:t>
      </w:r>
      <w:r w:rsidRPr="008857A3">
        <w:rPr>
          <w:lang w:eastAsia="ja-JP"/>
        </w:rPr>
        <w:t xml:space="preserve"> recommendation to reduce the minimum rateable area is entirely consistent with an intention to raise the profile and ownership of biosecurity issues for all landholders, especially those within peri-urban areas,</w:t>
      </w:r>
      <w:r w:rsidR="00DB3973" w:rsidRPr="00DB3973">
        <w:rPr>
          <w:lang w:eastAsia="ja-JP"/>
        </w:rPr>
        <w:t xml:space="preserve"> </w:t>
      </w:r>
      <w:r w:rsidR="00DB3973" w:rsidRPr="008857A3">
        <w:rPr>
          <w:lang w:eastAsia="ja-JP"/>
        </w:rPr>
        <w:t xml:space="preserve">and recognises the potential biosecurity risks </w:t>
      </w:r>
      <w:r w:rsidR="00740A76">
        <w:rPr>
          <w:lang w:eastAsia="ja-JP"/>
        </w:rPr>
        <w:t xml:space="preserve">directly </w:t>
      </w:r>
      <w:r w:rsidR="00DB3973" w:rsidRPr="008857A3">
        <w:rPr>
          <w:lang w:eastAsia="ja-JP"/>
        </w:rPr>
        <w:t>associated with landholdings of two hectares or greater</w:t>
      </w:r>
      <w:r w:rsidRPr="008857A3">
        <w:rPr>
          <w:lang w:eastAsia="ja-JP"/>
        </w:rPr>
        <w:t xml:space="preserve">. The </w:t>
      </w:r>
      <w:r w:rsidR="003D5C60">
        <w:rPr>
          <w:lang w:eastAsia="ja-JP"/>
        </w:rPr>
        <w:t>commission</w:t>
      </w:r>
      <w:r w:rsidRPr="008857A3">
        <w:rPr>
          <w:lang w:eastAsia="ja-JP"/>
        </w:rPr>
        <w:t xml:space="preserve"> also highlighted the consistency of the recommendation with the 2008 Beale </w:t>
      </w:r>
      <w:r w:rsidR="009253C2">
        <w:rPr>
          <w:lang w:eastAsia="ja-JP"/>
        </w:rPr>
        <w:t>r</w:t>
      </w:r>
      <w:r w:rsidRPr="008857A3">
        <w:rPr>
          <w:lang w:eastAsia="ja-JP"/>
        </w:rPr>
        <w:t>eview</w:t>
      </w:r>
      <w:r w:rsidR="00C03003">
        <w:rPr>
          <w:lang w:eastAsia="ja-JP"/>
        </w:rPr>
        <w:t xml:space="preserve"> </w:t>
      </w:r>
      <w:r w:rsidR="00C03003" w:rsidRPr="009D39B1">
        <w:rPr>
          <w:lang w:eastAsia="ja-JP"/>
        </w:rPr>
        <w:t>(</w:t>
      </w:r>
      <w:hyperlink w:anchor="Beale_et_al_2008" w:history="1">
        <w:r w:rsidR="00C03003" w:rsidRPr="009D39B1">
          <w:rPr>
            <w:rStyle w:val="Hyperlink"/>
            <w:lang w:eastAsia="ja-JP"/>
          </w:rPr>
          <w:t>Beale et al. 2008</w:t>
        </w:r>
      </w:hyperlink>
      <w:r w:rsidR="00C03003">
        <w:rPr>
          <w:lang w:eastAsia="ja-JP"/>
        </w:rPr>
        <w:t>).</w:t>
      </w:r>
    </w:p>
    <w:p w14:paraId="151D731D" w14:textId="77777777" w:rsidR="00C03003" w:rsidRDefault="00C03003" w:rsidP="00C03003">
      <w:pPr>
        <w:tabs>
          <w:tab w:val="left" w:pos="2970"/>
        </w:tabs>
        <w:rPr>
          <w:lang w:eastAsia="ja-JP"/>
        </w:rPr>
      </w:pPr>
      <w:r>
        <w:rPr>
          <w:lang w:eastAsia="ja-JP"/>
        </w:rPr>
        <w:t>In the longer term, all jurisdictions may wish to consider moving from a size threshold to a local-level levy for all landholders or rate payers. A levy applied to all landholders across the country would further increase the awareness of biosecurity issues and ensure biosecurity risk management is a responsibility shared by all Australians.</w:t>
      </w:r>
    </w:p>
    <w:p w14:paraId="72B94AC3" w14:textId="32AA73F5" w:rsidR="00C03003" w:rsidRDefault="00C03003" w:rsidP="00C03003">
      <w:pPr>
        <w:tabs>
          <w:tab w:val="left" w:pos="2970"/>
        </w:tabs>
        <w:rPr>
          <w:lang w:eastAsia="ja-JP"/>
        </w:rPr>
      </w:pPr>
      <w:r>
        <w:rPr>
          <w:lang w:eastAsia="ja-JP"/>
        </w:rPr>
        <w:t xml:space="preserve">With increasing population density in our cities, </w:t>
      </w:r>
      <w:r w:rsidR="009253C2">
        <w:rPr>
          <w:lang w:eastAsia="ja-JP"/>
        </w:rPr>
        <w:t xml:space="preserve">there is likely to be an increase in the use of and reliance on </w:t>
      </w:r>
      <w:r>
        <w:rPr>
          <w:lang w:eastAsia="ja-JP"/>
        </w:rPr>
        <w:t>public amenities such as community parks, sporting fields, golf courses and national parks. Incursions that threaten these increasingly popular environments and spaces should be the responsibility of all community members.</w:t>
      </w:r>
    </w:p>
    <w:p w14:paraId="141E7BE2" w14:textId="77777777" w:rsidR="00C03003" w:rsidRPr="00290792" w:rsidRDefault="00C03003" w:rsidP="00C03003">
      <w:pPr>
        <w:pStyle w:val="BoxHeading"/>
        <w:shd w:val="clear" w:color="auto" w:fill="D9D9D9" w:themeFill="background1" w:themeFillShade="D9"/>
        <w:rPr>
          <w:sz w:val="22"/>
        </w:rPr>
      </w:pPr>
      <w:bookmarkStart w:id="192" w:name="_Ref482710338"/>
      <w:r w:rsidRPr="00290792">
        <w:rPr>
          <w:sz w:val="22"/>
        </w:rPr>
        <w:t xml:space="preserve">Recommendation </w:t>
      </w:r>
      <w:r w:rsidR="00C72264" w:rsidRPr="00290792">
        <w:rPr>
          <w:sz w:val="22"/>
        </w:rPr>
        <w:fldChar w:fldCharType="begin"/>
      </w:r>
      <w:r w:rsidR="00C72264" w:rsidRPr="00290792">
        <w:rPr>
          <w:sz w:val="22"/>
        </w:rPr>
        <w:instrText xml:space="preserve"> SEQ Recommendation \* ARABIC </w:instrText>
      </w:r>
      <w:r w:rsidR="00C72264" w:rsidRPr="00290792">
        <w:rPr>
          <w:sz w:val="22"/>
        </w:rPr>
        <w:fldChar w:fldCharType="separate"/>
      </w:r>
      <w:r w:rsidR="009F6923">
        <w:rPr>
          <w:noProof/>
          <w:sz w:val="22"/>
        </w:rPr>
        <w:t>33</w:t>
      </w:r>
      <w:r w:rsidR="00C72264" w:rsidRPr="00290792">
        <w:rPr>
          <w:noProof/>
          <w:sz w:val="22"/>
        </w:rPr>
        <w:fldChar w:fldCharType="end"/>
      </w:r>
      <w:bookmarkEnd w:id="192"/>
    </w:p>
    <w:p w14:paraId="7E58D5C2" w14:textId="3EF5A54D" w:rsidR="00C03003" w:rsidRPr="00290792" w:rsidRDefault="00C03003" w:rsidP="00C03003">
      <w:pPr>
        <w:pStyle w:val="BoxText"/>
        <w:shd w:val="clear" w:color="auto" w:fill="D9D9D9" w:themeFill="background1" w:themeFillShade="D9"/>
        <w:rPr>
          <w:sz w:val="22"/>
        </w:rPr>
      </w:pPr>
      <w:r w:rsidRPr="00290792">
        <w:rPr>
          <w:sz w:val="22"/>
        </w:rPr>
        <w:t>All levels of government could help meet their budgetary challenges by reviewing biosecurity levies and rates/charges currently or potentially applying to biosecurity system participants. These should be commensurate with agreed national cost</w:t>
      </w:r>
      <w:r w:rsidR="0087453A">
        <w:rPr>
          <w:sz w:val="22"/>
        </w:rPr>
        <w:t>-</w:t>
      </w:r>
      <w:r w:rsidRPr="00290792">
        <w:rPr>
          <w:sz w:val="22"/>
        </w:rPr>
        <w:t>sharing principles.</w:t>
      </w:r>
    </w:p>
    <w:p w14:paraId="2AA2D4DE" w14:textId="6029DB2A" w:rsidR="00C03003" w:rsidRPr="00C03003" w:rsidRDefault="00C03003" w:rsidP="00290792">
      <w:pPr>
        <w:spacing w:after="0"/>
        <w:rPr>
          <w:rStyle w:val="Strong"/>
        </w:rPr>
      </w:pPr>
      <w:r w:rsidRPr="00C03003">
        <w:rPr>
          <w:rStyle w:val="Strong"/>
        </w:rPr>
        <w:lastRenderedPageBreak/>
        <w:t>The environment</w:t>
      </w:r>
    </w:p>
    <w:p w14:paraId="178CC877" w14:textId="588106AC" w:rsidR="00C03003" w:rsidRDefault="00C03003" w:rsidP="00C03003">
      <w:pPr>
        <w:rPr>
          <w:lang w:eastAsia="ja-JP"/>
        </w:rPr>
      </w:pPr>
      <w:r>
        <w:rPr>
          <w:lang w:eastAsia="ja-JP"/>
        </w:rPr>
        <w:t>Funding for environmental biosecurity needs a broader base to be more sustainable and less prone to short-term government budget decisions. The container levy proposed above would be a good start</w:t>
      </w:r>
      <w:r w:rsidR="001717AD">
        <w:rPr>
          <w:lang w:eastAsia="ja-JP"/>
        </w:rPr>
        <w:t>,</w:t>
      </w:r>
      <w:r>
        <w:rPr>
          <w:lang w:eastAsia="ja-JP"/>
        </w:rPr>
        <w:t xml:space="preserve"> as it targets international risk creators, but more needs to be considered on the domestic </w:t>
      </w:r>
      <w:r w:rsidR="001717AD">
        <w:rPr>
          <w:lang w:eastAsia="ja-JP"/>
        </w:rPr>
        <w:t>risk creators and beneficiaries</w:t>
      </w:r>
      <w:r>
        <w:rPr>
          <w:lang w:eastAsia="ja-JP"/>
        </w:rPr>
        <w:t xml:space="preserve"> side. For example, campers can facilitate the spread of exotic pests and diseases as they move through containment zones without taking proper precautions</w:t>
      </w:r>
      <w:r w:rsidR="001717AD">
        <w:rPr>
          <w:lang w:eastAsia="ja-JP"/>
        </w:rPr>
        <w:t>,</w:t>
      </w:r>
      <w:r>
        <w:rPr>
          <w:lang w:eastAsia="ja-JP"/>
        </w:rPr>
        <w:t xml:space="preserve"> while users of national parks and eco</w:t>
      </w:r>
      <w:r w:rsidR="00315F01">
        <w:rPr>
          <w:lang w:eastAsia="ja-JP"/>
        </w:rPr>
        <w:t>-</w:t>
      </w:r>
      <w:r>
        <w:rPr>
          <w:lang w:eastAsia="ja-JP"/>
        </w:rPr>
        <w:t>tourism operators benefit from pristine environments.</w:t>
      </w:r>
    </w:p>
    <w:p w14:paraId="0EF34C6F" w14:textId="009BAC6E" w:rsidR="00C03003" w:rsidRDefault="00C03003" w:rsidP="00C03003">
      <w:pPr>
        <w:rPr>
          <w:lang w:eastAsia="ja-JP"/>
        </w:rPr>
      </w:pPr>
      <w:r>
        <w:rPr>
          <w:lang w:eastAsia="ja-JP"/>
        </w:rPr>
        <w:t xml:space="preserve">The </w:t>
      </w:r>
      <w:r w:rsidR="001717AD">
        <w:rPr>
          <w:lang w:eastAsia="ja-JP"/>
        </w:rPr>
        <w:t>p</w:t>
      </w:r>
      <w:r>
        <w:rPr>
          <w:lang w:eastAsia="ja-JP"/>
        </w:rPr>
        <w:t>anel is aware of instances where charges are placed on users of national parks</w:t>
      </w:r>
      <w:r w:rsidR="001717AD">
        <w:rPr>
          <w:lang w:eastAsia="ja-JP"/>
        </w:rPr>
        <w:t>—for example,</w:t>
      </w:r>
      <w:r>
        <w:rPr>
          <w:lang w:eastAsia="ja-JP"/>
        </w:rPr>
        <w:t xml:space="preserve"> tourism operators on the Great Barrier Reef and individuals entering certain national parks</w:t>
      </w:r>
      <w:r w:rsidR="008C25BB">
        <w:rPr>
          <w:lang w:eastAsia="ja-JP"/>
        </w:rPr>
        <w:t xml:space="preserve">, </w:t>
      </w:r>
      <w:r w:rsidR="00741693">
        <w:rPr>
          <w:lang w:eastAsia="ja-JP"/>
        </w:rPr>
        <w:t xml:space="preserve">such as </w:t>
      </w:r>
      <w:r>
        <w:rPr>
          <w:lang w:eastAsia="ja-JP"/>
        </w:rPr>
        <w:t>Kosciuszko National Park. However, these charges are usually for park maintenance or other services, not biosecurity, and are not consistently applied across parks or jurisdictions.</w:t>
      </w:r>
    </w:p>
    <w:p w14:paraId="26C7F194" w14:textId="3379B343" w:rsidR="00C03003" w:rsidRDefault="00C03003" w:rsidP="00C03003">
      <w:pPr>
        <w:rPr>
          <w:lang w:eastAsia="ja-JP"/>
        </w:rPr>
      </w:pPr>
      <w:r>
        <w:rPr>
          <w:lang w:eastAsia="ja-JP"/>
        </w:rPr>
        <w:t>Trying to apply the charging principles proffered by IPART (</w:t>
      </w:r>
      <w:hyperlink w:anchor="IPART_2013" w:history="1">
        <w:r w:rsidR="003D5C60" w:rsidRPr="003D5C60">
          <w:rPr>
            <w:rStyle w:val="Hyperlink"/>
            <w:lang w:eastAsia="ja-JP"/>
          </w:rPr>
          <w:t>IPART 2013</w:t>
        </w:r>
      </w:hyperlink>
      <w:r>
        <w:rPr>
          <w:lang w:eastAsia="ja-JP"/>
        </w:rPr>
        <w:t>) illustrates the problem. The first option</w:t>
      </w:r>
      <w:r w:rsidR="00D56046">
        <w:rPr>
          <w:lang w:eastAsia="ja-JP"/>
        </w:rPr>
        <w:t>—</w:t>
      </w:r>
      <w:r>
        <w:rPr>
          <w:lang w:eastAsia="ja-JP"/>
        </w:rPr>
        <w:t>a direct fee for service</w:t>
      </w:r>
      <w:r w:rsidR="00D56046">
        <w:rPr>
          <w:lang w:eastAsia="ja-JP"/>
        </w:rPr>
        <w:t>—</w:t>
      </w:r>
      <w:r>
        <w:rPr>
          <w:lang w:eastAsia="ja-JP"/>
        </w:rPr>
        <w:t>may be possible for some users, such as eco</w:t>
      </w:r>
      <w:r w:rsidR="00315F01">
        <w:rPr>
          <w:lang w:eastAsia="ja-JP"/>
        </w:rPr>
        <w:t>-</w:t>
      </w:r>
      <w:r>
        <w:rPr>
          <w:lang w:eastAsia="ja-JP"/>
        </w:rPr>
        <w:t>tourism operators, but this is only a small subset of all users. The second option is a rate or levy to capture a fuller set of users. However, the diversity of users and the feasibility of a levy mechanism (outside general income taxation) make a rate or levy questionable. That leaves the third option of taxpayer funding.</w:t>
      </w:r>
    </w:p>
    <w:p w14:paraId="40C9B1D9" w14:textId="24BB25E2" w:rsidR="00C03003" w:rsidRDefault="00C03003" w:rsidP="00C03003">
      <w:pPr>
        <w:rPr>
          <w:lang w:eastAsia="ja-JP"/>
        </w:rPr>
      </w:pPr>
      <w:r>
        <w:rPr>
          <w:lang w:eastAsia="ja-JP"/>
        </w:rPr>
        <w:t xml:space="preserve">The </w:t>
      </w:r>
      <w:r w:rsidR="00D56046">
        <w:rPr>
          <w:lang w:eastAsia="ja-JP"/>
        </w:rPr>
        <w:t>p</w:t>
      </w:r>
      <w:r>
        <w:rPr>
          <w:lang w:eastAsia="ja-JP"/>
        </w:rPr>
        <w:t xml:space="preserve">anel believes that the property-based levies discussed above, combined with the container levy (air and sea) and an increase to the PMC, offer the best option to recover additional funding for the national biosecurity system, including for </w:t>
      </w:r>
      <w:r w:rsidR="003D5C60">
        <w:rPr>
          <w:lang w:eastAsia="ja-JP"/>
        </w:rPr>
        <w:t xml:space="preserve">the required improvements to </w:t>
      </w:r>
      <w:r>
        <w:rPr>
          <w:lang w:eastAsia="ja-JP"/>
        </w:rPr>
        <w:t>environmental biosecurity.</w:t>
      </w:r>
    </w:p>
    <w:p w14:paraId="25EC204F" w14:textId="77777777" w:rsidR="00C03003" w:rsidRPr="00290792" w:rsidRDefault="00C03003" w:rsidP="00BC28A1">
      <w:pPr>
        <w:pStyle w:val="BoxHeading"/>
        <w:keepNext/>
        <w:keepLines/>
        <w:shd w:val="clear" w:color="auto" w:fill="D9D9D9" w:themeFill="background1" w:themeFillShade="D9"/>
        <w:rPr>
          <w:sz w:val="22"/>
          <w:lang w:eastAsia="ja-JP"/>
        </w:rPr>
      </w:pPr>
      <w:bookmarkStart w:id="193" w:name="_Ref482710349"/>
      <w:r w:rsidRPr="00290792">
        <w:rPr>
          <w:sz w:val="22"/>
          <w:lang w:eastAsia="ja-JP"/>
        </w:rPr>
        <w:lastRenderedPageBreak/>
        <w:t xml:space="preserve">Recommendation </w:t>
      </w:r>
      <w:r w:rsidRPr="00290792">
        <w:rPr>
          <w:sz w:val="22"/>
          <w:lang w:eastAsia="ja-JP"/>
        </w:rPr>
        <w:fldChar w:fldCharType="begin"/>
      </w:r>
      <w:r w:rsidRPr="00290792">
        <w:rPr>
          <w:sz w:val="22"/>
          <w:lang w:eastAsia="ja-JP"/>
        </w:rPr>
        <w:instrText xml:space="preserve"> SEQ Recommendation \* ARABIC </w:instrText>
      </w:r>
      <w:r w:rsidRPr="00290792">
        <w:rPr>
          <w:sz w:val="22"/>
          <w:lang w:eastAsia="ja-JP"/>
        </w:rPr>
        <w:fldChar w:fldCharType="separate"/>
      </w:r>
      <w:r w:rsidR="009F6923">
        <w:rPr>
          <w:noProof/>
          <w:sz w:val="22"/>
          <w:lang w:eastAsia="ja-JP"/>
        </w:rPr>
        <w:t>34</w:t>
      </w:r>
      <w:r w:rsidRPr="00290792">
        <w:rPr>
          <w:sz w:val="22"/>
          <w:lang w:eastAsia="ja-JP"/>
        </w:rPr>
        <w:fldChar w:fldCharType="end"/>
      </w:r>
      <w:bookmarkEnd w:id="193"/>
    </w:p>
    <w:p w14:paraId="422BBA12" w14:textId="77777777" w:rsidR="00C03003" w:rsidRPr="00290792" w:rsidRDefault="00C03003" w:rsidP="00BC28A1">
      <w:pPr>
        <w:pStyle w:val="BoxText"/>
        <w:keepNext/>
        <w:keepLines/>
        <w:shd w:val="clear" w:color="auto" w:fill="D9D9D9" w:themeFill="background1" w:themeFillShade="D9"/>
        <w:rPr>
          <w:sz w:val="22"/>
          <w:lang w:eastAsia="ja-JP"/>
        </w:rPr>
      </w:pPr>
      <w:r w:rsidRPr="00290792">
        <w:rPr>
          <w:sz w:val="22"/>
          <w:lang w:eastAsia="ja-JP"/>
        </w:rPr>
        <w:t>Funding for the national biosecurity system should be increased by:</w:t>
      </w:r>
    </w:p>
    <w:p w14:paraId="228E1F6E" w14:textId="2A31D680" w:rsidR="00C03003" w:rsidRPr="00EB06CC" w:rsidRDefault="00C03003" w:rsidP="00BC28A1">
      <w:pPr>
        <w:pStyle w:val="BoxTextBullet"/>
        <w:keepNext/>
        <w:keepLines/>
        <w:shd w:val="clear" w:color="auto" w:fill="D9D9D9" w:themeFill="background1" w:themeFillShade="D9"/>
        <w:rPr>
          <w:sz w:val="22"/>
        </w:rPr>
      </w:pPr>
      <w:r w:rsidRPr="00EB06CC">
        <w:rPr>
          <w:sz w:val="22"/>
        </w:rPr>
        <w:t xml:space="preserve">implementing a per-container levy on </w:t>
      </w:r>
      <w:r w:rsidR="00740A76" w:rsidRPr="00EB06CC">
        <w:rPr>
          <w:sz w:val="22"/>
        </w:rPr>
        <w:t xml:space="preserve">incoming </w:t>
      </w:r>
      <w:r w:rsidRPr="00EB06CC">
        <w:rPr>
          <w:sz w:val="22"/>
        </w:rPr>
        <w:t xml:space="preserve">shipping containers of $10 per </w:t>
      </w:r>
      <w:r w:rsidR="00657A18" w:rsidRPr="00EB06CC">
        <w:rPr>
          <w:sz w:val="22"/>
        </w:rPr>
        <w:t>twenty-foot equivalent unit</w:t>
      </w:r>
      <w:r w:rsidRPr="00EB06CC">
        <w:rPr>
          <w:sz w:val="22"/>
        </w:rPr>
        <w:t xml:space="preserve"> and </w:t>
      </w:r>
      <w:r w:rsidR="00D56046" w:rsidRPr="00EB06CC">
        <w:rPr>
          <w:sz w:val="22"/>
        </w:rPr>
        <w:t xml:space="preserve">a levy of </w:t>
      </w:r>
      <w:r w:rsidRPr="00EB06CC">
        <w:rPr>
          <w:sz w:val="22"/>
        </w:rPr>
        <w:t>$5 on</w:t>
      </w:r>
      <w:r w:rsidR="00740A76" w:rsidRPr="00EB06CC">
        <w:rPr>
          <w:sz w:val="22"/>
        </w:rPr>
        <w:t xml:space="preserve"> incoming</w:t>
      </w:r>
      <w:r w:rsidRPr="00EB06CC">
        <w:rPr>
          <w:sz w:val="22"/>
        </w:rPr>
        <w:t xml:space="preserve"> air containers</w:t>
      </w:r>
      <w:r w:rsidR="004A0AEF" w:rsidRPr="00EB06CC">
        <w:rPr>
          <w:sz w:val="22"/>
        </w:rPr>
        <w:t>, effective from 1 July </w:t>
      </w:r>
      <w:r w:rsidR="00F57DAE" w:rsidRPr="00EB06CC">
        <w:rPr>
          <w:sz w:val="22"/>
        </w:rPr>
        <w:t>2019</w:t>
      </w:r>
    </w:p>
    <w:p w14:paraId="41587F1A" w14:textId="19D2094F" w:rsidR="00C03003" w:rsidRDefault="00C03003" w:rsidP="00BC28A1">
      <w:pPr>
        <w:pStyle w:val="BoxTextBullet"/>
        <w:keepNext/>
        <w:keepLines/>
        <w:shd w:val="clear" w:color="auto" w:fill="D9D9D9" w:themeFill="background1" w:themeFillShade="D9"/>
        <w:rPr>
          <w:sz w:val="22"/>
        </w:rPr>
      </w:pPr>
      <w:r w:rsidRPr="00EB06CC">
        <w:rPr>
          <w:sz w:val="22"/>
        </w:rPr>
        <w:t>increasing the Passenger Movement</w:t>
      </w:r>
      <w:r w:rsidR="004A0AEF" w:rsidRPr="00EB06CC">
        <w:rPr>
          <w:sz w:val="22"/>
        </w:rPr>
        <w:t xml:space="preserve"> Charge by $5, effective from 1 July </w:t>
      </w:r>
      <w:r w:rsidRPr="00EB06CC">
        <w:rPr>
          <w:sz w:val="22"/>
        </w:rPr>
        <w:t>2022, with the revenue generated hypothecated to the Australian Government agriculture department</w:t>
      </w:r>
      <w:r w:rsidR="00DB3973" w:rsidRPr="00EB06CC">
        <w:rPr>
          <w:sz w:val="22"/>
        </w:rPr>
        <w:t xml:space="preserve"> for use nationally to enhance</w:t>
      </w:r>
      <w:r w:rsidR="006926FB" w:rsidRPr="00EB06CC">
        <w:rPr>
          <w:sz w:val="22"/>
        </w:rPr>
        <w:t xml:space="preserve"> activities</w:t>
      </w:r>
      <w:r w:rsidR="006926FB" w:rsidRPr="00B757B7">
        <w:rPr>
          <w:sz w:val="22"/>
        </w:rPr>
        <w:t xml:space="preserve"> across</w:t>
      </w:r>
      <w:r w:rsidR="00DB3973" w:rsidRPr="00B757B7">
        <w:rPr>
          <w:sz w:val="22"/>
        </w:rPr>
        <w:t xml:space="preserve"> Australia’s biosecurity system</w:t>
      </w:r>
    </w:p>
    <w:p w14:paraId="7B10CE80" w14:textId="4F976D14" w:rsidR="00C03003" w:rsidRPr="00290792" w:rsidRDefault="00C03003" w:rsidP="00BC28A1">
      <w:pPr>
        <w:pStyle w:val="BoxTextBullet"/>
        <w:keepNext/>
        <w:keepLines/>
        <w:shd w:val="clear" w:color="auto" w:fill="D9D9D9" w:themeFill="background1" w:themeFillShade="D9"/>
        <w:rPr>
          <w:lang w:eastAsia="ja-JP"/>
        </w:rPr>
      </w:pPr>
      <w:r w:rsidRPr="00B757B7">
        <w:rPr>
          <w:sz w:val="22"/>
        </w:rPr>
        <w:t xml:space="preserve">more widespread implementation by states and territories of land-based levies, with each jurisdiction to </w:t>
      </w:r>
      <w:r w:rsidRPr="00D56046">
        <w:rPr>
          <w:sz w:val="22"/>
        </w:rPr>
        <w:t>determine the magnitude of a levy based on its circumstances, but to include properties</w:t>
      </w:r>
      <w:r w:rsidRPr="00D56046">
        <w:rPr>
          <w:sz w:val="22"/>
          <w:lang w:eastAsia="ja-JP"/>
        </w:rPr>
        <w:t xml:space="preserve"> </w:t>
      </w:r>
      <w:r w:rsidR="00740A76" w:rsidRPr="00D56046">
        <w:rPr>
          <w:sz w:val="22"/>
          <w:lang w:eastAsia="ja-JP"/>
        </w:rPr>
        <w:t>of</w:t>
      </w:r>
      <w:r w:rsidRPr="00D56046">
        <w:rPr>
          <w:sz w:val="22"/>
          <w:lang w:eastAsia="ja-JP"/>
        </w:rPr>
        <w:t xml:space="preserve"> </w:t>
      </w:r>
      <w:r w:rsidR="00392F65" w:rsidRPr="00D56046">
        <w:rPr>
          <w:sz w:val="22"/>
          <w:lang w:eastAsia="ja-JP"/>
        </w:rPr>
        <w:t>two</w:t>
      </w:r>
      <w:r w:rsidRPr="00D56046">
        <w:rPr>
          <w:sz w:val="22"/>
          <w:lang w:eastAsia="ja-JP"/>
        </w:rPr>
        <w:t xml:space="preserve"> hectares or greater.</w:t>
      </w:r>
    </w:p>
    <w:p w14:paraId="0475822A" w14:textId="64F8A133" w:rsidR="00C03003" w:rsidRPr="00290792" w:rsidRDefault="00C03003" w:rsidP="00BC28A1">
      <w:pPr>
        <w:pStyle w:val="BoxText"/>
        <w:keepNext/>
        <w:keepLines/>
        <w:shd w:val="clear" w:color="auto" w:fill="D9D9D9" w:themeFill="background1" w:themeFillShade="D9"/>
        <w:rPr>
          <w:sz w:val="22"/>
          <w:lang w:eastAsia="ja-JP"/>
        </w:rPr>
      </w:pPr>
      <w:r w:rsidRPr="00290792">
        <w:rPr>
          <w:sz w:val="22"/>
          <w:lang w:eastAsia="ja-JP"/>
        </w:rPr>
        <w:t>The revenue raised by these mechanisms should be directed to those areas of the national biosecurity system that are currently most underfunded, with a priority for strengthening environmental biosecurity activities, national monitoring and surveillance activities,</w:t>
      </w:r>
      <w:r w:rsidR="00767D4C">
        <w:rPr>
          <w:sz w:val="22"/>
          <w:lang w:eastAsia="ja-JP"/>
        </w:rPr>
        <w:t xml:space="preserve"> R&amp;I</w:t>
      </w:r>
      <w:r w:rsidRPr="00290792">
        <w:rPr>
          <w:sz w:val="22"/>
          <w:lang w:eastAsia="ja-JP"/>
        </w:rPr>
        <w:t xml:space="preserve"> and national communications and awareness activities.</w:t>
      </w:r>
    </w:p>
    <w:p w14:paraId="04BA3BBB" w14:textId="0F7E722A" w:rsidR="006258A0" w:rsidRDefault="00BD4E22" w:rsidP="006258A0">
      <w:pPr>
        <w:pStyle w:val="Heading4"/>
        <w:rPr>
          <w:lang w:eastAsia="ja-JP"/>
        </w:rPr>
      </w:pPr>
      <w:r>
        <w:rPr>
          <w:lang w:eastAsia="ja-JP"/>
        </w:rPr>
        <w:t>Industry</w:t>
      </w:r>
    </w:p>
    <w:p w14:paraId="1E20C712" w14:textId="21A4E1E3" w:rsidR="003C239A" w:rsidRDefault="003C239A" w:rsidP="003C239A">
      <w:pPr>
        <w:rPr>
          <w:lang w:eastAsia="ja-JP"/>
        </w:rPr>
      </w:pPr>
      <w:r>
        <w:rPr>
          <w:lang w:eastAsia="ja-JP"/>
        </w:rPr>
        <w:t xml:space="preserve">As noted above, the </w:t>
      </w:r>
      <w:r w:rsidR="006957CE">
        <w:rPr>
          <w:lang w:eastAsia="ja-JP"/>
        </w:rPr>
        <w:t>p</w:t>
      </w:r>
      <w:r>
        <w:rPr>
          <w:lang w:eastAsia="ja-JP"/>
        </w:rPr>
        <w:t>anel is unable to estimate how much industry contributes towards the operation of the national biosecurity system</w:t>
      </w:r>
      <w:r w:rsidR="00740A76">
        <w:rPr>
          <w:lang w:eastAsia="ja-JP"/>
        </w:rPr>
        <w:t>,</w:t>
      </w:r>
      <w:r w:rsidR="00740A76" w:rsidRPr="00740A76">
        <w:t xml:space="preserve"> </w:t>
      </w:r>
      <w:r w:rsidR="00740A76" w:rsidRPr="00740A76">
        <w:rPr>
          <w:lang w:eastAsia="ja-JP"/>
        </w:rPr>
        <w:t>outside of levies, fees and charges</w:t>
      </w:r>
      <w:r>
        <w:rPr>
          <w:lang w:eastAsia="ja-JP"/>
        </w:rPr>
        <w:t xml:space="preserve"> as </w:t>
      </w:r>
      <w:r w:rsidR="0075013C">
        <w:rPr>
          <w:lang w:eastAsia="ja-JP"/>
        </w:rPr>
        <w:t>insufficient data are</w:t>
      </w:r>
      <w:r>
        <w:rPr>
          <w:lang w:eastAsia="ja-JP"/>
        </w:rPr>
        <w:t xml:space="preserve"> available. Overall, the feedback from industry indicates that industry contributions are significant and increasing. It i</w:t>
      </w:r>
      <w:r w:rsidR="006957CE">
        <w:rPr>
          <w:lang w:eastAsia="ja-JP"/>
        </w:rPr>
        <w:t>s the p</w:t>
      </w:r>
      <w:r>
        <w:rPr>
          <w:lang w:eastAsia="ja-JP"/>
        </w:rPr>
        <w:t xml:space="preserve">anel’s view that industry should give greater recognition to its significant investments by undertaking its own investment stocktake based upon future agreed categories of activity for the national system </w:t>
      </w:r>
      <w:r w:rsidRPr="009D39B1">
        <w:rPr>
          <w:lang w:eastAsia="ja-JP"/>
        </w:rPr>
        <w:t>(</w:t>
      </w:r>
      <w:hyperlink w:anchor="_Categorising_activities_of" w:history="1">
        <w:r w:rsidRPr="009D39B1">
          <w:rPr>
            <w:rStyle w:val="Hyperlink"/>
            <w:lang w:eastAsia="ja-JP"/>
          </w:rPr>
          <w:t>section 8.3.3</w:t>
        </w:r>
      </w:hyperlink>
      <w:r w:rsidRPr="009D39B1">
        <w:rPr>
          <w:lang w:eastAsia="ja-JP"/>
        </w:rPr>
        <w:t>).</w:t>
      </w:r>
    </w:p>
    <w:p w14:paraId="6A81C132" w14:textId="2F61BC9B" w:rsidR="003C239A" w:rsidRDefault="003C239A" w:rsidP="003C239A">
      <w:pPr>
        <w:rPr>
          <w:lang w:eastAsia="ja-JP"/>
        </w:rPr>
      </w:pPr>
      <w:r>
        <w:rPr>
          <w:lang w:eastAsia="ja-JP"/>
        </w:rPr>
        <w:t xml:space="preserve">A more comprehensive understanding of total industry contributions would also aid its claim for greater involvement in decision making. As </w:t>
      </w:r>
      <w:r w:rsidR="007E1A59">
        <w:rPr>
          <w:lang w:eastAsia="ja-JP"/>
        </w:rPr>
        <w:t>clause</w:t>
      </w:r>
      <w:r w:rsidR="005E1295">
        <w:rPr>
          <w:lang w:eastAsia="ja-JP"/>
        </w:rPr>
        <w:t xml:space="preserve"> 4.1(vii) of the IGAB states, ‘</w:t>
      </w:r>
      <w:r>
        <w:rPr>
          <w:lang w:eastAsia="ja-JP"/>
        </w:rPr>
        <w:t>Governments, industry, and other relevant parties are involved in decision</w:t>
      </w:r>
      <w:r w:rsidR="00E61317">
        <w:rPr>
          <w:lang w:eastAsia="ja-JP"/>
        </w:rPr>
        <w:t xml:space="preserve"> </w:t>
      </w:r>
      <w:r>
        <w:rPr>
          <w:lang w:eastAsia="ja-JP"/>
        </w:rPr>
        <w:t xml:space="preserve">making, according to their roles, responsibilities and </w:t>
      </w:r>
      <w:r w:rsidR="005E1295">
        <w:rPr>
          <w:i/>
          <w:lang w:eastAsia="ja-JP"/>
        </w:rPr>
        <w:t>contributions</w:t>
      </w:r>
      <w:r w:rsidR="005E1295" w:rsidRPr="005E1295">
        <w:rPr>
          <w:lang w:eastAsia="ja-JP"/>
        </w:rPr>
        <w:t>’</w:t>
      </w:r>
      <w:r w:rsidR="005E1295">
        <w:rPr>
          <w:lang w:eastAsia="ja-JP"/>
        </w:rPr>
        <w:t xml:space="preserve"> </w:t>
      </w:r>
      <w:r>
        <w:rPr>
          <w:lang w:eastAsia="ja-JP"/>
        </w:rPr>
        <w:t xml:space="preserve">(emphasis added). In section 8.2.3 it was noted that </w:t>
      </w:r>
      <w:r w:rsidR="00910478">
        <w:rPr>
          <w:lang w:eastAsia="ja-JP"/>
        </w:rPr>
        <w:t>57</w:t>
      </w:r>
      <w:r w:rsidR="00A8440A">
        <w:rPr>
          <w:lang w:eastAsia="ja-JP"/>
        </w:rPr>
        <w:t> </w:t>
      </w:r>
      <w:r>
        <w:rPr>
          <w:lang w:eastAsia="ja-JP"/>
        </w:rPr>
        <w:t>per</w:t>
      </w:r>
      <w:r w:rsidR="00A8440A">
        <w:rPr>
          <w:lang w:eastAsia="ja-JP"/>
        </w:rPr>
        <w:t> </w:t>
      </w:r>
      <w:r>
        <w:rPr>
          <w:lang w:eastAsia="ja-JP"/>
        </w:rPr>
        <w:t>cent of funds detailed in the</w:t>
      </w:r>
      <w:r w:rsidR="003D5C60">
        <w:rPr>
          <w:lang w:eastAsia="ja-JP"/>
        </w:rPr>
        <w:t xml:space="preserve"> 2015–16</w:t>
      </w:r>
      <w:r>
        <w:rPr>
          <w:lang w:eastAsia="ja-JP"/>
        </w:rPr>
        <w:t xml:space="preserve"> national stocktake of biosecurity investment come </w:t>
      </w:r>
      <w:r w:rsidR="00A8440A">
        <w:rPr>
          <w:lang w:eastAsia="ja-JP"/>
        </w:rPr>
        <w:t> </w:t>
      </w:r>
      <w:r>
        <w:rPr>
          <w:lang w:eastAsia="ja-JP"/>
        </w:rPr>
        <w:t>from industry. With further information on the other in-kind and financial contributions industry makes outside of government fees and charges</w:t>
      </w:r>
      <w:r w:rsidR="00085C85">
        <w:rPr>
          <w:lang w:eastAsia="ja-JP"/>
        </w:rPr>
        <w:t>,</w:t>
      </w:r>
      <w:r>
        <w:rPr>
          <w:lang w:eastAsia="ja-JP"/>
        </w:rPr>
        <w:t xml:space="preserve"> there will be </w:t>
      </w:r>
      <w:r w:rsidR="004E4A4E">
        <w:rPr>
          <w:lang w:eastAsia="ja-JP"/>
        </w:rPr>
        <w:t xml:space="preserve">a </w:t>
      </w:r>
      <w:r>
        <w:rPr>
          <w:lang w:eastAsia="ja-JP"/>
        </w:rPr>
        <w:t xml:space="preserve">clearer understanding of the total investment by industry. In turn, it will assist industry’s claims for a greater role in decision making as envisaged by </w:t>
      </w:r>
      <w:r w:rsidR="007E1A59">
        <w:rPr>
          <w:lang w:eastAsia="ja-JP"/>
        </w:rPr>
        <w:t>clause</w:t>
      </w:r>
      <w:r>
        <w:rPr>
          <w:lang w:eastAsia="ja-JP"/>
        </w:rPr>
        <w:t xml:space="preserve"> 4.1(vii).</w:t>
      </w:r>
    </w:p>
    <w:p w14:paraId="77921706" w14:textId="19B48890" w:rsidR="006258A0" w:rsidRDefault="003C239A" w:rsidP="003C239A">
      <w:pPr>
        <w:rPr>
          <w:lang w:eastAsia="ja-JP"/>
        </w:rPr>
      </w:pPr>
      <w:r>
        <w:rPr>
          <w:lang w:eastAsia="ja-JP"/>
        </w:rPr>
        <w:lastRenderedPageBreak/>
        <w:t xml:space="preserve">The </w:t>
      </w:r>
      <w:r w:rsidR="00085C85">
        <w:rPr>
          <w:lang w:eastAsia="ja-JP"/>
        </w:rPr>
        <w:t>p</w:t>
      </w:r>
      <w:r>
        <w:rPr>
          <w:lang w:eastAsia="ja-JP"/>
        </w:rPr>
        <w:t>anel considers that AHA and PHA would be best placed to coordinate this task, with guidance from the NBC and the independent agency appointed to undertake the</w:t>
      </w:r>
      <w:r w:rsidR="004E4A4E">
        <w:rPr>
          <w:lang w:eastAsia="ja-JP"/>
        </w:rPr>
        <w:t xml:space="preserve"> independent</w:t>
      </w:r>
      <w:r>
        <w:rPr>
          <w:lang w:eastAsia="ja-JP"/>
        </w:rPr>
        <w:t xml:space="preserve"> </w:t>
      </w:r>
      <w:r w:rsidR="004E4A4E">
        <w:rPr>
          <w:lang w:eastAsia="ja-JP"/>
        </w:rPr>
        <w:t xml:space="preserve">Report on Government Biosecurity Services (ROGBS) </w:t>
      </w:r>
      <w:r w:rsidRPr="000C3511">
        <w:rPr>
          <w:lang w:eastAsia="ja-JP"/>
        </w:rPr>
        <w:t>(</w:t>
      </w:r>
      <w:r w:rsidR="000C3511" w:rsidRPr="000C3511">
        <w:rPr>
          <w:lang w:eastAsia="ja-JP"/>
        </w:rPr>
        <w:t xml:space="preserve">Chapter </w:t>
      </w:r>
      <w:r w:rsidR="000C3511" w:rsidRPr="000C3511">
        <w:rPr>
          <w:lang w:eastAsia="ja-JP"/>
        </w:rPr>
        <w:fldChar w:fldCharType="begin"/>
      </w:r>
      <w:r w:rsidR="000C3511" w:rsidRPr="000C3511">
        <w:rPr>
          <w:lang w:eastAsia="ja-JP"/>
        </w:rPr>
        <w:instrText xml:space="preserve"> REF _Ref485981750 \r \h </w:instrText>
      </w:r>
      <w:r w:rsidR="000C3511">
        <w:rPr>
          <w:lang w:eastAsia="ja-JP"/>
        </w:rPr>
        <w:instrText xml:space="preserve"> \* MERGEFORMAT </w:instrText>
      </w:r>
      <w:r w:rsidR="000C3511" w:rsidRPr="000C3511">
        <w:rPr>
          <w:lang w:eastAsia="ja-JP"/>
        </w:rPr>
      </w:r>
      <w:r w:rsidR="000C3511" w:rsidRPr="000C3511">
        <w:rPr>
          <w:lang w:eastAsia="ja-JP"/>
        </w:rPr>
        <w:fldChar w:fldCharType="separate"/>
      </w:r>
      <w:r w:rsidR="009F6923">
        <w:rPr>
          <w:lang w:eastAsia="ja-JP"/>
        </w:rPr>
        <w:t>9</w:t>
      </w:r>
      <w:r w:rsidR="000C3511" w:rsidRPr="000C3511">
        <w:rPr>
          <w:lang w:eastAsia="ja-JP"/>
        </w:rPr>
        <w:fldChar w:fldCharType="end"/>
      </w:r>
      <w:r w:rsidRPr="000C3511">
        <w:rPr>
          <w:lang w:eastAsia="ja-JP"/>
        </w:rPr>
        <w:t>),</w:t>
      </w:r>
      <w:r>
        <w:rPr>
          <w:lang w:eastAsia="ja-JP"/>
        </w:rPr>
        <w:t xml:space="preserve"> to ensure data integrity and compatibility with </w:t>
      </w:r>
      <w:r w:rsidR="004E4A4E">
        <w:rPr>
          <w:lang w:eastAsia="ja-JP"/>
        </w:rPr>
        <w:t>the ROGBS</w:t>
      </w:r>
      <w:r>
        <w:rPr>
          <w:lang w:eastAsia="ja-JP"/>
        </w:rPr>
        <w:t>.</w:t>
      </w:r>
    </w:p>
    <w:p w14:paraId="32C0CA9B" w14:textId="77777777" w:rsidR="003C239A" w:rsidRPr="00290792" w:rsidRDefault="003C239A" w:rsidP="003C239A">
      <w:pPr>
        <w:pStyle w:val="BoxHeading"/>
        <w:shd w:val="clear" w:color="auto" w:fill="D9D9D9" w:themeFill="background1" w:themeFillShade="D9"/>
        <w:rPr>
          <w:sz w:val="22"/>
          <w:lang w:eastAsia="ja-JP"/>
        </w:rPr>
      </w:pPr>
      <w:bookmarkStart w:id="194" w:name="_Ref482710360"/>
      <w:r w:rsidRPr="00290792">
        <w:rPr>
          <w:sz w:val="22"/>
          <w:lang w:eastAsia="ja-JP"/>
        </w:rPr>
        <w:t xml:space="preserve">Recommendation </w:t>
      </w:r>
      <w:r w:rsidRPr="00290792">
        <w:rPr>
          <w:sz w:val="22"/>
          <w:lang w:eastAsia="ja-JP"/>
        </w:rPr>
        <w:fldChar w:fldCharType="begin"/>
      </w:r>
      <w:r w:rsidRPr="00290792">
        <w:rPr>
          <w:sz w:val="22"/>
          <w:lang w:eastAsia="ja-JP"/>
        </w:rPr>
        <w:instrText xml:space="preserve"> SEQ Recommendation \* ARABIC </w:instrText>
      </w:r>
      <w:r w:rsidRPr="00290792">
        <w:rPr>
          <w:sz w:val="22"/>
          <w:lang w:eastAsia="ja-JP"/>
        </w:rPr>
        <w:fldChar w:fldCharType="separate"/>
      </w:r>
      <w:r w:rsidR="009F6923">
        <w:rPr>
          <w:noProof/>
          <w:sz w:val="22"/>
          <w:lang w:eastAsia="ja-JP"/>
        </w:rPr>
        <w:t>35</w:t>
      </w:r>
      <w:r w:rsidRPr="00290792">
        <w:rPr>
          <w:sz w:val="22"/>
          <w:lang w:eastAsia="ja-JP"/>
        </w:rPr>
        <w:fldChar w:fldCharType="end"/>
      </w:r>
      <w:bookmarkEnd w:id="194"/>
    </w:p>
    <w:p w14:paraId="62F2D5D4" w14:textId="420FBEC6" w:rsidR="00386F86" w:rsidRPr="00290792" w:rsidRDefault="00386F86" w:rsidP="00300371">
      <w:pPr>
        <w:pStyle w:val="BoxText"/>
        <w:shd w:val="clear" w:color="auto" w:fill="D9D9D9" w:themeFill="background1" w:themeFillShade="D9"/>
        <w:rPr>
          <w:sz w:val="22"/>
          <w:lang w:eastAsia="ja-JP"/>
        </w:rPr>
      </w:pPr>
      <w:r w:rsidRPr="00290792">
        <w:rPr>
          <w:sz w:val="22"/>
          <w:lang w:eastAsia="ja-JP"/>
        </w:rPr>
        <w:t>AHA and PHA</w:t>
      </w:r>
      <w:r w:rsidR="004D3597" w:rsidRPr="00290792">
        <w:rPr>
          <w:sz w:val="22"/>
          <w:lang w:eastAsia="ja-JP"/>
        </w:rPr>
        <w:t xml:space="preserve"> should</w:t>
      </w:r>
      <w:r w:rsidRPr="00290792">
        <w:rPr>
          <w:sz w:val="22"/>
          <w:lang w:eastAsia="ja-JP"/>
        </w:rPr>
        <w:t xml:space="preserve"> coordinate an industry stocktake of national biosecurity system investments</w:t>
      </w:r>
      <w:r w:rsidR="003C239A" w:rsidRPr="00290792">
        <w:rPr>
          <w:sz w:val="22"/>
          <w:lang w:eastAsia="ja-JP"/>
        </w:rPr>
        <w:t xml:space="preserve"> and</w:t>
      </w:r>
      <w:r w:rsidRPr="00290792">
        <w:rPr>
          <w:sz w:val="22"/>
          <w:lang w:eastAsia="ja-JP"/>
        </w:rPr>
        <w:t xml:space="preserve"> mak</w:t>
      </w:r>
      <w:r w:rsidR="003C239A" w:rsidRPr="00290792">
        <w:rPr>
          <w:sz w:val="22"/>
          <w:lang w:eastAsia="ja-JP"/>
        </w:rPr>
        <w:t>e</w:t>
      </w:r>
      <w:r w:rsidRPr="00290792">
        <w:rPr>
          <w:sz w:val="22"/>
          <w:lang w:eastAsia="ja-JP"/>
        </w:rPr>
        <w:t xml:space="preserve"> the results public.</w:t>
      </w:r>
    </w:p>
    <w:p w14:paraId="4D769F24" w14:textId="35388836" w:rsidR="003C239A" w:rsidRDefault="003C239A" w:rsidP="0023083F">
      <w:pPr>
        <w:keepNext/>
        <w:keepLines/>
        <w:rPr>
          <w:lang w:eastAsia="ja-JP"/>
        </w:rPr>
      </w:pPr>
      <w:r w:rsidRPr="003C239A">
        <w:rPr>
          <w:lang w:eastAsia="ja-JP"/>
        </w:rPr>
        <w:t xml:space="preserve">But there is more that industry could, and should, do. The </w:t>
      </w:r>
      <w:r w:rsidR="00085C85">
        <w:rPr>
          <w:lang w:eastAsia="ja-JP"/>
        </w:rPr>
        <w:t>p</w:t>
      </w:r>
      <w:r w:rsidRPr="003C239A">
        <w:rPr>
          <w:lang w:eastAsia="ja-JP"/>
        </w:rPr>
        <w:t>anel has examined the practices of the grains industry, particularly the Grains Farm Biosecurity Program (GFBP)</w:t>
      </w:r>
      <w:r w:rsidR="00BF6D58">
        <w:rPr>
          <w:lang w:eastAsia="ja-JP"/>
        </w:rPr>
        <w:t xml:space="preserve"> </w:t>
      </w:r>
      <w:r w:rsidR="003D5C60">
        <w:rPr>
          <w:lang w:eastAsia="ja-JP"/>
        </w:rPr>
        <w:t>(</w:t>
      </w:r>
      <w:r w:rsidR="003D5C60" w:rsidRPr="00BF6D58">
        <w:rPr>
          <w:lang w:eastAsia="ja-JP"/>
        </w:rPr>
        <w:fldChar w:fldCharType="begin"/>
      </w:r>
      <w:r w:rsidR="003D5C60" w:rsidRPr="00BF6D58">
        <w:rPr>
          <w:lang w:eastAsia="ja-JP"/>
        </w:rPr>
        <w:instrText xml:space="preserve"> REF _Ref467233446 \h </w:instrText>
      </w:r>
      <w:r w:rsidR="00BF6D58" w:rsidRPr="00BF6D58">
        <w:rPr>
          <w:lang w:eastAsia="ja-JP"/>
        </w:rPr>
        <w:instrText xml:space="preserve"> \* MERGEFORMAT </w:instrText>
      </w:r>
      <w:r w:rsidR="003D5C60" w:rsidRPr="00BF6D58">
        <w:rPr>
          <w:lang w:eastAsia="ja-JP"/>
        </w:rPr>
      </w:r>
      <w:r w:rsidR="003D5C60" w:rsidRPr="00BF6D58">
        <w:rPr>
          <w:lang w:eastAsia="ja-JP"/>
        </w:rPr>
        <w:fldChar w:fldCharType="separate"/>
      </w:r>
      <w:r w:rsidR="009F6923" w:rsidRPr="004D3617">
        <w:t xml:space="preserve">Box </w:t>
      </w:r>
      <w:r w:rsidR="009F6923">
        <w:rPr>
          <w:noProof/>
        </w:rPr>
        <w:t>1</w:t>
      </w:r>
      <w:r w:rsidR="003D5C60" w:rsidRPr="00BF6D58">
        <w:rPr>
          <w:lang w:eastAsia="ja-JP"/>
        </w:rPr>
        <w:fldChar w:fldCharType="end"/>
      </w:r>
      <w:r w:rsidR="003D5C60">
        <w:rPr>
          <w:lang w:eastAsia="ja-JP"/>
        </w:rPr>
        <w:t>)</w:t>
      </w:r>
      <w:r w:rsidRPr="003C239A">
        <w:rPr>
          <w:lang w:eastAsia="ja-JP"/>
        </w:rPr>
        <w:t>. It considers that the model has potential for more widespread use and that more industries should be encouraged to follow the example (n</w:t>
      </w:r>
      <w:r w:rsidR="005D1A59">
        <w:rPr>
          <w:lang w:eastAsia="ja-JP"/>
        </w:rPr>
        <w:t>oting that some already do so).</w:t>
      </w:r>
    </w:p>
    <w:p w14:paraId="37A1F24A" w14:textId="329DEACA" w:rsidR="003C239A" w:rsidRDefault="003C239A" w:rsidP="003C239A">
      <w:pPr>
        <w:rPr>
          <w:rFonts w:eastAsia="Calibri" w:cs="Times New Roman"/>
        </w:rPr>
      </w:pPr>
      <w:bookmarkStart w:id="195" w:name="_Ref469556978"/>
      <w:bookmarkStart w:id="196" w:name="_Toc468176729"/>
      <w:r w:rsidRPr="00311A35">
        <w:rPr>
          <w:rFonts w:eastAsia="Calibri" w:cs="Times New Roman"/>
        </w:rPr>
        <w:t>Signatories to the E</w:t>
      </w:r>
      <w:r w:rsidR="00085C85" w:rsidRPr="00311A35">
        <w:rPr>
          <w:rFonts w:eastAsia="Calibri" w:cs="Times New Roman"/>
        </w:rPr>
        <w:t xml:space="preserve">mergency </w:t>
      </w:r>
      <w:r w:rsidRPr="00311A35">
        <w:rPr>
          <w:rFonts w:eastAsia="Calibri" w:cs="Times New Roman"/>
        </w:rPr>
        <w:t>P</w:t>
      </w:r>
      <w:r w:rsidR="00085C85" w:rsidRPr="00311A35">
        <w:rPr>
          <w:rFonts w:eastAsia="Calibri" w:cs="Times New Roman"/>
        </w:rPr>
        <w:t xml:space="preserve">lant </w:t>
      </w:r>
      <w:r w:rsidRPr="00311A35">
        <w:rPr>
          <w:rFonts w:eastAsia="Calibri" w:cs="Times New Roman"/>
        </w:rPr>
        <w:t>P</w:t>
      </w:r>
      <w:r w:rsidR="00085C85" w:rsidRPr="00311A35">
        <w:rPr>
          <w:rFonts w:eastAsia="Calibri" w:cs="Times New Roman"/>
        </w:rPr>
        <w:t xml:space="preserve">est </w:t>
      </w:r>
      <w:r w:rsidRPr="00311A35">
        <w:rPr>
          <w:rFonts w:eastAsia="Calibri" w:cs="Times New Roman"/>
        </w:rPr>
        <w:t>R</w:t>
      </w:r>
      <w:r w:rsidR="00085C85" w:rsidRPr="00311A35">
        <w:rPr>
          <w:rFonts w:eastAsia="Calibri" w:cs="Times New Roman"/>
        </w:rPr>
        <w:t xml:space="preserve">esponse </w:t>
      </w:r>
      <w:r w:rsidRPr="00311A35">
        <w:rPr>
          <w:rFonts w:eastAsia="Calibri" w:cs="Times New Roman"/>
        </w:rPr>
        <w:t>D</w:t>
      </w:r>
      <w:r w:rsidR="00085C85" w:rsidRPr="00311A35">
        <w:rPr>
          <w:rFonts w:eastAsia="Calibri" w:cs="Times New Roman"/>
        </w:rPr>
        <w:t>eed (EPPRD)</w:t>
      </w:r>
      <w:r w:rsidRPr="00311A35">
        <w:rPr>
          <w:rFonts w:eastAsia="Calibri" w:cs="Times New Roman"/>
        </w:rPr>
        <w:t xml:space="preserve"> are required to establish an emergency response levy mechanism (an EPPR levy) to repay the government for underwriting costs of an approved response plan (in the event of an incursion</w:t>
      </w:r>
      <w:r w:rsidRPr="003C239A">
        <w:rPr>
          <w:rFonts w:eastAsia="Calibri" w:cs="Times New Roman"/>
        </w:rPr>
        <w:t>). They are also able to establish a PHA levy to pay their annual subscription costs and for certain other biosecurity activities (see</w:t>
      </w:r>
      <w:r w:rsidR="00AF0A39">
        <w:rPr>
          <w:rFonts w:eastAsia="Calibri" w:cs="Times New Roman"/>
        </w:rPr>
        <w:t xml:space="preserve"> the Australian Government </w:t>
      </w:r>
      <w:r w:rsidR="001B5BDD">
        <w:rPr>
          <w:rFonts w:eastAsia="Calibri" w:cs="Times New Roman"/>
        </w:rPr>
        <w:t>Department of A</w:t>
      </w:r>
      <w:r w:rsidR="00AF0A39">
        <w:rPr>
          <w:rFonts w:eastAsia="Calibri" w:cs="Times New Roman"/>
        </w:rPr>
        <w:t xml:space="preserve">griculture </w:t>
      </w:r>
      <w:r w:rsidR="001B5BDD">
        <w:rPr>
          <w:rFonts w:eastAsia="Calibri" w:cs="Times New Roman"/>
        </w:rPr>
        <w:t xml:space="preserve">and Water Resources </w:t>
      </w:r>
      <w:hyperlink r:id="rId75" w:history="1">
        <w:r w:rsidR="00AF0A39" w:rsidRPr="00AF0A39">
          <w:rPr>
            <w:rStyle w:val="Hyperlink"/>
            <w:rFonts w:eastAsia="Calibri" w:cs="Times New Roman"/>
          </w:rPr>
          <w:t>biosecurity levies</w:t>
        </w:r>
      </w:hyperlink>
      <w:r w:rsidR="00AF0A39">
        <w:rPr>
          <w:rFonts w:eastAsia="Calibri" w:cs="Times New Roman"/>
        </w:rPr>
        <w:t xml:space="preserve"> website</w:t>
      </w:r>
      <w:r w:rsidRPr="003C239A">
        <w:rPr>
          <w:rFonts w:eastAsia="Calibri" w:cs="Times New Roman"/>
        </w:rPr>
        <w:t>). When most industries establish the emergency response levy mechanism they set the rate to zero and only set it at a higher level after an incursion has happened.</w:t>
      </w:r>
    </w:p>
    <w:p w14:paraId="0E53B10A" w14:textId="7831B3A1" w:rsidR="003C239A" w:rsidRPr="003C239A" w:rsidRDefault="003C239A" w:rsidP="003C239A">
      <w:pPr>
        <w:rPr>
          <w:rFonts w:eastAsia="Calibri" w:cs="Times New Roman"/>
        </w:rPr>
      </w:pPr>
      <w:r w:rsidRPr="003C239A">
        <w:rPr>
          <w:rFonts w:eastAsia="Calibri" w:cs="Times New Roman"/>
        </w:rPr>
        <w:t>In the case of the grains industry, represented by Grain Producers Australia</w:t>
      </w:r>
      <w:r w:rsidR="001E6916">
        <w:rPr>
          <w:rFonts w:eastAsia="Calibri" w:cs="Times New Roman"/>
        </w:rPr>
        <w:t xml:space="preserve"> (GPA)</w:t>
      </w:r>
      <w:r w:rsidRPr="003C239A">
        <w:rPr>
          <w:rFonts w:eastAsia="Calibri" w:cs="Times New Roman"/>
        </w:rPr>
        <w:t>, a more progressive and proactive approach has been adopted. It has set its PHA levy at a rate which collects approximately $700,000 more per annum than the c</w:t>
      </w:r>
      <w:r w:rsidR="00311A35">
        <w:rPr>
          <w:rFonts w:eastAsia="Calibri" w:cs="Times New Roman"/>
        </w:rPr>
        <w:t>ost of its annual subscriptions</w:t>
      </w:r>
      <w:r w:rsidRPr="003C239A">
        <w:rPr>
          <w:rFonts w:eastAsia="Calibri" w:cs="Times New Roman"/>
        </w:rPr>
        <w:t xml:space="preserve"> </w:t>
      </w:r>
      <w:r w:rsidR="00A8440A">
        <w:rPr>
          <w:rFonts w:eastAsia="Calibri" w:cs="Times New Roman"/>
        </w:rPr>
        <w:t>and its EPPR levy rate at 0.005 </w:t>
      </w:r>
      <w:r w:rsidRPr="003C239A">
        <w:rPr>
          <w:rFonts w:eastAsia="Calibri" w:cs="Times New Roman"/>
        </w:rPr>
        <w:t>per</w:t>
      </w:r>
      <w:r w:rsidR="00A8440A">
        <w:rPr>
          <w:rFonts w:eastAsia="Calibri" w:cs="Times New Roman"/>
        </w:rPr>
        <w:t> </w:t>
      </w:r>
      <w:r w:rsidRPr="003C239A">
        <w:rPr>
          <w:rFonts w:eastAsia="Calibri" w:cs="Times New Roman"/>
        </w:rPr>
        <w:t>cent of the sale price rather than at zero. These funds are used to</w:t>
      </w:r>
      <w:r w:rsidR="00AF0A39">
        <w:rPr>
          <w:rFonts w:eastAsia="Calibri" w:cs="Times New Roman"/>
        </w:rPr>
        <w:t>:</w:t>
      </w:r>
      <w:r w:rsidRPr="003C239A">
        <w:rPr>
          <w:rFonts w:eastAsia="Calibri" w:cs="Times New Roman"/>
        </w:rPr>
        <w:t xml:space="preserve"> (a) support the GFBP</w:t>
      </w:r>
      <w:r w:rsidR="00311A35">
        <w:rPr>
          <w:rFonts w:eastAsia="Calibri" w:cs="Times New Roman"/>
        </w:rPr>
        <w:t>,</w:t>
      </w:r>
      <w:r w:rsidRPr="003C239A">
        <w:rPr>
          <w:rFonts w:eastAsia="Calibri" w:cs="Times New Roman"/>
        </w:rPr>
        <w:t xml:space="preserve"> which is aimed at improving awareness and farm management practices relating to grains industry biosecurity risks; and</w:t>
      </w:r>
      <w:r w:rsidR="00D337D2">
        <w:rPr>
          <w:rFonts w:eastAsia="Calibri" w:cs="Times New Roman"/>
        </w:rPr>
        <w:t>,</w:t>
      </w:r>
      <w:r w:rsidRPr="003C239A">
        <w:rPr>
          <w:rFonts w:eastAsia="Calibri" w:cs="Times New Roman"/>
        </w:rPr>
        <w:t xml:space="preserve"> (b) to build a reserve fund to cover the grains industry’s share of an approved emergency response plan.</w:t>
      </w:r>
    </w:p>
    <w:p w14:paraId="3BBB82CE" w14:textId="1D9668B9" w:rsidR="003C239A" w:rsidRPr="003C239A" w:rsidRDefault="003C239A" w:rsidP="003C239A">
      <w:pPr>
        <w:rPr>
          <w:rFonts w:eastAsia="Calibri" w:cs="Times New Roman"/>
        </w:rPr>
      </w:pPr>
      <w:r w:rsidRPr="003C239A">
        <w:rPr>
          <w:rFonts w:eastAsia="Calibri" w:cs="Times New Roman"/>
        </w:rPr>
        <w:t>The GFBP is managed by PHA in conjunction with GPA</w:t>
      </w:r>
      <w:r w:rsidR="00BB6E52">
        <w:rPr>
          <w:rFonts w:eastAsia="Calibri" w:cs="Times New Roman"/>
        </w:rPr>
        <w:t>,</w:t>
      </w:r>
      <w:r w:rsidRPr="003C239A">
        <w:rPr>
          <w:rFonts w:eastAsia="Calibri" w:cs="Times New Roman"/>
        </w:rPr>
        <w:t xml:space="preserve"> and part of the partnership program includes funding for state government agencies to employ staff to work on the GFBP.</w:t>
      </w:r>
    </w:p>
    <w:p w14:paraId="2395FF31" w14:textId="5C104519" w:rsidR="003C239A" w:rsidRPr="003C239A" w:rsidRDefault="003C239A" w:rsidP="003C239A">
      <w:pPr>
        <w:rPr>
          <w:rFonts w:eastAsia="Calibri" w:cs="Times New Roman"/>
        </w:rPr>
      </w:pPr>
      <w:r w:rsidRPr="003C239A">
        <w:rPr>
          <w:rFonts w:eastAsia="Calibri" w:cs="Times New Roman"/>
        </w:rPr>
        <w:t>The funds collected through the EPPR levy built, over several years, to just over $5.1</w:t>
      </w:r>
      <w:r w:rsidR="000E2249">
        <w:rPr>
          <w:rFonts w:eastAsia="Calibri" w:cs="Times New Roman"/>
        </w:rPr>
        <w:t> </w:t>
      </w:r>
      <w:r w:rsidRPr="003C239A">
        <w:rPr>
          <w:rFonts w:eastAsia="Calibri" w:cs="Times New Roman"/>
        </w:rPr>
        <w:t xml:space="preserve">million by the end of 2016. This reserve provides a ready source of funds to pay </w:t>
      </w:r>
      <w:r w:rsidRPr="003C239A">
        <w:rPr>
          <w:rFonts w:eastAsia="Calibri" w:cs="Times New Roman"/>
        </w:rPr>
        <w:lastRenderedPageBreak/>
        <w:t xml:space="preserve">the grain industry’s share of approved emergency response plans and is currently being drawn on to cover costs associated </w:t>
      </w:r>
      <w:r w:rsidRPr="00F62D55">
        <w:rPr>
          <w:rFonts w:eastAsia="Calibri" w:cs="Times New Roman"/>
        </w:rPr>
        <w:t xml:space="preserve">with the Khapra </w:t>
      </w:r>
      <w:r w:rsidR="00802449" w:rsidRPr="00F62D55">
        <w:rPr>
          <w:rFonts w:eastAsia="Calibri" w:cs="Times New Roman"/>
        </w:rPr>
        <w:t>b</w:t>
      </w:r>
      <w:r w:rsidRPr="00F62D55">
        <w:rPr>
          <w:rFonts w:eastAsia="Calibri" w:cs="Times New Roman"/>
        </w:rPr>
        <w:t>eetle and</w:t>
      </w:r>
      <w:r w:rsidRPr="003C239A">
        <w:rPr>
          <w:rFonts w:eastAsia="Calibri" w:cs="Times New Roman"/>
        </w:rPr>
        <w:t xml:space="preserve"> Varroa incursions. Funds collected under the EPPR levy can also be used for purposes relating to emergency plant pests, within the meaning of the EPPRD, such as surveillance.</w:t>
      </w:r>
    </w:p>
    <w:p w14:paraId="4C6BB2EC" w14:textId="568471D5" w:rsidR="003C239A" w:rsidRPr="003C239A" w:rsidRDefault="003C239A" w:rsidP="003C239A">
      <w:pPr>
        <w:rPr>
          <w:rFonts w:eastAsia="Calibri" w:cs="Times New Roman"/>
        </w:rPr>
      </w:pPr>
      <w:r w:rsidRPr="003C239A">
        <w:rPr>
          <w:rFonts w:eastAsia="Calibri" w:cs="Times New Roman"/>
        </w:rPr>
        <w:t xml:space="preserve">The </w:t>
      </w:r>
      <w:r w:rsidR="00BB6E52">
        <w:rPr>
          <w:rFonts w:eastAsia="Calibri" w:cs="Times New Roman"/>
        </w:rPr>
        <w:t>p</w:t>
      </w:r>
      <w:r w:rsidRPr="003C239A">
        <w:rPr>
          <w:rFonts w:eastAsia="Calibri" w:cs="Times New Roman"/>
        </w:rPr>
        <w:t>anel considers the decisions by the grains industry to set the two levies above the minimum required as a positive example for other industries to follow (noting a few others do likewise already). It shows industry leadership in strengthening biosecurity activities for the industry and also building a fund ready to use when an incursion happens.</w:t>
      </w:r>
    </w:p>
    <w:p w14:paraId="751172D7" w14:textId="24C9B6F7" w:rsidR="003C239A" w:rsidRPr="00D27E31" w:rsidRDefault="000C46D2" w:rsidP="003C239A">
      <w:pPr>
        <w:rPr>
          <w:rFonts w:eastAsia="Calibri" w:cs="Times New Roman"/>
        </w:rPr>
      </w:pPr>
      <w:r w:rsidRPr="00D27E31">
        <w:rPr>
          <w:rFonts w:eastAsia="Calibri" w:cs="Times New Roman"/>
        </w:rPr>
        <w:t xml:space="preserve">Some stakeholders suggested to the </w:t>
      </w:r>
      <w:r w:rsidR="00BB6E52">
        <w:rPr>
          <w:rFonts w:eastAsia="Calibri" w:cs="Times New Roman"/>
        </w:rPr>
        <w:t>p</w:t>
      </w:r>
      <w:r w:rsidRPr="00D27E31">
        <w:rPr>
          <w:rFonts w:eastAsia="Calibri" w:cs="Times New Roman"/>
        </w:rPr>
        <w:t>anel that there is a need for greater flexibility in agricultural levies received by the RDCs, AHA and PHA, especially around the components of the levies. In most cases levies are established for a specific purpose and the funds collected must be used for that purpose. Generally, industries wishing to change existing levy rates or the purpose of a levy must follow the same process as that required to establish a new levy. This can limit industry’s ability to redirect funding to new priorities, which may include biosecurity. Streamlining the process for amending existing levies could provide the flexibility industry needs to effectively respond to biosecurity risks.</w:t>
      </w:r>
    </w:p>
    <w:p w14:paraId="1012472A" w14:textId="44315503" w:rsidR="00D27E31" w:rsidRDefault="000C46D2" w:rsidP="003C239A">
      <w:pPr>
        <w:rPr>
          <w:rFonts w:eastAsia="Calibri" w:cs="Times New Roman"/>
        </w:rPr>
      </w:pPr>
      <w:r w:rsidRPr="00D27E31">
        <w:rPr>
          <w:rFonts w:eastAsia="Calibri" w:cs="Times New Roman"/>
        </w:rPr>
        <w:t xml:space="preserve">The </w:t>
      </w:r>
      <w:r w:rsidR="00BB6E52">
        <w:rPr>
          <w:rFonts w:eastAsia="Calibri" w:cs="Times New Roman"/>
        </w:rPr>
        <w:t>p</w:t>
      </w:r>
      <w:r w:rsidRPr="00D27E31">
        <w:rPr>
          <w:rFonts w:eastAsia="Calibri" w:cs="Times New Roman"/>
        </w:rPr>
        <w:t>anel notes that these issues were canvassed in the 2015 Senate inquiry into agricultural levies (</w:t>
      </w:r>
      <w:hyperlink w:anchor="Commonwealth_of_Australia_2015a" w:history="1">
        <w:r w:rsidRPr="00D27E31">
          <w:rPr>
            <w:rStyle w:val="Hyperlink"/>
            <w:rFonts w:eastAsia="Calibri" w:cs="Times New Roman"/>
          </w:rPr>
          <w:t>Commonwealth of Australia 2015a</w:t>
        </w:r>
      </w:hyperlink>
      <w:r w:rsidRPr="00D27E31">
        <w:rPr>
          <w:rFonts w:eastAsia="Calibri" w:cs="Times New Roman"/>
        </w:rPr>
        <w:t>), with that inquiry recommending that the Australian Government agriculture department conduct ‘a review of the process to establish and amend agricultural levies including modifications to levy components’. The Australian Government agreed with this recommendation</w:t>
      </w:r>
      <w:r w:rsidR="00F25FAA">
        <w:rPr>
          <w:rFonts w:eastAsia="Calibri" w:cs="Times New Roman"/>
        </w:rPr>
        <w:t>,</w:t>
      </w:r>
      <w:r w:rsidRPr="00D27E31">
        <w:rPr>
          <w:rFonts w:eastAsia="Calibri" w:cs="Times New Roman"/>
        </w:rPr>
        <w:t xml:space="preserve"> and the </w:t>
      </w:r>
      <w:r w:rsidR="00754213">
        <w:rPr>
          <w:rFonts w:eastAsia="Calibri" w:cs="Times New Roman"/>
        </w:rPr>
        <w:t>agriculture department</w:t>
      </w:r>
      <w:r w:rsidR="00F25FAA">
        <w:rPr>
          <w:rFonts w:eastAsia="Calibri" w:cs="Times New Roman"/>
        </w:rPr>
        <w:t xml:space="preserve"> </w:t>
      </w:r>
      <w:r w:rsidRPr="00D27E31">
        <w:rPr>
          <w:rFonts w:eastAsia="Calibri" w:cs="Times New Roman"/>
        </w:rPr>
        <w:t xml:space="preserve">has commenced a work program to reform how levies processes operate. The aim is to deliver more flexible, less complex, contemporary levies processes that support industries in optimising their levy investments and responding to changing circumstances and </w:t>
      </w:r>
      <w:r w:rsidR="00F25FAA">
        <w:rPr>
          <w:rFonts w:eastAsia="Calibri" w:cs="Times New Roman"/>
        </w:rPr>
        <w:t xml:space="preserve">that </w:t>
      </w:r>
      <w:r w:rsidRPr="00D27E31">
        <w:rPr>
          <w:rFonts w:eastAsia="Calibri" w:cs="Times New Roman"/>
        </w:rPr>
        <w:t>are well</w:t>
      </w:r>
      <w:r w:rsidR="00F25FAA">
        <w:rPr>
          <w:rFonts w:eastAsia="Calibri" w:cs="Times New Roman"/>
        </w:rPr>
        <w:t xml:space="preserve"> </w:t>
      </w:r>
      <w:r w:rsidRPr="00D27E31">
        <w:rPr>
          <w:rFonts w:eastAsia="Calibri" w:cs="Times New Roman"/>
        </w:rPr>
        <w:t>placed to adapt to the future needs of both government and industry over the longer term.</w:t>
      </w:r>
    </w:p>
    <w:p w14:paraId="5AD8C178" w14:textId="51DCF3FF" w:rsidR="003C239A" w:rsidRDefault="003C239A" w:rsidP="003C239A">
      <w:pPr>
        <w:rPr>
          <w:rFonts w:eastAsia="Calibri" w:cs="Times New Roman"/>
        </w:rPr>
      </w:pPr>
      <w:r w:rsidRPr="003352D4">
        <w:rPr>
          <w:rFonts w:eastAsia="Calibri" w:cs="Times New Roman"/>
        </w:rPr>
        <w:t xml:space="preserve">The </w:t>
      </w:r>
      <w:r w:rsidR="00F25FAA">
        <w:rPr>
          <w:rFonts w:eastAsia="Calibri" w:cs="Times New Roman"/>
        </w:rPr>
        <w:t>p</w:t>
      </w:r>
      <w:r w:rsidRPr="003352D4">
        <w:rPr>
          <w:rFonts w:eastAsia="Calibri" w:cs="Times New Roman"/>
        </w:rPr>
        <w:t xml:space="preserve">anel encourages </w:t>
      </w:r>
      <w:r w:rsidR="003352D4" w:rsidRPr="003352D4">
        <w:rPr>
          <w:rFonts w:eastAsia="Calibri" w:cs="Times New Roman"/>
        </w:rPr>
        <w:t xml:space="preserve">the Levies Process </w:t>
      </w:r>
      <w:r w:rsidR="00F25FAA">
        <w:rPr>
          <w:rFonts w:eastAsia="Calibri" w:cs="Times New Roman"/>
        </w:rPr>
        <w:t>r</w:t>
      </w:r>
      <w:r w:rsidR="003352D4" w:rsidRPr="003352D4">
        <w:rPr>
          <w:rFonts w:eastAsia="Calibri" w:cs="Times New Roman"/>
        </w:rPr>
        <w:t>eview</w:t>
      </w:r>
      <w:r w:rsidRPr="003352D4">
        <w:rPr>
          <w:rFonts w:eastAsia="Calibri" w:cs="Times New Roman"/>
        </w:rPr>
        <w:t xml:space="preserve"> to consider ways to streamline processes to facilitate the proposal in Recommendation </w:t>
      </w:r>
      <w:r w:rsidR="003352D4">
        <w:rPr>
          <w:rFonts w:eastAsia="Calibri" w:cs="Times New Roman"/>
        </w:rPr>
        <w:t>3</w:t>
      </w:r>
      <w:r w:rsidR="00132411">
        <w:rPr>
          <w:rFonts w:eastAsia="Calibri" w:cs="Times New Roman"/>
        </w:rPr>
        <w:t>6</w:t>
      </w:r>
      <w:r w:rsidRPr="003352D4">
        <w:rPr>
          <w:rFonts w:eastAsia="Calibri" w:cs="Times New Roman"/>
        </w:rPr>
        <w:t>.</w:t>
      </w:r>
    </w:p>
    <w:p w14:paraId="1071E3DF" w14:textId="617B019B" w:rsidR="003C239A" w:rsidRDefault="003C239A" w:rsidP="00363605">
      <w:pPr>
        <w:pStyle w:val="Heading4"/>
        <w:keepNext/>
        <w:rPr>
          <w:rFonts w:eastAsia="Calibri"/>
        </w:rPr>
      </w:pPr>
      <w:r>
        <w:rPr>
          <w:rFonts w:eastAsia="Calibri"/>
        </w:rPr>
        <w:t>Supplementing the</w:t>
      </w:r>
      <w:r w:rsidR="00AF0A39">
        <w:rPr>
          <w:rFonts w:eastAsia="Calibri"/>
        </w:rPr>
        <w:t xml:space="preserve"> </w:t>
      </w:r>
      <w:r w:rsidR="00D337D2">
        <w:rPr>
          <w:rFonts w:eastAsia="Calibri"/>
        </w:rPr>
        <w:t>e</w:t>
      </w:r>
      <w:r w:rsidR="00AF0A39">
        <w:rPr>
          <w:rFonts w:eastAsia="Calibri"/>
        </w:rPr>
        <w:t xml:space="preserve">mergency </w:t>
      </w:r>
      <w:r w:rsidR="00D337D2">
        <w:rPr>
          <w:rFonts w:eastAsia="Calibri"/>
        </w:rPr>
        <w:t>r</w:t>
      </w:r>
      <w:r w:rsidR="00AF0A39">
        <w:rPr>
          <w:rFonts w:eastAsia="Calibri"/>
        </w:rPr>
        <w:t>esponse</w:t>
      </w:r>
      <w:r>
        <w:rPr>
          <w:rFonts w:eastAsia="Calibri"/>
        </w:rPr>
        <w:t xml:space="preserve"> </w:t>
      </w:r>
      <w:r w:rsidR="00D337D2">
        <w:rPr>
          <w:rFonts w:eastAsia="Calibri"/>
        </w:rPr>
        <w:t>d</w:t>
      </w:r>
      <w:r>
        <w:rPr>
          <w:rFonts w:eastAsia="Calibri"/>
        </w:rPr>
        <w:t>eeds</w:t>
      </w:r>
    </w:p>
    <w:p w14:paraId="6286FECC" w14:textId="7C47FC10" w:rsidR="003C239A" w:rsidRDefault="003C239A" w:rsidP="00363605">
      <w:pPr>
        <w:keepNext/>
      </w:pPr>
      <w:r>
        <w:t xml:space="preserve">Throughout the </w:t>
      </w:r>
      <w:r w:rsidR="00F25FAA">
        <w:t>r</w:t>
      </w:r>
      <w:r>
        <w:t>eview the animal and plant emergency response deeds (that is, the E</w:t>
      </w:r>
      <w:r w:rsidR="00372CE0">
        <w:t xml:space="preserve">mergency </w:t>
      </w:r>
      <w:r>
        <w:t>A</w:t>
      </w:r>
      <w:r w:rsidR="00372CE0">
        <w:t xml:space="preserve">nimal </w:t>
      </w:r>
      <w:r>
        <w:t>D</w:t>
      </w:r>
      <w:r w:rsidR="00372CE0">
        <w:t xml:space="preserve">iseases </w:t>
      </w:r>
      <w:r>
        <w:t>R</w:t>
      </w:r>
      <w:r w:rsidR="00372CE0">
        <w:t xml:space="preserve">esponse </w:t>
      </w:r>
      <w:r>
        <w:t>A</w:t>
      </w:r>
      <w:r w:rsidR="00372CE0">
        <w:t>greement (EADRA)</w:t>
      </w:r>
      <w:r>
        <w:t xml:space="preserve"> and </w:t>
      </w:r>
      <w:r w:rsidR="00372CE0">
        <w:t xml:space="preserve">the </w:t>
      </w:r>
      <w:r>
        <w:t xml:space="preserve">EPPRD) were cited </w:t>
      </w:r>
      <w:r>
        <w:lastRenderedPageBreak/>
        <w:t xml:space="preserve">as a key component of the national biosecurity system. The </w:t>
      </w:r>
      <w:r w:rsidR="00372CE0">
        <w:t>p</w:t>
      </w:r>
      <w:r>
        <w:t>anel agrees with this assessment and notes they repr</w:t>
      </w:r>
      <w:r w:rsidR="00372CE0">
        <w:t>esent a world-</w:t>
      </w:r>
      <w:r w:rsidR="000311C2">
        <w:t>leading practice.</w:t>
      </w:r>
    </w:p>
    <w:p w14:paraId="6FE9C521" w14:textId="7E124F4A" w:rsidR="003C239A" w:rsidRPr="00F80519" w:rsidRDefault="003C239A" w:rsidP="003C239A">
      <w:r>
        <w:t xml:space="preserve">The </w:t>
      </w:r>
      <w:r w:rsidR="00372CE0">
        <w:t>p</w:t>
      </w:r>
      <w:r>
        <w:t xml:space="preserve">anel considers that all industries should contribute to an emergency response where it is appropriate for them to do so, not just if they are covered by a </w:t>
      </w:r>
      <w:r w:rsidR="00AF0A39">
        <w:t>d</w:t>
      </w:r>
      <w:r>
        <w:t xml:space="preserve">eed. To enable this, the </w:t>
      </w:r>
      <w:r w:rsidR="00372CE0">
        <w:t>p</w:t>
      </w:r>
      <w:r>
        <w:t xml:space="preserve">anel believes that a universal emergency response levy facility should be enacted by the Australian Government. The levy could be activated by </w:t>
      </w:r>
      <w:r w:rsidRPr="00F80519">
        <w:t>the Minister for Agriculture when he/she deems it necessary, with the rate and collection mechanism set at the discretion of the Minister.</w:t>
      </w:r>
    </w:p>
    <w:p w14:paraId="763C67D7" w14:textId="78469BCD" w:rsidR="003C239A" w:rsidRDefault="003C239A" w:rsidP="003C239A">
      <w:r w:rsidRPr="00F80519">
        <w:t xml:space="preserve">However, the Minister’s discretion would be limited in situations where an industry is a signatory to a </w:t>
      </w:r>
      <w:r w:rsidR="00AF0A39" w:rsidRPr="00F80519">
        <w:t>d</w:t>
      </w:r>
      <w:r w:rsidRPr="00F80519">
        <w:t xml:space="preserve">eed. The Minister would be obligated to comply with commitments already agreed by the </w:t>
      </w:r>
      <w:r w:rsidR="00372CE0">
        <w:t>g</w:t>
      </w:r>
      <w:r w:rsidRPr="00F80519">
        <w:t xml:space="preserve">overnment when entering into the </w:t>
      </w:r>
      <w:r w:rsidR="00AF0A39" w:rsidRPr="00F80519">
        <w:t>d</w:t>
      </w:r>
      <w:r w:rsidRPr="00F80519">
        <w:t xml:space="preserve">eed. The </w:t>
      </w:r>
      <w:r w:rsidR="00AF0A39" w:rsidRPr="00F80519">
        <w:t>d</w:t>
      </w:r>
      <w:r w:rsidRPr="00F80519">
        <w:t xml:space="preserve">eeds would continue to operate as now, but any industry not covered by a </w:t>
      </w:r>
      <w:r w:rsidR="00AF0A39" w:rsidRPr="00F80519">
        <w:t>d</w:t>
      </w:r>
      <w:r w:rsidRPr="00F80519">
        <w:t>eed would be liable to having a positive levy placed upon it at the discretion of the Minister.</w:t>
      </w:r>
      <w:r>
        <w:t xml:space="preserve"> To provide further incentive for industries not covered by a </w:t>
      </w:r>
      <w:r w:rsidR="00AF0A39">
        <w:t>d</w:t>
      </w:r>
      <w:r>
        <w:t>eed to join one, the legislation should permit the Minister to set a positive levy rate to build an emergency response fund for those industries up to a set limit of its gross value of production.</w:t>
      </w:r>
    </w:p>
    <w:p w14:paraId="06688FD5" w14:textId="1D18993F" w:rsidR="003C239A" w:rsidRDefault="003C239A" w:rsidP="003C239A">
      <w:r>
        <w:t xml:space="preserve">A pre-legislated mechanism would place industries not covered by a </w:t>
      </w:r>
      <w:r w:rsidR="00AF0A39">
        <w:t>d</w:t>
      </w:r>
      <w:r>
        <w:t xml:space="preserve">eed on a similar footing to those covered by a </w:t>
      </w:r>
      <w:r w:rsidR="00AF0A39">
        <w:t>d</w:t>
      </w:r>
      <w:r w:rsidR="00372CE0">
        <w:t>eed, eliminating the so-</w:t>
      </w:r>
      <w:r>
        <w:t xml:space="preserve">called free rider problem. </w:t>
      </w:r>
      <w:r w:rsidR="00380B75">
        <w:t>I</w:t>
      </w:r>
      <w:r>
        <w:t xml:space="preserve">t would circumvent potential lobbying against any future legislation seeking to implement an </w:t>
      </w:r>
      <w:r w:rsidRPr="00372CE0">
        <w:rPr>
          <w:i/>
        </w:rPr>
        <w:t>ex poste</w:t>
      </w:r>
      <w:r>
        <w:t xml:space="preserve"> levy on an industry not covered by an existing </w:t>
      </w:r>
      <w:r w:rsidR="00AF0A39">
        <w:t>d</w:t>
      </w:r>
      <w:r>
        <w:t>eed. It would also increase certainty for the relevant jurisdictions in their decision making at the time of an incursion.</w:t>
      </w:r>
    </w:p>
    <w:p w14:paraId="0BC816E4" w14:textId="29561FA7" w:rsidR="003C239A" w:rsidRDefault="003C239A" w:rsidP="003C239A">
      <w:r>
        <w:t xml:space="preserve">The </w:t>
      </w:r>
      <w:r w:rsidR="00372CE0">
        <w:t>p</w:t>
      </w:r>
      <w:r>
        <w:t xml:space="preserve">anel considered the option of having the proposed legislation list only those industries not currently covered by a </w:t>
      </w:r>
      <w:r w:rsidR="00D337D2">
        <w:t>d</w:t>
      </w:r>
      <w:r>
        <w:t xml:space="preserve">eed. However, it would leave open the prospect of an industry currently covered by a </w:t>
      </w:r>
      <w:r w:rsidR="00D337D2">
        <w:t>d</w:t>
      </w:r>
      <w:r>
        <w:t>eed not being listed in the proposed legislation</w:t>
      </w:r>
      <w:r w:rsidR="00D337D2">
        <w:t>.</w:t>
      </w:r>
      <w:r>
        <w:t xml:space="preserve"> </w:t>
      </w:r>
      <w:r w:rsidR="00D337D2">
        <w:t>S</w:t>
      </w:r>
      <w:r>
        <w:t>ubsequently</w:t>
      </w:r>
      <w:r w:rsidR="00D337D2">
        <w:t>,</w:t>
      </w:r>
      <w:r>
        <w:t xml:space="preserve"> withdraw</w:t>
      </w:r>
      <w:r w:rsidR="00392F65">
        <w:t>al</w:t>
      </w:r>
      <w:r>
        <w:t xml:space="preserve"> from the </w:t>
      </w:r>
      <w:r w:rsidR="00D337D2">
        <w:t>d</w:t>
      </w:r>
      <w:r>
        <w:t xml:space="preserve">eed would </w:t>
      </w:r>
      <w:r w:rsidR="00D337D2">
        <w:t xml:space="preserve">leave </w:t>
      </w:r>
      <w:r>
        <w:t>no mechanism in place for that industry. To avoid this situation the proposed levy mec</w:t>
      </w:r>
      <w:r w:rsidR="00372CE0">
        <w:t>hanism should apply universally</w:t>
      </w:r>
      <w:r>
        <w:t xml:space="preserve"> but with the caveat described above that the Minister should apply the terms of a </w:t>
      </w:r>
      <w:r w:rsidR="00D337D2">
        <w:t>d</w:t>
      </w:r>
      <w:r>
        <w:t>eed if one applies to the situation.</w:t>
      </w:r>
    </w:p>
    <w:p w14:paraId="5214259A" w14:textId="77777777" w:rsidR="003C239A" w:rsidRPr="00290792" w:rsidRDefault="003C239A" w:rsidP="00BC28A1">
      <w:pPr>
        <w:pStyle w:val="BoxHeading"/>
        <w:keepNext/>
        <w:keepLines/>
        <w:shd w:val="clear" w:color="auto" w:fill="D9D9D9" w:themeFill="background1" w:themeFillShade="D9"/>
        <w:rPr>
          <w:sz w:val="22"/>
        </w:rPr>
      </w:pPr>
      <w:bookmarkStart w:id="197" w:name="_Ref482710372"/>
      <w:r w:rsidRPr="00290792">
        <w:rPr>
          <w:sz w:val="22"/>
        </w:rPr>
        <w:lastRenderedPageBreak/>
        <w:t xml:space="preserve">Recommendation </w:t>
      </w:r>
      <w:r w:rsidR="00C72264" w:rsidRPr="00290792">
        <w:rPr>
          <w:sz w:val="22"/>
        </w:rPr>
        <w:fldChar w:fldCharType="begin"/>
      </w:r>
      <w:r w:rsidR="00C72264" w:rsidRPr="00290792">
        <w:rPr>
          <w:sz w:val="22"/>
        </w:rPr>
        <w:instrText xml:space="preserve"> SEQ Recommendation \* ARABIC </w:instrText>
      </w:r>
      <w:r w:rsidR="00C72264" w:rsidRPr="00290792">
        <w:rPr>
          <w:sz w:val="22"/>
        </w:rPr>
        <w:fldChar w:fldCharType="separate"/>
      </w:r>
      <w:r w:rsidR="009F6923">
        <w:rPr>
          <w:noProof/>
          <w:sz w:val="22"/>
        </w:rPr>
        <w:t>36</w:t>
      </w:r>
      <w:r w:rsidR="00C72264" w:rsidRPr="00290792">
        <w:rPr>
          <w:noProof/>
          <w:sz w:val="22"/>
        </w:rPr>
        <w:fldChar w:fldCharType="end"/>
      </w:r>
      <w:bookmarkEnd w:id="197"/>
    </w:p>
    <w:p w14:paraId="01FE6D34" w14:textId="6809200F" w:rsidR="003C239A" w:rsidRPr="00290792" w:rsidRDefault="003C239A" w:rsidP="00BC28A1">
      <w:pPr>
        <w:pStyle w:val="BoxText"/>
        <w:keepNext/>
        <w:keepLines/>
        <w:shd w:val="clear" w:color="auto" w:fill="D9D9D9" w:themeFill="background1" w:themeFillShade="D9"/>
        <w:rPr>
          <w:sz w:val="22"/>
        </w:rPr>
      </w:pPr>
      <w:r w:rsidRPr="00F80519">
        <w:rPr>
          <w:sz w:val="22"/>
        </w:rPr>
        <w:t>The Australian Government should enact legislation to put in place a universal emergency response levy, with its activation for any particular industry group to be at the discretion of the Minister for Agriculture. The legislation should provide the Minister with discretion to set a positive levy rate to build an emergency response fund for an industry in advance of an incursion. The legislation should require that</w:t>
      </w:r>
      <w:r w:rsidR="00372CE0">
        <w:rPr>
          <w:sz w:val="22"/>
        </w:rPr>
        <w:t>,</w:t>
      </w:r>
      <w:r w:rsidRPr="00F80519">
        <w:rPr>
          <w:sz w:val="22"/>
        </w:rPr>
        <w:t xml:space="preserve"> for industries covered by an existing </w:t>
      </w:r>
      <w:r w:rsidR="006926FB" w:rsidRPr="00F80519">
        <w:rPr>
          <w:sz w:val="22"/>
        </w:rPr>
        <w:t>emergency response deed</w:t>
      </w:r>
      <w:r w:rsidRPr="00F80519">
        <w:rPr>
          <w:sz w:val="22"/>
        </w:rPr>
        <w:t xml:space="preserve">, the Minister is to comply with the requirements of the relevant </w:t>
      </w:r>
      <w:r w:rsidR="006926FB" w:rsidRPr="00F80519">
        <w:rPr>
          <w:sz w:val="22"/>
        </w:rPr>
        <w:t>d</w:t>
      </w:r>
      <w:r w:rsidRPr="00F80519">
        <w:rPr>
          <w:sz w:val="22"/>
        </w:rPr>
        <w:t>eed in making any decisions.</w:t>
      </w:r>
    </w:p>
    <w:p w14:paraId="4E32427C" w14:textId="27A64381" w:rsidR="006B6CB3" w:rsidRDefault="006B6CB3" w:rsidP="006B6CB3">
      <w:pPr>
        <w:rPr>
          <w:lang w:eastAsia="ja-JP"/>
        </w:rPr>
      </w:pPr>
      <w:r w:rsidRPr="00996D64">
        <w:rPr>
          <w:lang w:eastAsia="ja-JP"/>
        </w:rPr>
        <w:t xml:space="preserve">The </w:t>
      </w:r>
      <w:r w:rsidR="00372CE0">
        <w:rPr>
          <w:lang w:eastAsia="ja-JP"/>
        </w:rPr>
        <w:t>p</w:t>
      </w:r>
      <w:r w:rsidRPr="00996D64">
        <w:rPr>
          <w:lang w:eastAsia="ja-JP"/>
        </w:rPr>
        <w:t xml:space="preserve">anel has observed the progress on the development of emergency response deeds for aquatic animals (aquaculture and wild) and exotic </w:t>
      </w:r>
      <w:r>
        <w:rPr>
          <w:lang w:eastAsia="ja-JP"/>
        </w:rPr>
        <w:t xml:space="preserve">production </w:t>
      </w:r>
      <w:r w:rsidRPr="00996D64">
        <w:rPr>
          <w:lang w:eastAsia="ja-JP"/>
        </w:rPr>
        <w:t>weeds. The</w:t>
      </w:r>
      <w:r>
        <w:rPr>
          <w:lang w:eastAsia="ja-JP"/>
        </w:rPr>
        <w:t>se</w:t>
      </w:r>
      <w:r w:rsidRPr="00996D64">
        <w:rPr>
          <w:lang w:eastAsia="ja-JP"/>
        </w:rPr>
        <w:t xml:space="preserve"> deeds will address key gaps in the national emergency management arrangements and should help minimise the number and need for negotiation of special off-deed arrangements. While there </w:t>
      </w:r>
      <w:r w:rsidR="0075013C">
        <w:rPr>
          <w:lang w:eastAsia="ja-JP"/>
        </w:rPr>
        <w:t>is</w:t>
      </w:r>
      <w:r w:rsidRPr="00996D64">
        <w:rPr>
          <w:lang w:eastAsia="ja-JP"/>
        </w:rPr>
        <w:t xml:space="preserve"> a range of discussions underway, the </w:t>
      </w:r>
      <w:r w:rsidR="00372CE0">
        <w:rPr>
          <w:lang w:eastAsia="ja-JP"/>
        </w:rPr>
        <w:t>p</w:t>
      </w:r>
      <w:r w:rsidRPr="00996D64">
        <w:rPr>
          <w:lang w:eastAsia="ja-JP"/>
        </w:rPr>
        <w:t xml:space="preserve">anel recommends </w:t>
      </w:r>
      <w:r w:rsidR="00372CE0">
        <w:rPr>
          <w:lang w:eastAsia="ja-JP"/>
        </w:rPr>
        <w:t xml:space="preserve">that </w:t>
      </w:r>
      <w:r w:rsidRPr="00996D64">
        <w:rPr>
          <w:lang w:eastAsia="ja-JP"/>
        </w:rPr>
        <w:t xml:space="preserve">jurisdictions, relevant industries and community groups facilitate the prompt conclusion to these discussions to ensure the aquatic and </w:t>
      </w:r>
      <w:r>
        <w:rPr>
          <w:lang w:eastAsia="ja-JP"/>
        </w:rPr>
        <w:t xml:space="preserve">exotic production </w:t>
      </w:r>
      <w:r w:rsidRPr="00996D64">
        <w:rPr>
          <w:lang w:eastAsia="ja-JP"/>
        </w:rPr>
        <w:t>weed de</w:t>
      </w:r>
      <w:r>
        <w:rPr>
          <w:lang w:eastAsia="ja-JP"/>
        </w:rPr>
        <w:t>eds are prepared without delay.</w:t>
      </w:r>
    </w:p>
    <w:p w14:paraId="7EAC4D22" w14:textId="77777777" w:rsidR="006B6CB3" w:rsidRPr="006B6CB3" w:rsidRDefault="006B6CB3" w:rsidP="006B6CB3">
      <w:pPr>
        <w:pStyle w:val="BoxHeading"/>
        <w:shd w:val="clear" w:color="auto" w:fill="D9D9D9" w:themeFill="background1" w:themeFillShade="D9"/>
        <w:rPr>
          <w:bCs/>
          <w:noProof/>
          <w:sz w:val="22"/>
        </w:rPr>
      </w:pPr>
      <w:bookmarkStart w:id="198" w:name="_Ref482870211"/>
      <w:r w:rsidRPr="006B6CB3">
        <w:rPr>
          <w:bCs/>
          <w:noProof/>
          <w:sz w:val="22"/>
        </w:rPr>
        <w:t xml:space="preserve">Recommendation </w:t>
      </w:r>
      <w:r w:rsidRPr="006B6CB3">
        <w:rPr>
          <w:bCs/>
          <w:noProof/>
          <w:sz w:val="22"/>
        </w:rPr>
        <w:fldChar w:fldCharType="begin"/>
      </w:r>
      <w:r w:rsidRPr="006B6CB3">
        <w:rPr>
          <w:bCs/>
          <w:noProof/>
          <w:sz w:val="22"/>
        </w:rPr>
        <w:instrText xml:space="preserve"> SEQ Recommendation \* ARABIC </w:instrText>
      </w:r>
      <w:r w:rsidRPr="006B6CB3">
        <w:rPr>
          <w:bCs/>
          <w:noProof/>
          <w:sz w:val="22"/>
        </w:rPr>
        <w:fldChar w:fldCharType="separate"/>
      </w:r>
      <w:r w:rsidR="009F6923">
        <w:rPr>
          <w:bCs/>
          <w:noProof/>
          <w:sz w:val="22"/>
        </w:rPr>
        <w:t>37</w:t>
      </w:r>
      <w:r w:rsidRPr="006B6CB3">
        <w:rPr>
          <w:noProof/>
          <w:sz w:val="22"/>
        </w:rPr>
        <w:fldChar w:fldCharType="end"/>
      </w:r>
      <w:bookmarkEnd w:id="198"/>
    </w:p>
    <w:p w14:paraId="61791777" w14:textId="613CF66E" w:rsidR="006B6CB3" w:rsidRPr="007C63FA" w:rsidRDefault="006B6CB3" w:rsidP="006B6CB3">
      <w:pPr>
        <w:pStyle w:val="BoxText"/>
        <w:shd w:val="clear" w:color="auto" w:fill="D9D9D9" w:themeFill="background1" w:themeFillShade="D9"/>
        <w:rPr>
          <w:sz w:val="22"/>
          <w:lang w:eastAsia="ja-JP"/>
        </w:rPr>
      </w:pPr>
      <w:r w:rsidRPr="007C63FA">
        <w:rPr>
          <w:sz w:val="22"/>
          <w:lang w:eastAsia="ja-JP"/>
        </w:rPr>
        <w:t xml:space="preserve">The emergency response deeds for aquatic animals and exotic </w:t>
      </w:r>
      <w:r>
        <w:rPr>
          <w:sz w:val="22"/>
          <w:lang w:eastAsia="ja-JP"/>
        </w:rPr>
        <w:t xml:space="preserve">production </w:t>
      </w:r>
      <w:r w:rsidRPr="007C63FA">
        <w:rPr>
          <w:sz w:val="22"/>
          <w:lang w:eastAsia="ja-JP"/>
        </w:rPr>
        <w:t xml:space="preserve">weeds should be finalised within </w:t>
      </w:r>
      <w:r w:rsidR="00372CE0">
        <w:rPr>
          <w:sz w:val="22"/>
          <w:lang w:eastAsia="ja-JP"/>
        </w:rPr>
        <w:t xml:space="preserve">eighteen </w:t>
      </w:r>
      <w:r w:rsidRPr="007C63FA">
        <w:rPr>
          <w:sz w:val="22"/>
          <w:lang w:eastAsia="ja-JP"/>
        </w:rPr>
        <w:t>months</w:t>
      </w:r>
      <w:r w:rsidR="009A691A">
        <w:rPr>
          <w:sz w:val="22"/>
          <w:lang w:eastAsia="ja-JP"/>
        </w:rPr>
        <w:t xml:space="preserve"> </w:t>
      </w:r>
      <w:r w:rsidR="00822416" w:rsidRPr="00822416">
        <w:rPr>
          <w:sz w:val="22"/>
          <w:lang w:eastAsia="ja-JP"/>
        </w:rPr>
        <w:t xml:space="preserve">of the IGAB </w:t>
      </w:r>
      <w:r w:rsidR="00372CE0">
        <w:rPr>
          <w:sz w:val="22"/>
          <w:lang w:eastAsia="ja-JP"/>
        </w:rPr>
        <w:t>r</w:t>
      </w:r>
      <w:r w:rsidR="00822416" w:rsidRPr="00822416">
        <w:rPr>
          <w:sz w:val="22"/>
          <w:lang w:eastAsia="ja-JP"/>
        </w:rPr>
        <w:t xml:space="preserve">eview </w:t>
      </w:r>
      <w:r w:rsidR="00372CE0">
        <w:rPr>
          <w:sz w:val="22"/>
          <w:lang w:eastAsia="ja-JP"/>
        </w:rPr>
        <w:t>r</w:t>
      </w:r>
      <w:r w:rsidR="00822416" w:rsidRPr="00822416">
        <w:rPr>
          <w:sz w:val="22"/>
          <w:lang w:eastAsia="ja-JP"/>
        </w:rPr>
        <w:t>eport</w:t>
      </w:r>
      <w:r w:rsidR="009A691A">
        <w:rPr>
          <w:sz w:val="22"/>
          <w:lang w:eastAsia="ja-JP"/>
        </w:rPr>
        <w:t>.</w:t>
      </w:r>
    </w:p>
    <w:p w14:paraId="3FBABF97" w14:textId="462D9C2C" w:rsidR="003C239A" w:rsidRDefault="00C34D24" w:rsidP="00C34D24">
      <w:pPr>
        <w:pStyle w:val="Heading3"/>
      </w:pPr>
      <w:bookmarkStart w:id="199" w:name="_Toc486236062"/>
      <w:r>
        <w:t>Summary</w:t>
      </w:r>
      <w:bookmarkEnd w:id="199"/>
    </w:p>
    <w:p w14:paraId="6967170A" w14:textId="030B0594" w:rsidR="00C34D24" w:rsidRDefault="00C34D24" w:rsidP="00C34D24">
      <w:r>
        <w:t xml:space="preserve">Funding </w:t>
      </w:r>
      <w:r w:rsidR="00D337D2">
        <w:t>Australia’s</w:t>
      </w:r>
      <w:r>
        <w:t xml:space="preserve"> biosecurity system adequately will always be a challenge, and the sharing of the costs will always be disputed—this is the nature of </w:t>
      </w:r>
      <w:r w:rsidR="00D337D2">
        <w:t xml:space="preserve">the national </w:t>
      </w:r>
      <w:r>
        <w:t xml:space="preserve">system. </w:t>
      </w:r>
      <w:r w:rsidR="00380B75">
        <w:t>W</w:t>
      </w:r>
      <w:r>
        <w:t>hile participants debate the elements of the</w:t>
      </w:r>
      <w:r w:rsidR="00C405F8">
        <w:t xml:space="preserve"> national</w:t>
      </w:r>
      <w:r>
        <w:t xml:space="preserve"> system, their costs and their effectiveness, n</w:t>
      </w:r>
      <w:r w:rsidR="003F3E53">
        <w:t>o-</w:t>
      </w:r>
      <w:r>
        <w:t>one has suggested that funding fo</w:t>
      </w:r>
      <w:r w:rsidR="000311C2">
        <w:t>r the system should be reduced.</w:t>
      </w:r>
    </w:p>
    <w:p w14:paraId="7A54E5C9" w14:textId="33973EB7" w:rsidR="003C239A" w:rsidRDefault="00C34D24" w:rsidP="00C34D24">
      <w:r>
        <w:t>The funding principles contained in the IGAB and the National Framework for Cost</w:t>
      </w:r>
      <w:r w:rsidR="00CB21E8">
        <w:t xml:space="preserve"> </w:t>
      </w:r>
      <w:r>
        <w:t>Sharing of Biosecurity Programs remain sound and should be retained in IGAB</w:t>
      </w:r>
      <w:r w:rsidR="004E4A4E">
        <w:t>2</w:t>
      </w:r>
      <w:r>
        <w:t>. They already underpin the way the national biosecurity system is funded</w:t>
      </w:r>
      <w:r w:rsidR="003F3E53">
        <w:t>,</w:t>
      </w:r>
      <w:r>
        <w:t xml:space="preserve"> with risk creators and beneficiaries contributing to the cost of the system. The data provided to the </w:t>
      </w:r>
      <w:r w:rsidR="003F3E53">
        <w:t>p</w:t>
      </w:r>
      <w:r>
        <w:t>anel demonstrates that industr</w:t>
      </w:r>
      <w:r w:rsidR="00A8440A">
        <w:t>y is already paying at least 57 </w:t>
      </w:r>
      <w:r>
        <w:t>per</w:t>
      </w:r>
      <w:r w:rsidR="00A8440A">
        <w:t> </w:t>
      </w:r>
      <w:r>
        <w:t xml:space="preserve">cent </w:t>
      </w:r>
      <w:r w:rsidR="00C405F8">
        <w:t xml:space="preserve">(in 2015–16) </w:t>
      </w:r>
      <w:r>
        <w:t>of the cost of the national system,</w:t>
      </w:r>
      <w:r w:rsidR="00822416" w:rsidRPr="00822416">
        <w:t xml:space="preserve"> although this includes payments for direct services,</w:t>
      </w:r>
      <w:r>
        <w:t xml:space="preserve"> and likely significantly more when its in</w:t>
      </w:r>
      <w:r w:rsidR="00F57DAE">
        <w:t>-</w:t>
      </w:r>
      <w:r>
        <w:t>kind contributions are included. But there are some groups that are not pulling their weight and it is appropriate for governments</w:t>
      </w:r>
      <w:r w:rsidR="0075013C">
        <w:t>,</w:t>
      </w:r>
      <w:r>
        <w:t xml:space="preserve"> </w:t>
      </w:r>
      <w:r w:rsidR="0075013C">
        <w:t xml:space="preserve">industry </w:t>
      </w:r>
      <w:r w:rsidR="0075013C">
        <w:lastRenderedPageBreak/>
        <w:t xml:space="preserve">and the community </w:t>
      </w:r>
      <w:r>
        <w:t>to continually look at who should be paying and how much they should be contributing.</w:t>
      </w:r>
    </w:p>
    <w:p w14:paraId="42017DDF" w14:textId="2287CF21" w:rsidR="00C405F8" w:rsidRDefault="00F57DAE" w:rsidP="00C34D24">
      <w:r w:rsidRPr="00F57DAE">
        <w:t xml:space="preserve">The </w:t>
      </w:r>
      <w:r w:rsidR="003F3E53">
        <w:t>p</w:t>
      </w:r>
      <w:r w:rsidRPr="00F57DAE">
        <w:t>anel considers that additional funding is required to improve environmental biosecurity efforts,</w:t>
      </w:r>
      <w:r w:rsidR="003F3E53">
        <w:t xml:space="preserve"> improve activities on the left-</w:t>
      </w:r>
      <w:r w:rsidRPr="00F57DAE">
        <w:t xml:space="preserve">hand side of the invasion curve (for example, monitoring and surveillance), enhance awareness of roles and responsibilities to build support for the shared responsibility concept, improve communication about the national system, and aid implementation of </w:t>
      </w:r>
      <w:r w:rsidR="00380B75">
        <w:t xml:space="preserve">the </w:t>
      </w:r>
      <w:r w:rsidRPr="00F57DAE">
        <w:t>other recommenda</w:t>
      </w:r>
      <w:r w:rsidR="000311C2">
        <w:t>tions contained in this report.</w:t>
      </w:r>
    </w:p>
    <w:p w14:paraId="6ABF24D4" w14:textId="2C17835D" w:rsidR="00C34D24" w:rsidRPr="00C34D24" w:rsidRDefault="00F57DAE" w:rsidP="00C34D24">
      <w:r w:rsidRPr="00F57DAE">
        <w:t xml:space="preserve">The </w:t>
      </w:r>
      <w:r w:rsidR="003F3E53">
        <w:t>p</w:t>
      </w:r>
      <w:r w:rsidRPr="00F57DAE">
        <w:t>anel considers the bulk of this additional fun</w:t>
      </w:r>
      <w:r w:rsidR="003F3E53">
        <w:t>ding should primarily come from</w:t>
      </w:r>
      <w:r w:rsidRPr="00F57DAE">
        <w:t xml:space="preserve"> a $10 per TEU levy on</w:t>
      </w:r>
      <w:r w:rsidR="00822416">
        <w:t xml:space="preserve"> incoming</w:t>
      </w:r>
      <w:r w:rsidRPr="00F57DAE">
        <w:t xml:space="preserve"> sea containers and a $5 levy on</w:t>
      </w:r>
      <w:r w:rsidR="00822416">
        <w:t xml:space="preserve"> incoming</w:t>
      </w:r>
      <w:r w:rsidRPr="00F57DAE">
        <w:t xml:space="preserve"> air containers (from 1 July 2019); an increase of $5 in the passenger movement charge (from</w:t>
      </w:r>
      <w:r w:rsidR="003F3E53">
        <w:t xml:space="preserve"> 1 July 2022) expansion of land-</w:t>
      </w:r>
      <w:r w:rsidRPr="00F57DAE">
        <w:t xml:space="preserve">based levies by the states and territories (preferably on a more uniform and consistent basis); and implementation of a universal, </w:t>
      </w:r>
      <w:r w:rsidR="007815CB">
        <w:rPr>
          <w:i/>
        </w:rPr>
        <w:t xml:space="preserve">ex </w:t>
      </w:r>
      <w:r w:rsidRPr="003F3E53">
        <w:rPr>
          <w:i/>
        </w:rPr>
        <w:t>ante</w:t>
      </w:r>
      <w:r w:rsidRPr="00F57DAE">
        <w:t xml:space="preserve"> emergency response levy mechanism.</w:t>
      </w:r>
    </w:p>
    <w:p w14:paraId="50E58EC4" w14:textId="4928ECD6" w:rsidR="00596255" w:rsidRDefault="00596255" w:rsidP="00596255">
      <w:pPr>
        <w:pStyle w:val="Heading2"/>
      </w:pPr>
      <w:bookmarkStart w:id="200" w:name="_Measuring_system_performance"/>
      <w:bookmarkStart w:id="201" w:name="_Ref485981750"/>
      <w:bookmarkStart w:id="202" w:name="_Toc486236063"/>
      <w:bookmarkEnd w:id="195"/>
      <w:bookmarkEnd w:id="196"/>
      <w:bookmarkEnd w:id="200"/>
      <w:r>
        <w:lastRenderedPageBreak/>
        <w:t>Measuring system performance</w:t>
      </w:r>
      <w:bookmarkEnd w:id="201"/>
      <w:bookmarkEnd w:id="202"/>
    </w:p>
    <w:p w14:paraId="11A2CDD9" w14:textId="77777777" w:rsidR="00623C6D" w:rsidRPr="00DD56BE" w:rsidRDefault="00623C6D" w:rsidP="00623C6D">
      <w:pPr>
        <w:pStyle w:val="BoxHeading"/>
        <w:rPr>
          <w:sz w:val="22"/>
          <w:lang w:eastAsia="ja-JP"/>
        </w:rPr>
      </w:pPr>
      <w:r w:rsidRPr="00DD56BE">
        <w:rPr>
          <w:sz w:val="22"/>
          <w:lang w:eastAsia="ja-JP"/>
        </w:rPr>
        <w:t>Key points</w:t>
      </w:r>
    </w:p>
    <w:p w14:paraId="058AFDC9" w14:textId="56906CED" w:rsidR="007B316E" w:rsidRPr="00BD4E22" w:rsidRDefault="007B316E" w:rsidP="00BD4E22">
      <w:pPr>
        <w:pStyle w:val="BoxTextBullet"/>
        <w:rPr>
          <w:sz w:val="22"/>
          <w:lang w:eastAsia="ja-JP"/>
        </w:rPr>
      </w:pPr>
      <w:r w:rsidRPr="00BD4E22">
        <w:rPr>
          <w:sz w:val="22"/>
          <w:lang w:eastAsia="ja-JP"/>
        </w:rPr>
        <w:t xml:space="preserve">Evidence suggests </w:t>
      </w:r>
      <w:r w:rsidR="007815CB" w:rsidRPr="00BD4E22">
        <w:rPr>
          <w:sz w:val="22"/>
          <w:lang w:eastAsia="ja-JP"/>
        </w:rPr>
        <w:t xml:space="preserve">that </w:t>
      </w:r>
      <w:r w:rsidRPr="00BD4E22">
        <w:rPr>
          <w:sz w:val="22"/>
          <w:lang w:eastAsia="ja-JP"/>
        </w:rPr>
        <w:t>the national biosecurity system continues to protect Australia from many exotic pests and diseases.</w:t>
      </w:r>
    </w:p>
    <w:p w14:paraId="4036BCFF" w14:textId="40400FD8" w:rsidR="007B316E" w:rsidRPr="00BD4E22" w:rsidRDefault="007B316E" w:rsidP="00BD4E22">
      <w:pPr>
        <w:pStyle w:val="BoxTextBullet"/>
        <w:rPr>
          <w:sz w:val="22"/>
          <w:lang w:eastAsia="ja-JP"/>
        </w:rPr>
      </w:pPr>
      <w:r w:rsidRPr="00BD4E22">
        <w:rPr>
          <w:sz w:val="22"/>
        </w:rPr>
        <w:t>Good performance information is critical to being able to tell a cohesive biosecurity performance story. Public reporting of that performance information is also critical to maintaining</w:t>
      </w:r>
      <w:r w:rsidR="00C405F8" w:rsidRPr="00BD4E22">
        <w:rPr>
          <w:sz w:val="22"/>
        </w:rPr>
        <w:t xml:space="preserve"> the</w:t>
      </w:r>
      <w:r w:rsidRPr="00BD4E22">
        <w:rPr>
          <w:sz w:val="22"/>
        </w:rPr>
        <w:t xml:space="preserve"> support of the community.</w:t>
      </w:r>
    </w:p>
    <w:p w14:paraId="0EFD463A" w14:textId="57633ED2" w:rsidR="007B316E" w:rsidRPr="00BD4E22" w:rsidRDefault="007B316E" w:rsidP="00BD4E22">
      <w:pPr>
        <w:pStyle w:val="BoxTextBullet"/>
        <w:rPr>
          <w:sz w:val="22"/>
          <w:lang w:eastAsia="ja-JP"/>
        </w:rPr>
      </w:pPr>
      <w:r w:rsidRPr="00BD4E22">
        <w:rPr>
          <w:sz w:val="22"/>
          <w:lang w:eastAsia="ja-JP"/>
        </w:rPr>
        <w:t xml:space="preserve">Developing performance measures to assess whether the national biosecurity system as a whole, or different components of the system, are meeting agreed </w:t>
      </w:r>
      <w:r w:rsidR="007815CB" w:rsidRPr="00BD4E22">
        <w:rPr>
          <w:sz w:val="22"/>
          <w:lang w:eastAsia="ja-JP"/>
        </w:rPr>
        <w:t>goals and objectives</w:t>
      </w:r>
      <w:r w:rsidRPr="00BD4E22">
        <w:rPr>
          <w:sz w:val="22"/>
          <w:lang w:eastAsia="ja-JP"/>
        </w:rPr>
        <w:t xml:space="preserve"> should be actioned under IGAB2</w:t>
      </w:r>
      <w:r w:rsidR="00D13543" w:rsidRPr="00BD4E22">
        <w:rPr>
          <w:sz w:val="22"/>
          <w:lang w:eastAsia="ja-JP"/>
        </w:rPr>
        <w:t>.</w:t>
      </w:r>
    </w:p>
    <w:p w14:paraId="257BCC67" w14:textId="333FADB2" w:rsidR="007B316E" w:rsidRPr="00BD4E22" w:rsidRDefault="007815CB" w:rsidP="00BD4E22">
      <w:pPr>
        <w:pStyle w:val="BoxTextBullet"/>
        <w:rPr>
          <w:sz w:val="22"/>
          <w:lang w:eastAsia="ja-JP"/>
        </w:rPr>
      </w:pPr>
      <w:r w:rsidRPr="00BD4E22">
        <w:rPr>
          <w:sz w:val="22"/>
          <w:lang w:eastAsia="ja-JP"/>
        </w:rPr>
        <w:t>Data</w:t>
      </w:r>
      <w:r w:rsidR="007B316E" w:rsidRPr="00BD4E22">
        <w:rPr>
          <w:sz w:val="22"/>
          <w:lang w:eastAsia="ja-JP"/>
        </w:rPr>
        <w:t>sets, and their requirements, need to be agreed in advance to enable appropriate and consistent data collection to ensure trends can be reliably identified and reported.</w:t>
      </w:r>
    </w:p>
    <w:p w14:paraId="195D6123" w14:textId="77777777" w:rsidR="007B316E" w:rsidRPr="00BD4E22" w:rsidRDefault="007B316E" w:rsidP="00BD4E22">
      <w:pPr>
        <w:pStyle w:val="BoxTextBullet"/>
        <w:rPr>
          <w:sz w:val="22"/>
          <w:lang w:eastAsia="ja-JP"/>
        </w:rPr>
      </w:pPr>
      <w:r w:rsidRPr="00BD4E22">
        <w:rPr>
          <w:sz w:val="22"/>
          <w:lang w:eastAsia="ja-JP"/>
        </w:rPr>
        <w:t>Relying solely on administrative data and government sources for information will likely lead to system performance and intelligence gaps.</w:t>
      </w:r>
    </w:p>
    <w:p w14:paraId="2E644DC3" w14:textId="4971E47E" w:rsidR="007B316E" w:rsidRPr="00BD4E22" w:rsidRDefault="007B316E" w:rsidP="00BD4E22">
      <w:pPr>
        <w:pStyle w:val="BoxTextBullet"/>
        <w:rPr>
          <w:sz w:val="22"/>
          <w:lang w:eastAsia="ja-JP"/>
        </w:rPr>
      </w:pPr>
      <w:r w:rsidRPr="00BD4E22">
        <w:rPr>
          <w:sz w:val="22"/>
          <w:lang w:eastAsia="ja-JP"/>
        </w:rPr>
        <w:t>All jurisdictions must contribute to</w:t>
      </w:r>
      <w:r w:rsidR="007815CB" w:rsidRPr="00BD4E22">
        <w:rPr>
          <w:sz w:val="22"/>
          <w:lang w:eastAsia="ja-JP"/>
        </w:rPr>
        <w:t xml:space="preserve"> national data and intelligence-</w:t>
      </w:r>
      <w:r w:rsidRPr="00BD4E22">
        <w:rPr>
          <w:sz w:val="22"/>
          <w:lang w:eastAsia="ja-JP"/>
        </w:rPr>
        <w:t>sharing efforts.</w:t>
      </w:r>
    </w:p>
    <w:p w14:paraId="590807B5" w14:textId="050E0427" w:rsidR="007B316E" w:rsidRPr="00BD4E22" w:rsidRDefault="007B316E" w:rsidP="00BD4E22">
      <w:pPr>
        <w:pStyle w:val="BoxTextBullet"/>
        <w:rPr>
          <w:sz w:val="22"/>
          <w:lang w:eastAsia="ja-JP"/>
        </w:rPr>
      </w:pPr>
      <w:r w:rsidRPr="00BD4E22">
        <w:rPr>
          <w:sz w:val="22"/>
          <w:lang w:eastAsia="ja-JP"/>
        </w:rPr>
        <w:t xml:space="preserve">Newly commissioned projects by the Australian Government to determine the value and health of </w:t>
      </w:r>
      <w:r w:rsidR="007815CB" w:rsidRPr="00BD4E22">
        <w:rPr>
          <w:sz w:val="22"/>
          <w:lang w:eastAsia="ja-JP"/>
        </w:rPr>
        <w:t>the national biosecurity system</w:t>
      </w:r>
      <w:r w:rsidRPr="00BD4E22">
        <w:rPr>
          <w:sz w:val="22"/>
          <w:lang w:eastAsia="ja-JP"/>
        </w:rPr>
        <w:t xml:space="preserve"> and develop an advanced data analytics capability, should assis</w:t>
      </w:r>
      <w:r w:rsidR="00200502" w:rsidRPr="00BD4E22">
        <w:rPr>
          <w:sz w:val="22"/>
          <w:lang w:eastAsia="ja-JP"/>
        </w:rPr>
        <w:t xml:space="preserve">t jurisdictions in the medium </w:t>
      </w:r>
      <w:r w:rsidRPr="00BD4E22">
        <w:rPr>
          <w:sz w:val="22"/>
          <w:lang w:eastAsia="ja-JP"/>
        </w:rPr>
        <w:t>term.</w:t>
      </w:r>
    </w:p>
    <w:p w14:paraId="21B4BF8A" w14:textId="01BFEF00" w:rsidR="00623C6D" w:rsidRDefault="008860D5" w:rsidP="00623C6D">
      <w:pPr>
        <w:pStyle w:val="Heading3"/>
        <w:rPr>
          <w:lang w:eastAsia="ja-JP"/>
        </w:rPr>
      </w:pPr>
      <w:bookmarkStart w:id="203" w:name="_Toc486236064"/>
      <w:r>
        <w:rPr>
          <w:lang w:eastAsia="ja-JP"/>
        </w:rPr>
        <w:t xml:space="preserve">Valuing </w:t>
      </w:r>
      <w:r w:rsidR="00623C6D">
        <w:rPr>
          <w:lang w:eastAsia="ja-JP"/>
        </w:rPr>
        <w:t>national biosecurity</w:t>
      </w:r>
      <w:bookmarkEnd w:id="203"/>
    </w:p>
    <w:p w14:paraId="3F4E29D2" w14:textId="38F9B822" w:rsidR="008860D5" w:rsidRDefault="008860D5" w:rsidP="008860D5">
      <w:pPr>
        <w:rPr>
          <w:lang w:eastAsia="ja-JP"/>
        </w:rPr>
      </w:pPr>
      <w:r>
        <w:rPr>
          <w:lang w:eastAsia="ja-JP"/>
        </w:rPr>
        <w:t xml:space="preserve">The feedback from governments, industry and the broader community throughout this </w:t>
      </w:r>
      <w:r w:rsidR="007815CB">
        <w:rPr>
          <w:lang w:eastAsia="ja-JP"/>
        </w:rPr>
        <w:t>r</w:t>
      </w:r>
      <w:r>
        <w:rPr>
          <w:lang w:eastAsia="ja-JP"/>
        </w:rPr>
        <w:t xml:space="preserve">eview indicates that the national biosecurity system is highly valued </w:t>
      </w:r>
      <w:r w:rsidR="007B316E">
        <w:rPr>
          <w:lang w:eastAsia="ja-JP"/>
        </w:rPr>
        <w:t xml:space="preserve">and believed to be </w:t>
      </w:r>
      <w:r>
        <w:rPr>
          <w:lang w:eastAsia="ja-JP"/>
        </w:rPr>
        <w:t xml:space="preserve">generally effective in protecting the nation from exotic pests and diseases. The Australian Government </w:t>
      </w:r>
      <w:r w:rsidRPr="005606EB">
        <w:rPr>
          <w:lang w:eastAsia="ja-JP"/>
        </w:rPr>
        <w:t>(sub. DP65)</w:t>
      </w:r>
      <w:r>
        <w:rPr>
          <w:lang w:eastAsia="ja-JP"/>
        </w:rPr>
        <w:t xml:space="preserve"> considers the national system inherently valuable</w:t>
      </w:r>
      <w:r w:rsidR="007815CB">
        <w:rPr>
          <w:lang w:eastAsia="ja-JP"/>
        </w:rPr>
        <w:t>,</w:t>
      </w:r>
      <w:r>
        <w:rPr>
          <w:lang w:eastAsia="ja-JP"/>
        </w:rPr>
        <w:t xml:space="preserve"> but its value is difficult to quantify because it has a ‘</w:t>
      </w:r>
      <w:r w:rsidRPr="005F2590">
        <w:rPr>
          <w:lang w:eastAsia="ja-JP"/>
        </w:rPr>
        <w:t>complex interplay of parts across supply chains, geographies, jurisdictions and stakeholders</w:t>
      </w:r>
      <w:r>
        <w:rPr>
          <w:lang w:eastAsia="ja-JP"/>
        </w:rPr>
        <w:t xml:space="preserve">’. </w:t>
      </w:r>
      <w:r w:rsidRPr="005C4163">
        <w:rPr>
          <w:lang w:eastAsia="ja-JP"/>
        </w:rPr>
        <w:t>Many of the benefits are also intangible or non-market.</w:t>
      </w:r>
    </w:p>
    <w:p w14:paraId="34A744B1" w14:textId="77DF9D55" w:rsidR="008860D5" w:rsidRDefault="008860D5" w:rsidP="008860D5">
      <w:pPr>
        <w:rPr>
          <w:lang w:eastAsia="ja-JP"/>
        </w:rPr>
      </w:pPr>
      <w:r>
        <w:rPr>
          <w:lang w:eastAsia="ja-JP"/>
        </w:rPr>
        <w:t>Stakeholders cited many instances where prevention, eradication and containment measures were proven to be effective—for example</w:t>
      </w:r>
      <w:r w:rsidR="007815CB">
        <w:rPr>
          <w:lang w:eastAsia="ja-JP"/>
        </w:rPr>
        <w:t xml:space="preserve">, </w:t>
      </w:r>
      <w:r>
        <w:rPr>
          <w:lang w:eastAsia="ja-JP"/>
        </w:rPr>
        <w:t xml:space="preserve">recent detection and destruction </w:t>
      </w:r>
      <w:r w:rsidRPr="00F62D55">
        <w:rPr>
          <w:lang w:eastAsia="ja-JP"/>
        </w:rPr>
        <w:t>of Khapra beetle l</w:t>
      </w:r>
      <w:r>
        <w:rPr>
          <w:lang w:eastAsia="ja-JP"/>
        </w:rPr>
        <w:t xml:space="preserve">arvae in South Australia and Western Australia; eradication of </w:t>
      </w:r>
      <w:r w:rsidR="00DD0E20">
        <w:rPr>
          <w:lang w:eastAsia="ja-JP"/>
        </w:rPr>
        <w:t xml:space="preserve">the </w:t>
      </w:r>
      <w:r w:rsidR="007815CB">
        <w:rPr>
          <w:lang w:eastAsia="ja-JP"/>
        </w:rPr>
        <w:t>red imported fire ant (RIFA)</w:t>
      </w:r>
      <w:r>
        <w:rPr>
          <w:lang w:eastAsia="ja-JP"/>
        </w:rPr>
        <w:t xml:space="preserve"> at Port Botany, N</w:t>
      </w:r>
      <w:r w:rsidR="00F83170">
        <w:rPr>
          <w:lang w:eastAsia="ja-JP"/>
        </w:rPr>
        <w:t xml:space="preserve">ew </w:t>
      </w:r>
      <w:r>
        <w:rPr>
          <w:lang w:eastAsia="ja-JP"/>
        </w:rPr>
        <w:t>S</w:t>
      </w:r>
      <w:r w:rsidR="00F83170">
        <w:rPr>
          <w:lang w:eastAsia="ja-JP"/>
        </w:rPr>
        <w:t xml:space="preserve">outh </w:t>
      </w:r>
      <w:r>
        <w:rPr>
          <w:lang w:eastAsia="ja-JP"/>
        </w:rPr>
        <w:t>W</w:t>
      </w:r>
      <w:r w:rsidR="00F83170">
        <w:rPr>
          <w:lang w:eastAsia="ja-JP"/>
        </w:rPr>
        <w:t>ales</w:t>
      </w:r>
      <w:r>
        <w:rPr>
          <w:lang w:eastAsia="ja-JP"/>
        </w:rPr>
        <w:t xml:space="preserve">; containment of RIFA in </w:t>
      </w:r>
      <w:r>
        <w:rPr>
          <w:lang w:eastAsia="ja-JP"/>
        </w:rPr>
        <w:lastRenderedPageBreak/>
        <w:t xml:space="preserve">south-east Queensland; proof of area freedom from a range of pests and diseases (for example, </w:t>
      </w:r>
      <w:r w:rsidR="007815CB">
        <w:rPr>
          <w:lang w:eastAsia="ja-JP"/>
        </w:rPr>
        <w:t>r</w:t>
      </w:r>
      <w:r>
        <w:rPr>
          <w:lang w:eastAsia="ja-JP"/>
        </w:rPr>
        <w:t xml:space="preserve">abies and </w:t>
      </w:r>
      <w:r w:rsidRPr="00623C6D">
        <w:rPr>
          <w:i/>
          <w:lang w:eastAsia="ja-JP"/>
        </w:rPr>
        <w:t>Varroa destructor</w:t>
      </w:r>
      <w:r>
        <w:rPr>
          <w:i/>
          <w:lang w:eastAsia="ja-JP"/>
        </w:rPr>
        <w:t xml:space="preserve"> </w:t>
      </w:r>
      <w:r w:rsidRPr="006E62C7">
        <w:rPr>
          <w:lang w:eastAsia="ja-JP"/>
        </w:rPr>
        <w:t>mite</w:t>
      </w:r>
      <w:r w:rsidR="007815CB">
        <w:rPr>
          <w:lang w:eastAsia="ja-JP"/>
        </w:rPr>
        <w:t>); and</w:t>
      </w:r>
      <w:r>
        <w:rPr>
          <w:lang w:eastAsia="ja-JP"/>
        </w:rPr>
        <w:t xml:space="preserve"> securing market access for Australian nectarines to China. At the same time, it is widely acknowledged that there are many areas where the effectiveness of the national biosecurity system can and should be improved. The recommendations proposed throughout this report are directed towards these areas.</w:t>
      </w:r>
    </w:p>
    <w:p w14:paraId="10030741" w14:textId="6B0F7471" w:rsidR="008860D5" w:rsidRDefault="008860D5" w:rsidP="008860D5">
      <w:pPr>
        <w:rPr>
          <w:lang w:eastAsia="ja-JP"/>
        </w:rPr>
      </w:pPr>
      <w:r>
        <w:rPr>
          <w:lang w:eastAsia="ja-JP"/>
        </w:rPr>
        <w:t xml:space="preserve">The Australian Government has also moved to fill key knowledge and information gaps, which should help jurisdictions </w:t>
      </w:r>
      <w:r w:rsidR="007815CB">
        <w:rPr>
          <w:lang w:eastAsia="ja-JP"/>
        </w:rPr>
        <w:t xml:space="preserve">to </w:t>
      </w:r>
      <w:r>
        <w:rPr>
          <w:lang w:eastAsia="ja-JP"/>
        </w:rPr>
        <w:t xml:space="preserve">demonstrate to all key players the national benefits of an appropriately resourced national biosecurity </w:t>
      </w:r>
      <w:r w:rsidRPr="00C405F8">
        <w:rPr>
          <w:lang w:eastAsia="ja-JP"/>
        </w:rPr>
        <w:t>system</w:t>
      </w:r>
      <w:r w:rsidR="00C405F8" w:rsidRPr="00C405F8">
        <w:rPr>
          <w:lang w:eastAsia="ja-JP"/>
        </w:rPr>
        <w:t xml:space="preserve"> (</w:t>
      </w:r>
      <w:r w:rsidR="00C405F8" w:rsidRPr="00C405F8">
        <w:rPr>
          <w:lang w:eastAsia="ja-JP"/>
        </w:rPr>
        <w:fldChar w:fldCharType="begin"/>
      </w:r>
      <w:r w:rsidR="00C405F8" w:rsidRPr="00C405F8">
        <w:rPr>
          <w:lang w:eastAsia="ja-JP"/>
        </w:rPr>
        <w:instrText xml:space="preserve"> REF _Ref483387339 \h  \* MERGEFORMAT </w:instrText>
      </w:r>
      <w:r w:rsidR="00C405F8" w:rsidRPr="00C405F8">
        <w:rPr>
          <w:lang w:eastAsia="ja-JP"/>
        </w:rPr>
      </w:r>
      <w:r w:rsidR="00C405F8" w:rsidRPr="00C405F8">
        <w:rPr>
          <w:lang w:eastAsia="ja-JP"/>
        </w:rPr>
        <w:fldChar w:fldCharType="separate"/>
      </w:r>
      <w:r w:rsidR="009F6923" w:rsidRPr="009F6923">
        <w:rPr>
          <w:bCs/>
        </w:rPr>
        <w:t xml:space="preserve">Box </w:t>
      </w:r>
      <w:r w:rsidR="009F6923" w:rsidRPr="009F6923">
        <w:rPr>
          <w:bCs/>
          <w:noProof/>
        </w:rPr>
        <w:t>16</w:t>
      </w:r>
      <w:r w:rsidR="00C405F8" w:rsidRPr="00C405F8">
        <w:rPr>
          <w:lang w:eastAsia="ja-JP"/>
        </w:rPr>
        <w:fldChar w:fldCharType="end"/>
      </w:r>
      <w:r w:rsidR="00C405F8" w:rsidRPr="00C405F8">
        <w:rPr>
          <w:lang w:eastAsia="ja-JP"/>
        </w:rPr>
        <w:t>)</w:t>
      </w:r>
      <w:r w:rsidRPr="00C405F8">
        <w:rPr>
          <w:lang w:eastAsia="ja-JP"/>
        </w:rPr>
        <w:t>.</w:t>
      </w:r>
    </w:p>
    <w:p w14:paraId="59938C17" w14:textId="1EB5CBDE" w:rsidR="00556162" w:rsidRPr="00C405F8" w:rsidRDefault="00556162" w:rsidP="008860D5">
      <w:pPr>
        <w:rPr>
          <w:lang w:eastAsia="ja-JP"/>
        </w:rPr>
      </w:pPr>
      <w:r w:rsidRPr="008860D5">
        <w:rPr>
          <w:lang w:eastAsia="ja-JP"/>
        </w:rPr>
        <w:t>These projects</w:t>
      </w:r>
      <w:r>
        <w:rPr>
          <w:lang w:eastAsia="ja-JP"/>
        </w:rPr>
        <w:t>, being undertaken by the Centre of Excellence for Biosecurity Risks Analysis (CEBRA),</w:t>
      </w:r>
      <w:r w:rsidRPr="008860D5">
        <w:rPr>
          <w:lang w:eastAsia="ja-JP"/>
        </w:rPr>
        <w:t xml:space="preserve"> have the potential to generate valuable information and insights</w:t>
      </w:r>
      <w:r>
        <w:rPr>
          <w:lang w:eastAsia="ja-JP"/>
        </w:rPr>
        <w:t>,</w:t>
      </w:r>
      <w:r w:rsidRPr="008860D5">
        <w:rPr>
          <w:lang w:eastAsia="ja-JP"/>
        </w:rPr>
        <w:t xml:space="preserve"> including shortcomings in assessing and reporting system performance, but they are recognised as multi-year projects with considerable challenges and uncertainties to resolve.</w:t>
      </w:r>
    </w:p>
    <w:p w14:paraId="78F76E92" w14:textId="4301797C" w:rsidR="008860D5" w:rsidRPr="008860D5" w:rsidRDefault="008860D5" w:rsidP="00BD4E22">
      <w:pPr>
        <w:pStyle w:val="BoxHeading"/>
      </w:pPr>
      <w:bookmarkStart w:id="204" w:name="_Ref483387339"/>
      <w:r w:rsidRPr="008860D5">
        <w:t xml:space="preserve">Box </w:t>
      </w:r>
      <w:fldSimple w:instr=" SEQ Box \* ARABIC ">
        <w:r w:rsidR="009F6923">
          <w:rPr>
            <w:noProof/>
          </w:rPr>
          <w:t>16</w:t>
        </w:r>
      </w:fldSimple>
      <w:bookmarkEnd w:id="204"/>
      <w:r w:rsidRPr="008860D5">
        <w:t xml:space="preserve"> </w:t>
      </w:r>
      <w:r w:rsidR="007815CB">
        <w:t>Australian Government knowledge-</w:t>
      </w:r>
      <w:r w:rsidRPr="008860D5">
        <w:t>building projects</w:t>
      </w:r>
    </w:p>
    <w:p w14:paraId="074568F3" w14:textId="2EE7F588" w:rsidR="008860D5" w:rsidRPr="008860D5" w:rsidRDefault="008860D5" w:rsidP="00CD571C">
      <w:pPr>
        <w:pStyle w:val="BoxHeading"/>
      </w:pPr>
      <w:r w:rsidRPr="008860D5">
        <w:t>‘Value of Australia’s biosecurity system’</w:t>
      </w:r>
    </w:p>
    <w:p w14:paraId="0CD7EC0D" w14:textId="2A9E5D12" w:rsidR="008860D5" w:rsidRPr="008860D5" w:rsidRDefault="008860D5" w:rsidP="00CD571C">
      <w:pPr>
        <w:pStyle w:val="BoxText"/>
      </w:pPr>
      <w:r w:rsidRPr="008860D5">
        <w:t>Australia’s biosecurity system provides substantial benefits to the Australian community by managing the risk of pests and diseases causing harm to human, animal and plant health, the environment and the economy. The system is inherently valuable</w:t>
      </w:r>
      <w:r w:rsidR="007815CB">
        <w:t>,</w:t>
      </w:r>
      <w:r w:rsidRPr="008860D5">
        <w:t xml:space="preserve"> but this value is difficult to quantify.</w:t>
      </w:r>
    </w:p>
    <w:p w14:paraId="528763EC" w14:textId="6E4C398A" w:rsidR="008860D5" w:rsidRPr="008860D5" w:rsidRDefault="008860D5" w:rsidP="00CD571C">
      <w:pPr>
        <w:pStyle w:val="BoxText"/>
      </w:pPr>
      <w:r w:rsidRPr="008860D5">
        <w:t>This project will develop reliable methods to value the components of the biosecurity system</w:t>
      </w:r>
      <w:r w:rsidR="007815CB">
        <w:t>—t</w:t>
      </w:r>
      <w:r w:rsidRPr="008860D5">
        <w:t>hat is, the benefits obtained from the prevention of economic, environmental, social and human health losses. The net benefit will take into account direct and indirect costs, to taxpayers and businesses, of the operating parts of the biosecurity system.</w:t>
      </w:r>
    </w:p>
    <w:p w14:paraId="2F112D3A" w14:textId="7D48553F" w:rsidR="008860D5" w:rsidRPr="008860D5" w:rsidRDefault="008860D5" w:rsidP="00CD571C">
      <w:pPr>
        <w:pStyle w:val="BoxText"/>
      </w:pPr>
      <w:r w:rsidRPr="008860D5">
        <w:t>It is anticipated that through this work, a better understanding of the importance, strengths and weaknesses of the biosecurity system will be obtained, which in turn will help guide investment for the system into the future. The project will run over several years</w:t>
      </w:r>
      <w:r w:rsidR="007815CB">
        <w:t>,</w:t>
      </w:r>
      <w:r w:rsidRPr="008860D5">
        <w:t xml:space="preserve"> with methods developed and indicative results generated in the first year.</w:t>
      </w:r>
    </w:p>
    <w:p w14:paraId="4100D167" w14:textId="77777777" w:rsidR="008860D5" w:rsidRPr="008860D5" w:rsidRDefault="008860D5" w:rsidP="00CD571C">
      <w:pPr>
        <w:pStyle w:val="BoxHeading"/>
      </w:pPr>
      <w:r w:rsidRPr="008860D5">
        <w:t>‘Health of Australia’s biosecurity system’</w:t>
      </w:r>
    </w:p>
    <w:p w14:paraId="576E3342" w14:textId="780DFDC9" w:rsidR="008860D5" w:rsidRPr="008860D5" w:rsidRDefault="008860D5" w:rsidP="00CD571C">
      <w:pPr>
        <w:pStyle w:val="BoxText"/>
      </w:pPr>
      <w:r w:rsidRPr="008860D5">
        <w:t xml:space="preserve">A substantial investment is made by governments, industry and the community to the Australian biosecurity system (Chapter 8). In a healthy system, these investments should be directed to ensuring Australia’s </w:t>
      </w:r>
      <w:r w:rsidR="007815CB" w:rsidRPr="008860D5">
        <w:t>A</w:t>
      </w:r>
      <w:r w:rsidR="007815CB">
        <w:t>ppropriate Level of Protection (A</w:t>
      </w:r>
      <w:r w:rsidRPr="008860D5">
        <w:t>LOP</w:t>
      </w:r>
      <w:r w:rsidR="007815CB">
        <w:t>)</w:t>
      </w:r>
      <w:r w:rsidRPr="008860D5">
        <w:t xml:space="preserve"> is effectively applied and that the system is able to adapt quickly to new and emerging threats.</w:t>
      </w:r>
    </w:p>
    <w:p w14:paraId="39B158D2" w14:textId="4BCDF291" w:rsidR="008860D5" w:rsidRPr="008860D5" w:rsidRDefault="008860D5" w:rsidP="00CD571C">
      <w:pPr>
        <w:pStyle w:val="BoxText"/>
      </w:pPr>
      <w:r w:rsidRPr="008860D5">
        <w:t>Building on res</w:t>
      </w:r>
      <w:r w:rsidR="002F339E">
        <w:t>ults from the ‘</w:t>
      </w:r>
      <w:r w:rsidRPr="008860D5">
        <w:t>Value of Australia’s biosecurity system</w:t>
      </w:r>
      <w:r w:rsidR="002F339E">
        <w:t>’</w:t>
      </w:r>
      <w:r w:rsidRPr="008860D5">
        <w:t xml:space="preserve"> project, this project will develop the means to clearly describe and measure the health of the biosecurity system against benchmarks of acceptability. This will provide a basis for identifying if and where improvements </w:t>
      </w:r>
      <w:r w:rsidRPr="008860D5">
        <w:lastRenderedPageBreak/>
        <w:t>should be made. The project will run over several years</w:t>
      </w:r>
      <w:r w:rsidR="007815CB">
        <w:t>,</w:t>
      </w:r>
      <w:r w:rsidRPr="008860D5">
        <w:t xml:space="preserve"> with methods developed and tested in the first year.</w:t>
      </w:r>
    </w:p>
    <w:p w14:paraId="63A95511" w14:textId="77777777" w:rsidR="008860D5" w:rsidRPr="008860D5" w:rsidRDefault="008860D5" w:rsidP="00CD571C">
      <w:pPr>
        <w:pStyle w:val="BoxSource"/>
        <w:rPr>
          <w:lang w:eastAsia="ja-JP"/>
        </w:rPr>
      </w:pPr>
      <w:r w:rsidRPr="008860D5">
        <w:rPr>
          <w:lang w:eastAsia="ja-JP"/>
        </w:rPr>
        <w:t>Source: Australian Government Department of Agriculture and Water Resources.</w:t>
      </w:r>
    </w:p>
    <w:p w14:paraId="69DD41F3" w14:textId="77777777" w:rsidR="002D064C" w:rsidRDefault="002D064C" w:rsidP="002D064C">
      <w:pPr>
        <w:pStyle w:val="Heading3"/>
        <w:rPr>
          <w:lang w:eastAsia="ja-JP"/>
        </w:rPr>
      </w:pPr>
      <w:bookmarkStart w:id="205" w:name="_Toc486236065"/>
      <w:r>
        <w:rPr>
          <w:lang w:eastAsia="ja-JP"/>
        </w:rPr>
        <w:t>Performance measurement and reporting</w:t>
      </w:r>
      <w:bookmarkEnd w:id="205"/>
    </w:p>
    <w:p w14:paraId="33B20FB3" w14:textId="50921803" w:rsidR="008860D5" w:rsidRDefault="008860D5" w:rsidP="008860D5">
      <w:pPr>
        <w:rPr>
          <w:lang w:eastAsia="ja-JP"/>
        </w:rPr>
      </w:pPr>
      <w:r>
        <w:rPr>
          <w:lang w:eastAsia="ja-JP"/>
        </w:rPr>
        <w:t>As part of its terms of reference (</w:t>
      </w:r>
      <w:hyperlink w:anchor="_Appendix_A:_Terms_1" w:history="1">
        <w:r w:rsidRPr="00392F65">
          <w:rPr>
            <w:rStyle w:val="Hyperlink"/>
            <w:lang w:eastAsia="ja-JP"/>
          </w:rPr>
          <w:t>Appendix A</w:t>
        </w:r>
      </w:hyperlink>
      <w:r>
        <w:rPr>
          <w:lang w:eastAsia="ja-JP"/>
        </w:rPr>
        <w:t xml:space="preserve">) the </w:t>
      </w:r>
      <w:r w:rsidR="007815CB">
        <w:rPr>
          <w:lang w:eastAsia="ja-JP"/>
        </w:rPr>
        <w:t>p</w:t>
      </w:r>
      <w:r>
        <w:rPr>
          <w:lang w:eastAsia="ja-JP"/>
        </w:rPr>
        <w:t>anel was asked to provide recommendations on the development of measurable indicators to assess whether the national biosecurity system is achieving its objectives. Performance data can support and better direct investment decisions, identify key risk areas within the national system and improve the management and effectiveness of existing operations. Most biosecurity stakeholders supported this view. However, the national system is complex with many interrelated components and intangible outcomes. This makes measuring the system’s overall performance and success fundamentally difficult but not impossible.</w:t>
      </w:r>
    </w:p>
    <w:p w14:paraId="5111106E" w14:textId="7B26C192" w:rsidR="008860D5" w:rsidRDefault="008860D5" w:rsidP="008860D5">
      <w:pPr>
        <w:rPr>
          <w:lang w:eastAsia="ja-JP"/>
        </w:rPr>
      </w:pPr>
      <w:r>
        <w:rPr>
          <w:lang w:eastAsia="ja-JP"/>
        </w:rPr>
        <w:t>Across the national system, there are many elements that can be measured, covering inputs (for example, dollars spent), outputs (for example, the passengers or containers cleared) or outcomes (for exam</w:t>
      </w:r>
      <w:r w:rsidR="00224F82">
        <w:rPr>
          <w:lang w:eastAsia="ja-JP"/>
        </w:rPr>
        <w:t xml:space="preserve">ple, a pest or disease managed </w:t>
      </w:r>
      <w:r>
        <w:rPr>
          <w:lang w:eastAsia="ja-JP"/>
        </w:rPr>
        <w:t>or access to a market gained). In the absence of appropriate data, qualitative assessments (for example, case studies) and expert opinions are accepted means of ‘filling in the gaps’.</w:t>
      </w:r>
    </w:p>
    <w:p w14:paraId="3904AC6B" w14:textId="16B033F7" w:rsidR="002D064C" w:rsidRDefault="008860D5" w:rsidP="008860D5">
      <w:pPr>
        <w:rPr>
          <w:lang w:eastAsia="ja-JP"/>
        </w:rPr>
      </w:pPr>
      <w:r>
        <w:rPr>
          <w:lang w:eastAsia="ja-JP"/>
        </w:rPr>
        <w:t xml:space="preserve">Government agencies are required to have performance frameworks in place to assess the effectiveness of their activities, including for biosecurity. The performance frameworks for biosecurity are evolving but at present vary considerably in their sophistication and coverage. Jurisdictional performance measures are articulated in agency corporate plans, strategies and annual reports, but there is no consistency between them and no capacity to ‘roll them up’ to capture the </w:t>
      </w:r>
      <w:r w:rsidRPr="008860D5">
        <w:rPr>
          <w:i/>
          <w:lang w:eastAsia="ja-JP"/>
        </w:rPr>
        <w:t>national</w:t>
      </w:r>
      <w:r>
        <w:rPr>
          <w:lang w:eastAsia="ja-JP"/>
        </w:rPr>
        <w:t xml:space="preserve"> system and assesses </w:t>
      </w:r>
      <w:r w:rsidRPr="008860D5">
        <w:rPr>
          <w:i/>
          <w:lang w:eastAsia="ja-JP"/>
        </w:rPr>
        <w:t>national</w:t>
      </w:r>
      <w:r>
        <w:rPr>
          <w:lang w:eastAsia="ja-JP"/>
        </w:rPr>
        <w:t xml:space="preserve"> performance. However, there are still lessons to learn from existing jurisdictional systems.</w:t>
      </w:r>
    </w:p>
    <w:p w14:paraId="03575952" w14:textId="7A80B9F4" w:rsidR="002D064C" w:rsidRDefault="002D064C" w:rsidP="002D064C">
      <w:pPr>
        <w:pStyle w:val="Heading4"/>
        <w:rPr>
          <w:lang w:eastAsia="ja-JP"/>
        </w:rPr>
      </w:pPr>
      <w:r>
        <w:rPr>
          <w:lang w:eastAsia="ja-JP"/>
        </w:rPr>
        <w:t xml:space="preserve">Australian, New Zealand and Victorian </w:t>
      </w:r>
      <w:r w:rsidR="0083793C">
        <w:rPr>
          <w:lang w:eastAsia="ja-JP"/>
        </w:rPr>
        <w:t>g</w:t>
      </w:r>
      <w:r>
        <w:rPr>
          <w:lang w:eastAsia="ja-JP"/>
        </w:rPr>
        <w:t>overnment examples</w:t>
      </w:r>
    </w:p>
    <w:p w14:paraId="490A471A" w14:textId="44336994" w:rsidR="002D064C" w:rsidRDefault="002D064C" w:rsidP="002D064C">
      <w:pPr>
        <w:rPr>
          <w:lang w:eastAsia="ja-JP"/>
        </w:rPr>
      </w:pPr>
      <w:r>
        <w:rPr>
          <w:lang w:eastAsia="ja-JP"/>
        </w:rPr>
        <w:t xml:space="preserve">A logical starting point for identifying performance measures for the national biosecurity system is to examine how organisations with national roles and responsibilities for biosecurity define and measure their success. Both </w:t>
      </w:r>
      <w:r w:rsidR="002D26D3">
        <w:rPr>
          <w:lang w:eastAsia="ja-JP"/>
        </w:rPr>
        <w:t>the Australian and New Zealand g</w:t>
      </w:r>
      <w:r>
        <w:rPr>
          <w:lang w:eastAsia="ja-JP"/>
        </w:rPr>
        <w:t>overnments have integrated biosecurity and food safety performance frameworks and measures (</w:t>
      </w:r>
      <w:r w:rsidRPr="007E1A59">
        <w:rPr>
          <w:lang w:eastAsia="ja-JP"/>
        </w:rPr>
        <w:t xml:space="preserve">Appendix </w:t>
      </w:r>
      <w:r w:rsidR="007E1A59">
        <w:rPr>
          <w:lang w:eastAsia="ja-JP"/>
        </w:rPr>
        <w:t>E</w:t>
      </w:r>
      <w:r>
        <w:rPr>
          <w:lang w:eastAsia="ja-JP"/>
        </w:rPr>
        <w:t>).</w:t>
      </w:r>
    </w:p>
    <w:p w14:paraId="2A567FA5" w14:textId="321D2129" w:rsidR="002D064C" w:rsidRDefault="002D064C" w:rsidP="002D064C">
      <w:pPr>
        <w:rPr>
          <w:lang w:eastAsia="ja-JP"/>
        </w:rPr>
      </w:pPr>
      <w:r>
        <w:rPr>
          <w:lang w:eastAsia="ja-JP"/>
        </w:rPr>
        <w:t>The performance framework of the Australian Government is, not surprisingly, focused on the effectiveness of biosecurity controls: on the movement of people, animal, plants, food and cargo into and out of Australia; market access</w:t>
      </w:r>
      <w:r w:rsidR="005C4163">
        <w:rPr>
          <w:lang w:eastAsia="ja-JP"/>
        </w:rPr>
        <w:t>;</w:t>
      </w:r>
      <w:r>
        <w:rPr>
          <w:lang w:eastAsia="ja-JP"/>
        </w:rPr>
        <w:t xml:space="preserve"> and emergency responses. Of </w:t>
      </w:r>
      <w:r>
        <w:rPr>
          <w:lang w:eastAsia="ja-JP"/>
        </w:rPr>
        <w:lastRenderedPageBreak/>
        <w:t>note is the inclusion of a target measure for the IGAB: that it ‘is found to be effective in managing the national biosecurity system’. This infers there will also be a set of performance measures for the IGAB.</w:t>
      </w:r>
    </w:p>
    <w:p w14:paraId="536BB68E" w14:textId="7BC07D6A" w:rsidR="002D064C" w:rsidRDefault="002D064C" w:rsidP="002D064C">
      <w:pPr>
        <w:rPr>
          <w:lang w:eastAsia="ja-JP"/>
        </w:rPr>
      </w:pPr>
      <w:r>
        <w:rPr>
          <w:lang w:eastAsia="ja-JP"/>
        </w:rPr>
        <w:t>New Zealand’s framework has similar coverage</w:t>
      </w:r>
      <w:r w:rsidR="00B271DE">
        <w:rPr>
          <w:lang w:eastAsia="ja-JP"/>
        </w:rPr>
        <w:t>,</w:t>
      </w:r>
      <w:r>
        <w:rPr>
          <w:lang w:eastAsia="ja-JP"/>
        </w:rPr>
        <w:t xml:space="preserve"> but there are notable differences in emphasis</w:t>
      </w:r>
      <w:r w:rsidR="00B271DE">
        <w:rPr>
          <w:lang w:eastAsia="ja-JP"/>
        </w:rPr>
        <w:t>—f</w:t>
      </w:r>
      <w:r>
        <w:rPr>
          <w:lang w:eastAsia="ja-JP"/>
        </w:rPr>
        <w:t>or example</w:t>
      </w:r>
      <w:r w:rsidR="00B271DE">
        <w:rPr>
          <w:lang w:eastAsia="ja-JP"/>
        </w:rPr>
        <w:t>,</w:t>
      </w:r>
      <w:r>
        <w:rPr>
          <w:lang w:eastAsia="ja-JP"/>
        </w:rPr>
        <w:t xml:space="preserve"> less emphasis on imports and more emphasis on measuring stakeholder engagement, satisfaction and voluntary compliance. New Ze</w:t>
      </w:r>
      <w:r w:rsidR="00FB4F3B">
        <w:rPr>
          <w:lang w:eastAsia="ja-JP"/>
        </w:rPr>
        <w:t xml:space="preserve">aland’s approach appears to be </w:t>
      </w:r>
      <w:r>
        <w:rPr>
          <w:lang w:eastAsia="ja-JP"/>
        </w:rPr>
        <w:t>more advanced</w:t>
      </w:r>
      <w:r w:rsidR="00B271DE">
        <w:rPr>
          <w:lang w:eastAsia="ja-JP"/>
        </w:rPr>
        <w:t>,</w:t>
      </w:r>
      <w:r>
        <w:rPr>
          <w:lang w:eastAsia="ja-JP"/>
        </w:rPr>
        <w:t xml:space="preserve"> more positively framed and able to encompass a broader range of parties and system activities. It also includes a set of </w:t>
      </w:r>
      <w:r w:rsidR="00343658">
        <w:rPr>
          <w:lang w:eastAsia="ja-JP"/>
        </w:rPr>
        <w:t xml:space="preserve">progress </w:t>
      </w:r>
      <w:r w:rsidR="00F4285E" w:rsidRPr="00343658">
        <w:rPr>
          <w:lang w:eastAsia="ja-JP"/>
        </w:rPr>
        <w:t>indicators</w:t>
      </w:r>
      <w:r w:rsidRPr="00343658">
        <w:rPr>
          <w:lang w:eastAsia="ja-JP"/>
        </w:rPr>
        <w:t>.</w:t>
      </w:r>
    </w:p>
    <w:p w14:paraId="664748B7" w14:textId="507351B9" w:rsidR="002D064C" w:rsidRDefault="002D064C" w:rsidP="002D064C">
      <w:pPr>
        <w:rPr>
          <w:lang w:eastAsia="ja-JP"/>
        </w:rPr>
      </w:pPr>
      <w:r>
        <w:rPr>
          <w:lang w:eastAsia="ja-JP"/>
        </w:rPr>
        <w:t xml:space="preserve">These ‘national’ frameworks are </w:t>
      </w:r>
      <w:r w:rsidR="005C4163">
        <w:rPr>
          <w:lang w:eastAsia="ja-JP"/>
        </w:rPr>
        <w:t>useful</w:t>
      </w:r>
      <w:r>
        <w:rPr>
          <w:lang w:eastAsia="ja-JP"/>
        </w:rPr>
        <w:t xml:space="preserve"> examples upon which to draw but would need to be adapted and significantly built upon for the purpose of assessing whether the </w:t>
      </w:r>
      <w:r w:rsidR="00FF3298">
        <w:rPr>
          <w:lang w:eastAsia="ja-JP"/>
        </w:rPr>
        <w:t xml:space="preserve">Australia’s </w:t>
      </w:r>
      <w:r>
        <w:rPr>
          <w:lang w:eastAsia="ja-JP"/>
        </w:rPr>
        <w:t>biosecurity system is meeting its objectives.</w:t>
      </w:r>
      <w:r w:rsidR="005C4163">
        <w:rPr>
          <w:lang w:eastAsia="ja-JP"/>
        </w:rPr>
        <w:t xml:space="preserve"> </w:t>
      </w:r>
      <w:r w:rsidR="005C4163" w:rsidRPr="005C4163">
        <w:rPr>
          <w:lang w:eastAsia="ja-JP"/>
        </w:rPr>
        <w:t>Like other performance frameworks, they exhibit a certain level of selectivity and pragmatism</w:t>
      </w:r>
      <w:r w:rsidR="005C4163">
        <w:rPr>
          <w:lang w:eastAsia="ja-JP"/>
        </w:rPr>
        <w:t>—</w:t>
      </w:r>
      <w:r w:rsidR="005C4163" w:rsidRPr="005C4163">
        <w:rPr>
          <w:lang w:eastAsia="ja-JP"/>
        </w:rPr>
        <w:t>reflecting the capacity of ‘responsible party’ in question to intervene or control an outcome.</w:t>
      </w:r>
    </w:p>
    <w:p w14:paraId="5F1840EA" w14:textId="46BD20F4" w:rsidR="008860D5" w:rsidRPr="008860D5" w:rsidRDefault="008860D5" w:rsidP="008860D5">
      <w:pPr>
        <w:rPr>
          <w:lang w:eastAsia="ja-JP"/>
        </w:rPr>
      </w:pPr>
      <w:r w:rsidRPr="008860D5">
        <w:rPr>
          <w:lang w:eastAsia="ja-JP"/>
        </w:rPr>
        <w:t>The Victorian Government, through Agriculture Victoria, has developed and implemented its Biosecurity Evidence Framework (BEF) to collect, aggregate and analyse performance data. The BEF was introduced in response to past performance and audit findings by the Victorian Auditor</w:t>
      </w:r>
      <w:r w:rsidR="00B271DE">
        <w:rPr>
          <w:lang w:eastAsia="ja-JP"/>
        </w:rPr>
        <w:t>-</w:t>
      </w:r>
      <w:r w:rsidRPr="008860D5">
        <w:rPr>
          <w:lang w:eastAsia="ja-JP"/>
        </w:rPr>
        <w:t>General (</w:t>
      </w:r>
      <w:hyperlink w:anchor="VAGO_2015" w:history="1">
        <w:r w:rsidRPr="008860D5">
          <w:rPr>
            <w:rStyle w:val="Hyperlink"/>
            <w:lang w:eastAsia="ja-JP"/>
          </w:rPr>
          <w:t>VAGO 2015</w:t>
        </w:r>
      </w:hyperlink>
      <w:r w:rsidRPr="008860D5">
        <w:rPr>
          <w:lang w:eastAsia="ja-JP"/>
        </w:rPr>
        <w:t xml:space="preserve">), which indicated a need to improve evidence collection capability and a more accurate picture of the achievements of Victoria’s livestock biosecurity programs and efforts. Under the framework, performance indicators have been assigned to each biosecurity business area (for example, domestic animals, invasive species and plants), which progressively collect and enter data to support consistent measurement of performance against the state’s biosecurity </w:t>
      </w:r>
      <w:r w:rsidR="007E6692">
        <w:rPr>
          <w:lang w:eastAsia="ja-JP"/>
        </w:rPr>
        <w:t>goals.</w:t>
      </w:r>
    </w:p>
    <w:p w14:paraId="3A842164" w14:textId="6ABB9AA6" w:rsidR="005A0325" w:rsidRDefault="00695B63" w:rsidP="005A0325">
      <w:r>
        <w:t xml:space="preserve">The </w:t>
      </w:r>
      <w:r w:rsidR="005A0325">
        <w:t>Victoria</w:t>
      </w:r>
      <w:r>
        <w:t>n Government</w:t>
      </w:r>
      <w:r w:rsidR="005A0325">
        <w:t xml:space="preserve"> proposes that a similar program logic be developed and agreed for Australia’s biosecurity system to guide the selection of national measures of success. Such a process wo</w:t>
      </w:r>
      <w:r w:rsidR="0083793C">
        <w:t>uld articulate short</w:t>
      </w:r>
      <w:r w:rsidR="00B271DE">
        <w:t>-term</w:t>
      </w:r>
      <w:r w:rsidR="0083793C">
        <w:t xml:space="preserve"> and medium-</w:t>
      </w:r>
      <w:r w:rsidR="005A0325">
        <w:t>term outcomes, identify strategic and targeted interventions (using a risk-based approach) and identify the data and supporting evidence required.</w:t>
      </w:r>
      <w:r w:rsidR="00CF0598">
        <w:t xml:space="preserve"> The </w:t>
      </w:r>
      <w:r w:rsidR="00B271DE">
        <w:t>p</w:t>
      </w:r>
      <w:r w:rsidR="00CF0598">
        <w:t>anel supports this view.</w:t>
      </w:r>
    </w:p>
    <w:p w14:paraId="7A01BCE9" w14:textId="6A03DF3C" w:rsidR="00CF0598" w:rsidRDefault="00CF0598" w:rsidP="00CF0598">
      <w:r>
        <w:t xml:space="preserve">The </w:t>
      </w:r>
      <w:r w:rsidR="00B271DE">
        <w:t>p</w:t>
      </w:r>
      <w:r>
        <w:t xml:space="preserve">anel notes that the scope of the BEF is broader than biosecurity and encompasses animal health and welfare and chemical streams, as do the performance indicators and metrics used to evaluate its success. The </w:t>
      </w:r>
      <w:r w:rsidR="00B271DE">
        <w:t>p</w:t>
      </w:r>
      <w:r>
        <w:t>anel is not suggesting this scope for the national biosecurity system framework.</w:t>
      </w:r>
    </w:p>
    <w:p w14:paraId="176831BA" w14:textId="2987FA25" w:rsidR="008860D5" w:rsidRDefault="008860D5" w:rsidP="008860D5">
      <w:pPr>
        <w:pStyle w:val="Heading4"/>
      </w:pPr>
      <w:r>
        <w:t xml:space="preserve">The Report on Government Services model </w:t>
      </w:r>
    </w:p>
    <w:p w14:paraId="41F2C0EC" w14:textId="522B8255" w:rsidR="008860D5" w:rsidRDefault="008860D5" w:rsidP="008860D5">
      <w:r w:rsidRPr="00E661BE">
        <w:lastRenderedPageBreak/>
        <w:t xml:space="preserve">The </w:t>
      </w:r>
      <w:r>
        <w:t xml:space="preserve">Productivity Commission’s annual </w:t>
      </w:r>
      <w:r w:rsidRPr="00E661BE">
        <w:t>Report</w:t>
      </w:r>
      <w:r w:rsidRPr="00681978">
        <w:rPr>
          <w:rFonts w:eastAsia="Times New Roman" w:cs="Times New Roman"/>
          <w:lang w:val="en" w:eastAsia="en-AU"/>
        </w:rPr>
        <w:t xml:space="preserve"> on Government Services </w:t>
      </w:r>
      <w:r w:rsidRPr="00681978">
        <w:rPr>
          <w:lang w:val="en"/>
        </w:rPr>
        <w:t>(</w:t>
      </w:r>
      <w:r w:rsidRPr="00681978">
        <w:rPr>
          <w:rFonts w:eastAsia="Times New Roman" w:cs="Times New Roman"/>
          <w:lang w:val="en" w:eastAsia="en-AU"/>
        </w:rPr>
        <w:t>ROGS</w:t>
      </w:r>
      <w:r w:rsidRPr="00681978">
        <w:rPr>
          <w:lang w:val="en"/>
        </w:rPr>
        <w:t xml:space="preserve">) provides comparative performance information on </w:t>
      </w:r>
      <w:r w:rsidR="00B271DE">
        <w:rPr>
          <w:lang w:val="en"/>
        </w:rPr>
        <w:t>seventeen</w:t>
      </w:r>
      <w:r w:rsidRPr="00681978">
        <w:rPr>
          <w:lang w:val="en"/>
        </w:rPr>
        <w:t xml:space="preserve"> government service delivery areas spanning the child care, education and training, health, justice, community services, housing and homelessness and emergency management sectors. The social services</w:t>
      </w:r>
      <w:r w:rsidR="00037638">
        <w:rPr>
          <w:lang w:val="en"/>
        </w:rPr>
        <w:t>,</w:t>
      </w:r>
      <w:r w:rsidRPr="00681978">
        <w:rPr>
          <w:lang w:val="en"/>
        </w:rPr>
        <w:t xml:space="preserve"> covered in the 2017 report (the 22nd report</w:t>
      </w:r>
      <w:r w:rsidR="00752EEA">
        <w:rPr>
          <w:lang w:val="en"/>
        </w:rPr>
        <w:t>) collectively account for $205 </w:t>
      </w:r>
      <w:r w:rsidRPr="00192B87">
        <w:rPr>
          <w:lang w:val="en"/>
        </w:rPr>
        <w:t>billion</w:t>
      </w:r>
      <w:r w:rsidR="00822416" w:rsidRPr="00192B87">
        <w:rPr>
          <w:lang w:val="en"/>
        </w:rPr>
        <w:t>,</w:t>
      </w:r>
      <w:r w:rsidR="00822416" w:rsidRPr="00192B87">
        <w:t xml:space="preserve"> </w:t>
      </w:r>
      <w:r w:rsidR="00822416" w:rsidRPr="00192B87">
        <w:rPr>
          <w:lang w:val="en"/>
        </w:rPr>
        <w:t>or around two-thirds,</w:t>
      </w:r>
      <w:r w:rsidRPr="00192B87">
        <w:rPr>
          <w:lang w:val="en"/>
        </w:rPr>
        <w:t xml:space="preserve"> of</w:t>
      </w:r>
      <w:r w:rsidRPr="00681978">
        <w:rPr>
          <w:lang w:val="en"/>
        </w:rPr>
        <w:t xml:space="preserve"> government recurrent expenditure</w:t>
      </w:r>
      <w:r w:rsidR="00037638">
        <w:rPr>
          <w:lang w:val="en"/>
        </w:rPr>
        <w:t>—</w:t>
      </w:r>
      <w:r w:rsidRPr="00681978">
        <w:rPr>
          <w:lang w:val="en"/>
        </w:rPr>
        <w:t>equivalent of about 12</w:t>
      </w:r>
      <w:r w:rsidR="00A8440A">
        <w:rPr>
          <w:lang w:val="en"/>
        </w:rPr>
        <w:t> </w:t>
      </w:r>
      <w:r w:rsidRPr="00681978">
        <w:rPr>
          <w:lang w:val="en"/>
        </w:rPr>
        <w:t>per</w:t>
      </w:r>
      <w:r w:rsidR="00A8440A">
        <w:rPr>
          <w:lang w:val="en"/>
        </w:rPr>
        <w:t> </w:t>
      </w:r>
      <w:r w:rsidRPr="00681978">
        <w:rPr>
          <w:lang w:val="en"/>
        </w:rPr>
        <w:t xml:space="preserve">cent of GDP </w:t>
      </w:r>
      <w:r w:rsidRPr="00FF2CE0">
        <w:rPr>
          <w:lang w:val="en"/>
        </w:rPr>
        <w:t>(</w:t>
      </w:r>
      <w:bookmarkStart w:id="206" w:name="PC_2017a"/>
      <w:r w:rsidR="000A2F3B">
        <w:rPr>
          <w:lang w:val="en"/>
        </w:rPr>
        <w:fldChar w:fldCharType="begin"/>
      </w:r>
      <w:r w:rsidR="000A2F3B">
        <w:rPr>
          <w:lang w:val="en"/>
        </w:rPr>
        <w:instrText xml:space="preserve"> HYPERLINK  \l "PC_2017a" </w:instrText>
      </w:r>
      <w:r w:rsidR="000A2F3B">
        <w:rPr>
          <w:lang w:val="en"/>
        </w:rPr>
        <w:fldChar w:fldCharType="separate"/>
      </w:r>
      <w:r w:rsidR="000A2F3B" w:rsidRPr="000A2F3B">
        <w:rPr>
          <w:rStyle w:val="Hyperlink"/>
          <w:lang w:val="en"/>
        </w:rPr>
        <w:t>PC 2017a</w:t>
      </w:r>
      <w:bookmarkEnd w:id="206"/>
      <w:r w:rsidR="000A2F3B">
        <w:rPr>
          <w:lang w:val="en"/>
        </w:rPr>
        <w:fldChar w:fldCharType="end"/>
      </w:r>
      <w:r w:rsidRPr="00FF2CE0">
        <w:rPr>
          <w:lang w:val="en"/>
        </w:rPr>
        <w:t>).</w:t>
      </w:r>
      <w:r w:rsidRPr="00681978">
        <w:rPr>
          <w:lang w:val="en"/>
        </w:rPr>
        <w:t xml:space="preserve"> In practical terms, </w:t>
      </w:r>
      <w:r w:rsidRPr="00681978">
        <w:t xml:space="preserve">the information contained in the </w:t>
      </w:r>
      <w:r w:rsidRPr="00681978">
        <w:rPr>
          <w:rFonts w:eastAsia="Times New Roman" w:cs="Times New Roman"/>
          <w:lang w:val="en" w:eastAsia="en-AU"/>
        </w:rPr>
        <w:t xml:space="preserve">ROGS </w:t>
      </w:r>
      <w:r w:rsidRPr="00681978">
        <w:t>is used by governments for budgeting (including to assess resource needs and performance of agencies), to inform plan</w:t>
      </w:r>
      <w:r w:rsidR="00A82D6D">
        <w:t>ning and evaluation of policies</w:t>
      </w:r>
      <w:r w:rsidRPr="00681978">
        <w:t xml:space="preserve"> and to demonstrate government accountability.</w:t>
      </w:r>
    </w:p>
    <w:p w14:paraId="049B30CF" w14:textId="259D9239" w:rsidR="008860D5" w:rsidRDefault="008860D5" w:rsidP="008860D5">
      <w:r w:rsidRPr="008860D5">
        <w:rPr>
          <w:lang w:val="en"/>
        </w:rPr>
        <w:t xml:space="preserve">The </w:t>
      </w:r>
      <w:r w:rsidR="00A82D6D">
        <w:rPr>
          <w:lang w:val="en"/>
        </w:rPr>
        <w:t>p</w:t>
      </w:r>
      <w:r w:rsidRPr="008860D5">
        <w:rPr>
          <w:lang w:val="en"/>
        </w:rPr>
        <w:t xml:space="preserve">anel strongly considers that significant potential exists for biosecurity agencies to draw upon the existing architecture of the ROGS, particularly the emergency management sector performance </w:t>
      </w:r>
      <w:r w:rsidR="0099296F">
        <w:rPr>
          <w:lang w:val="en"/>
        </w:rPr>
        <w:t xml:space="preserve">indicator </w:t>
      </w:r>
      <w:r w:rsidRPr="008860D5">
        <w:rPr>
          <w:lang w:val="en"/>
        </w:rPr>
        <w:t>framework</w:t>
      </w:r>
      <w:r w:rsidR="0099296F">
        <w:rPr>
          <w:lang w:val="en"/>
        </w:rPr>
        <w:t xml:space="preserve"> (</w:t>
      </w:r>
      <w:r w:rsidR="0099296F">
        <w:rPr>
          <w:lang w:val="en"/>
        </w:rPr>
        <w:fldChar w:fldCharType="begin"/>
      </w:r>
      <w:r w:rsidR="0099296F">
        <w:rPr>
          <w:lang w:val="en"/>
        </w:rPr>
        <w:instrText xml:space="preserve"> REF _Ref481761657 \h </w:instrText>
      </w:r>
      <w:r w:rsidR="0099296F">
        <w:rPr>
          <w:lang w:val="en"/>
        </w:rPr>
      </w:r>
      <w:r w:rsidR="0099296F">
        <w:rPr>
          <w:lang w:val="en"/>
        </w:rPr>
        <w:fldChar w:fldCharType="separate"/>
      </w:r>
      <w:r w:rsidR="009F6923">
        <w:t xml:space="preserve">Figure </w:t>
      </w:r>
      <w:r w:rsidR="009F6923">
        <w:rPr>
          <w:noProof/>
        </w:rPr>
        <w:t>13</w:t>
      </w:r>
      <w:r w:rsidR="0099296F">
        <w:rPr>
          <w:lang w:val="en"/>
        </w:rPr>
        <w:fldChar w:fldCharType="end"/>
      </w:r>
      <w:r w:rsidR="0099296F" w:rsidRPr="008752DD">
        <w:rPr>
          <w:lang w:val="en"/>
        </w:rPr>
        <w:t>)</w:t>
      </w:r>
      <w:r w:rsidRPr="008860D5">
        <w:rPr>
          <w:lang w:val="en"/>
        </w:rPr>
        <w:t xml:space="preserve">, which has </w:t>
      </w:r>
      <w:r w:rsidR="007B316E">
        <w:rPr>
          <w:lang w:val="en"/>
        </w:rPr>
        <w:t>comparable</w:t>
      </w:r>
      <w:r w:rsidR="007B316E" w:rsidRPr="008860D5">
        <w:rPr>
          <w:lang w:val="en"/>
        </w:rPr>
        <w:t xml:space="preserve"> </w:t>
      </w:r>
      <w:r w:rsidRPr="008860D5">
        <w:rPr>
          <w:lang w:val="en"/>
        </w:rPr>
        <w:t>challenges</w:t>
      </w:r>
      <w:r w:rsidR="009D478C">
        <w:rPr>
          <w:lang w:val="en"/>
        </w:rPr>
        <w:t xml:space="preserve"> and objectives </w:t>
      </w:r>
      <w:r w:rsidRPr="008860D5">
        <w:rPr>
          <w:lang w:val="en"/>
        </w:rPr>
        <w:t>to biosecurity</w:t>
      </w:r>
      <w:r w:rsidRPr="008752DD">
        <w:rPr>
          <w:lang w:val="en"/>
        </w:rPr>
        <w:t xml:space="preserve">. </w:t>
      </w:r>
      <w:r w:rsidR="0000605B" w:rsidRPr="008752DD">
        <w:t xml:space="preserve">The </w:t>
      </w:r>
      <w:r w:rsidR="00A82D6D">
        <w:t>p</w:t>
      </w:r>
      <w:r w:rsidR="0000605B" w:rsidRPr="008752DD">
        <w:t xml:space="preserve">anel believes </w:t>
      </w:r>
      <w:r w:rsidRPr="008752DD">
        <w:t>the application of th</w:t>
      </w:r>
      <w:r w:rsidR="0099296F">
        <w:t>e</w:t>
      </w:r>
      <w:r w:rsidRPr="008752DD">
        <w:t xml:space="preserve"> performance indicator framework</w:t>
      </w:r>
      <w:r w:rsidR="0000605B" w:rsidRPr="008752DD">
        <w:t xml:space="preserve"> </w:t>
      </w:r>
      <w:r w:rsidR="0099296F">
        <w:t>more specific</w:t>
      </w:r>
      <w:r w:rsidR="008A657C">
        <w:t xml:space="preserve"> to</w:t>
      </w:r>
      <w:r w:rsidRPr="008752DD">
        <w:t xml:space="preserve"> eme</w:t>
      </w:r>
      <w:r w:rsidR="00A82D6D">
        <w:t>rgency services for fire events</w:t>
      </w:r>
      <w:r w:rsidR="008A657C">
        <w:t xml:space="preserve"> </w:t>
      </w:r>
      <w:r w:rsidR="008A657C" w:rsidRPr="008752DD">
        <w:t>(</w:t>
      </w:r>
      <w:r w:rsidR="008A657C" w:rsidRPr="008752DD">
        <w:fldChar w:fldCharType="begin"/>
      </w:r>
      <w:r w:rsidR="008A657C" w:rsidRPr="008752DD">
        <w:instrText xml:space="preserve"> REF _Ref484005512 \h </w:instrText>
      </w:r>
      <w:r w:rsidR="008A657C">
        <w:instrText xml:space="preserve"> \* MERGEFORMAT </w:instrText>
      </w:r>
      <w:r w:rsidR="008A657C" w:rsidRPr="008752DD">
        <w:fldChar w:fldCharType="separate"/>
      </w:r>
      <w:r w:rsidR="009F6923">
        <w:t xml:space="preserve">Figure </w:t>
      </w:r>
      <w:r w:rsidR="009F6923">
        <w:rPr>
          <w:noProof/>
        </w:rPr>
        <w:t>14</w:t>
      </w:r>
      <w:r w:rsidR="008A657C" w:rsidRPr="008752DD">
        <w:fldChar w:fldCharType="end"/>
      </w:r>
      <w:r w:rsidR="008A657C" w:rsidRPr="008752DD">
        <w:t>)</w:t>
      </w:r>
      <w:r w:rsidR="008A657C">
        <w:t xml:space="preserve"> </w:t>
      </w:r>
      <w:r w:rsidRPr="008752DD">
        <w:t>could be adapted for biosecurity purposes.</w:t>
      </w:r>
    </w:p>
    <w:p w14:paraId="0780ED7F" w14:textId="7823E59E" w:rsidR="005A23FA" w:rsidRDefault="005A23FA" w:rsidP="008860D5">
      <w:r w:rsidRPr="00EC0C86">
        <w:t>The annual ROGS is undertaken in cooperation with and on behalf of all Australian governments</w:t>
      </w:r>
      <w:r>
        <w:t>,</w:t>
      </w:r>
      <w:r w:rsidRPr="00EC0C86">
        <w:t xml:space="preserve"> and its coverage, focus and quality continue to evolve. Collectively, the ROGS (emergency services) has amassed a substantial repository of information, and the comparative indicators and data generated encourages jurisdictions to draw upon each other’s experience. It is a highly</w:t>
      </w:r>
      <w:r>
        <w:t xml:space="preserve"> </w:t>
      </w:r>
      <w:r w:rsidRPr="00EC0C86">
        <w:t>valuable resource of which biosecurity agencies should be envious, and should seek to build over time.</w:t>
      </w:r>
    </w:p>
    <w:p w14:paraId="412EA315" w14:textId="79A4B18F" w:rsidR="00FC57B3" w:rsidRPr="008860D5" w:rsidRDefault="00FC57B3" w:rsidP="00FC57B3">
      <w:pPr>
        <w:pStyle w:val="Caption"/>
      </w:pPr>
      <w:bookmarkStart w:id="207" w:name="_Ref481761657"/>
      <w:r>
        <w:t xml:space="preserve">Figure </w:t>
      </w:r>
      <w:fldSimple w:instr=" SEQ Figure \* ARABIC ">
        <w:r w:rsidR="009F6923">
          <w:rPr>
            <w:noProof/>
          </w:rPr>
          <w:t>13</w:t>
        </w:r>
      </w:fldSimple>
      <w:bookmarkEnd w:id="207"/>
      <w:r>
        <w:t xml:space="preserve"> Emergency management sector performance indicator framework</w:t>
      </w:r>
    </w:p>
    <w:p w14:paraId="41CDEA0E" w14:textId="04BC7FEC" w:rsidR="008860D5" w:rsidRPr="00681978" w:rsidRDefault="00EB09AD" w:rsidP="00BD4E22">
      <w:pPr>
        <w:pStyle w:val="Picture"/>
      </w:pPr>
      <w:r>
        <w:drawing>
          <wp:inline distT="0" distB="0" distL="0" distR="0" wp14:anchorId="733FF5E4" wp14:editId="3E2B20B6">
            <wp:extent cx="6254151" cy="2674620"/>
            <wp:effectExtent l="0" t="0" r="0" b="0"/>
            <wp:docPr id="7" name="Picture 7" descr="Shows the emergency management sector performance indicator framework that could be adapted for biosecurity purposes. Sector objectives include strengthening the nation’s resilience to disasters and emergency events preventing or mitigating the severity, preparing the community to cope, responding to ensure the effects are minimised and recovery—restoring wellbeing. Sector-wide indicators include community preparedness, total asset loss and dea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55688" cy="2675277"/>
                    </a:xfrm>
                    <a:prstGeom prst="rect">
                      <a:avLst/>
                    </a:prstGeom>
                    <a:noFill/>
                  </pic:spPr>
                </pic:pic>
              </a:graphicData>
            </a:graphic>
          </wp:inline>
        </w:drawing>
      </w:r>
    </w:p>
    <w:p w14:paraId="5C2D76FC" w14:textId="446BD978" w:rsidR="00EC0C86" w:rsidRDefault="00EC0C86" w:rsidP="00FC57B3">
      <w:pPr>
        <w:pStyle w:val="FigureTableNoteSource"/>
      </w:pPr>
      <w:r w:rsidRPr="00EC0C86">
        <w:t>Source: SCRGSP 2017</w:t>
      </w:r>
      <w:r w:rsidR="00A82D6D">
        <w:t>.</w:t>
      </w:r>
    </w:p>
    <w:p w14:paraId="52E17E84" w14:textId="77777777" w:rsidR="00EC37D6" w:rsidRDefault="00EC37D6" w:rsidP="00EC37D6">
      <w:pPr>
        <w:pStyle w:val="Caption"/>
      </w:pPr>
      <w:bookmarkStart w:id="208" w:name="_Ref484005512"/>
      <w:r>
        <w:lastRenderedPageBreak/>
        <w:t xml:space="preserve">Figure </w:t>
      </w:r>
      <w:fldSimple w:instr=" SEQ Figure \* ARABIC ">
        <w:r w:rsidR="009F6923">
          <w:rPr>
            <w:noProof/>
          </w:rPr>
          <w:t>14</w:t>
        </w:r>
      </w:fldSimple>
      <w:bookmarkEnd w:id="208"/>
      <w:r>
        <w:t xml:space="preserve"> Emergency services for fire events performance indicator framework</w:t>
      </w:r>
    </w:p>
    <w:p w14:paraId="2FBF8278" w14:textId="77777777" w:rsidR="00EC37D6" w:rsidRDefault="00EC37D6" w:rsidP="00EC37D6">
      <w:pPr>
        <w:pStyle w:val="Picture"/>
      </w:pPr>
      <w:r>
        <w:drawing>
          <wp:inline distT="0" distB="0" distL="0" distR="0" wp14:anchorId="641E2B56" wp14:editId="747162BF">
            <wp:extent cx="6288657" cy="3528060"/>
            <wp:effectExtent l="0" t="0" r="0" b="0"/>
            <wp:docPr id="11" name="Picture 11" descr="Shows a tiered level of emergency services performance indicator framework for fire services. Performance indicators of equity, effectiveness and efficiency are further divided into subsets that report on the amount of data that is comparable and complete. The outcomes provide recent data for fire death rates, injury rates and value of asset losses from fire ev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95801" cy="3532068"/>
                    </a:xfrm>
                    <a:prstGeom prst="rect">
                      <a:avLst/>
                    </a:prstGeom>
                    <a:noFill/>
                  </pic:spPr>
                </pic:pic>
              </a:graphicData>
            </a:graphic>
          </wp:inline>
        </w:drawing>
      </w:r>
    </w:p>
    <w:p w14:paraId="49E7532F" w14:textId="1D7E1BB0" w:rsidR="008A657C" w:rsidRDefault="00EC37D6" w:rsidP="005A23FA">
      <w:pPr>
        <w:pStyle w:val="FigureTableNoteSource"/>
      </w:pPr>
      <w:r w:rsidRPr="00EC0C86">
        <w:t xml:space="preserve">Source: </w:t>
      </w:r>
      <w:r w:rsidR="00C5284E">
        <w:t xml:space="preserve">adapted from </w:t>
      </w:r>
      <w:r w:rsidRPr="00EC0C86">
        <w:t>SCRGSP 2017</w:t>
      </w:r>
      <w:r>
        <w:t>.</w:t>
      </w:r>
    </w:p>
    <w:p w14:paraId="609DF33A" w14:textId="7DD348FE" w:rsidR="00EC0C86" w:rsidRDefault="00EC0C86" w:rsidP="00EC0C86">
      <w:pPr>
        <w:pStyle w:val="Heading4"/>
      </w:pPr>
      <w:r>
        <w:t>Next steps</w:t>
      </w:r>
    </w:p>
    <w:p w14:paraId="20BD3394" w14:textId="30C13864" w:rsidR="00EC0C86" w:rsidRDefault="00EC0C86" w:rsidP="00EC0C86">
      <w:r>
        <w:t>Development of a biosecurity performance framework and meaningful performance indicators, to</w:t>
      </w:r>
      <w:r w:rsidR="00E61317">
        <w:t xml:space="preserve"> </w:t>
      </w:r>
      <w:r w:rsidR="00E61317" w:rsidRPr="00EC76BD">
        <w:t xml:space="preserve">support both national decision </w:t>
      </w:r>
      <w:r w:rsidRPr="00EC76BD">
        <w:t xml:space="preserve">making and public reporting, will require a commitment of effort and resources from all jurisdictions and key partner organisations. As </w:t>
      </w:r>
      <w:r w:rsidR="00A37E87" w:rsidRPr="00EC76BD">
        <w:t xml:space="preserve">the review’s </w:t>
      </w:r>
      <w:r w:rsidR="00A14332">
        <w:t>d</w:t>
      </w:r>
      <w:r w:rsidRPr="00EC76BD">
        <w:t xml:space="preserve">iscussion </w:t>
      </w:r>
      <w:r w:rsidR="00A14332">
        <w:t>p</w:t>
      </w:r>
      <w:r w:rsidRPr="00EC76BD">
        <w:t>aper flagged, this also needs to be a cost-effective activity. Jurisdictions will need to establish, at the outset, the level and duration of resources</w:t>
      </w:r>
      <w:r>
        <w:t xml:space="preserve"> they are prepared to allocate to this work. The Australian Government </w:t>
      </w:r>
      <w:r w:rsidR="006F7C04">
        <w:t>Department of Finance’s</w:t>
      </w:r>
      <w:r>
        <w:t xml:space="preserve"> developing good performance information resource management guide (RMG 131)</w:t>
      </w:r>
      <w:r w:rsidR="00BF6D58">
        <w:t xml:space="preserve"> </w:t>
      </w:r>
      <w:r w:rsidR="00241085" w:rsidRPr="00241085">
        <w:rPr>
          <w:iCs/>
        </w:rPr>
        <w:t>(</w:t>
      </w:r>
      <w:hyperlink w:anchor="Finance_2015" w:history="1">
        <w:r w:rsidR="00241085" w:rsidRPr="00241085">
          <w:rPr>
            <w:rStyle w:val="Hyperlink"/>
            <w:iCs/>
          </w:rPr>
          <w:t>Finance 2015</w:t>
        </w:r>
      </w:hyperlink>
      <w:r w:rsidR="00241085" w:rsidRPr="00241085">
        <w:rPr>
          <w:iCs/>
        </w:rPr>
        <w:t>)</w:t>
      </w:r>
      <w:r w:rsidR="00241085">
        <w:rPr>
          <w:iCs/>
        </w:rPr>
        <w:t xml:space="preserve"> </w:t>
      </w:r>
      <w:r w:rsidR="00D13543">
        <w:t>reinforces this point:</w:t>
      </w:r>
    </w:p>
    <w:p w14:paraId="70C1320B" w14:textId="5B1CA755" w:rsidR="00EC0C86" w:rsidRDefault="00EC0C86" w:rsidP="00EC0C86">
      <w:pPr>
        <w:pStyle w:val="Quote"/>
      </w:pPr>
      <w:r>
        <w:t>Performance reporting must be cost-effective. Elaborate performance measures are not good measures if the process of collecting and analysing data for them takes too much time away from the activities that contribute to delivering intended results</w:t>
      </w:r>
      <w:r w:rsidR="006F7C04">
        <w:t xml:space="preserve"> …</w:t>
      </w:r>
    </w:p>
    <w:p w14:paraId="6205C454" w14:textId="48EA27C9" w:rsidR="00EC0C86" w:rsidRDefault="00EC0C86" w:rsidP="00EC0C86">
      <w:r>
        <w:t xml:space="preserve">The IGAB </w:t>
      </w:r>
      <w:r w:rsidR="006F7C04" w:rsidRPr="00D27F50">
        <w:t>r</w:t>
      </w:r>
      <w:r w:rsidRPr="00D27F50">
        <w:t xml:space="preserve">eview </w:t>
      </w:r>
      <w:r w:rsidR="006F7C04" w:rsidRPr="00D27F50">
        <w:t>d</w:t>
      </w:r>
      <w:r w:rsidRPr="00D27F50">
        <w:t xml:space="preserve">raft </w:t>
      </w:r>
      <w:r w:rsidR="006F7C04" w:rsidRPr="00D27F50">
        <w:t>report</w:t>
      </w:r>
      <w:r>
        <w:t xml:space="preserve"> proposed </w:t>
      </w:r>
      <w:r w:rsidR="006F7C04">
        <w:t xml:space="preserve">that </w:t>
      </w:r>
      <w:r>
        <w:t>the N</w:t>
      </w:r>
      <w:r w:rsidR="006F7C04">
        <w:t xml:space="preserve">ational </w:t>
      </w:r>
      <w:r>
        <w:t>B</w:t>
      </w:r>
      <w:r w:rsidR="006F7C04">
        <w:t xml:space="preserve">iosecurity </w:t>
      </w:r>
      <w:r>
        <w:t>C</w:t>
      </w:r>
      <w:r w:rsidR="006F7C04">
        <w:t>ommittee (NBC)</w:t>
      </w:r>
      <w:r>
        <w:t xml:space="preserve"> establish a time-limited task group to advance work on a performance framework for the national biosecurity system. However, performance measurement is a discipline in its own right and, in reality, few government biosecurity agencies would possess the </w:t>
      </w:r>
      <w:r>
        <w:lastRenderedPageBreak/>
        <w:t>breadth</w:t>
      </w:r>
      <w:r w:rsidR="007B316E">
        <w:t xml:space="preserve">, </w:t>
      </w:r>
      <w:r>
        <w:t>depth of expertise</w:t>
      </w:r>
      <w:r w:rsidR="007B316E">
        <w:t xml:space="preserve"> and resources</w:t>
      </w:r>
      <w:r>
        <w:t xml:space="preserve"> required to significantly advance performance design issues for the national syste</w:t>
      </w:r>
      <w:r w:rsidR="00D13543">
        <w:t>m within the term of the IGAB2.</w:t>
      </w:r>
    </w:p>
    <w:p w14:paraId="1249B238" w14:textId="50A69067" w:rsidR="00EC0C86" w:rsidRDefault="00EC0C86" w:rsidP="00EC0C86">
      <w:r>
        <w:t xml:space="preserve">While the </w:t>
      </w:r>
      <w:r w:rsidR="006F7C04">
        <w:t>p</w:t>
      </w:r>
      <w:r>
        <w:t xml:space="preserve">anel is aware that biosecurity may not fit the ‘social service criteria’ used by the Productivity Commission for the annual ROGS, </w:t>
      </w:r>
      <w:r w:rsidR="000A2F3B">
        <w:t>t</w:t>
      </w:r>
      <w:r>
        <w:t xml:space="preserve">he </w:t>
      </w:r>
      <w:r w:rsidR="006F7C04">
        <w:t>p</w:t>
      </w:r>
      <w:r>
        <w:t xml:space="preserve">anel recommends the Productivity Commission, or similar independent body, should be charged with undertaking a separate ROGS-like process for government biosecurity services, drawing upon the ROGS (Emergency Management) performance framework and indicators. Such a process would be able to marshal the necessary performance and biosecurity expertise while providing the level of independence, rigor and ‘cut through’ needed, compared </w:t>
      </w:r>
      <w:r w:rsidR="006F7C04">
        <w:t>with</w:t>
      </w:r>
      <w:r>
        <w:t xml:space="preserve"> alternative approaches (for example, an NBC-led process or one-off major consultancy). The first Report on Government Biosecurity Services (ROGBS) should be undertaken in 2018 and subsequent reports every five years.</w:t>
      </w:r>
    </w:p>
    <w:p w14:paraId="3046D0CE" w14:textId="631C2135" w:rsidR="00EC0C86" w:rsidRDefault="00EC0C86" w:rsidP="00EC0C86">
      <w:r>
        <w:t xml:space="preserve">As </w:t>
      </w:r>
      <w:r w:rsidR="00844D1B">
        <w:t xml:space="preserve">the </w:t>
      </w:r>
      <w:r w:rsidR="006F7C04">
        <w:t>p</w:t>
      </w:r>
      <w:r w:rsidR="00844D1B">
        <w:t xml:space="preserve">anel </w:t>
      </w:r>
      <w:r>
        <w:t>has shown</w:t>
      </w:r>
      <w:r w:rsidR="00844D1B">
        <w:t xml:space="preserve"> (</w:t>
      </w:r>
      <w:hyperlink w:anchor="_Funding_the_national" w:history="1">
        <w:r w:rsidR="00844D1B" w:rsidRPr="00844D1B">
          <w:rPr>
            <w:rStyle w:val="Hyperlink"/>
          </w:rPr>
          <w:t>Chapter 8</w:t>
        </w:r>
      </w:hyperlink>
      <w:r w:rsidR="00844D1B">
        <w:t>)</w:t>
      </w:r>
      <w:r>
        <w:t xml:space="preserve">, government biosecurity agencies continue to grapple with a range of funding and investment challenges but are hampered by a lack of reliable and consistent data on core government biosecurity resourcing (overall financial and staffing levels) and a systematic process for determining the appropriate level of resourcing for the national system. These are key issues that a ROGS-like process would be able to address and should be the focus of the inaugural report. Subsequent reports could draw upon the outcomes of CEBRA’s </w:t>
      </w:r>
      <w:r w:rsidRPr="000A2F3B">
        <w:t>work</w:t>
      </w:r>
      <w:r w:rsidR="000A2F3B" w:rsidRPr="000A2F3B">
        <w:t xml:space="preserve"> (</w:t>
      </w:r>
      <w:r w:rsidR="000A2F3B" w:rsidRPr="000A2F3B">
        <w:fldChar w:fldCharType="begin"/>
      </w:r>
      <w:r w:rsidR="000A2F3B" w:rsidRPr="000A2F3B">
        <w:instrText xml:space="preserve"> REF _Ref483387339 \h  \* MERGEFORMAT </w:instrText>
      </w:r>
      <w:r w:rsidR="000A2F3B" w:rsidRPr="000A2F3B">
        <w:fldChar w:fldCharType="separate"/>
      </w:r>
      <w:r w:rsidR="009F6923" w:rsidRPr="009F6923">
        <w:rPr>
          <w:bCs/>
        </w:rPr>
        <w:t xml:space="preserve">Box </w:t>
      </w:r>
      <w:r w:rsidR="009F6923" w:rsidRPr="009F6923">
        <w:rPr>
          <w:bCs/>
          <w:noProof/>
        </w:rPr>
        <w:t>16</w:t>
      </w:r>
      <w:r w:rsidR="000A2F3B" w:rsidRPr="000A2F3B">
        <w:fldChar w:fldCharType="end"/>
      </w:r>
      <w:r w:rsidR="000A2F3B" w:rsidRPr="000A2F3B">
        <w:t>)</w:t>
      </w:r>
      <w:r>
        <w:t xml:space="preserve"> to establish the value and health of the national system</w:t>
      </w:r>
      <w:r w:rsidR="00BC544F">
        <w:t>.</w:t>
      </w:r>
    </w:p>
    <w:p w14:paraId="27C54D19" w14:textId="3A966D5B" w:rsidR="00EC0C86" w:rsidRDefault="00EC0C86" w:rsidP="00EC0C86">
      <w:r>
        <w:t xml:space="preserve">The </w:t>
      </w:r>
      <w:r w:rsidR="00F573A0">
        <w:t>p</w:t>
      </w:r>
      <w:r>
        <w:t>anel would expect the biosecurity performance framework and measures to align with the single categorisation of national biosecurity system activities to be agreed under Recommendation 28 (for example, surveillance, eradication, containment, transition to management), funding and investment, and the interactions of biosecurity with areas including tr</w:t>
      </w:r>
      <w:r w:rsidR="007776F7">
        <w:t>ade, market access and tourism.</w:t>
      </w:r>
    </w:p>
    <w:p w14:paraId="19696A00" w14:textId="65D8A4F3" w:rsidR="00EC0C86" w:rsidRDefault="00EC0C86" w:rsidP="00EC0C86">
      <w:r>
        <w:t xml:space="preserve">A </w:t>
      </w:r>
      <w:r w:rsidR="00F573A0">
        <w:t>five</w:t>
      </w:r>
      <w:r>
        <w:t>-yearly ROGBS combined with the outcomes of the CEBRA project</w:t>
      </w:r>
      <w:r w:rsidR="00F573A0">
        <w:t>s</w:t>
      </w:r>
      <w:r>
        <w:t xml:space="preserve"> should establish and provide governments with a strong basis for allowing informed judgments to be made about the extent to which the national </w:t>
      </w:r>
      <w:r w:rsidR="000A2F3B">
        <w:t xml:space="preserve">biosecurity </w:t>
      </w:r>
      <w:r>
        <w:t>system is achieving its objectives and where adjustments are needed.</w:t>
      </w:r>
    </w:p>
    <w:p w14:paraId="3E34E5A1" w14:textId="77777777" w:rsidR="00D9775B" w:rsidRPr="00BD4E22" w:rsidRDefault="00D9775B" w:rsidP="00BD4E22">
      <w:pPr>
        <w:pStyle w:val="BoxHeading"/>
        <w:shd w:val="clear" w:color="auto" w:fill="D9D9D9" w:themeFill="background1" w:themeFillShade="D9"/>
        <w:rPr>
          <w:sz w:val="22"/>
        </w:rPr>
      </w:pPr>
      <w:bookmarkStart w:id="209" w:name="_Ref482710442"/>
      <w:r w:rsidRPr="00BD4E22">
        <w:rPr>
          <w:sz w:val="22"/>
        </w:rPr>
        <w:t xml:space="preserve">Recommendation </w:t>
      </w:r>
      <w:r w:rsidRPr="00BD4E22">
        <w:rPr>
          <w:sz w:val="22"/>
        </w:rPr>
        <w:fldChar w:fldCharType="begin"/>
      </w:r>
      <w:r w:rsidRPr="00BD4E22">
        <w:rPr>
          <w:sz w:val="22"/>
        </w:rPr>
        <w:instrText xml:space="preserve"> SEQ Recommendation \* ARABIC </w:instrText>
      </w:r>
      <w:r w:rsidRPr="00BD4E22">
        <w:rPr>
          <w:sz w:val="22"/>
        </w:rPr>
        <w:fldChar w:fldCharType="separate"/>
      </w:r>
      <w:r w:rsidR="009F6923">
        <w:rPr>
          <w:noProof/>
          <w:sz w:val="22"/>
        </w:rPr>
        <w:t>38</w:t>
      </w:r>
      <w:r w:rsidRPr="00BD4E22">
        <w:rPr>
          <w:sz w:val="22"/>
        </w:rPr>
        <w:fldChar w:fldCharType="end"/>
      </w:r>
      <w:bookmarkEnd w:id="209"/>
    </w:p>
    <w:p w14:paraId="3EA9D5BE" w14:textId="0F0AB0CA" w:rsidR="00EC0C86" w:rsidRPr="00FF2CE0" w:rsidRDefault="009D478C" w:rsidP="00D9775B">
      <w:pPr>
        <w:pStyle w:val="BoxText"/>
        <w:shd w:val="clear" w:color="auto" w:fill="D9D9D9" w:themeFill="background1" w:themeFillShade="D9"/>
        <w:rPr>
          <w:sz w:val="22"/>
        </w:rPr>
      </w:pPr>
      <w:r w:rsidRPr="00FF2CE0">
        <w:rPr>
          <w:sz w:val="22"/>
        </w:rPr>
        <w:t xml:space="preserve">The Productivity Commission </w:t>
      </w:r>
      <w:r w:rsidR="00D9775B" w:rsidRPr="00FF2CE0">
        <w:rPr>
          <w:sz w:val="22"/>
        </w:rPr>
        <w:t xml:space="preserve">should, commencing in 2018, </w:t>
      </w:r>
      <w:r w:rsidRPr="00FF2CE0">
        <w:rPr>
          <w:sz w:val="22"/>
        </w:rPr>
        <w:t>undertake</w:t>
      </w:r>
      <w:r w:rsidR="00D9775B" w:rsidRPr="00FF2CE0">
        <w:rPr>
          <w:sz w:val="22"/>
        </w:rPr>
        <w:t xml:space="preserve"> a comparative Report of Government Biosecurity Services (ROGBS) on a </w:t>
      </w:r>
      <w:r w:rsidR="00F573A0">
        <w:rPr>
          <w:sz w:val="22"/>
        </w:rPr>
        <w:t>five</w:t>
      </w:r>
      <w:r w:rsidR="00D9775B" w:rsidRPr="00FF2CE0">
        <w:rPr>
          <w:sz w:val="22"/>
        </w:rPr>
        <w:t xml:space="preserve">-yearly basis. The report </w:t>
      </w:r>
      <w:r w:rsidR="00D9775B" w:rsidRPr="00FF2CE0">
        <w:rPr>
          <w:sz w:val="22"/>
        </w:rPr>
        <w:lastRenderedPageBreak/>
        <w:t>should draw on the existing framework provided by the Report of Government Services (Emergency Management).</w:t>
      </w:r>
    </w:p>
    <w:p w14:paraId="6E8E3F2E" w14:textId="54D45FB1" w:rsidR="004A1C1E" w:rsidRDefault="00D9775B" w:rsidP="003D6D91">
      <w:pPr>
        <w:pStyle w:val="Heading3"/>
      </w:pPr>
      <w:bookmarkStart w:id="210" w:name="_Toc486236066"/>
      <w:r>
        <w:t>Informed biosecurity:</w:t>
      </w:r>
      <w:r w:rsidR="004A1C1E">
        <w:t xml:space="preserve"> data</w:t>
      </w:r>
      <w:r>
        <w:t xml:space="preserve"> availability and management</w:t>
      </w:r>
      <w:bookmarkEnd w:id="210"/>
    </w:p>
    <w:p w14:paraId="7C304692" w14:textId="3674D33E" w:rsidR="00D9775B" w:rsidRDefault="00D9775B" w:rsidP="003D6D91">
      <w:pPr>
        <w:keepNext/>
        <w:keepLines/>
      </w:pPr>
      <w:r>
        <w:t>Ready access to comprehensive and reliable data and information is essential for anticipating, responding to and managing national biosecurity risks, substantiating Australia’s claims about its pest and disease status, and for decisio</w:t>
      </w:r>
      <w:r w:rsidR="00E61317">
        <w:t xml:space="preserve">n </w:t>
      </w:r>
      <w:r>
        <w:t>making, policy development, and performance measurement. As the N</w:t>
      </w:r>
      <w:r w:rsidR="00F573A0">
        <w:t xml:space="preserve">ew </w:t>
      </w:r>
      <w:r>
        <w:t>S</w:t>
      </w:r>
      <w:r w:rsidR="00F573A0">
        <w:t xml:space="preserve">outh </w:t>
      </w:r>
      <w:r>
        <w:t>W</w:t>
      </w:r>
      <w:r w:rsidR="00F573A0">
        <w:t>ales</w:t>
      </w:r>
      <w:r>
        <w:t xml:space="preserve"> Government Department of Primary Industries (sub. DP58) pointed out, all jurisdictions, industries and relevant non-government organisations hold data of relevance to the national biosecurity system. This brings bo</w:t>
      </w:r>
      <w:r w:rsidR="00F573A0">
        <w:t>th challenges and opportunities—</w:t>
      </w:r>
      <w:r>
        <w:t>for example</w:t>
      </w:r>
      <w:r w:rsidR="007776F7">
        <w:t>:</w:t>
      </w:r>
    </w:p>
    <w:p w14:paraId="63104C2B" w14:textId="77777777" w:rsidR="00D9775B" w:rsidRDefault="00D9775B" w:rsidP="003D6D91">
      <w:pPr>
        <w:pStyle w:val="Quote"/>
        <w:keepNext/>
        <w:keepLines/>
      </w:pPr>
      <w:r>
        <w:t>Current [data] systems, many of which have manual processes, are non-integrated, inefficient and do not support assessments of risks or change to pest status where circumstances change (Australian Government sub. DP65)</w:t>
      </w:r>
    </w:p>
    <w:p w14:paraId="38548F1A" w14:textId="2B0407BE" w:rsidR="004A1C1E" w:rsidRDefault="00D9775B" w:rsidP="003D6D91">
      <w:pPr>
        <w:keepNext/>
        <w:keepLines/>
      </w:pPr>
      <w:r>
        <w:t>The biosecurity system does not have, or necessarily need, a single holder of expert knowledge or national data repository. However, where there are multiple data and knowledge holders (as is currently the case)</w:t>
      </w:r>
      <w:r w:rsidR="00F573A0">
        <w:t>,</w:t>
      </w:r>
      <w:r>
        <w:t xml:space="preserve"> there must be agreed sources and common data format of data so that valid comparisons and assessments can be made (for example, A</w:t>
      </w:r>
      <w:r w:rsidR="00F573A0">
        <w:t xml:space="preserve">ustralian </w:t>
      </w:r>
      <w:r>
        <w:t>B</w:t>
      </w:r>
      <w:r w:rsidR="00F573A0">
        <w:t>ureau of Agricultural and Resource Economics and Sciences (AB</w:t>
      </w:r>
      <w:r>
        <w:t>ARES</w:t>
      </w:r>
      <w:r w:rsidR="00F573A0">
        <w:t>)</w:t>
      </w:r>
      <w:r>
        <w:t xml:space="preserve"> data in the case of </w:t>
      </w:r>
      <w:r w:rsidR="00F573A0">
        <w:t>a</w:t>
      </w:r>
      <w:r>
        <w:t>griculture) and IT systems capable of communicating with eac</w:t>
      </w:r>
      <w:r w:rsidR="00F573A0">
        <w:t>h other (that is, through inter</w:t>
      </w:r>
      <w:r>
        <w:t>operable technology platforms).</w:t>
      </w:r>
    </w:p>
    <w:p w14:paraId="1F02B8CE" w14:textId="130A8076" w:rsidR="004A1C1E" w:rsidRDefault="00D9775B" w:rsidP="004A1C1E">
      <w:r w:rsidRPr="00D9775B">
        <w:t xml:space="preserve">The NBC, through the National Biosecurity Information Governance Expert Group (NBIGEG), has made noteworthy progress towards improving cooperation between jurisdictions in collecting, collating, analysing, storing and sharing biosecurity information; there have been flow-on effects in improving decision making and operational efficiency. The </w:t>
      </w:r>
      <w:r w:rsidR="00F573A0">
        <w:t>p</w:t>
      </w:r>
      <w:r w:rsidRPr="00D9775B">
        <w:t>anel recognises the work already completed in this area, including the development of nationally consistent minimum dataset specifications and standards, where the dominant focus has been emergency responses.</w:t>
      </w:r>
    </w:p>
    <w:p w14:paraId="63D0F792" w14:textId="6D653120" w:rsidR="007D6D19" w:rsidRDefault="00D9775B" w:rsidP="004A1C1E">
      <w:pPr>
        <w:rPr>
          <w:iCs/>
          <w:color w:val="000000"/>
        </w:rPr>
      </w:pPr>
      <w:r w:rsidRPr="00D9775B">
        <w:rPr>
          <w:iCs/>
          <w:color w:val="000000"/>
        </w:rPr>
        <w:t>There are also various software and technology platforms in place to manage the collection, collation and analysis of biosecurity data. Recent developments by and across governments and key partners have contributed substantially to collating, integrating and sharing biosecurity information on a more national scale. These include the software platform ‘MAX’ developed by the Victorian Government</w:t>
      </w:r>
      <w:r w:rsidR="009963E6">
        <w:rPr>
          <w:iCs/>
          <w:color w:val="000000"/>
        </w:rPr>
        <w:t>,</w:t>
      </w:r>
      <w:r w:rsidRPr="00D9775B">
        <w:rPr>
          <w:iCs/>
          <w:color w:val="000000"/>
        </w:rPr>
        <w:t xml:space="preserve"> the virtual surveillance </w:t>
      </w:r>
      <w:r w:rsidRPr="00D9775B">
        <w:rPr>
          <w:iCs/>
          <w:color w:val="000000"/>
        </w:rPr>
        <w:lastRenderedPageBreak/>
        <w:t>centre, called AUSPestCheck, developed by Plant Health Australia</w:t>
      </w:r>
      <w:r w:rsidR="00F573A0">
        <w:rPr>
          <w:iCs/>
          <w:color w:val="000000"/>
        </w:rPr>
        <w:t xml:space="preserve"> (PHA)</w:t>
      </w:r>
      <w:r w:rsidR="009963E6">
        <w:rPr>
          <w:iCs/>
          <w:color w:val="000000"/>
        </w:rPr>
        <w:t xml:space="preserve">, and the FeralScan program developed by the Invasives Animals </w:t>
      </w:r>
      <w:r w:rsidR="00F573A0">
        <w:rPr>
          <w:iCs/>
          <w:color w:val="000000"/>
        </w:rPr>
        <w:t xml:space="preserve">Cooperative </w:t>
      </w:r>
      <w:r w:rsidR="009963E6">
        <w:rPr>
          <w:iCs/>
          <w:color w:val="000000"/>
        </w:rPr>
        <w:t>R</w:t>
      </w:r>
      <w:r w:rsidR="00F573A0">
        <w:rPr>
          <w:iCs/>
          <w:color w:val="000000"/>
        </w:rPr>
        <w:t xml:space="preserve">esearch </w:t>
      </w:r>
      <w:r w:rsidR="009963E6">
        <w:rPr>
          <w:iCs/>
          <w:color w:val="000000"/>
        </w:rPr>
        <w:t>C</w:t>
      </w:r>
      <w:r w:rsidR="00F573A0">
        <w:rPr>
          <w:iCs/>
          <w:color w:val="000000"/>
        </w:rPr>
        <w:t>entre</w:t>
      </w:r>
      <w:r w:rsidRPr="00D9775B">
        <w:rPr>
          <w:iCs/>
          <w:color w:val="000000"/>
        </w:rPr>
        <w:t xml:space="preserve"> (</w:t>
      </w:r>
      <w:r w:rsidR="00733FC4">
        <w:rPr>
          <w:iCs/>
          <w:color w:val="000000"/>
          <w:highlight w:val="yellow"/>
        </w:rPr>
        <w:fldChar w:fldCharType="begin"/>
      </w:r>
      <w:r w:rsidR="00733FC4">
        <w:rPr>
          <w:iCs/>
          <w:color w:val="000000"/>
        </w:rPr>
        <w:instrText xml:space="preserve"> REF _Ref481761726 \h </w:instrText>
      </w:r>
      <w:r w:rsidR="00733FC4">
        <w:rPr>
          <w:iCs/>
          <w:color w:val="000000"/>
          <w:highlight w:val="yellow"/>
        </w:rPr>
      </w:r>
      <w:r w:rsidR="00733FC4">
        <w:rPr>
          <w:iCs/>
          <w:color w:val="000000"/>
          <w:highlight w:val="yellow"/>
        </w:rPr>
        <w:fldChar w:fldCharType="separate"/>
      </w:r>
      <w:r w:rsidR="009F6923" w:rsidRPr="00D9775B">
        <w:rPr>
          <w:bCs/>
        </w:rPr>
        <w:t xml:space="preserve">Box </w:t>
      </w:r>
      <w:r w:rsidR="009F6923">
        <w:rPr>
          <w:bCs/>
          <w:noProof/>
        </w:rPr>
        <w:t>17</w:t>
      </w:r>
      <w:r w:rsidR="00733FC4">
        <w:rPr>
          <w:iCs/>
          <w:color w:val="000000"/>
          <w:highlight w:val="yellow"/>
        </w:rPr>
        <w:fldChar w:fldCharType="end"/>
      </w:r>
      <w:r w:rsidRPr="00D9775B">
        <w:rPr>
          <w:iCs/>
          <w:color w:val="000000"/>
        </w:rPr>
        <w:t>).</w:t>
      </w:r>
    </w:p>
    <w:p w14:paraId="65F31ECB" w14:textId="77777777" w:rsidR="007D6D19" w:rsidRDefault="007D6D19">
      <w:pPr>
        <w:spacing w:after="0" w:line="240" w:lineRule="auto"/>
        <w:rPr>
          <w:iCs/>
          <w:color w:val="000000"/>
        </w:rPr>
      </w:pPr>
      <w:r>
        <w:rPr>
          <w:iCs/>
          <w:color w:val="000000"/>
        </w:rPr>
        <w:br w:type="page"/>
      </w:r>
    </w:p>
    <w:p w14:paraId="200DEF41" w14:textId="0C90DCA0" w:rsidR="00D9775B" w:rsidRPr="00D9775B" w:rsidRDefault="00D9775B" w:rsidP="007F483D">
      <w:pPr>
        <w:pStyle w:val="BoxHeading"/>
        <w:keepNext/>
        <w:keepLines/>
        <w:rPr>
          <w:bCs/>
        </w:rPr>
      </w:pPr>
      <w:bookmarkStart w:id="211" w:name="_Ref481761726"/>
      <w:bookmarkStart w:id="212" w:name="_Toc468176758"/>
      <w:bookmarkStart w:id="213" w:name="_Toc468444408"/>
      <w:r w:rsidRPr="00D9775B">
        <w:rPr>
          <w:bCs/>
        </w:rPr>
        <w:lastRenderedPageBreak/>
        <w:t xml:space="preserve">Box </w:t>
      </w:r>
      <w:r w:rsidRPr="00D9775B">
        <w:rPr>
          <w:bCs/>
        </w:rPr>
        <w:fldChar w:fldCharType="begin"/>
      </w:r>
      <w:r w:rsidRPr="00D9775B">
        <w:rPr>
          <w:bCs/>
        </w:rPr>
        <w:instrText xml:space="preserve"> SEQ Box \* ARABIC </w:instrText>
      </w:r>
      <w:r w:rsidRPr="00D9775B">
        <w:rPr>
          <w:bCs/>
        </w:rPr>
        <w:fldChar w:fldCharType="separate"/>
      </w:r>
      <w:r w:rsidR="009F6923">
        <w:rPr>
          <w:bCs/>
          <w:noProof/>
        </w:rPr>
        <w:t>17</w:t>
      </w:r>
      <w:r w:rsidRPr="00D9775B">
        <w:fldChar w:fldCharType="end"/>
      </w:r>
      <w:bookmarkEnd w:id="211"/>
      <w:r w:rsidRPr="00D9775B">
        <w:rPr>
          <w:bCs/>
        </w:rPr>
        <w:t xml:space="preserve"> </w:t>
      </w:r>
      <w:r>
        <w:rPr>
          <w:bCs/>
        </w:rPr>
        <w:t>Software and technology platforms for biosecurity</w:t>
      </w:r>
      <w:bookmarkEnd w:id="212"/>
      <w:bookmarkEnd w:id="213"/>
    </w:p>
    <w:p w14:paraId="2653E50C" w14:textId="54E241E8" w:rsidR="00E006C8" w:rsidRDefault="00B27DBF" w:rsidP="007F483D">
      <w:pPr>
        <w:pStyle w:val="BoxHeading"/>
        <w:keepNext/>
        <w:keepLines/>
      </w:pPr>
      <w:r>
        <w:t>MAX</w:t>
      </w:r>
    </w:p>
    <w:p w14:paraId="7B86B34E" w14:textId="2DBE4E93" w:rsidR="00E006C8" w:rsidRDefault="00E006C8" w:rsidP="007F483D">
      <w:pPr>
        <w:pStyle w:val="BoxText"/>
        <w:keepNext/>
        <w:keepLines/>
      </w:pPr>
      <w:r>
        <w:t>Developed by the Victorian Government, MAX is a software platform for managing, collecting and reporting textual and spatial data. It can be customised for a variety of purposes, including real-time reporting, and in variety of settings (</w:t>
      </w:r>
      <w:r w:rsidR="00D9775B">
        <w:t>such as</w:t>
      </w:r>
      <w:r w:rsidR="00E21760">
        <w:t xml:space="preserve"> field work on mobile devices). </w:t>
      </w:r>
      <w:r>
        <w:t>For example, M</w:t>
      </w:r>
      <w:r w:rsidR="00E21760">
        <w:t>AX</w:t>
      </w:r>
      <w:r>
        <w:t xml:space="preserve"> was used by Victoria when responding to the 2014 </w:t>
      </w:r>
      <w:r w:rsidR="00E21760">
        <w:t>g</w:t>
      </w:r>
      <w:r>
        <w:t xml:space="preserve">iant </w:t>
      </w:r>
      <w:r w:rsidR="00E21760">
        <w:t>p</w:t>
      </w:r>
      <w:r>
        <w:t xml:space="preserve">ine </w:t>
      </w:r>
      <w:r w:rsidR="00E21760">
        <w:t>s</w:t>
      </w:r>
      <w:r>
        <w:t>cale outbreak in Melbourne, where there was no information system in place to manage the resulting biosecurity data at a tree level. A template for foot-and-mouth disease was adapted to manage trees instead of animals and field staff were able to use iPads to gather field surveillance data and report it in real time. MAX is also used by five other jurisdictions for different purposes, covering both routine and emergency biosecurity activities.</w:t>
      </w:r>
    </w:p>
    <w:p w14:paraId="3EEF6033" w14:textId="1AFF8759" w:rsidR="00965D79" w:rsidRDefault="00965D79" w:rsidP="00965D79">
      <w:pPr>
        <w:pStyle w:val="BoxSource"/>
      </w:pPr>
      <w:r w:rsidRPr="001B5BDD">
        <w:t xml:space="preserve">Source: </w:t>
      </w:r>
      <w:r w:rsidR="001B5BDD" w:rsidRPr="001B5BDD">
        <w:t xml:space="preserve">Victorian Government sub. </w:t>
      </w:r>
      <w:r w:rsidRPr="001B5BDD">
        <w:t>DP64.</w:t>
      </w:r>
    </w:p>
    <w:p w14:paraId="7999AF25" w14:textId="3AD8ACEB" w:rsidR="00E006C8" w:rsidRDefault="00E006C8" w:rsidP="007F483D">
      <w:pPr>
        <w:pStyle w:val="BoxHeading"/>
        <w:keepNext/>
        <w:keepLines/>
      </w:pPr>
      <w:r>
        <w:t>National Surveillance System for Weeds and Plant Pes</w:t>
      </w:r>
      <w:r w:rsidR="00B27DBF">
        <w:t>ts: Virtual Coordination Centre</w:t>
      </w:r>
    </w:p>
    <w:p w14:paraId="17E1095E" w14:textId="125B667E" w:rsidR="00E006C8" w:rsidRDefault="007F483D" w:rsidP="007F483D">
      <w:pPr>
        <w:pStyle w:val="BoxText"/>
        <w:keepNext/>
        <w:keepLines/>
      </w:pPr>
      <w:r>
        <w:rPr>
          <w:noProof/>
          <w:lang w:eastAsia="en-AU"/>
        </w:rPr>
        <w:drawing>
          <wp:anchor distT="0" distB="0" distL="114300" distR="114300" simplePos="0" relativeHeight="251662336" behindDoc="0" locked="0" layoutInCell="1" allowOverlap="1" wp14:anchorId="0D1089CA" wp14:editId="516F4AFA">
            <wp:simplePos x="0" y="0"/>
            <wp:positionH relativeFrom="column">
              <wp:posOffset>3032125</wp:posOffset>
            </wp:positionH>
            <wp:positionV relativeFrom="paragraph">
              <wp:posOffset>874395</wp:posOffset>
            </wp:positionV>
            <wp:extent cx="2599436" cy="1920240"/>
            <wp:effectExtent l="0" t="0" r="0" b="3810"/>
            <wp:wrapSquare wrapText="bothSides"/>
            <wp:docPr id="8" name="Picture 8" descr="AUSPestCheck output of the spread of Russian wheat aphid in South Australia, Victoria, New South Wales and Tasmania as at 23 January 2017."/>
            <wp:cNvGraphicFramePr/>
            <a:graphic xmlns:a="http://schemas.openxmlformats.org/drawingml/2006/main">
              <a:graphicData uri="http://schemas.openxmlformats.org/drawingml/2006/picture">
                <pic:pic xmlns:pic="http://schemas.openxmlformats.org/drawingml/2006/picture">
                  <pic:nvPicPr>
                    <pic:cNvPr id="8" name="Picture 8" descr="AUSPestCheck output of the spread of Russian wheat aphid in South Australia, Victoria and New South Wales as at 14 October 201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599436" cy="1920240"/>
                    </a:xfrm>
                    <a:prstGeom prst="rect">
                      <a:avLst/>
                    </a:prstGeom>
                  </pic:spPr>
                </pic:pic>
              </a:graphicData>
            </a:graphic>
            <wp14:sizeRelH relativeFrom="margin">
              <wp14:pctWidth>0</wp14:pctWidth>
            </wp14:sizeRelH>
            <wp14:sizeRelV relativeFrom="margin">
              <wp14:pctHeight>0</wp14:pctHeight>
            </wp14:sizeRelV>
          </wp:anchor>
        </w:drawing>
      </w:r>
      <w:r w:rsidR="00E006C8">
        <w:t>PHA has developed a sophisticated virtual surveillance centre, called AUSPestCheck, capable of providing and receiving national surveillance information on weeds and plant pests from a wide range of stakeholders. The project was completed in March 2016</w:t>
      </w:r>
      <w:r w:rsidR="003C7FFA">
        <w:t>,</w:t>
      </w:r>
      <w:r w:rsidR="00E006C8">
        <w:t xml:space="preserve"> and negotiations with funders are underway to enhance the system and to incorporate it into national biosecurity surveillance arrangements. The system uses mobile technology and a secure cloud environment to pull together surveillance data from multiple sources at minimal cost. It then produces a map of where checks for pests have been made and where pests are found or not found. The mapping facility has already been used to track the spread of Russian wheat aphid (</w:t>
      </w:r>
      <w:r w:rsidR="00E006C8" w:rsidRPr="004A1C1E">
        <w:rPr>
          <w:i/>
        </w:rPr>
        <w:t>Diuphis noxia</w:t>
      </w:r>
      <w:r w:rsidR="00E006C8">
        <w:t>) since its discovery in South Australia in May 2016 (</w:t>
      </w:r>
      <w:r w:rsidR="003C7FFA">
        <w:t>see</w:t>
      </w:r>
      <w:r w:rsidR="00E006C8">
        <w:t xml:space="preserve"> map insert).</w:t>
      </w:r>
    </w:p>
    <w:p w14:paraId="0935D45A" w14:textId="265F41A9" w:rsidR="00E006C8" w:rsidRDefault="00E006C8" w:rsidP="007F483D">
      <w:pPr>
        <w:pStyle w:val="BoxText"/>
        <w:keepNext/>
        <w:keepLines/>
      </w:pPr>
      <w:r>
        <w:t>Ultimately, the system will be capable of receiving and integrating data fro</w:t>
      </w:r>
      <w:r w:rsidR="003C7FFA">
        <w:t>m multiple surveillance systems</w:t>
      </w:r>
      <w:r>
        <w:t xml:space="preserve"> and delivering integrated surveillance data to those working in weed and pest management in Australia.</w:t>
      </w:r>
    </w:p>
    <w:p w14:paraId="55CA6B3F" w14:textId="161799CF" w:rsidR="00680D2F" w:rsidRDefault="00E006C8" w:rsidP="007F483D">
      <w:pPr>
        <w:pStyle w:val="BoxSource"/>
      </w:pPr>
      <w:r>
        <w:t>Source:</w:t>
      </w:r>
      <w:r w:rsidRPr="00BF4C55">
        <w:t xml:space="preserve"> </w:t>
      </w:r>
      <w:r>
        <w:t xml:space="preserve">AUSPestCheck </w:t>
      </w:r>
      <w:r w:rsidRPr="007F483D">
        <w:t>output</w:t>
      </w:r>
      <w:r>
        <w:t xml:space="preserve"> of Russian </w:t>
      </w:r>
      <w:r w:rsidR="003C7FFA">
        <w:t>w</w:t>
      </w:r>
      <w:r>
        <w:t xml:space="preserve">heat </w:t>
      </w:r>
      <w:r w:rsidR="003C7FFA">
        <w:t>a</w:t>
      </w:r>
      <w:r>
        <w:t xml:space="preserve">phid distribution as at </w:t>
      </w:r>
      <w:r w:rsidR="00E1668B">
        <w:t>23</w:t>
      </w:r>
      <w:r w:rsidR="003C7FFA">
        <w:t xml:space="preserve"> January 2</w:t>
      </w:r>
      <w:r w:rsidRPr="00680D2F">
        <w:t>01</w:t>
      </w:r>
      <w:r w:rsidR="00E1668B">
        <w:t>7</w:t>
      </w:r>
      <w:r>
        <w:t xml:space="preserve">, available at </w:t>
      </w:r>
      <w:hyperlink r:id="rId79" w:history="1">
        <w:r w:rsidRPr="00FF5AE8">
          <w:rPr>
            <w:rStyle w:val="Hyperlink"/>
          </w:rPr>
          <w:t>AUSPestCheck</w:t>
        </w:r>
      </w:hyperlink>
      <w:r w:rsidR="005E0491">
        <w:t>.</w:t>
      </w:r>
    </w:p>
    <w:p w14:paraId="48A8604B" w14:textId="77777777" w:rsidR="008205D9" w:rsidRDefault="008205D9" w:rsidP="007F483D">
      <w:pPr>
        <w:pStyle w:val="BoxHeading"/>
      </w:pPr>
      <w:r w:rsidRPr="007F483D">
        <w:t>FeralScan</w:t>
      </w:r>
      <w:r>
        <w:t xml:space="preserve"> program</w:t>
      </w:r>
    </w:p>
    <w:p w14:paraId="7E82FCED" w14:textId="30A4887E" w:rsidR="008205D9" w:rsidRDefault="008205D9" w:rsidP="007F483D">
      <w:pPr>
        <w:pStyle w:val="BoxText"/>
        <w:keepNext/>
        <w:keepLines/>
      </w:pPr>
      <w:r>
        <w:lastRenderedPageBreak/>
        <w:t>FeralScan, developed by the Invasive Animals C</w:t>
      </w:r>
      <w:r w:rsidR="003C7FFA">
        <w:t xml:space="preserve">ooperative </w:t>
      </w:r>
      <w:r>
        <w:t>R</w:t>
      </w:r>
      <w:r w:rsidR="003C7FFA">
        <w:t xml:space="preserve">esearch </w:t>
      </w:r>
      <w:r>
        <w:t>C</w:t>
      </w:r>
      <w:r w:rsidR="003C7FFA">
        <w:t>entre</w:t>
      </w:r>
      <w:r>
        <w:t xml:space="preserve">, is a community website and </w:t>
      </w:r>
      <w:r w:rsidR="003C7FFA">
        <w:t>s</w:t>
      </w:r>
      <w:r>
        <w:t xml:space="preserve">martphone </w:t>
      </w:r>
      <w:r w:rsidR="003C7FFA">
        <w:t>app</w:t>
      </w:r>
      <w:r w:rsidR="00216755">
        <w:t xml:space="preserve"> that allows farmers, community </w:t>
      </w:r>
      <w:r>
        <w:t>groups, local governments, nat</w:t>
      </w:r>
      <w:r w:rsidR="003C7FFA">
        <w:t>ural resource management groups</w:t>
      </w:r>
      <w:r>
        <w:t xml:space="preserve"> and the Australian public to map sightings of pest animals and record the problems they are causing in a particular area. It currently contains over 40,000 records of pest animals mapped by landholders and communities across Australia. This information can be used to document pest animal activity, communica</w:t>
      </w:r>
      <w:r w:rsidR="003C7FFA">
        <w:t>te the problem to other people</w:t>
      </w:r>
      <w:r>
        <w:t xml:space="preserve"> and identify priority areas for management activities.</w:t>
      </w:r>
    </w:p>
    <w:p w14:paraId="12A8D1DD" w14:textId="0AAC9360" w:rsidR="00DB5EF3" w:rsidRDefault="008205D9" w:rsidP="008205D9">
      <w:pPr>
        <w:pStyle w:val="BoxText"/>
      </w:pPr>
      <w:r>
        <w:t>The program currently hosts c</w:t>
      </w:r>
      <w:r w:rsidR="003C7FFA">
        <w:t xml:space="preserve">ommunity engagement and citizen </w:t>
      </w:r>
      <w:r>
        <w:t>science programs for feral cats (FeralCatScan), wild dogs (WildDogScan), rabbits (RabbitScan), introduced pest fish (FeralFishScan), foxes (FoxScan), house mice (MouseAlert), feral camels (CamelScan), feral pigs (FeralPigScan), Indian Myna birds (MynaScan), feral goats (FeralGoatScan), Eu</w:t>
      </w:r>
      <w:r w:rsidR="003C7FFA">
        <w:t>ropean Starlings (StarlingScan)</w:t>
      </w:r>
      <w:r>
        <w:t xml:space="preserve"> and cane toads (ToadScan). A program for feral deer (DeerScan) is under</w:t>
      </w:r>
      <w:r w:rsidR="00216755">
        <w:t xml:space="preserve"> </w:t>
      </w:r>
      <w:r>
        <w:t>development.</w:t>
      </w:r>
    </w:p>
    <w:p w14:paraId="439DB75F" w14:textId="7DD638D2" w:rsidR="008205D9" w:rsidRPr="00267602" w:rsidRDefault="008205D9" w:rsidP="008205D9">
      <w:pPr>
        <w:pStyle w:val="BoxSource"/>
      </w:pPr>
      <w:r>
        <w:t xml:space="preserve">Source: </w:t>
      </w:r>
      <w:r w:rsidR="000A2F3B">
        <w:t>T</w:t>
      </w:r>
      <w:r>
        <w:t xml:space="preserve">he Pestsmart </w:t>
      </w:r>
      <w:hyperlink r:id="rId80" w:history="1">
        <w:r>
          <w:rPr>
            <w:rStyle w:val="Hyperlink"/>
          </w:rPr>
          <w:t>FeralScan</w:t>
        </w:r>
      </w:hyperlink>
      <w:r>
        <w:t xml:space="preserve"> website.</w:t>
      </w:r>
    </w:p>
    <w:p w14:paraId="19D8F665" w14:textId="279920C8" w:rsidR="00D9775B" w:rsidRDefault="00D9775B" w:rsidP="007D6D19">
      <w:pPr>
        <w:keepNext/>
        <w:keepLines/>
      </w:pPr>
      <w:r>
        <w:t xml:space="preserve">In a positive move, the Australian Government </w:t>
      </w:r>
      <w:r w:rsidR="0060134B">
        <w:t>agriculture department</w:t>
      </w:r>
      <w:r w:rsidR="00E80DE4">
        <w:t xml:space="preserve"> i</w:t>
      </w:r>
      <w:r>
        <w:t xml:space="preserve">s developing a Biosecurity Integrated Information System (BIIS) which will provide a more sophisticated and modern technical architecture to enable better data capture, storage, access, sharing and analysis of data to support </w:t>
      </w:r>
      <w:r w:rsidR="00E61317">
        <w:t xml:space="preserve">better and more timely decision </w:t>
      </w:r>
      <w:r w:rsidR="00B27DBF">
        <w:t>making.</w:t>
      </w:r>
    </w:p>
    <w:p w14:paraId="3371475A" w14:textId="74771735" w:rsidR="00D9775B" w:rsidRDefault="00D9775B" w:rsidP="00D9775B">
      <w:r>
        <w:t xml:space="preserve">While significant progress is being made by the Australian Government, NBC, </w:t>
      </w:r>
      <w:r w:rsidR="00E80DE4">
        <w:t xml:space="preserve">the </w:t>
      </w:r>
      <w:r>
        <w:t>N</w:t>
      </w:r>
      <w:r w:rsidR="00E80DE4">
        <w:t xml:space="preserve">ational </w:t>
      </w:r>
      <w:r>
        <w:t>B</w:t>
      </w:r>
      <w:r w:rsidR="00E80DE4">
        <w:t xml:space="preserve">iosecurity </w:t>
      </w:r>
      <w:r>
        <w:t>I</w:t>
      </w:r>
      <w:r w:rsidR="00E80DE4">
        <w:t xml:space="preserve">nformation </w:t>
      </w:r>
      <w:r>
        <w:t>G</w:t>
      </w:r>
      <w:r w:rsidR="00E80DE4">
        <w:t xml:space="preserve">overnance </w:t>
      </w:r>
      <w:r>
        <w:t>E</w:t>
      </w:r>
      <w:r w:rsidR="00E80DE4">
        <w:t xml:space="preserve">xpert </w:t>
      </w:r>
      <w:r>
        <w:t>G</w:t>
      </w:r>
      <w:r w:rsidR="00E80DE4">
        <w:t>roup</w:t>
      </w:r>
      <w:r>
        <w:t xml:space="preserve"> and others to address data constraints, the Queensland </w:t>
      </w:r>
      <w:r w:rsidR="00A90130">
        <w:t>D</w:t>
      </w:r>
      <w:r w:rsidR="00234F6B">
        <w:t xml:space="preserve">epartment of </w:t>
      </w:r>
      <w:r w:rsidR="00A90130">
        <w:t>A</w:t>
      </w:r>
      <w:r w:rsidR="00234F6B">
        <w:t>gricul</w:t>
      </w:r>
      <w:r w:rsidR="00E5461B">
        <w:t>t</w:t>
      </w:r>
      <w:r w:rsidR="00234F6B">
        <w:t xml:space="preserve">ure and </w:t>
      </w:r>
      <w:r w:rsidR="00A90130">
        <w:t>F</w:t>
      </w:r>
      <w:r w:rsidR="00234F6B">
        <w:t>isheries</w:t>
      </w:r>
      <w:r>
        <w:t xml:space="preserve"> highlights the need for sustained commitment and momentum by all IGAB parties:</w:t>
      </w:r>
    </w:p>
    <w:p w14:paraId="56B925A5" w14:textId="261C8D14" w:rsidR="00D9775B" w:rsidRDefault="00D9775B" w:rsidP="00D9775B">
      <w:pPr>
        <w:pStyle w:val="Quote"/>
      </w:pPr>
      <w:r>
        <w:t>Queensland’s Biosecurity Capability Review was explicit that rapid technological change and structured research programs offer opportunities to address emerging biosecurity threats more effectively, and in less costly ways. It argues that greater use of data … is central to informing the design of biosecurity policies and programs. With an explicit focus on data, the national biosecurity system is in need of rules and standards to guide collection and analysis. A refreshed IGAB should continue to make provision for coordinated progress towards improved data frameworks (sub. DP48)</w:t>
      </w:r>
    </w:p>
    <w:p w14:paraId="41E787D1" w14:textId="30611DFD" w:rsidR="00D9775B" w:rsidRDefault="00D9775B" w:rsidP="00D9775B">
      <w:r>
        <w:t xml:space="preserve">The </w:t>
      </w:r>
      <w:r w:rsidR="00AE0629">
        <w:t>p</w:t>
      </w:r>
      <w:r>
        <w:t>anel strongly agrees with this statement.</w:t>
      </w:r>
    </w:p>
    <w:p w14:paraId="6A523138" w14:textId="01DB0ABA" w:rsidR="00D9775B" w:rsidRDefault="00AE0629" w:rsidP="00D9775B">
      <w:r>
        <w:t>The p</w:t>
      </w:r>
      <w:r w:rsidR="00D9775B">
        <w:t xml:space="preserve">anel recognises the significant potential of the BIIS to inform the biosecurity efforts of all jurisdictions, not just the Australian Government. To that end, it will be important that the system allows for interoperability of information generated by the BIIS with relevant state and territory systems to allow near real-time and seamless data </w:t>
      </w:r>
      <w:r w:rsidR="00D9775B">
        <w:lastRenderedPageBreak/>
        <w:t>sharing. Equally</w:t>
      </w:r>
      <w:r>
        <w:t>,</w:t>
      </w:r>
      <w:r w:rsidR="00D9775B">
        <w:t xml:space="preserve"> though, the states and territories will need to invest in upgrading their technology (where required) if the benefits of national interoperability are to be realised.</w:t>
      </w:r>
    </w:p>
    <w:p w14:paraId="7474EA04" w14:textId="603FED0A" w:rsidR="00D9775B" w:rsidRDefault="00D9775B" w:rsidP="00D9775B">
      <w:r>
        <w:t xml:space="preserve">While the </w:t>
      </w:r>
      <w:r w:rsidR="00AE0629">
        <w:t>r</w:t>
      </w:r>
      <w:r>
        <w:t xml:space="preserve">eview’s terms of reference asked the </w:t>
      </w:r>
      <w:r w:rsidR="00AE0629">
        <w:t>p</w:t>
      </w:r>
      <w:r>
        <w:t xml:space="preserve">anel to consider the availability of appropriate and consistent data to support development of measurable performance indicators for the national biosecurity system, the </w:t>
      </w:r>
      <w:r w:rsidR="00AE0629">
        <w:t>p</w:t>
      </w:r>
      <w:r>
        <w:t>anel was unable to examine this issue in detail. However, the need f</w:t>
      </w:r>
      <w:r w:rsidR="00AE0629">
        <w:t>or better and standardised data</w:t>
      </w:r>
      <w:r>
        <w:t xml:space="preserve">sets and interoperable data management systems is already a clear area of consensus and strong cooperation among jurisdictions. For NBC </w:t>
      </w:r>
      <w:r w:rsidR="00A90130">
        <w:t xml:space="preserve">this </w:t>
      </w:r>
      <w:r w:rsidR="00AE0629">
        <w:t xml:space="preserve">is still very much a work </w:t>
      </w:r>
      <w:r>
        <w:t>in</w:t>
      </w:r>
      <w:r w:rsidR="00AE0629">
        <w:t xml:space="preserve"> </w:t>
      </w:r>
      <w:r>
        <w:t>progress</w:t>
      </w:r>
      <w:r w:rsidR="00A90130">
        <w:t>,</w:t>
      </w:r>
      <w:r>
        <w:t xml:space="preserve"> but that work is on a positive course.</w:t>
      </w:r>
    </w:p>
    <w:p w14:paraId="2BD0C018" w14:textId="77777777" w:rsidR="00AD28EF" w:rsidRPr="00FF2CE0" w:rsidRDefault="00AD28EF" w:rsidP="00AD28EF">
      <w:pPr>
        <w:pStyle w:val="BoxHeading"/>
        <w:shd w:val="clear" w:color="auto" w:fill="D9D9D9" w:themeFill="background1" w:themeFillShade="D9"/>
        <w:rPr>
          <w:sz w:val="22"/>
        </w:rPr>
      </w:pPr>
      <w:bookmarkStart w:id="214" w:name="_Ref482710388"/>
      <w:r w:rsidRPr="00FF2CE0">
        <w:rPr>
          <w:sz w:val="22"/>
        </w:rPr>
        <w:t xml:space="preserve">Recommendation </w:t>
      </w:r>
      <w:r w:rsidR="00C72264" w:rsidRPr="00FF2CE0">
        <w:rPr>
          <w:sz w:val="22"/>
        </w:rPr>
        <w:fldChar w:fldCharType="begin"/>
      </w:r>
      <w:r w:rsidR="00C72264" w:rsidRPr="00FF2CE0">
        <w:rPr>
          <w:sz w:val="22"/>
        </w:rPr>
        <w:instrText xml:space="preserve"> SEQ Recommendation \* ARABIC </w:instrText>
      </w:r>
      <w:r w:rsidR="00C72264" w:rsidRPr="00FF2CE0">
        <w:rPr>
          <w:sz w:val="22"/>
        </w:rPr>
        <w:fldChar w:fldCharType="separate"/>
      </w:r>
      <w:r w:rsidR="009F6923">
        <w:rPr>
          <w:noProof/>
          <w:sz w:val="22"/>
        </w:rPr>
        <w:t>39</w:t>
      </w:r>
      <w:r w:rsidR="00C72264" w:rsidRPr="00FF2CE0">
        <w:rPr>
          <w:noProof/>
          <w:sz w:val="22"/>
        </w:rPr>
        <w:fldChar w:fldCharType="end"/>
      </w:r>
      <w:bookmarkEnd w:id="214"/>
    </w:p>
    <w:p w14:paraId="37C9859A" w14:textId="2A503FA0" w:rsidR="00C62304" w:rsidRPr="00FF2CE0" w:rsidRDefault="00C62304" w:rsidP="00AD28EF">
      <w:pPr>
        <w:pStyle w:val="BoxText"/>
        <w:shd w:val="clear" w:color="auto" w:fill="D9D9D9" w:themeFill="background1" w:themeFillShade="D9"/>
        <w:rPr>
          <w:sz w:val="22"/>
        </w:rPr>
      </w:pPr>
      <w:r w:rsidRPr="00FF2CE0">
        <w:rPr>
          <w:sz w:val="22"/>
        </w:rPr>
        <w:t>Data and knowledge sharing should be a core commitment of jurisdictions under IGAB</w:t>
      </w:r>
      <w:r w:rsidR="00AD28EF" w:rsidRPr="00FF2CE0">
        <w:rPr>
          <w:sz w:val="22"/>
        </w:rPr>
        <w:t>2</w:t>
      </w:r>
      <w:r w:rsidRPr="00FF2CE0">
        <w:rPr>
          <w:sz w:val="22"/>
        </w:rPr>
        <w:t>. Minimum standards and specifica</w:t>
      </w:r>
      <w:r w:rsidR="00AE0629">
        <w:rPr>
          <w:sz w:val="22"/>
        </w:rPr>
        <w:t>tions should be agreed for data</w:t>
      </w:r>
      <w:r w:rsidRPr="00FF2CE0">
        <w:rPr>
          <w:sz w:val="22"/>
        </w:rPr>
        <w:t>sets.</w:t>
      </w:r>
    </w:p>
    <w:p w14:paraId="5E206D92" w14:textId="77777777" w:rsidR="00AD28EF" w:rsidRPr="00FF2CE0" w:rsidRDefault="00AD28EF" w:rsidP="00AD28EF">
      <w:pPr>
        <w:pStyle w:val="BoxHeading"/>
        <w:shd w:val="clear" w:color="auto" w:fill="D9D9D9" w:themeFill="background1" w:themeFillShade="D9"/>
        <w:rPr>
          <w:sz w:val="22"/>
        </w:rPr>
      </w:pPr>
      <w:bookmarkStart w:id="215" w:name="_Ref482710399"/>
      <w:bookmarkStart w:id="216" w:name="_Ref468435758"/>
      <w:r w:rsidRPr="00FF2CE0">
        <w:rPr>
          <w:sz w:val="22"/>
        </w:rPr>
        <w:t xml:space="preserve">Recommendation </w:t>
      </w:r>
      <w:r w:rsidR="00C72264" w:rsidRPr="00FF2CE0">
        <w:rPr>
          <w:sz w:val="22"/>
        </w:rPr>
        <w:fldChar w:fldCharType="begin"/>
      </w:r>
      <w:r w:rsidR="00C72264" w:rsidRPr="00FF2CE0">
        <w:rPr>
          <w:sz w:val="22"/>
        </w:rPr>
        <w:instrText xml:space="preserve"> SEQ Recommendation \* ARABIC </w:instrText>
      </w:r>
      <w:r w:rsidR="00C72264" w:rsidRPr="00FF2CE0">
        <w:rPr>
          <w:sz w:val="22"/>
        </w:rPr>
        <w:fldChar w:fldCharType="separate"/>
      </w:r>
      <w:r w:rsidR="009F6923">
        <w:rPr>
          <w:noProof/>
          <w:sz w:val="22"/>
        </w:rPr>
        <w:t>40</w:t>
      </w:r>
      <w:r w:rsidR="00C72264" w:rsidRPr="00FF2CE0">
        <w:rPr>
          <w:noProof/>
          <w:sz w:val="22"/>
        </w:rPr>
        <w:fldChar w:fldCharType="end"/>
      </w:r>
      <w:bookmarkEnd w:id="215"/>
    </w:p>
    <w:p w14:paraId="761843B8" w14:textId="46BF1B9E" w:rsidR="00AD28EF" w:rsidRPr="00FF2CE0" w:rsidRDefault="00AD28EF" w:rsidP="00AD28EF">
      <w:pPr>
        <w:pStyle w:val="BoxText"/>
        <w:shd w:val="clear" w:color="auto" w:fill="D9D9D9" w:themeFill="background1" w:themeFillShade="D9"/>
        <w:rPr>
          <w:sz w:val="22"/>
        </w:rPr>
      </w:pPr>
      <w:r w:rsidRPr="00FF2CE0">
        <w:rPr>
          <w:sz w:val="22"/>
        </w:rPr>
        <w:t>Within the period covered by IGAB2, the Australian Government agriculture department should lead the development of a common information architecture for the national bio</w:t>
      </w:r>
      <w:r w:rsidR="00A71112">
        <w:rPr>
          <w:sz w:val="22"/>
        </w:rPr>
        <w:t>security system (including data-</w:t>
      </w:r>
      <w:r w:rsidRPr="00FF2CE0">
        <w:rPr>
          <w:sz w:val="22"/>
        </w:rPr>
        <w:t>sharing protocols, standards and authority protocols) for all jurisdictions to share and access biosecurity data and information in the national interest.</w:t>
      </w:r>
    </w:p>
    <w:p w14:paraId="249B911E" w14:textId="3BE80BB3" w:rsidR="00AD28EF" w:rsidRPr="00AD28EF" w:rsidRDefault="00AD28EF" w:rsidP="00AD28EF">
      <w:r w:rsidRPr="00AD28EF">
        <w:t xml:space="preserve">Finally, outside of government, opportunities likely exist for industry and the community to better contribute their data relevant to biosecurity. The </w:t>
      </w:r>
      <w:r w:rsidR="00A71112">
        <w:t>p</w:t>
      </w:r>
      <w:r w:rsidRPr="00AD28EF">
        <w:t>anel was advised of</w:t>
      </w:r>
      <w:r w:rsidR="00A71112">
        <w:t xml:space="preserve"> several existing industry data</w:t>
      </w:r>
      <w:r w:rsidRPr="00AD28EF">
        <w:t xml:space="preserve">sets which could be better utilised, including for substantiating future area freedom claims. Separately, one stakeholder highlighted the need to better address the availability of data generated through industry-funded research, especially where the findings could have market access impacts. The </w:t>
      </w:r>
      <w:r w:rsidR="00A71112">
        <w:t>p</w:t>
      </w:r>
      <w:r w:rsidRPr="00AD28EF">
        <w:t>anel encourages industries to assess th</w:t>
      </w:r>
      <w:r w:rsidR="00A71112">
        <w:t>eir existing and potential datasets and sources</w:t>
      </w:r>
      <w:r w:rsidRPr="00AD28EF">
        <w:t xml:space="preserve"> and the role they could play in strengthening the national biosecurity system, especially where there may be market access benefits</w:t>
      </w:r>
      <w:r w:rsidR="00A90130">
        <w:t>.</w:t>
      </w:r>
    </w:p>
    <w:p w14:paraId="0D62B4E2" w14:textId="1BAFFABC" w:rsidR="00AD28EF" w:rsidRDefault="00AD28EF" w:rsidP="00AD28EF">
      <w:pPr>
        <w:pStyle w:val="Heading3"/>
      </w:pPr>
      <w:bookmarkStart w:id="217" w:name="_Toc486236067"/>
      <w:r>
        <w:t>Smarter biosecurity: data analytics and intelligence</w:t>
      </w:r>
      <w:bookmarkEnd w:id="217"/>
    </w:p>
    <w:p w14:paraId="424DBA6F" w14:textId="6F7986C1" w:rsidR="00AD28EF" w:rsidRDefault="00AD28EF" w:rsidP="00AD28EF">
      <w:r>
        <w:t>As previously noted, Australia takes a risk-based approach to biosecurity guided by Australia’s ALOP, which aims to reduce biosec</w:t>
      </w:r>
      <w:r w:rsidR="00A71112">
        <w:t>urity risks to a very low level</w:t>
      </w:r>
      <w:r>
        <w:t xml:space="preserve"> but not to zero. This stands in contrast to Australia’s historic</w:t>
      </w:r>
      <w:r w:rsidR="00A71112">
        <w:t>al</w:t>
      </w:r>
      <w:r>
        <w:t xml:space="preserve"> approach of border intervention </w:t>
      </w:r>
      <w:r>
        <w:lastRenderedPageBreak/>
        <w:t>targets. In reality</w:t>
      </w:r>
      <w:r w:rsidR="00A71112">
        <w:t>,</w:t>
      </w:r>
      <w:r>
        <w:t xml:space="preserve"> a risk-based approach is the only cost-effective and sustainable way to manage the biosecurity risks posed by current and forecast levels of trade and passenger movements (Aus</w:t>
      </w:r>
      <w:r w:rsidR="00B27DBF">
        <w:t>tralian Government sub. DR115).</w:t>
      </w:r>
    </w:p>
    <w:p w14:paraId="3AF5FBF5" w14:textId="3D1533CE" w:rsidR="00AD28EF" w:rsidRDefault="00AD28EF" w:rsidP="00AD28EF">
      <w:r>
        <w:t>Data analytics is one way to help mitigate biosecurity risks. Data analytics is the process of examining data from multiple sources in order to draw conclusions about the information they contain. It provides a capacity to better understand the issues from perspectives that may have not yet been contemplated or are not yet apparent</w:t>
      </w:r>
      <w:r w:rsidR="00A90130">
        <w:t>:</w:t>
      </w:r>
    </w:p>
    <w:p w14:paraId="09CFB25C" w14:textId="77777777" w:rsidR="00AD28EF" w:rsidRDefault="00AD28EF" w:rsidP="00AD28EF">
      <w:pPr>
        <w:pStyle w:val="Quote"/>
      </w:pPr>
      <w:r>
        <w:t>[Data analytics] will answer questions about what has happened and why (descriptive analytics), and what might happen in the future (predictive analytics), through the application of modelling and data analysis (Australian Government sub. DP65)</w:t>
      </w:r>
    </w:p>
    <w:p w14:paraId="52DA87E0" w14:textId="388B5340" w:rsidR="00AD28EF" w:rsidRDefault="00AD28EF" w:rsidP="00AD28EF">
      <w:r>
        <w:t>Combining, analysing and visualisin</w:t>
      </w:r>
      <w:r w:rsidR="00A71112">
        <w:t>g information from various data</w:t>
      </w:r>
      <w:r>
        <w:t>sets</w:t>
      </w:r>
      <w:r w:rsidR="00A71112">
        <w:t>—</w:t>
      </w:r>
      <w:r>
        <w:t>for example</w:t>
      </w:r>
      <w:r w:rsidR="00A71112">
        <w:t>,</w:t>
      </w:r>
      <w:r>
        <w:t xml:space="preserve"> combining geographic spatial data and business </w:t>
      </w:r>
      <w:r w:rsidRPr="00AA166E">
        <w:t>information (</w:t>
      </w:r>
      <w:hyperlink w:anchor="Szewranski_et_al_2017" w:history="1">
        <w:r w:rsidRPr="00AA166E">
          <w:rPr>
            <w:rStyle w:val="Hyperlink"/>
          </w:rPr>
          <w:t>Szewrański et al. 2016</w:t>
        </w:r>
      </w:hyperlink>
      <w:r w:rsidR="00A71112">
        <w:t>)—</w:t>
      </w:r>
      <w:r>
        <w:t>has the potential to significantly enhance a range of biosecurity</w:t>
      </w:r>
      <w:r w:rsidR="00E61317">
        <w:t xml:space="preserve"> activities, including decision </w:t>
      </w:r>
      <w:r>
        <w:t>making, preparedness and response (</w:t>
      </w:r>
      <w:hyperlink w:anchor="East_2009" w:history="1">
        <w:r w:rsidRPr="00AA166E">
          <w:rPr>
            <w:rStyle w:val="Hyperlink"/>
          </w:rPr>
          <w:t>East 2009</w:t>
        </w:r>
      </w:hyperlink>
      <w:r>
        <w:t xml:space="preserve">; </w:t>
      </w:r>
      <w:hyperlink w:anchor="Lindgren_2011" w:history="1">
        <w:r w:rsidRPr="006151C8">
          <w:rPr>
            <w:rStyle w:val="Hyperlink"/>
          </w:rPr>
          <w:t>Lindgren 2011</w:t>
        </w:r>
      </w:hyperlink>
      <w:r>
        <w:t xml:space="preserve">; </w:t>
      </w:r>
      <w:hyperlink w:anchor="Li_et_al_2015" w:history="1">
        <w:r w:rsidRPr="006151C8">
          <w:rPr>
            <w:rStyle w:val="Hyperlink"/>
          </w:rPr>
          <w:t>Li et al. 2015</w:t>
        </w:r>
      </w:hyperlink>
      <w:r>
        <w:t xml:space="preserve">). A recent example is the work by ABARES </w:t>
      </w:r>
      <w:r w:rsidR="00346D9C">
        <w:t>(</w:t>
      </w:r>
      <w:r w:rsidR="00065BED">
        <w:t>forthcoming</w:t>
      </w:r>
      <w:r w:rsidR="00346D9C">
        <w:t xml:space="preserve">) </w:t>
      </w:r>
      <w:r>
        <w:t xml:space="preserve">to estimate the potential economic impact </w:t>
      </w:r>
      <w:r w:rsidR="00A90130">
        <w:t xml:space="preserve">of </w:t>
      </w:r>
      <w:r>
        <w:t xml:space="preserve">an incursion of Pierce’s disease </w:t>
      </w:r>
      <w:r w:rsidR="00A71112">
        <w:t>on</w:t>
      </w:r>
      <w:r w:rsidR="00A90130">
        <w:t xml:space="preserve"> </w:t>
      </w:r>
      <w:r>
        <w:t>Australia</w:t>
      </w:r>
      <w:r w:rsidR="00A90130">
        <w:t>’s wine and grape industry</w:t>
      </w:r>
      <w:r>
        <w:t xml:space="preserve"> (</w:t>
      </w:r>
      <w:r w:rsidR="00733FC4">
        <w:rPr>
          <w:highlight w:val="yellow"/>
        </w:rPr>
        <w:fldChar w:fldCharType="begin"/>
      </w:r>
      <w:r w:rsidR="00733FC4">
        <w:instrText xml:space="preserve"> REF _Ref481761765 \h </w:instrText>
      </w:r>
      <w:r w:rsidR="00733FC4">
        <w:rPr>
          <w:highlight w:val="yellow"/>
        </w:rPr>
      </w:r>
      <w:r w:rsidR="00733FC4">
        <w:rPr>
          <w:highlight w:val="yellow"/>
        </w:rPr>
        <w:fldChar w:fldCharType="separate"/>
      </w:r>
      <w:r w:rsidR="009F6923" w:rsidRPr="00AD28EF">
        <w:rPr>
          <w:bCs/>
        </w:rPr>
        <w:t xml:space="preserve">Box </w:t>
      </w:r>
      <w:r w:rsidR="009F6923">
        <w:rPr>
          <w:bCs/>
          <w:noProof/>
        </w:rPr>
        <w:t>18</w:t>
      </w:r>
      <w:r w:rsidR="00733FC4">
        <w:rPr>
          <w:highlight w:val="yellow"/>
        </w:rPr>
        <w:fldChar w:fldCharType="end"/>
      </w:r>
      <w:r w:rsidR="00733FC4">
        <w:t>)</w:t>
      </w:r>
      <w:r w:rsidR="00A90130">
        <w:t>.</w:t>
      </w:r>
    </w:p>
    <w:p w14:paraId="26BBD754" w14:textId="123EBC87" w:rsidR="00AD28EF" w:rsidRPr="00681978" w:rsidRDefault="00AD28EF" w:rsidP="00324727">
      <w:pPr>
        <w:pStyle w:val="BoxHeading"/>
        <w:keepNext/>
        <w:keepLines/>
      </w:pPr>
      <w:bookmarkStart w:id="218" w:name="_Ref481761765"/>
      <w:r w:rsidRPr="00AD28EF">
        <w:rPr>
          <w:bCs/>
        </w:rPr>
        <w:t xml:space="preserve">Box </w:t>
      </w:r>
      <w:r w:rsidRPr="00AD28EF">
        <w:rPr>
          <w:bCs/>
        </w:rPr>
        <w:fldChar w:fldCharType="begin"/>
      </w:r>
      <w:r w:rsidRPr="00AD28EF">
        <w:rPr>
          <w:bCs/>
        </w:rPr>
        <w:instrText xml:space="preserve"> SEQ Box \* ARABIC </w:instrText>
      </w:r>
      <w:r w:rsidRPr="00AD28EF">
        <w:rPr>
          <w:bCs/>
        </w:rPr>
        <w:fldChar w:fldCharType="separate"/>
      </w:r>
      <w:r w:rsidR="009F6923">
        <w:rPr>
          <w:bCs/>
          <w:noProof/>
        </w:rPr>
        <w:t>18</w:t>
      </w:r>
      <w:r w:rsidRPr="00AD28EF">
        <w:fldChar w:fldCharType="end"/>
      </w:r>
      <w:bookmarkEnd w:id="218"/>
      <w:r>
        <w:t xml:space="preserve"> </w:t>
      </w:r>
      <w:r w:rsidRPr="005F58C0">
        <w:rPr>
          <w:noProof/>
          <w:lang w:eastAsia="en-AU"/>
        </w:rPr>
        <w:drawing>
          <wp:anchor distT="0" distB="0" distL="114300" distR="114300" simplePos="0" relativeHeight="251660288" behindDoc="0" locked="0" layoutInCell="1" allowOverlap="1" wp14:anchorId="11A13A8E" wp14:editId="1B3C3E92">
            <wp:simplePos x="0" y="0"/>
            <wp:positionH relativeFrom="column">
              <wp:posOffset>2189018</wp:posOffset>
            </wp:positionH>
            <wp:positionV relativeFrom="paragraph">
              <wp:posOffset>345613</wp:posOffset>
            </wp:positionV>
            <wp:extent cx="3230880" cy="2938780"/>
            <wp:effectExtent l="0" t="0" r="7620" b="0"/>
            <wp:wrapSquare wrapText="bothSides"/>
            <wp:docPr id="15" name="Picture 15" descr="A risk map for Xylella fastidiosa as described in Box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30880" cy="2938780"/>
                    </a:xfrm>
                    <a:prstGeom prst="rect">
                      <a:avLst/>
                    </a:prstGeom>
                    <a:noFill/>
                  </pic:spPr>
                </pic:pic>
              </a:graphicData>
            </a:graphic>
            <wp14:sizeRelH relativeFrom="margin">
              <wp14:pctWidth>0</wp14:pctWidth>
            </wp14:sizeRelH>
            <wp14:sizeRelV relativeFrom="margin">
              <wp14:pctHeight>0</wp14:pctHeight>
            </wp14:sizeRelV>
          </wp:anchor>
        </w:drawing>
      </w:r>
      <w:r w:rsidRPr="005F58C0">
        <w:t>Spatial</w:t>
      </w:r>
      <w:r w:rsidRPr="00681978">
        <w:t xml:space="preserve"> data for biosecurity</w:t>
      </w:r>
    </w:p>
    <w:p w14:paraId="0F408AAF" w14:textId="256C611F" w:rsidR="00AD28EF" w:rsidRPr="00681978" w:rsidRDefault="00AD28EF" w:rsidP="00324727">
      <w:pPr>
        <w:pStyle w:val="BoxText"/>
        <w:keepNext/>
        <w:keepLines/>
        <w:rPr>
          <w:b/>
        </w:rPr>
      </w:pPr>
      <w:r w:rsidRPr="00681978">
        <w:t>U</w:t>
      </w:r>
      <w:r w:rsidRPr="00681978">
        <w:rPr>
          <w:rFonts w:eastAsia="Cambria" w:cs="GillSans-Light"/>
          <w:lang w:eastAsia="en-AU"/>
        </w:rPr>
        <w:t xml:space="preserve">nder the Australian Collaborative Land Use Mapping Program (ACLUMP), </w:t>
      </w:r>
      <w:r w:rsidR="00B033D4">
        <w:t>catchment-</w:t>
      </w:r>
      <w:r w:rsidRPr="00681978">
        <w:t>scale land use is mapped regularly in Australia using a nationally agreed classification and set of procedures</w:t>
      </w:r>
      <w:r w:rsidR="00A90130">
        <w:t>—</w:t>
      </w:r>
      <w:r w:rsidRPr="00681978">
        <w:t xml:space="preserve">including the commodity location and extent for some of Australia’s major export industries, such as livestock, </w:t>
      </w:r>
      <w:r w:rsidR="00B27DBF">
        <w:t>horticulture, dairy and cotton.</w:t>
      </w:r>
    </w:p>
    <w:p w14:paraId="3A1514E5" w14:textId="6EF8364C" w:rsidR="00AD28EF" w:rsidRPr="00681978" w:rsidRDefault="00AD28EF" w:rsidP="00324727">
      <w:pPr>
        <w:pStyle w:val="BoxText"/>
        <w:keepNext/>
        <w:keepLines/>
      </w:pPr>
      <w:r w:rsidRPr="00681978">
        <w:t xml:space="preserve"> </w:t>
      </w:r>
      <w:r w:rsidRPr="00681978">
        <w:rPr>
          <w:i/>
        </w:rPr>
        <w:t>Xylella fastidiosa</w:t>
      </w:r>
      <w:r w:rsidRPr="00681978">
        <w:t xml:space="preserve"> is a bacterial pathogen affecting a wide range of plants. It is known as Pierce’s disease in grapes. ABARES used land use data to develop a risk map, based on the proximity of vineyards to riparian vegetation, citrus orchards and climate suitability, as an input to help estimate the potential economic impact of an incursion of Pierce’s disease in Australia. This assisted in helping to reduce uncertainties related to the pathogen</w:t>
      </w:r>
      <w:r w:rsidR="00B033D4">
        <w:t>’</w:t>
      </w:r>
      <w:r w:rsidRPr="00681978">
        <w:t>s potential economic impact.</w:t>
      </w:r>
    </w:p>
    <w:p w14:paraId="55CF6D4E" w14:textId="540599BD" w:rsidR="00AD28EF" w:rsidRPr="00674181" w:rsidRDefault="00AD28EF" w:rsidP="00AD28EF">
      <w:pPr>
        <w:pStyle w:val="BoxSource"/>
      </w:pPr>
      <w:r w:rsidRPr="00674181">
        <w:t xml:space="preserve">Source: </w:t>
      </w:r>
      <w:r w:rsidRPr="00E70931">
        <w:t>ABARES</w:t>
      </w:r>
      <w:r w:rsidR="00910478" w:rsidRPr="00E70931">
        <w:t xml:space="preserve"> </w:t>
      </w:r>
      <w:r w:rsidR="001B5BDD">
        <w:t>(</w:t>
      </w:r>
      <w:r w:rsidR="00065BED">
        <w:t>forthcoming</w:t>
      </w:r>
      <w:r w:rsidR="001B5BDD">
        <w:t>)</w:t>
      </w:r>
      <w:r w:rsidR="00A90130" w:rsidRPr="00E70931">
        <w:t>.</w:t>
      </w:r>
    </w:p>
    <w:p w14:paraId="4D8C9EFB" w14:textId="01E996EE" w:rsidR="00AD28EF" w:rsidRDefault="00AD28EF" w:rsidP="00AD28EF">
      <w:r w:rsidRPr="00AD28EF">
        <w:lastRenderedPageBreak/>
        <w:t>However, the current use of advanced data analytics for biosecurity purposes appears to be both underdeveloped and underutilised—an issue the Australian Government has recently sought to address by committing almost $16</w:t>
      </w:r>
      <w:r w:rsidR="000E2249">
        <w:t> </w:t>
      </w:r>
      <w:r w:rsidRPr="00AD28EF">
        <w:t>million to develop an advanced analytics capability for biosecurity, utilising the information captured by the BIIS. This is expected to improve biosecurity risk profiling and analysis, including invasive pathway modelling; pest and disease detection and prediction; demonstration of proof of area freedom; and the management of biosecurity regulatory compliance. By way of example, creating an ability to identify a pattern of incidents across importers, pest and disease pathways and/or countries of origin can focus as</w:t>
      </w:r>
      <w:r w:rsidR="009C4B48">
        <w:t>sessment and inspection efforts</w:t>
      </w:r>
      <w:r w:rsidRPr="00AD28EF">
        <w:t xml:space="preserve"> and enable more efficient targeting of non-compliant imports and entities.</w:t>
      </w:r>
    </w:p>
    <w:p w14:paraId="6298B67C" w14:textId="09555408" w:rsidR="00AD28EF" w:rsidRDefault="00AD28EF" w:rsidP="00AD28EF">
      <w:r>
        <w:t xml:space="preserve">Throughout this </w:t>
      </w:r>
      <w:r w:rsidR="009C4B48">
        <w:t>r</w:t>
      </w:r>
      <w:r>
        <w:t xml:space="preserve">eview, the </w:t>
      </w:r>
      <w:r w:rsidR="009C4B48">
        <w:t>p</w:t>
      </w:r>
      <w:r>
        <w:t>anel received feedback from government agencies critical of each other for not making data and information sources nationally available or accessible. In particular, consistent comments were made about the need for the Australian Government to share information and intelligence with jurisdictions on, for example, border interceptions.</w:t>
      </w:r>
    </w:p>
    <w:p w14:paraId="179DB0A1" w14:textId="30172462" w:rsidR="00AD28EF" w:rsidRDefault="00AD28EF" w:rsidP="00AD28EF">
      <w:r>
        <w:t xml:space="preserve">It is critical that all jurisdictions, which have joint responsibility for the stewardship of the national biosecurity system, are willing and able to share knowledge and data in the national interest. The NBC could draw upon the approach taken </w:t>
      </w:r>
      <w:r w:rsidR="00404322">
        <w:t>by Australia’s national counter-</w:t>
      </w:r>
      <w:r>
        <w:t>terrorism agencies and its Australia</w:t>
      </w:r>
      <w:r w:rsidR="00404322">
        <w:t xml:space="preserve"> – </w:t>
      </w:r>
      <w:r>
        <w:t>New Zealand Counter-Terrorism Committee, which have governance structures and data platforms in place to routinely gather, share and present intelligence informatio</w:t>
      </w:r>
      <w:r w:rsidR="00200502">
        <w:t xml:space="preserve">n to senior government decision </w:t>
      </w:r>
      <w:r>
        <w:t>makers</w:t>
      </w:r>
      <w:r w:rsidR="00A90130">
        <w:t>—</w:t>
      </w:r>
      <w:r>
        <w:t>including on a trusted basis with st</w:t>
      </w:r>
      <w:r w:rsidR="00B27DBF">
        <w:t>ate and territory counterparts.</w:t>
      </w:r>
    </w:p>
    <w:p w14:paraId="23B04D1E" w14:textId="197A5F52" w:rsidR="00AD28EF" w:rsidRDefault="00AD28EF" w:rsidP="00AD28EF">
      <w:r>
        <w:t xml:space="preserve">The </w:t>
      </w:r>
      <w:r w:rsidR="00404322">
        <w:t>p</w:t>
      </w:r>
      <w:r>
        <w:t>anel recommends that the Australian Government agriculture department establish a dedicated National Biosecurity Analytics and Intelligence Centre (BAIC) to similarly equip the national biosecurity system leadership</w:t>
      </w:r>
      <w:r w:rsidR="00D91F63">
        <w:t xml:space="preserve"> (NBC, </w:t>
      </w:r>
      <w:r w:rsidR="00404322">
        <w:t xml:space="preserve">the Agriculture Senior Officials Committee (AGSOC) </w:t>
      </w:r>
      <w:r w:rsidR="00D91F63">
        <w:t xml:space="preserve">and </w:t>
      </w:r>
      <w:r w:rsidR="00404322">
        <w:t>the Agriculture Ministers’ Forum (</w:t>
      </w:r>
      <w:r w:rsidR="00D91F63">
        <w:t>AGMIN</w:t>
      </w:r>
      <w:r w:rsidR="00404322">
        <w:t>))</w:t>
      </w:r>
      <w:r>
        <w:t>.</w:t>
      </w:r>
      <w:r w:rsidR="00B7597B">
        <w:t xml:space="preserve"> To ensure its success, all parties would need to </w:t>
      </w:r>
      <w:r w:rsidR="00A8372C">
        <w:t>maintain a bipartisan approach</w:t>
      </w:r>
      <w:r w:rsidR="00B7597B">
        <w:t xml:space="preserve"> </w:t>
      </w:r>
      <w:r w:rsidR="00D91F63">
        <w:t>to enable the BAIC to share intelligence and data with all jurisdictions on an ongoing, trusted and confidential basis.</w:t>
      </w:r>
    </w:p>
    <w:p w14:paraId="7E77CDE1" w14:textId="75E7B92E" w:rsidR="00AD28EF" w:rsidRDefault="00AD28EF" w:rsidP="00AD28EF">
      <w:r>
        <w:t xml:space="preserve">The </w:t>
      </w:r>
      <w:r w:rsidR="00404322">
        <w:t>p</w:t>
      </w:r>
      <w:r>
        <w:t xml:space="preserve">anel understands the Australian Government </w:t>
      </w:r>
      <w:r w:rsidR="007D3942">
        <w:t>agriculture department</w:t>
      </w:r>
      <w:r>
        <w:t xml:space="preserve"> has some existing areas of analytics and</w:t>
      </w:r>
      <w:r w:rsidR="00F53C65">
        <w:t xml:space="preserve"> intelligence capability</w:t>
      </w:r>
      <w:r>
        <w:t xml:space="preserve"> but questions the overall capacity of the department to look across all the data collected to identify patterns or anomalies using this devolved approach.</w:t>
      </w:r>
    </w:p>
    <w:p w14:paraId="552229E5" w14:textId="535166BE" w:rsidR="00AD28EF" w:rsidRDefault="00AD28EF" w:rsidP="00AD28EF">
      <w:r>
        <w:lastRenderedPageBreak/>
        <w:t>A centralised, advanced analytics and intelligence capability such as the BAIC, led by a senior officer dedicated to the task, is more likely to meet the requirements associated with biosecurity risks that face Australia into the future, including:</w:t>
      </w:r>
    </w:p>
    <w:p w14:paraId="1AAE2B75" w14:textId="3A1ABE5F" w:rsidR="00AD28EF" w:rsidRDefault="00AD28EF" w:rsidP="00AD28EF">
      <w:pPr>
        <w:pStyle w:val="ListBullet"/>
      </w:pPr>
      <w:r>
        <w:t>intelligence-led and</w:t>
      </w:r>
      <w:r w:rsidR="00F53C65">
        <w:t xml:space="preserve"> evidence-based decision making</w:t>
      </w:r>
    </w:p>
    <w:p w14:paraId="26C5E53F" w14:textId="0D95D6CD" w:rsidR="00AD28EF" w:rsidRDefault="00AD28EF" w:rsidP="00AD28EF">
      <w:pPr>
        <w:pStyle w:val="ListBullet"/>
      </w:pPr>
      <w:r>
        <w:t>maturing Australia’s risk-based approac</w:t>
      </w:r>
      <w:r w:rsidR="00F53C65">
        <w:t>h to biosecurity management</w:t>
      </w:r>
    </w:p>
    <w:p w14:paraId="371C0FF4" w14:textId="4F68B65D" w:rsidR="00AD28EF" w:rsidRDefault="00AD28EF" w:rsidP="00AD28EF">
      <w:pPr>
        <w:pStyle w:val="ListBullet"/>
      </w:pPr>
      <w:r>
        <w:t>establishing a national picture of surveillance to detect any changes in Australia’s pest and disease status that may affect imports, exports and onshore production.</w:t>
      </w:r>
    </w:p>
    <w:p w14:paraId="60AB1397" w14:textId="77777777" w:rsidR="00FF2CE0" w:rsidRPr="00FF2CE0" w:rsidRDefault="00FF2CE0" w:rsidP="00FF2CE0">
      <w:pPr>
        <w:pStyle w:val="BoxHeading"/>
        <w:shd w:val="clear" w:color="auto" w:fill="D9D9D9" w:themeFill="background1" w:themeFillShade="D9"/>
        <w:rPr>
          <w:bCs/>
          <w:sz w:val="22"/>
        </w:rPr>
      </w:pPr>
      <w:bookmarkStart w:id="219" w:name="_Ref482710410"/>
      <w:r w:rsidRPr="00FF2CE0">
        <w:rPr>
          <w:bCs/>
          <w:sz w:val="22"/>
        </w:rPr>
        <w:t xml:space="preserve">Recommendation </w:t>
      </w:r>
      <w:r w:rsidRPr="00FF2CE0">
        <w:rPr>
          <w:bCs/>
          <w:sz w:val="22"/>
        </w:rPr>
        <w:fldChar w:fldCharType="begin"/>
      </w:r>
      <w:r w:rsidRPr="00FF2CE0">
        <w:rPr>
          <w:bCs/>
          <w:sz w:val="22"/>
        </w:rPr>
        <w:instrText xml:space="preserve"> SEQ Recommendation \* ARABIC </w:instrText>
      </w:r>
      <w:r w:rsidRPr="00FF2CE0">
        <w:rPr>
          <w:bCs/>
          <w:sz w:val="22"/>
        </w:rPr>
        <w:fldChar w:fldCharType="separate"/>
      </w:r>
      <w:r w:rsidR="009F6923">
        <w:rPr>
          <w:bCs/>
          <w:noProof/>
          <w:sz w:val="22"/>
        </w:rPr>
        <w:t>41</w:t>
      </w:r>
      <w:r w:rsidRPr="00FF2CE0">
        <w:rPr>
          <w:sz w:val="22"/>
        </w:rPr>
        <w:fldChar w:fldCharType="end"/>
      </w:r>
      <w:bookmarkEnd w:id="219"/>
    </w:p>
    <w:p w14:paraId="0B137880" w14:textId="7CB35638" w:rsidR="00ED46D9" w:rsidRPr="00FF2CE0" w:rsidRDefault="00AD28EF" w:rsidP="00AD28EF">
      <w:pPr>
        <w:pStyle w:val="BoxText"/>
        <w:shd w:val="clear" w:color="auto" w:fill="D9D9D9" w:themeFill="background1" w:themeFillShade="D9"/>
        <w:rPr>
          <w:sz w:val="22"/>
        </w:rPr>
      </w:pPr>
      <w:r w:rsidRPr="00FF2CE0">
        <w:rPr>
          <w:sz w:val="22"/>
        </w:rPr>
        <w:t>The Australian Government should establish, within the agriculture department, a dedicated National Biosecurity Analytics and Intelligence Centre, to centralise, coordinate and provide advice to the NBC, AGSOC and AGMIN on biosecurity intelligence cover</w:t>
      </w:r>
      <w:r w:rsidR="003B6274">
        <w:rPr>
          <w:sz w:val="22"/>
        </w:rPr>
        <w:t>ing emerging risks and pathways</w:t>
      </w:r>
      <w:r w:rsidRPr="00FF2CE0">
        <w:rPr>
          <w:sz w:val="22"/>
        </w:rPr>
        <w:t xml:space="preserve"> and international and domestic pest and disease detections.</w:t>
      </w:r>
    </w:p>
    <w:p w14:paraId="7617104F" w14:textId="2A0D3C81" w:rsidR="00D91F63" w:rsidRDefault="00ED46D9" w:rsidP="00D91F63">
      <w:r w:rsidRPr="00D91F63">
        <w:t>Strategic investment in enhanced gathering, analysis and sharing of intelligence is</w:t>
      </w:r>
      <w:r w:rsidR="003B6274">
        <w:t xml:space="preserve"> likely to be an extremely cost-</w:t>
      </w:r>
      <w:r w:rsidRPr="00D91F63">
        <w:t>effective way of identifying potential biosecurity threats</w:t>
      </w:r>
      <w:r w:rsidR="00A90130">
        <w:t>. This will</w:t>
      </w:r>
      <w:r w:rsidRPr="00D91F63">
        <w:t xml:space="preserve"> enabl</w:t>
      </w:r>
      <w:r w:rsidR="00A90130">
        <w:t>e</w:t>
      </w:r>
      <w:r w:rsidRPr="00D91F63">
        <w:t xml:space="preserve"> risk minimisation strategies to be put in place in advance of what is possible at present.</w:t>
      </w:r>
    </w:p>
    <w:p w14:paraId="4F50FF30" w14:textId="11CD35D0" w:rsidR="00AD28EF" w:rsidRPr="00ED46D9" w:rsidRDefault="00D91F63" w:rsidP="00ED46D9">
      <w:r>
        <w:t xml:space="preserve">The </w:t>
      </w:r>
      <w:r w:rsidR="003B6274">
        <w:t>p</w:t>
      </w:r>
      <w:r>
        <w:t>anel noted that some biosecurity issues (for example</w:t>
      </w:r>
      <w:r w:rsidR="003B6274">
        <w:t>, bio</w:t>
      </w:r>
      <w:r>
        <w:t>terrorism) also have links with national security arrangements.</w:t>
      </w:r>
    </w:p>
    <w:p w14:paraId="69B81B71" w14:textId="53FC3DEF" w:rsidR="00596255" w:rsidRDefault="00D91709" w:rsidP="00596255">
      <w:pPr>
        <w:pStyle w:val="Heading2"/>
      </w:pPr>
      <w:bookmarkStart w:id="220" w:name="_A_future_system,"/>
      <w:bookmarkStart w:id="221" w:name="_A_future_system;"/>
      <w:bookmarkStart w:id="222" w:name="_Toc486236068"/>
      <w:bookmarkEnd w:id="220"/>
      <w:bookmarkEnd w:id="221"/>
      <w:r>
        <w:lastRenderedPageBreak/>
        <w:t>A future system;</w:t>
      </w:r>
      <w:r w:rsidR="00596255">
        <w:t xml:space="preserve"> a future IGAB</w:t>
      </w:r>
      <w:bookmarkEnd w:id="216"/>
      <w:bookmarkEnd w:id="222"/>
    </w:p>
    <w:p w14:paraId="5701A3A7" w14:textId="61D1962E" w:rsidR="00BF4C55" w:rsidRDefault="00BF4C55" w:rsidP="00BF4C55">
      <w:pPr>
        <w:rPr>
          <w:lang w:eastAsia="ja-JP"/>
        </w:rPr>
      </w:pPr>
      <w:r w:rsidRPr="00BF4C55">
        <w:rPr>
          <w:lang w:eastAsia="ja-JP"/>
        </w:rPr>
        <w:t xml:space="preserve">An overarching theme for the IGAB </w:t>
      </w:r>
      <w:r w:rsidR="00D91709">
        <w:rPr>
          <w:lang w:eastAsia="ja-JP"/>
        </w:rPr>
        <w:t>r</w:t>
      </w:r>
      <w:r w:rsidRPr="00BF4C55">
        <w:rPr>
          <w:lang w:eastAsia="ja-JP"/>
        </w:rPr>
        <w:t>eview was the extent to which the national biosecurity system and its underpinning IGAB, is fit for the future.</w:t>
      </w:r>
    </w:p>
    <w:p w14:paraId="74F02331" w14:textId="77777777" w:rsidR="00BF4C55" w:rsidRDefault="00BF4C55" w:rsidP="00BF4C55">
      <w:pPr>
        <w:pStyle w:val="Heading3"/>
        <w:rPr>
          <w:lang w:eastAsia="ja-JP"/>
        </w:rPr>
      </w:pPr>
      <w:bookmarkStart w:id="223" w:name="_Toc486236069"/>
      <w:r>
        <w:rPr>
          <w:lang w:eastAsia="ja-JP"/>
        </w:rPr>
        <w:t>A future system</w:t>
      </w:r>
      <w:bookmarkEnd w:id="223"/>
    </w:p>
    <w:p w14:paraId="3B8313B9" w14:textId="6FD7D0FC" w:rsidR="00BF4C55" w:rsidRDefault="00BF4C55" w:rsidP="00BF4C55">
      <w:pPr>
        <w:rPr>
          <w:lang w:eastAsia="ja-JP"/>
        </w:rPr>
      </w:pPr>
      <w:r>
        <w:rPr>
          <w:lang w:eastAsia="ja-JP"/>
        </w:rPr>
        <w:t>It is clear that governments and the N</w:t>
      </w:r>
      <w:r w:rsidR="00D91709">
        <w:rPr>
          <w:lang w:eastAsia="ja-JP"/>
        </w:rPr>
        <w:t xml:space="preserve">ational </w:t>
      </w:r>
      <w:r>
        <w:rPr>
          <w:lang w:eastAsia="ja-JP"/>
        </w:rPr>
        <w:t>B</w:t>
      </w:r>
      <w:r w:rsidR="00D91709">
        <w:rPr>
          <w:lang w:eastAsia="ja-JP"/>
        </w:rPr>
        <w:t xml:space="preserve">iosecurity </w:t>
      </w:r>
      <w:r>
        <w:rPr>
          <w:lang w:eastAsia="ja-JP"/>
        </w:rPr>
        <w:t>C</w:t>
      </w:r>
      <w:r w:rsidR="00D91709">
        <w:rPr>
          <w:lang w:eastAsia="ja-JP"/>
        </w:rPr>
        <w:t>ommittee (NBC)</w:t>
      </w:r>
      <w:r>
        <w:rPr>
          <w:lang w:eastAsia="ja-JP"/>
        </w:rPr>
        <w:t xml:space="preserve"> have made enormous progress over the last four years in developing principles, protocols and collegiate working relationships to operationalise the IGAB. It is also clear that governments are committed to a path of reform and continuous improvement of the national</w:t>
      </w:r>
      <w:r w:rsidR="00F52976">
        <w:rPr>
          <w:lang w:eastAsia="ja-JP"/>
        </w:rPr>
        <w:t xml:space="preserve"> biosecurity</w:t>
      </w:r>
      <w:r>
        <w:rPr>
          <w:lang w:eastAsia="ja-JP"/>
        </w:rPr>
        <w:t xml:space="preserve"> system. Similarly, industry continues to adapt and respond to the evolving domestic and international biosecurity landscape, driven in large part by the trade and market access opportunities that beckon. Non-government stakeholders are also looking to play a more active role. There is much more that all parties in the national system need to do, and could do, in a spirit of partnership and collective action.</w:t>
      </w:r>
    </w:p>
    <w:p w14:paraId="68E9DBA7" w14:textId="414C1C77" w:rsidR="00670C14" w:rsidRDefault="00BF4C55" w:rsidP="00BF4C55">
      <w:pPr>
        <w:rPr>
          <w:lang w:eastAsia="ja-JP"/>
        </w:rPr>
      </w:pPr>
      <w:r>
        <w:rPr>
          <w:lang w:eastAsia="ja-JP"/>
        </w:rPr>
        <w:t xml:space="preserve">The </w:t>
      </w:r>
      <w:r w:rsidR="00D91709">
        <w:rPr>
          <w:lang w:eastAsia="ja-JP"/>
        </w:rPr>
        <w:t>p</w:t>
      </w:r>
      <w:r>
        <w:rPr>
          <w:lang w:eastAsia="ja-JP"/>
        </w:rPr>
        <w:t xml:space="preserve">anel has made a number of recommendations aimed at strengthening the national biosecurity system in the near term. The </w:t>
      </w:r>
      <w:r w:rsidR="00D91709">
        <w:rPr>
          <w:lang w:eastAsia="ja-JP"/>
        </w:rPr>
        <w:t>p</w:t>
      </w:r>
      <w:r>
        <w:rPr>
          <w:lang w:eastAsia="ja-JP"/>
        </w:rPr>
        <w:t xml:space="preserve">anel has consciously pitched its recommendations as achievable next steps to be implemented in the ensuing </w:t>
      </w:r>
      <w:r w:rsidR="00200502">
        <w:rPr>
          <w:lang w:eastAsia="ja-JP"/>
        </w:rPr>
        <w:t>five-</w:t>
      </w:r>
      <w:r w:rsidR="00D91709">
        <w:rPr>
          <w:lang w:eastAsia="ja-JP"/>
        </w:rPr>
        <w:t xml:space="preserve"> </w:t>
      </w:r>
      <w:r w:rsidR="00200502">
        <w:rPr>
          <w:lang w:eastAsia="ja-JP"/>
        </w:rPr>
        <w:t>to</w:t>
      </w:r>
      <w:r w:rsidR="00D91709">
        <w:rPr>
          <w:lang w:eastAsia="ja-JP"/>
        </w:rPr>
        <w:t xml:space="preserve"> ten-</w:t>
      </w:r>
      <w:r>
        <w:rPr>
          <w:lang w:eastAsia="ja-JP"/>
        </w:rPr>
        <w:t>year period</w:t>
      </w:r>
      <w:r w:rsidR="00822416">
        <w:rPr>
          <w:lang w:eastAsia="ja-JP"/>
        </w:rPr>
        <w:t>,</w:t>
      </w:r>
      <w:r>
        <w:rPr>
          <w:lang w:eastAsia="ja-JP"/>
        </w:rPr>
        <w:t xml:space="preserve"> </w:t>
      </w:r>
      <w:r w:rsidR="00822416" w:rsidRPr="00822416">
        <w:rPr>
          <w:lang w:eastAsia="ja-JP"/>
        </w:rPr>
        <w:t>noting that implementation of the recommendations will require substantial additional effort and is subject to provision or raising of adequate funding.</w:t>
      </w:r>
    </w:p>
    <w:p w14:paraId="2E98830A" w14:textId="5AF96617" w:rsidR="00BF4C55" w:rsidRDefault="00670C14" w:rsidP="00BF4C55">
      <w:pPr>
        <w:rPr>
          <w:lang w:eastAsia="ja-JP"/>
        </w:rPr>
      </w:pPr>
      <w:r>
        <w:rPr>
          <w:lang w:eastAsia="ja-JP"/>
        </w:rPr>
        <w:t>Additionally</w:t>
      </w:r>
      <w:r w:rsidR="00BF4C55">
        <w:rPr>
          <w:lang w:eastAsia="ja-JP"/>
        </w:rPr>
        <w:t xml:space="preserve">, the </w:t>
      </w:r>
      <w:r w:rsidR="00D91709">
        <w:rPr>
          <w:lang w:eastAsia="ja-JP"/>
        </w:rPr>
        <w:t>p</w:t>
      </w:r>
      <w:r w:rsidR="00BF4C55">
        <w:rPr>
          <w:lang w:eastAsia="ja-JP"/>
        </w:rPr>
        <w:t>anel has taken a much longer-term perspective</w:t>
      </w:r>
      <w:r>
        <w:rPr>
          <w:lang w:eastAsia="ja-JP"/>
        </w:rPr>
        <w:t>, having</w:t>
      </w:r>
      <w:r w:rsidR="00BF4C55">
        <w:rPr>
          <w:lang w:eastAsia="ja-JP"/>
        </w:rPr>
        <w:t xml:space="preserve"> devised </w:t>
      </w:r>
      <w:r>
        <w:rPr>
          <w:lang w:eastAsia="ja-JP"/>
        </w:rPr>
        <w:t xml:space="preserve">its recommendations </w:t>
      </w:r>
      <w:r w:rsidR="00BF4C55">
        <w:rPr>
          <w:lang w:eastAsia="ja-JP"/>
        </w:rPr>
        <w:t>in the context of a longer-term direction</w:t>
      </w:r>
      <w:r w:rsidR="00FF0E60">
        <w:rPr>
          <w:lang w:eastAsia="ja-JP"/>
        </w:rPr>
        <w:t>—</w:t>
      </w:r>
      <w:r w:rsidR="00BF4C55">
        <w:rPr>
          <w:lang w:eastAsia="ja-JP"/>
        </w:rPr>
        <w:t>say</w:t>
      </w:r>
      <w:r w:rsidR="00D91709">
        <w:rPr>
          <w:lang w:eastAsia="ja-JP"/>
        </w:rPr>
        <w:t>,</w:t>
      </w:r>
      <w:r w:rsidR="00BF4C55">
        <w:rPr>
          <w:lang w:eastAsia="ja-JP"/>
        </w:rPr>
        <w:t xml:space="preserve"> </w:t>
      </w:r>
      <w:r w:rsidR="00D91709">
        <w:rPr>
          <w:lang w:eastAsia="ja-JP"/>
        </w:rPr>
        <w:t>ten</w:t>
      </w:r>
      <w:r w:rsidR="00BF4C55">
        <w:rPr>
          <w:lang w:eastAsia="ja-JP"/>
        </w:rPr>
        <w:t xml:space="preserve"> to </w:t>
      </w:r>
      <w:r w:rsidR="00A37E87">
        <w:rPr>
          <w:lang w:eastAsia="ja-JP"/>
        </w:rPr>
        <w:t xml:space="preserve">twenty </w:t>
      </w:r>
      <w:r w:rsidR="00BF4C55">
        <w:rPr>
          <w:lang w:eastAsia="ja-JP"/>
        </w:rPr>
        <w:t>years hence</w:t>
      </w:r>
      <w:r w:rsidR="00FF0E60">
        <w:rPr>
          <w:lang w:eastAsia="ja-JP"/>
        </w:rPr>
        <w:t>—</w:t>
      </w:r>
      <w:r w:rsidR="00BF4C55">
        <w:rPr>
          <w:lang w:eastAsia="ja-JP"/>
        </w:rPr>
        <w:t>for the national biosecurity system</w:t>
      </w:r>
      <w:r>
        <w:rPr>
          <w:lang w:eastAsia="ja-JP"/>
        </w:rPr>
        <w:t xml:space="preserve"> that </w:t>
      </w:r>
      <w:r w:rsidR="00BF4C55">
        <w:rPr>
          <w:lang w:eastAsia="ja-JP"/>
        </w:rPr>
        <w:t>might exhibit the following features and characteristics:</w:t>
      </w:r>
    </w:p>
    <w:p w14:paraId="2BE7E083" w14:textId="35FFC4FF" w:rsidR="00BF4C55" w:rsidRDefault="008747BF" w:rsidP="00BF4C55">
      <w:pPr>
        <w:pStyle w:val="ListBullet"/>
        <w:rPr>
          <w:lang w:eastAsia="ja-JP"/>
        </w:rPr>
      </w:pPr>
      <w:r>
        <w:rPr>
          <w:lang w:eastAsia="ja-JP"/>
        </w:rPr>
        <w:t>a</w:t>
      </w:r>
      <w:r w:rsidR="00BF4C55">
        <w:rPr>
          <w:lang w:eastAsia="ja-JP"/>
        </w:rPr>
        <w:t xml:space="preserve"> national biosecurity strategy devised, owned and implemented by governme</w:t>
      </w:r>
      <w:r>
        <w:rPr>
          <w:lang w:eastAsia="ja-JP"/>
        </w:rPr>
        <w:t>nts, industry and the community</w:t>
      </w:r>
    </w:p>
    <w:p w14:paraId="799CDF2C" w14:textId="30354AB2" w:rsidR="00BF4C55" w:rsidRDefault="008747BF" w:rsidP="00BF4C55">
      <w:pPr>
        <w:pStyle w:val="ListBullet"/>
        <w:rPr>
          <w:lang w:eastAsia="ja-JP"/>
        </w:rPr>
      </w:pPr>
      <w:r>
        <w:rPr>
          <w:lang w:eastAsia="ja-JP"/>
        </w:rPr>
        <w:t>c</w:t>
      </w:r>
      <w:r w:rsidR="00BF4C55">
        <w:rPr>
          <w:lang w:eastAsia="ja-JP"/>
        </w:rPr>
        <w:t>ommunity-wide understanding and ownership of biosecurity equal to that of bushfire preparedness and response</w:t>
      </w:r>
    </w:p>
    <w:p w14:paraId="06CFBAC7" w14:textId="179DCBB4" w:rsidR="00BF4C55" w:rsidRDefault="008747BF" w:rsidP="00BF4C55">
      <w:pPr>
        <w:pStyle w:val="ListBullet"/>
        <w:rPr>
          <w:lang w:eastAsia="ja-JP"/>
        </w:rPr>
      </w:pPr>
      <w:r>
        <w:rPr>
          <w:lang w:eastAsia="ja-JP"/>
        </w:rPr>
        <w:t>a</w:t>
      </w:r>
      <w:r w:rsidR="00BF4C55">
        <w:rPr>
          <w:lang w:eastAsia="ja-JP"/>
        </w:rPr>
        <w:t xml:space="preserve"> dedicated national data analytics and intelligence capability supporting decis</w:t>
      </w:r>
      <w:r w:rsidR="00E61317">
        <w:rPr>
          <w:lang w:eastAsia="ja-JP"/>
        </w:rPr>
        <w:t xml:space="preserve">ion </w:t>
      </w:r>
      <w:r>
        <w:rPr>
          <w:lang w:eastAsia="ja-JP"/>
        </w:rPr>
        <w:t>making by all jurisdictions</w:t>
      </w:r>
    </w:p>
    <w:p w14:paraId="6A3D1EE2" w14:textId="0943F42A" w:rsidR="00BF4C55" w:rsidRDefault="008747BF" w:rsidP="00BF4C55">
      <w:pPr>
        <w:pStyle w:val="ListBullet"/>
        <w:rPr>
          <w:lang w:eastAsia="ja-JP"/>
        </w:rPr>
      </w:pPr>
      <w:r>
        <w:rPr>
          <w:lang w:eastAsia="ja-JP"/>
        </w:rPr>
        <w:t>a</w:t>
      </w:r>
      <w:r w:rsidR="00BF4C55">
        <w:rPr>
          <w:lang w:eastAsia="ja-JP"/>
        </w:rPr>
        <w:t xml:space="preserve"> </w:t>
      </w:r>
      <w:r w:rsidR="00D91709">
        <w:rPr>
          <w:lang w:eastAsia="ja-JP"/>
        </w:rPr>
        <w:t>research and innovation (</w:t>
      </w:r>
      <w:r w:rsidR="00BF4C55">
        <w:rPr>
          <w:lang w:eastAsia="ja-JP"/>
        </w:rPr>
        <w:t>R&amp;I</w:t>
      </w:r>
      <w:r w:rsidR="00D91709">
        <w:rPr>
          <w:lang w:eastAsia="ja-JP"/>
        </w:rPr>
        <w:t>)</w:t>
      </w:r>
      <w:r w:rsidR="00BF4C55">
        <w:rPr>
          <w:lang w:eastAsia="ja-JP"/>
        </w:rPr>
        <w:t xml:space="preserve"> model that nurtures world-leading surveillance a</w:t>
      </w:r>
      <w:r>
        <w:rPr>
          <w:lang w:eastAsia="ja-JP"/>
        </w:rPr>
        <w:t>nd early detection technologies</w:t>
      </w:r>
    </w:p>
    <w:p w14:paraId="45D6C5F4" w14:textId="510B25B7" w:rsidR="00BF4C55" w:rsidRDefault="008747BF" w:rsidP="00BF4C55">
      <w:pPr>
        <w:pStyle w:val="ListBullet"/>
        <w:rPr>
          <w:lang w:eastAsia="ja-JP"/>
        </w:rPr>
      </w:pPr>
      <w:r>
        <w:rPr>
          <w:lang w:eastAsia="ja-JP"/>
        </w:rPr>
        <w:lastRenderedPageBreak/>
        <w:t>o</w:t>
      </w:r>
      <w:r w:rsidR="00BF4C55">
        <w:rPr>
          <w:lang w:eastAsia="ja-JP"/>
        </w:rPr>
        <w:t xml:space="preserve">ne emergency preparedness and response agreement for the national priority animal, plant and </w:t>
      </w:r>
      <w:r>
        <w:rPr>
          <w:lang w:eastAsia="ja-JP"/>
        </w:rPr>
        <w:t>environmental pest</w:t>
      </w:r>
      <w:r w:rsidR="00B36B6C">
        <w:rPr>
          <w:lang w:eastAsia="ja-JP"/>
        </w:rPr>
        <w:t>s</w:t>
      </w:r>
      <w:r>
        <w:rPr>
          <w:lang w:eastAsia="ja-JP"/>
        </w:rPr>
        <w:t xml:space="preserve"> and diseases</w:t>
      </w:r>
    </w:p>
    <w:p w14:paraId="5B74F329" w14:textId="0E490DDE" w:rsidR="00BF4C55" w:rsidRDefault="008747BF" w:rsidP="00BF4C55">
      <w:pPr>
        <w:pStyle w:val="ListBullet"/>
        <w:rPr>
          <w:lang w:eastAsia="ja-JP"/>
        </w:rPr>
      </w:pPr>
      <w:r>
        <w:rPr>
          <w:lang w:eastAsia="ja-JP"/>
        </w:rPr>
        <w:t>o</w:t>
      </w:r>
      <w:r w:rsidR="00BF4C55">
        <w:rPr>
          <w:lang w:eastAsia="ja-JP"/>
        </w:rPr>
        <w:t xml:space="preserve">ne entity responsible for implementation </w:t>
      </w:r>
      <w:r w:rsidR="00772A6B">
        <w:rPr>
          <w:lang w:eastAsia="ja-JP"/>
        </w:rPr>
        <w:t xml:space="preserve">and administration of the deed, </w:t>
      </w:r>
      <w:r w:rsidR="00BF4C55">
        <w:rPr>
          <w:lang w:eastAsia="ja-JP"/>
        </w:rPr>
        <w:t>potentially ‘Ani</w:t>
      </w:r>
      <w:r>
        <w:rPr>
          <w:lang w:eastAsia="ja-JP"/>
        </w:rPr>
        <w:t>mal and Plant Health Australia’</w:t>
      </w:r>
    </w:p>
    <w:p w14:paraId="30A15DB6" w14:textId="2A42DE68" w:rsidR="00BF4C55" w:rsidRDefault="008747BF" w:rsidP="00BF4C55">
      <w:pPr>
        <w:pStyle w:val="ListBullet"/>
        <w:rPr>
          <w:lang w:eastAsia="ja-JP"/>
        </w:rPr>
      </w:pPr>
      <w:r>
        <w:rPr>
          <w:lang w:eastAsia="ja-JP"/>
        </w:rPr>
        <w:t>a</w:t>
      </w:r>
      <w:r w:rsidR="00BF4C55">
        <w:rPr>
          <w:lang w:eastAsia="ja-JP"/>
        </w:rPr>
        <w:t>n Australia</w:t>
      </w:r>
      <w:r w:rsidR="00C161C8">
        <w:rPr>
          <w:lang w:eastAsia="ja-JP"/>
        </w:rPr>
        <w:t xml:space="preserve"> </w:t>
      </w:r>
      <w:r w:rsidR="00772A6B">
        <w:rPr>
          <w:lang w:eastAsia="ja-JP"/>
        </w:rPr>
        <w:t>–</w:t>
      </w:r>
      <w:r w:rsidR="00C161C8">
        <w:rPr>
          <w:lang w:eastAsia="ja-JP"/>
        </w:rPr>
        <w:t xml:space="preserve"> </w:t>
      </w:r>
      <w:r w:rsidR="00772A6B">
        <w:rPr>
          <w:lang w:eastAsia="ja-JP"/>
        </w:rPr>
        <w:t>New Zealand ‘IGAB’ (</w:t>
      </w:r>
      <w:r w:rsidR="00BF4C55">
        <w:rPr>
          <w:lang w:eastAsia="ja-JP"/>
        </w:rPr>
        <w:t>an agreement between Australia’s jurisdictions, including lo</w:t>
      </w:r>
      <w:r w:rsidR="00772A6B">
        <w:rPr>
          <w:lang w:eastAsia="ja-JP"/>
        </w:rPr>
        <w:t>cal government,</w:t>
      </w:r>
      <w:r>
        <w:rPr>
          <w:lang w:eastAsia="ja-JP"/>
        </w:rPr>
        <w:t xml:space="preserve"> and New Zealand</w:t>
      </w:r>
      <w:r w:rsidR="00772A6B">
        <w:rPr>
          <w:lang w:eastAsia="ja-JP"/>
        </w:rPr>
        <w:t>)</w:t>
      </w:r>
    </w:p>
    <w:p w14:paraId="3994E596" w14:textId="6FCA7FB4" w:rsidR="00BF4C55" w:rsidRDefault="008747BF" w:rsidP="00BF4C55">
      <w:pPr>
        <w:pStyle w:val="ListBullet"/>
        <w:rPr>
          <w:lang w:eastAsia="ja-JP"/>
        </w:rPr>
      </w:pPr>
      <w:r>
        <w:rPr>
          <w:lang w:eastAsia="ja-JP"/>
        </w:rPr>
        <w:t>r</w:t>
      </w:r>
      <w:r w:rsidR="00BF4C55">
        <w:rPr>
          <w:lang w:eastAsia="ja-JP"/>
        </w:rPr>
        <w:t>egional biosecurity agreements between the Australian Government an</w:t>
      </w:r>
      <w:r>
        <w:rPr>
          <w:lang w:eastAsia="ja-JP"/>
        </w:rPr>
        <w:t>d its key trading partners</w:t>
      </w:r>
    </w:p>
    <w:p w14:paraId="11B58A77" w14:textId="77777777" w:rsidR="008B30C0" w:rsidRDefault="008747BF" w:rsidP="00BF4C55">
      <w:pPr>
        <w:pStyle w:val="ListBullet"/>
        <w:rPr>
          <w:lang w:eastAsia="ja-JP"/>
        </w:rPr>
      </w:pPr>
      <w:r>
        <w:rPr>
          <w:lang w:eastAsia="ja-JP"/>
        </w:rPr>
        <w:t>r</w:t>
      </w:r>
      <w:r w:rsidR="00BF4C55">
        <w:rPr>
          <w:lang w:eastAsia="ja-JP"/>
        </w:rPr>
        <w:t>egular public reporting against key metrics on the state of Australian biosecurity supported by independent evaluation</w:t>
      </w:r>
      <w:r w:rsidR="006277B9">
        <w:rPr>
          <w:lang w:eastAsia="ja-JP"/>
        </w:rPr>
        <w:t>.</w:t>
      </w:r>
    </w:p>
    <w:p w14:paraId="1714CF54" w14:textId="00C2D8C9" w:rsidR="00192B87" w:rsidRDefault="00C161C8" w:rsidP="005C4234">
      <w:pPr>
        <w:rPr>
          <w:lang w:eastAsia="ja-JP"/>
        </w:rPr>
        <w:sectPr w:rsidR="00192B87" w:rsidSect="00BD1C2A">
          <w:headerReference w:type="even" r:id="rId82"/>
          <w:headerReference w:type="default" r:id="rId83"/>
          <w:footerReference w:type="default" r:id="rId84"/>
          <w:headerReference w:type="first" r:id="rId85"/>
          <w:footerReference w:type="first" r:id="rId86"/>
          <w:pgSz w:w="11906" w:h="16838" w:code="9"/>
          <w:pgMar w:top="1418" w:right="1418" w:bottom="1418" w:left="1418" w:header="567" w:footer="567" w:gutter="0"/>
          <w:cols w:space="708"/>
          <w:docGrid w:linePitch="360"/>
        </w:sectPr>
      </w:pPr>
      <w:r>
        <w:rPr>
          <w:lang w:eastAsia="ja-JP"/>
        </w:rPr>
        <w:t>The p</w:t>
      </w:r>
      <w:r w:rsidR="00192B87" w:rsidRPr="00192B87">
        <w:rPr>
          <w:lang w:eastAsia="ja-JP"/>
        </w:rPr>
        <w:t>anel has included an implementation pathway with this report (</w:t>
      </w:r>
      <w:r w:rsidR="00192B87" w:rsidRPr="00192B87">
        <w:rPr>
          <w:lang w:eastAsia="ja-JP"/>
        </w:rPr>
        <w:fldChar w:fldCharType="begin"/>
      </w:r>
      <w:r w:rsidR="00192B87" w:rsidRPr="00192B87">
        <w:rPr>
          <w:lang w:eastAsia="ja-JP"/>
        </w:rPr>
        <w:instrText xml:space="preserve"> REF _Ref483812396 \h  \* MERGEFORMAT </w:instrText>
      </w:r>
      <w:r w:rsidR="00192B87" w:rsidRPr="00192B87">
        <w:rPr>
          <w:lang w:eastAsia="ja-JP"/>
        </w:rPr>
      </w:r>
      <w:r w:rsidR="00192B87" w:rsidRPr="00192B87">
        <w:rPr>
          <w:lang w:eastAsia="ja-JP"/>
        </w:rPr>
        <w:fldChar w:fldCharType="separate"/>
      </w:r>
      <w:r w:rsidR="009F6923">
        <w:t xml:space="preserve">Figure </w:t>
      </w:r>
      <w:r w:rsidR="009F6923">
        <w:rPr>
          <w:noProof/>
        </w:rPr>
        <w:t>15</w:t>
      </w:r>
      <w:r w:rsidR="00192B87" w:rsidRPr="00192B87">
        <w:rPr>
          <w:lang w:eastAsia="ja-JP"/>
        </w:rPr>
        <w:fldChar w:fldCharType="end"/>
      </w:r>
      <w:r>
        <w:rPr>
          <w:lang w:eastAsia="ja-JP"/>
        </w:rPr>
        <w:t>)</w:t>
      </w:r>
      <w:r w:rsidR="00192B87" w:rsidRPr="00192B87">
        <w:rPr>
          <w:lang w:eastAsia="ja-JP"/>
        </w:rPr>
        <w:t xml:space="preserve"> to support timely and effective adoption of recommendations, including through a detailed workplan to be developed by the NBC.</w:t>
      </w:r>
    </w:p>
    <w:p w14:paraId="57D76809" w14:textId="3109CCA5" w:rsidR="00B676D7" w:rsidRDefault="00B676D7" w:rsidP="00B676D7">
      <w:pPr>
        <w:pStyle w:val="Caption"/>
        <w:rPr>
          <w:lang w:eastAsia="ja-JP"/>
        </w:rPr>
      </w:pPr>
      <w:bookmarkStart w:id="224" w:name="_Ref483812396"/>
      <w:r>
        <w:lastRenderedPageBreak/>
        <w:t xml:space="preserve">Figure </w:t>
      </w:r>
      <w:fldSimple w:instr=" SEQ Figure \* ARABIC ">
        <w:r w:rsidR="009F6923">
          <w:rPr>
            <w:noProof/>
          </w:rPr>
          <w:t>15</w:t>
        </w:r>
      </w:fldSimple>
      <w:bookmarkEnd w:id="224"/>
      <w:r w:rsidRPr="008B30C0">
        <w:rPr>
          <w:lang w:eastAsia="ja-JP"/>
        </w:rPr>
        <w:t xml:space="preserve"> </w:t>
      </w:r>
      <w:r>
        <w:rPr>
          <w:lang w:eastAsia="ja-JP"/>
        </w:rPr>
        <w:t>Proposed i</w:t>
      </w:r>
      <w:r w:rsidRPr="008B30C0">
        <w:rPr>
          <w:lang w:eastAsia="ja-JP"/>
        </w:rPr>
        <w:t xml:space="preserve">mplementation pathway for the </w:t>
      </w:r>
      <w:r w:rsidR="00C161C8">
        <w:rPr>
          <w:lang w:eastAsia="ja-JP"/>
        </w:rPr>
        <w:t>r</w:t>
      </w:r>
      <w:r w:rsidRPr="008B30C0">
        <w:rPr>
          <w:lang w:eastAsia="ja-JP"/>
        </w:rPr>
        <w:t>eview reco</w:t>
      </w:r>
      <w:r>
        <w:rPr>
          <w:lang w:eastAsia="ja-JP"/>
        </w:rPr>
        <w:t xml:space="preserve">mmendations and </w:t>
      </w:r>
      <w:r w:rsidR="001C5609">
        <w:rPr>
          <w:lang w:eastAsia="ja-JP"/>
        </w:rPr>
        <w:t xml:space="preserve">potential features of </w:t>
      </w:r>
      <w:r>
        <w:rPr>
          <w:lang w:eastAsia="ja-JP"/>
        </w:rPr>
        <w:t>a future system</w:t>
      </w:r>
    </w:p>
    <w:p w14:paraId="47738A13" w14:textId="4DDCABD6" w:rsidR="00C161C8" w:rsidRDefault="00CD1319" w:rsidP="005C4234">
      <w:pPr>
        <w:pStyle w:val="Picture"/>
        <w:rPr>
          <w:lang w:eastAsia="ja-JP"/>
        </w:rPr>
      </w:pPr>
      <w:r>
        <w:drawing>
          <wp:inline distT="0" distB="0" distL="0" distR="0" wp14:anchorId="620A4E53" wp14:editId="709DF223">
            <wp:extent cx="12357463" cy="8683052"/>
            <wp:effectExtent l="0" t="0" r="6350" b="3810"/>
            <wp:docPr id="25" name="Picture 25" descr="Shows an implementation pathway for the recommends made by this review. The recommendations are grouped into five categories and ordered by importance. The five groupings are: risk and capability; engagement and communication with system participants; financial sustainability of the system; governance of the system; and government performance and accountability. The implementation pathway divides the recommendation implementation into 3 tranches of work, Tranche 1 (12 to 18 months), Tranche 2 (2 to 5 years), and Tranche 3 (5 to 10 years). The implementation pathways lists potential features that successful future system may exhibit (10 to 20 into the future), such as community-wide understanding and ownership of biosecurity equal to that of bushfire preparedness and respo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383508" cy="8701353"/>
                    </a:xfrm>
                    <a:prstGeom prst="rect">
                      <a:avLst/>
                    </a:prstGeom>
                    <a:noFill/>
                    <a:ln>
                      <a:noFill/>
                    </a:ln>
                  </pic:spPr>
                </pic:pic>
              </a:graphicData>
            </a:graphic>
          </wp:inline>
        </w:drawing>
      </w:r>
    </w:p>
    <w:p w14:paraId="70D8A3D9" w14:textId="64E09AF7" w:rsidR="001B5BDD" w:rsidRPr="001B5BDD" w:rsidRDefault="001B5BDD" w:rsidP="005C4234">
      <w:pPr>
        <w:pStyle w:val="FigureTableNoteSource"/>
        <w:rPr>
          <w:lang w:eastAsia="ja-JP"/>
        </w:rPr>
        <w:sectPr w:rsidR="001B5BDD" w:rsidRPr="001B5BDD" w:rsidSect="00746BCB">
          <w:pgSz w:w="23814" w:h="16839" w:orient="landscape" w:code="8"/>
          <w:pgMar w:top="851" w:right="1418" w:bottom="1135" w:left="1418" w:header="567" w:footer="567" w:gutter="0"/>
          <w:cols w:space="708"/>
          <w:docGrid w:linePitch="360"/>
        </w:sectPr>
      </w:pPr>
      <w:r w:rsidRPr="001B5BDD">
        <w:rPr>
          <w:lang w:eastAsia="ja-JP"/>
        </w:rPr>
        <w:t>AHA: Animal Health Australia; AGMIN: Agriculture Ministers’ Forum; AGSOC: Agriculture Senior Officials Committee; MoUs: memoranda of understanding; NBC: National Biosecurity Committee; PHA: Plant Health Australia; PITMATD: Primary Industries Technical Market Access and Trade Development Task Group; PMC: Passenger Movement Charge; RDCs: Research and Development Corporations; ROGBS: Report of Government Biosecurity Services; TEU: twenty-foot equivalent units.</w:t>
      </w:r>
      <w:r>
        <w:rPr>
          <w:lang w:eastAsia="ja-JP"/>
        </w:rPr>
        <w:t xml:space="preserve"> (xx) indicates recommendation number.</w:t>
      </w:r>
    </w:p>
    <w:p w14:paraId="3126B929" w14:textId="1AF3C453" w:rsidR="00C230DE" w:rsidRDefault="00C230DE" w:rsidP="00C230DE">
      <w:pPr>
        <w:pStyle w:val="Heading3"/>
        <w:rPr>
          <w:lang w:eastAsia="ja-JP"/>
        </w:rPr>
      </w:pPr>
      <w:bookmarkStart w:id="225" w:name="_Toc486236070"/>
      <w:r>
        <w:rPr>
          <w:lang w:eastAsia="ja-JP"/>
        </w:rPr>
        <w:lastRenderedPageBreak/>
        <w:t>A future IGAB</w:t>
      </w:r>
      <w:bookmarkEnd w:id="225"/>
    </w:p>
    <w:p w14:paraId="359A1743" w14:textId="32777674" w:rsidR="00C230DE" w:rsidRDefault="00C230DE" w:rsidP="00C230DE">
      <w:pPr>
        <w:rPr>
          <w:lang w:eastAsia="ja-JP"/>
        </w:rPr>
      </w:pPr>
      <w:r>
        <w:rPr>
          <w:lang w:eastAsia="ja-JP"/>
        </w:rPr>
        <w:t xml:space="preserve">The terms of reference for this </w:t>
      </w:r>
      <w:r w:rsidR="00C161C8">
        <w:rPr>
          <w:lang w:eastAsia="ja-JP"/>
        </w:rPr>
        <w:t>r</w:t>
      </w:r>
      <w:r>
        <w:rPr>
          <w:lang w:eastAsia="ja-JP"/>
        </w:rPr>
        <w:t xml:space="preserve">eview sought feedback on the suitability of the agreement to underpin </w:t>
      </w:r>
      <w:r w:rsidR="00223BB2">
        <w:rPr>
          <w:lang w:eastAsia="ja-JP"/>
        </w:rPr>
        <w:t>Australia’s</w:t>
      </w:r>
      <w:r>
        <w:rPr>
          <w:lang w:eastAsia="ja-JP"/>
        </w:rPr>
        <w:t xml:space="preserve"> biosecurity system into the future. One of the key tests of the suitability of the agreement is whether the parties to that agreement, and parties impacted by that agreement</w:t>
      </w:r>
      <w:r w:rsidR="002E605E">
        <w:rPr>
          <w:lang w:eastAsia="ja-JP"/>
        </w:rPr>
        <w:t>,</w:t>
      </w:r>
      <w:r>
        <w:rPr>
          <w:lang w:eastAsia="ja-JP"/>
        </w:rPr>
        <w:t xml:space="preserve"> see its value. </w:t>
      </w:r>
      <w:r w:rsidR="00E42E07">
        <w:rPr>
          <w:lang w:eastAsia="ja-JP"/>
        </w:rPr>
        <w:t>A</w:t>
      </w:r>
      <w:r>
        <w:rPr>
          <w:lang w:eastAsia="ja-JP"/>
        </w:rPr>
        <w:t xml:space="preserve">ll </w:t>
      </w:r>
      <w:r w:rsidR="00275334">
        <w:rPr>
          <w:lang w:eastAsia="ja-JP"/>
        </w:rPr>
        <w:t>governments</w:t>
      </w:r>
      <w:r>
        <w:rPr>
          <w:lang w:eastAsia="ja-JP"/>
        </w:rPr>
        <w:t xml:space="preserve"> provided submissions support</w:t>
      </w:r>
      <w:r w:rsidR="00E42E07">
        <w:rPr>
          <w:lang w:eastAsia="ja-JP"/>
        </w:rPr>
        <w:t>ing</w:t>
      </w:r>
      <w:r>
        <w:rPr>
          <w:lang w:eastAsia="ja-JP"/>
        </w:rPr>
        <w:t xml:space="preserve">  the</w:t>
      </w:r>
      <w:r w:rsidR="00E42E07">
        <w:rPr>
          <w:lang w:eastAsia="ja-JP"/>
        </w:rPr>
        <w:t xml:space="preserve"> role of the</w:t>
      </w:r>
      <w:r>
        <w:rPr>
          <w:lang w:eastAsia="ja-JP"/>
        </w:rPr>
        <w:t xml:space="preserve"> IGAB in underpinning the national system</w:t>
      </w:r>
      <w:r w:rsidR="00244860">
        <w:rPr>
          <w:lang w:eastAsia="ja-JP"/>
        </w:rPr>
        <w:t>,</w:t>
      </w:r>
      <w:r w:rsidR="002E605E">
        <w:rPr>
          <w:lang w:eastAsia="ja-JP"/>
        </w:rPr>
        <w:t xml:space="preserve"> while at the same time</w:t>
      </w:r>
      <w:r>
        <w:rPr>
          <w:lang w:eastAsia="ja-JP"/>
        </w:rPr>
        <w:t xml:space="preserve"> identi</w:t>
      </w:r>
      <w:r w:rsidR="002E605E">
        <w:rPr>
          <w:lang w:eastAsia="ja-JP"/>
        </w:rPr>
        <w:t>fying key areas for improvement:</w:t>
      </w:r>
    </w:p>
    <w:p w14:paraId="737B361C" w14:textId="4BD89F2D" w:rsidR="00C230DE" w:rsidRDefault="00C230DE" w:rsidP="00C230DE">
      <w:pPr>
        <w:pStyle w:val="Quote"/>
        <w:rPr>
          <w:lang w:eastAsia="ja-JP"/>
        </w:rPr>
      </w:pPr>
      <w:r>
        <w:rPr>
          <w:lang w:eastAsia="ja-JP"/>
        </w:rPr>
        <w:t>The need for an agreement across jurisdictions is critical</w:t>
      </w:r>
      <w:r w:rsidR="005361B0">
        <w:rPr>
          <w:lang w:eastAsia="ja-JP"/>
        </w:rPr>
        <w:t xml:space="preserve"> … </w:t>
      </w:r>
      <w:r>
        <w:rPr>
          <w:lang w:eastAsia="ja-JP"/>
        </w:rPr>
        <w:t>Victoria considers that the IGAB needs to be contemporary, legally binding, evidence based and specific</w:t>
      </w:r>
      <w:r w:rsidR="00F52976">
        <w:rPr>
          <w:lang w:eastAsia="ja-JP"/>
        </w:rPr>
        <w:t xml:space="preserve"> (Victorian </w:t>
      </w:r>
      <w:r w:rsidR="00F52976" w:rsidRPr="00EB2654">
        <w:rPr>
          <w:lang w:eastAsia="ja-JP"/>
        </w:rPr>
        <w:t>Government sub</w:t>
      </w:r>
      <w:r w:rsidR="002F5431" w:rsidRPr="00EB2654">
        <w:rPr>
          <w:lang w:eastAsia="ja-JP"/>
        </w:rPr>
        <w:t>. DP64</w:t>
      </w:r>
      <w:r w:rsidR="00F52976">
        <w:rPr>
          <w:lang w:eastAsia="ja-JP"/>
        </w:rPr>
        <w:t>)</w:t>
      </w:r>
    </w:p>
    <w:p w14:paraId="58D7C908" w14:textId="4C4C1CE5" w:rsidR="00C230DE" w:rsidRDefault="00C230DE" w:rsidP="00C230DE">
      <w:pPr>
        <w:pStyle w:val="Quote"/>
        <w:rPr>
          <w:lang w:eastAsia="ja-JP"/>
        </w:rPr>
      </w:pPr>
      <w:r>
        <w:rPr>
          <w:lang w:eastAsia="ja-JP"/>
        </w:rPr>
        <w:t>The NSW Government is strongly committed to the IGAB</w:t>
      </w:r>
      <w:r w:rsidR="005361B0">
        <w:rPr>
          <w:lang w:eastAsia="ja-JP"/>
        </w:rPr>
        <w:t xml:space="preserve"> … </w:t>
      </w:r>
      <w:r>
        <w:rPr>
          <w:lang w:eastAsia="ja-JP"/>
        </w:rPr>
        <w:t>The IGAB has provided government parties with a strong framework for addressing national biosecurity issues. Through cooperation and collaboration with peak industry bodies, there has been much progress in many priory reform areas</w:t>
      </w:r>
      <w:r w:rsidR="005361B0">
        <w:rPr>
          <w:lang w:eastAsia="ja-JP"/>
        </w:rPr>
        <w:t xml:space="preserve"> (</w:t>
      </w:r>
      <w:r w:rsidR="00595669" w:rsidRPr="00595669">
        <w:rPr>
          <w:lang w:eastAsia="ja-JP"/>
        </w:rPr>
        <w:t xml:space="preserve">New South Wales Government </w:t>
      </w:r>
      <w:r w:rsidR="005361B0">
        <w:rPr>
          <w:lang w:eastAsia="ja-JP"/>
        </w:rPr>
        <w:t>sub</w:t>
      </w:r>
      <w:r w:rsidR="002F5431">
        <w:rPr>
          <w:lang w:eastAsia="ja-JP"/>
        </w:rPr>
        <w:t xml:space="preserve">. </w:t>
      </w:r>
      <w:r w:rsidR="002F5431" w:rsidRPr="00EB2654">
        <w:rPr>
          <w:lang w:eastAsia="ja-JP"/>
        </w:rPr>
        <w:t>DP58</w:t>
      </w:r>
      <w:r w:rsidR="005361B0">
        <w:rPr>
          <w:lang w:eastAsia="ja-JP"/>
        </w:rPr>
        <w:t>)</w:t>
      </w:r>
    </w:p>
    <w:p w14:paraId="6948114B" w14:textId="27F5B39F" w:rsidR="00C230DE" w:rsidRDefault="00C230DE" w:rsidP="00C230DE">
      <w:pPr>
        <w:pStyle w:val="Quote"/>
        <w:rPr>
          <w:lang w:eastAsia="ja-JP"/>
        </w:rPr>
      </w:pPr>
      <w:r>
        <w:rPr>
          <w:lang w:eastAsia="ja-JP"/>
        </w:rPr>
        <w:t>The IGAB is acknowledged as an important national initiative and should continue to improve national biosecurity effectiveness, capacity and integrated systems. It is appropriate that it stays at the First Ministers level for signing and flags investment priorities to central agencies (South Australia</w:t>
      </w:r>
      <w:r w:rsidR="00FF0E60">
        <w:rPr>
          <w:lang w:eastAsia="ja-JP"/>
        </w:rPr>
        <w:t xml:space="preserve">n </w:t>
      </w:r>
      <w:r w:rsidR="00FF0E60" w:rsidRPr="00EB2654">
        <w:rPr>
          <w:lang w:eastAsia="ja-JP"/>
        </w:rPr>
        <w:t>Government sub</w:t>
      </w:r>
      <w:r w:rsidR="002F5431" w:rsidRPr="00EB2654">
        <w:rPr>
          <w:lang w:eastAsia="ja-JP"/>
        </w:rPr>
        <w:t>. DP56</w:t>
      </w:r>
      <w:r w:rsidR="00FF0E60">
        <w:rPr>
          <w:lang w:eastAsia="ja-JP"/>
        </w:rPr>
        <w:t>)</w:t>
      </w:r>
    </w:p>
    <w:p w14:paraId="0CCC5ED7" w14:textId="5E0D80D3" w:rsidR="00C230DE" w:rsidRDefault="00C230DE" w:rsidP="00C230DE">
      <w:pPr>
        <w:pStyle w:val="Quote"/>
        <w:rPr>
          <w:lang w:eastAsia="ja-JP"/>
        </w:rPr>
      </w:pPr>
      <w:r>
        <w:rPr>
          <w:lang w:eastAsia="ja-JP"/>
        </w:rPr>
        <w:t xml:space="preserve">The Western Australian agencies involved in biosecurity strongly support the purpose of the IGAB. IGAB and </w:t>
      </w:r>
      <w:r w:rsidR="007F107A">
        <w:rPr>
          <w:lang w:eastAsia="ja-JP"/>
        </w:rPr>
        <w:t xml:space="preserve">the </w:t>
      </w:r>
      <w:r>
        <w:rPr>
          <w:lang w:eastAsia="ja-JP"/>
        </w:rPr>
        <w:t>NEBRA are important tools for establishing a common vision and commitment to biosecurity between jurisdictions for management of pests and diseases (including zoonotics)</w:t>
      </w:r>
      <w:r w:rsidR="00891EDF">
        <w:rPr>
          <w:lang w:eastAsia="ja-JP"/>
        </w:rPr>
        <w:t xml:space="preserve"> </w:t>
      </w:r>
      <w:r w:rsidR="005361B0">
        <w:rPr>
          <w:lang w:eastAsia="ja-JP"/>
        </w:rPr>
        <w:t>(Western Aust</w:t>
      </w:r>
      <w:r w:rsidR="00CA668C">
        <w:rPr>
          <w:lang w:eastAsia="ja-JP"/>
        </w:rPr>
        <w:t>r</w:t>
      </w:r>
      <w:r w:rsidR="005361B0">
        <w:rPr>
          <w:lang w:eastAsia="ja-JP"/>
        </w:rPr>
        <w:t xml:space="preserve">alian </w:t>
      </w:r>
      <w:r w:rsidR="005361B0" w:rsidRPr="00EB2654">
        <w:rPr>
          <w:lang w:eastAsia="ja-JP"/>
        </w:rPr>
        <w:t>Government sub</w:t>
      </w:r>
      <w:r w:rsidR="002F5431" w:rsidRPr="00EB2654">
        <w:rPr>
          <w:lang w:eastAsia="ja-JP"/>
        </w:rPr>
        <w:t>. DP59</w:t>
      </w:r>
      <w:r w:rsidR="00223BB2">
        <w:rPr>
          <w:lang w:eastAsia="ja-JP"/>
        </w:rPr>
        <w:t>)</w:t>
      </w:r>
    </w:p>
    <w:p w14:paraId="175F037F" w14:textId="5C6EED86" w:rsidR="00C230DE" w:rsidRDefault="00C230DE" w:rsidP="00C230DE">
      <w:pPr>
        <w:rPr>
          <w:lang w:eastAsia="ja-JP"/>
        </w:rPr>
      </w:pPr>
      <w:r>
        <w:rPr>
          <w:lang w:eastAsia="ja-JP"/>
        </w:rPr>
        <w:t xml:space="preserve">Non-government stakeholders were generally supportive of a biosecurity agreement but have been almost uniformly critical of a lack of involvement in its development. The Queensland </w:t>
      </w:r>
      <w:r w:rsidR="008169C8" w:rsidRPr="008169C8">
        <w:rPr>
          <w:lang w:eastAsia="ja-JP"/>
        </w:rPr>
        <w:t xml:space="preserve">Department of Agriculture and </w:t>
      </w:r>
      <w:r w:rsidR="008169C8" w:rsidRPr="00EB2654">
        <w:rPr>
          <w:lang w:eastAsia="ja-JP"/>
        </w:rPr>
        <w:t xml:space="preserve">Fisheries </w:t>
      </w:r>
      <w:r w:rsidRPr="00EB2654">
        <w:rPr>
          <w:lang w:eastAsia="ja-JP"/>
        </w:rPr>
        <w:t>captured</w:t>
      </w:r>
      <w:r>
        <w:rPr>
          <w:lang w:eastAsia="ja-JP"/>
        </w:rPr>
        <w:t xml:space="preserve"> this feedback well:</w:t>
      </w:r>
    </w:p>
    <w:p w14:paraId="3315EB1D" w14:textId="5BCF1FEF" w:rsidR="00C230DE" w:rsidRDefault="00C230DE" w:rsidP="00C230DE">
      <w:pPr>
        <w:pStyle w:val="Quote"/>
        <w:rPr>
          <w:lang w:eastAsia="ja-JP"/>
        </w:rPr>
      </w:pPr>
      <w:r>
        <w:rPr>
          <w:lang w:eastAsia="ja-JP"/>
        </w:rPr>
        <w:t xml:space="preserve">IGAB seeks to build relations with industry and community groups, but did not involve them it its original development. As a result, implementation of the principles and directions of IGAB has suffered from a lack of stakeholder input. Moreover, industries and members of the community have not felt their </w:t>
      </w:r>
      <w:r w:rsidRPr="00EB2654">
        <w:rPr>
          <w:lang w:eastAsia="ja-JP"/>
        </w:rPr>
        <w:t>contributions to the national biosecurity system have been appropriately recognised</w:t>
      </w:r>
      <w:r w:rsidR="00FF0E60" w:rsidRPr="00EB2654">
        <w:rPr>
          <w:lang w:eastAsia="ja-JP"/>
        </w:rPr>
        <w:t xml:space="preserve"> (</w:t>
      </w:r>
      <w:r w:rsidR="00204F1C" w:rsidRPr="00EB2654">
        <w:t>sub</w:t>
      </w:r>
      <w:r w:rsidR="002F5431" w:rsidRPr="00EB2654">
        <w:t>. DP48</w:t>
      </w:r>
      <w:r w:rsidR="00FF0E60">
        <w:rPr>
          <w:lang w:eastAsia="ja-JP"/>
        </w:rPr>
        <w:t>)</w:t>
      </w:r>
    </w:p>
    <w:p w14:paraId="6AE9986A" w14:textId="2C08151C" w:rsidR="00C230DE" w:rsidRDefault="00822416" w:rsidP="00C230DE">
      <w:pPr>
        <w:rPr>
          <w:lang w:eastAsia="ja-JP"/>
        </w:rPr>
      </w:pPr>
      <w:r w:rsidRPr="00822416">
        <w:rPr>
          <w:lang w:eastAsia="ja-JP"/>
        </w:rPr>
        <w:lastRenderedPageBreak/>
        <w:t>While noting that the IG</w:t>
      </w:r>
      <w:r w:rsidR="002E605E">
        <w:rPr>
          <w:lang w:eastAsia="ja-JP"/>
        </w:rPr>
        <w:t>AB was intended as a government-to-</w:t>
      </w:r>
      <w:r w:rsidRPr="00822416">
        <w:rPr>
          <w:lang w:eastAsia="ja-JP"/>
        </w:rPr>
        <w:t xml:space="preserve">government document, </w:t>
      </w:r>
      <w:r>
        <w:rPr>
          <w:lang w:eastAsia="ja-JP"/>
        </w:rPr>
        <w:t>t</w:t>
      </w:r>
      <w:r w:rsidR="00C230DE">
        <w:rPr>
          <w:lang w:eastAsia="ja-JP"/>
        </w:rPr>
        <w:t xml:space="preserve">he </w:t>
      </w:r>
      <w:r w:rsidR="002E605E">
        <w:rPr>
          <w:lang w:eastAsia="ja-JP"/>
        </w:rPr>
        <w:t>p</w:t>
      </w:r>
      <w:r w:rsidR="00C230DE">
        <w:rPr>
          <w:lang w:eastAsia="ja-JP"/>
        </w:rPr>
        <w:t>anel clearly heard this message and has made a number of recommendations to assist in providing industry and community with a stronger voice in the national biosecurity system.</w:t>
      </w:r>
    </w:p>
    <w:p w14:paraId="1E891564" w14:textId="7CF579C4" w:rsidR="00C230DE" w:rsidRDefault="00C230DE" w:rsidP="00C230DE">
      <w:pPr>
        <w:rPr>
          <w:lang w:eastAsia="ja-JP"/>
        </w:rPr>
      </w:pPr>
      <w:r>
        <w:rPr>
          <w:lang w:eastAsia="ja-JP"/>
        </w:rPr>
        <w:t xml:space="preserve">The </w:t>
      </w:r>
      <w:r w:rsidR="002E605E">
        <w:rPr>
          <w:lang w:eastAsia="ja-JP"/>
        </w:rPr>
        <w:t>p</w:t>
      </w:r>
      <w:r>
        <w:rPr>
          <w:lang w:eastAsia="ja-JP"/>
        </w:rPr>
        <w:t>anel’s view is clear</w:t>
      </w:r>
      <w:r w:rsidR="002E605E">
        <w:rPr>
          <w:lang w:eastAsia="ja-JP"/>
        </w:rPr>
        <w:t>:</w:t>
      </w:r>
      <w:r>
        <w:rPr>
          <w:lang w:eastAsia="ja-JP"/>
        </w:rPr>
        <w:t xml:space="preserve"> a refreshed agreement between Australia’s governments is appropriate and necessary to ensure robust national biosecurity arrangements into the future. IGAB1 was a significant foundation agreement for government cooperation and collaboration. IGAB2 and subsequent agreements should demonstrate a measured and deliberate advancement in the commitments by jurisdictions, reflective of the evolving partnership between governments and increasing sophistication of national biosecurity arrangements.</w:t>
      </w:r>
    </w:p>
    <w:p w14:paraId="0C0672FA" w14:textId="728B3213" w:rsidR="00C230DE" w:rsidRDefault="00C230DE" w:rsidP="00C230DE">
      <w:pPr>
        <w:rPr>
          <w:lang w:eastAsia="ja-JP"/>
        </w:rPr>
      </w:pPr>
      <w:r>
        <w:rPr>
          <w:lang w:eastAsia="ja-JP"/>
        </w:rPr>
        <w:t>The 2012 National Healthcare Agreement provides a useful model of what m</w:t>
      </w:r>
      <w:r w:rsidR="002E605E">
        <w:rPr>
          <w:lang w:eastAsia="ja-JP"/>
        </w:rPr>
        <w:t>ight be achievable for a future</w:t>
      </w:r>
      <w:r>
        <w:rPr>
          <w:lang w:eastAsia="ja-JP"/>
        </w:rPr>
        <w:t xml:space="preserve"> mature biosecurity agreement. The </w:t>
      </w:r>
      <w:r w:rsidR="00223BB2">
        <w:rPr>
          <w:lang w:eastAsia="ja-JP"/>
        </w:rPr>
        <w:t>a</w:t>
      </w:r>
      <w:r>
        <w:rPr>
          <w:lang w:eastAsia="ja-JP"/>
        </w:rPr>
        <w:t>greement sets out the mutually agreed objective, outcomes, performance indicators, performance bench</w:t>
      </w:r>
      <w:r w:rsidR="002E605E">
        <w:rPr>
          <w:lang w:eastAsia="ja-JP"/>
        </w:rPr>
        <w:t>marks and national minimum data</w:t>
      </w:r>
      <w:r>
        <w:rPr>
          <w:lang w:eastAsia="ja-JP"/>
        </w:rPr>
        <w:t xml:space="preserve">sets that will guide </w:t>
      </w:r>
      <w:r w:rsidR="00F52976">
        <w:rPr>
          <w:lang w:eastAsia="ja-JP"/>
        </w:rPr>
        <w:t xml:space="preserve">Australian </w:t>
      </w:r>
      <w:r>
        <w:rPr>
          <w:lang w:eastAsia="ja-JP"/>
        </w:rPr>
        <w:t xml:space="preserve">and </w:t>
      </w:r>
      <w:r w:rsidR="00F52976">
        <w:rPr>
          <w:lang w:eastAsia="ja-JP"/>
        </w:rPr>
        <w:t>s</w:t>
      </w:r>
      <w:r>
        <w:rPr>
          <w:lang w:eastAsia="ja-JP"/>
        </w:rPr>
        <w:t xml:space="preserve">tates and </w:t>
      </w:r>
      <w:r w:rsidR="00F52976">
        <w:rPr>
          <w:lang w:eastAsia="ja-JP"/>
        </w:rPr>
        <w:t>t</w:t>
      </w:r>
      <w:r>
        <w:rPr>
          <w:lang w:eastAsia="ja-JP"/>
        </w:rPr>
        <w:t>erritor</w:t>
      </w:r>
      <w:r w:rsidR="00F52976">
        <w:rPr>
          <w:lang w:eastAsia="ja-JP"/>
        </w:rPr>
        <w:t>y governments</w:t>
      </w:r>
      <w:r>
        <w:rPr>
          <w:lang w:eastAsia="ja-JP"/>
        </w:rPr>
        <w:t xml:space="preserve"> in the delivery of services across the health sector. It also articulat</w:t>
      </w:r>
      <w:r w:rsidR="002E605E">
        <w:rPr>
          <w:lang w:eastAsia="ja-JP"/>
        </w:rPr>
        <w:t>es policy and reform directions</w:t>
      </w:r>
      <w:r>
        <w:rPr>
          <w:lang w:eastAsia="ja-JP"/>
        </w:rPr>
        <w:t xml:space="preserve"> and the roles and responsibilities of the respective governments. As a mature agreement, its emphasis i</w:t>
      </w:r>
      <w:r w:rsidR="002E605E">
        <w:rPr>
          <w:lang w:eastAsia="ja-JP"/>
        </w:rPr>
        <w:t>s on a robust primary agreement</w:t>
      </w:r>
      <w:r>
        <w:rPr>
          <w:lang w:eastAsia="ja-JP"/>
        </w:rPr>
        <w:t xml:space="preserve"> rather than on detailed schedules and work programs.</w:t>
      </w:r>
    </w:p>
    <w:p w14:paraId="6E758588" w14:textId="65B5A669" w:rsidR="00C230DE" w:rsidRDefault="00C230DE" w:rsidP="00C230DE">
      <w:pPr>
        <w:rPr>
          <w:lang w:eastAsia="ja-JP"/>
        </w:rPr>
      </w:pPr>
      <w:r>
        <w:rPr>
          <w:lang w:eastAsia="ja-JP"/>
        </w:rPr>
        <w:t>One of the key areas for simplification of the IGAB concerns its schedules. Governments acknowledge that the schedules proposed an extensive body of work which was not able to be matched by the individual and collective capacity of jurisdictions to implement</w:t>
      </w:r>
      <w:r w:rsidR="002E605E">
        <w:rPr>
          <w:lang w:eastAsia="ja-JP"/>
        </w:rPr>
        <w:t xml:space="preserve"> it</w:t>
      </w:r>
      <w:r>
        <w:rPr>
          <w:lang w:eastAsia="ja-JP"/>
        </w:rPr>
        <w:t xml:space="preserve">. </w:t>
      </w:r>
      <w:r w:rsidR="00F52976">
        <w:rPr>
          <w:lang w:eastAsia="ja-JP"/>
        </w:rPr>
        <w:t xml:space="preserve">The </w:t>
      </w:r>
      <w:r>
        <w:rPr>
          <w:lang w:eastAsia="ja-JP"/>
        </w:rPr>
        <w:t>NBC has since reviewed and reprioritised the schedules in light of this and to reflect changed priorities for the national</w:t>
      </w:r>
      <w:r w:rsidR="00F52976">
        <w:rPr>
          <w:lang w:eastAsia="ja-JP"/>
        </w:rPr>
        <w:t xml:space="preserve"> biosecurity</w:t>
      </w:r>
      <w:r>
        <w:rPr>
          <w:lang w:eastAsia="ja-JP"/>
        </w:rPr>
        <w:t xml:space="preserve"> system. This is appropriate</w:t>
      </w:r>
      <w:r w:rsidR="00C8522A">
        <w:rPr>
          <w:lang w:eastAsia="ja-JP"/>
        </w:rPr>
        <w:t>,</w:t>
      </w:r>
      <w:r>
        <w:rPr>
          <w:lang w:eastAsia="ja-JP"/>
        </w:rPr>
        <w:t xml:space="preserve"> and </w:t>
      </w:r>
      <w:r w:rsidR="00807740">
        <w:rPr>
          <w:lang w:eastAsia="ja-JP"/>
        </w:rPr>
        <w:t xml:space="preserve">the </w:t>
      </w:r>
      <w:r>
        <w:rPr>
          <w:lang w:eastAsia="ja-JP"/>
        </w:rPr>
        <w:t>NBC should be afforded the flexibility without being overshadowed by an overly prescrip</w:t>
      </w:r>
      <w:r w:rsidR="003B1A0F">
        <w:rPr>
          <w:lang w:eastAsia="ja-JP"/>
        </w:rPr>
        <w:t>tive list of tasks in the IGAB.</w:t>
      </w:r>
    </w:p>
    <w:p w14:paraId="2D90B2C3" w14:textId="0874D775" w:rsidR="00C230DE" w:rsidRDefault="00C230DE" w:rsidP="00C230DE">
      <w:pPr>
        <w:rPr>
          <w:lang w:eastAsia="ja-JP"/>
        </w:rPr>
      </w:pPr>
      <w:r>
        <w:rPr>
          <w:lang w:eastAsia="ja-JP"/>
        </w:rPr>
        <w:t>Accordingly, th</w:t>
      </w:r>
      <w:r w:rsidR="00F52976">
        <w:rPr>
          <w:lang w:eastAsia="ja-JP"/>
        </w:rPr>
        <w:t>is</w:t>
      </w:r>
      <w:r>
        <w:rPr>
          <w:lang w:eastAsia="ja-JP"/>
        </w:rPr>
        <w:t xml:space="preserve"> </w:t>
      </w:r>
      <w:r w:rsidR="00C8522A">
        <w:rPr>
          <w:lang w:eastAsia="ja-JP"/>
        </w:rPr>
        <w:t>r</w:t>
      </w:r>
      <w:r>
        <w:rPr>
          <w:lang w:eastAsia="ja-JP"/>
        </w:rPr>
        <w:t xml:space="preserve">eview has proposed </w:t>
      </w:r>
      <w:r w:rsidR="0092776D">
        <w:rPr>
          <w:lang w:eastAsia="ja-JP"/>
        </w:rPr>
        <w:t>three</w:t>
      </w:r>
      <w:r>
        <w:rPr>
          <w:lang w:eastAsia="ja-JP"/>
        </w:rPr>
        <w:t xml:space="preserve"> priority reform areas (</w:t>
      </w:r>
      <w:r w:rsidR="00363605">
        <w:rPr>
          <w:lang w:eastAsia="ja-JP"/>
        </w:rPr>
        <w:t>Table 12</w:t>
      </w:r>
      <w:r>
        <w:rPr>
          <w:lang w:eastAsia="ja-JP"/>
        </w:rPr>
        <w:t xml:space="preserve">) for inclusion in IGAB2. The specific tasks and activities should be developed by </w:t>
      </w:r>
      <w:r w:rsidR="00807740">
        <w:rPr>
          <w:lang w:eastAsia="ja-JP"/>
        </w:rPr>
        <w:t xml:space="preserve">the </w:t>
      </w:r>
      <w:r>
        <w:rPr>
          <w:lang w:eastAsia="ja-JP"/>
        </w:rPr>
        <w:t>NBC and approved by ministers responsible for biosecurity separately</w:t>
      </w:r>
      <w:r w:rsidR="00DB65C6">
        <w:rPr>
          <w:lang w:eastAsia="ja-JP"/>
        </w:rPr>
        <w:t>,</w:t>
      </w:r>
      <w:r w:rsidR="00275334" w:rsidRPr="00275334">
        <w:t xml:space="preserve"> </w:t>
      </w:r>
      <w:r w:rsidR="00275334" w:rsidRPr="00275334">
        <w:rPr>
          <w:lang w:eastAsia="ja-JP"/>
        </w:rPr>
        <w:t>as part of the NBC work program.</w:t>
      </w:r>
      <w:r>
        <w:rPr>
          <w:lang w:eastAsia="ja-JP"/>
        </w:rPr>
        <w:t xml:space="preserve"> </w:t>
      </w:r>
      <w:r w:rsidR="00807740">
        <w:rPr>
          <w:lang w:eastAsia="ja-JP"/>
        </w:rPr>
        <w:t xml:space="preserve">The </w:t>
      </w:r>
      <w:r>
        <w:rPr>
          <w:lang w:eastAsia="ja-JP"/>
        </w:rPr>
        <w:t>NBC should</w:t>
      </w:r>
      <w:r w:rsidR="0092776D">
        <w:rPr>
          <w:lang w:eastAsia="ja-JP"/>
        </w:rPr>
        <w:t xml:space="preserve"> report annually to ministers. </w:t>
      </w:r>
      <w:r w:rsidR="00F52976">
        <w:rPr>
          <w:lang w:eastAsia="ja-JP"/>
        </w:rPr>
        <w:t xml:space="preserve">The </w:t>
      </w:r>
      <w:r>
        <w:rPr>
          <w:lang w:eastAsia="ja-JP"/>
        </w:rPr>
        <w:t>NBC’s work program under the IGAB and its annual report to ministers should be made publicly available. A periodic independent assessment of the effectiveness of IGAB should be undertaken and made public.</w:t>
      </w:r>
    </w:p>
    <w:p w14:paraId="5BBD5A3B" w14:textId="77777777" w:rsidR="00FF2CE0" w:rsidRPr="005C4234" w:rsidRDefault="00FF2CE0" w:rsidP="005C4234">
      <w:pPr>
        <w:pStyle w:val="BoxHeading"/>
        <w:shd w:val="clear" w:color="auto" w:fill="D9D9D9" w:themeFill="background1" w:themeFillShade="D9"/>
        <w:rPr>
          <w:sz w:val="22"/>
          <w:lang w:eastAsia="ja-JP"/>
        </w:rPr>
      </w:pPr>
      <w:bookmarkStart w:id="226" w:name="_Ref482710422"/>
      <w:r w:rsidRPr="005C4234">
        <w:rPr>
          <w:sz w:val="22"/>
          <w:shd w:val="clear" w:color="auto" w:fill="D9D9D9" w:themeFill="background1" w:themeFillShade="D9"/>
          <w:lang w:eastAsia="ja-JP"/>
        </w:rPr>
        <w:t xml:space="preserve">Recommendation </w:t>
      </w:r>
      <w:r w:rsidRPr="005C4234">
        <w:rPr>
          <w:sz w:val="22"/>
          <w:shd w:val="clear" w:color="auto" w:fill="D9D9D9" w:themeFill="background1" w:themeFillShade="D9"/>
          <w:lang w:eastAsia="ja-JP"/>
        </w:rPr>
        <w:fldChar w:fldCharType="begin"/>
      </w:r>
      <w:r w:rsidRPr="005C4234">
        <w:rPr>
          <w:sz w:val="22"/>
          <w:shd w:val="clear" w:color="auto" w:fill="D9D9D9" w:themeFill="background1" w:themeFillShade="D9"/>
          <w:lang w:eastAsia="ja-JP"/>
        </w:rPr>
        <w:instrText xml:space="preserve"> SEQ Recommendation \* ARABIC </w:instrText>
      </w:r>
      <w:r w:rsidRPr="005C4234">
        <w:rPr>
          <w:sz w:val="22"/>
          <w:shd w:val="clear" w:color="auto" w:fill="D9D9D9" w:themeFill="background1" w:themeFillShade="D9"/>
          <w:lang w:eastAsia="ja-JP"/>
        </w:rPr>
        <w:fldChar w:fldCharType="separate"/>
      </w:r>
      <w:r w:rsidR="009F6923">
        <w:rPr>
          <w:noProof/>
          <w:sz w:val="22"/>
          <w:shd w:val="clear" w:color="auto" w:fill="D9D9D9" w:themeFill="background1" w:themeFillShade="D9"/>
          <w:lang w:eastAsia="ja-JP"/>
        </w:rPr>
        <w:t>42</w:t>
      </w:r>
      <w:r w:rsidRPr="005C4234">
        <w:rPr>
          <w:sz w:val="22"/>
          <w:shd w:val="clear" w:color="auto" w:fill="D9D9D9" w:themeFill="background1" w:themeFillShade="D9"/>
          <w:lang w:eastAsia="ja-JP"/>
        </w:rPr>
        <w:fldChar w:fldCharType="end"/>
      </w:r>
      <w:bookmarkEnd w:id="226"/>
    </w:p>
    <w:p w14:paraId="32E769DC" w14:textId="303D0F97" w:rsidR="00FE02E3" w:rsidRPr="00FF2CE0" w:rsidRDefault="00FE02E3" w:rsidP="007F618F">
      <w:pPr>
        <w:pStyle w:val="BoxText"/>
        <w:shd w:val="clear" w:color="auto" w:fill="D9D9D9" w:themeFill="background1" w:themeFillShade="D9"/>
        <w:rPr>
          <w:sz w:val="22"/>
          <w:lang w:eastAsia="ja-JP"/>
        </w:rPr>
      </w:pPr>
      <w:r w:rsidRPr="00FF2CE0">
        <w:rPr>
          <w:sz w:val="22"/>
          <w:lang w:eastAsia="ja-JP"/>
        </w:rPr>
        <w:lastRenderedPageBreak/>
        <w:t xml:space="preserve">Jurisdictions should adopt the </w:t>
      </w:r>
      <w:r w:rsidR="00F44CFA" w:rsidRPr="00FF2CE0">
        <w:rPr>
          <w:sz w:val="22"/>
          <w:lang w:eastAsia="ja-JP"/>
        </w:rPr>
        <w:t xml:space="preserve">proposed </w:t>
      </w:r>
      <w:r w:rsidRPr="00FF2CE0">
        <w:rPr>
          <w:sz w:val="22"/>
          <w:lang w:eastAsia="ja-JP"/>
        </w:rPr>
        <w:t>new priority reform areas and associated work program for IGAB2</w:t>
      </w:r>
      <w:r w:rsidR="004A1B46" w:rsidRPr="00FF2CE0">
        <w:rPr>
          <w:sz w:val="22"/>
          <w:lang w:eastAsia="ja-JP"/>
        </w:rPr>
        <w:t xml:space="preserve"> and amend the IGAB </w:t>
      </w:r>
      <w:r w:rsidR="00F44CFA" w:rsidRPr="00FF2CE0">
        <w:rPr>
          <w:sz w:val="22"/>
          <w:lang w:eastAsia="ja-JP"/>
        </w:rPr>
        <w:t>in line with proposed revisions</w:t>
      </w:r>
      <w:r w:rsidRPr="00FF2CE0">
        <w:rPr>
          <w:sz w:val="22"/>
          <w:lang w:eastAsia="ja-JP"/>
        </w:rPr>
        <w:t>.</w:t>
      </w:r>
    </w:p>
    <w:p w14:paraId="1B41A903" w14:textId="48F79B25" w:rsidR="00CA668C" w:rsidRPr="00590407" w:rsidRDefault="00DB358A" w:rsidP="00BC75DE">
      <w:pPr>
        <w:pStyle w:val="Caption"/>
        <w:keepNext w:val="0"/>
        <w:widowControl w:val="0"/>
        <w:rPr>
          <w:szCs w:val="22"/>
          <w:lang w:eastAsia="ja-JP"/>
        </w:rPr>
      </w:pPr>
      <w:bookmarkStart w:id="227" w:name="_Ref468097439"/>
      <w:bookmarkStart w:id="228" w:name="_Ref482799617"/>
      <w:bookmarkStart w:id="229" w:name="_Toc468176732"/>
      <w:r w:rsidRPr="00590407">
        <w:rPr>
          <w:szCs w:val="22"/>
        </w:rPr>
        <w:t xml:space="preserve">Table </w:t>
      </w:r>
      <w:r w:rsidR="00D56373" w:rsidRPr="00590407">
        <w:rPr>
          <w:szCs w:val="22"/>
        </w:rPr>
        <w:fldChar w:fldCharType="begin"/>
      </w:r>
      <w:r w:rsidR="00D56373" w:rsidRPr="00590407">
        <w:rPr>
          <w:szCs w:val="22"/>
        </w:rPr>
        <w:instrText xml:space="preserve"> SEQ Table \* ARABIC </w:instrText>
      </w:r>
      <w:r w:rsidR="00D56373" w:rsidRPr="00590407">
        <w:rPr>
          <w:szCs w:val="22"/>
        </w:rPr>
        <w:fldChar w:fldCharType="separate"/>
      </w:r>
      <w:r w:rsidR="009F6923">
        <w:rPr>
          <w:noProof/>
          <w:szCs w:val="22"/>
        </w:rPr>
        <w:t>12</w:t>
      </w:r>
      <w:r w:rsidR="00D56373" w:rsidRPr="00590407">
        <w:rPr>
          <w:noProof/>
          <w:szCs w:val="22"/>
        </w:rPr>
        <w:fldChar w:fldCharType="end"/>
      </w:r>
      <w:bookmarkEnd w:id="227"/>
      <w:bookmarkEnd w:id="228"/>
      <w:r w:rsidRPr="00590407">
        <w:rPr>
          <w:szCs w:val="22"/>
        </w:rPr>
        <w:t xml:space="preserve"> </w:t>
      </w:r>
      <w:r w:rsidR="0060647D" w:rsidRPr="00590407">
        <w:rPr>
          <w:szCs w:val="22"/>
        </w:rPr>
        <w:t xml:space="preserve">Proposed </w:t>
      </w:r>
      <w:r w:rsidR="007429DB" w:rsidRPr="00590407">
        <w:rPr>
          <w:szCs w:val="22"/>
        </w:rPr>
        <w:t>p</w:t>
      </w:r>
      <w:r w:rsidRPr="00590407">
        <w:rPr>
          <w:szCs w:val="22"/>
        </w:rPr>
        <w:t>riority reform areas</w:t>
      </w:r>
      <w:bookmarkEnd w:id="2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391019" w:rsidRPr="00391019" w14:paraId="09AEFCB3" w14:textId="77777777" w:rsidTr="00AA1818">
        <w:trPr>
          <w:tblHeader/>
        </w:trPr>
        <w:tc>
          <w:tcPr>
            <w:tcW w:w="3020" w:type="dxa"/>
            <w:tcBorders>
              <w:top w:val="single" w:sz="4" w:space="0" w:color="auto"/>
              <w:bottom w:val="nil"/>
            </w:tcBorders>
          </w:tcPr>
          <w:p w14:paraId="40FDA2F2" w14:textId="1C256C8F" w:rsidR="00391019" w:rsidRPr="00391019" w:rsidRDefault="00925FC4" w:rsidP="00BC75DE">
            <w:pPr>
              <w:pStyle w:val="TableHeading"/>
              <w:keepNext w:val="0"/>
              <w:widowControl w:val="0"/>
            </w:pPr>
            <w:r>
              <w:t>Reform areas</w:t>
            </w:r>
          </w:p>
        </w:tc>
        <w:tc>
          <w:tcPr>
            <w:tcW w:w="3020" w:type="dxa"/>
            <w:tcBorders>
              <w:top w:val="single" w:sz="4" w:space="0" w:color="auto"/>
              <w:bottom w:val="nil"/>
            </w:tcBorders>
          </w:tcPr>
          <w:p w14:paraId="5D60E2FF" w14:textId="67CDAFC7" w:rsidR="00391019" w:rsidRPr="00391019" w:rsidRDefault="00391019" w:rsidP="00BC75DE">
            <w:pPr>
              <w:pStyle w:val="TableHeading"/>
              <w:keepNext w:val="0"/>
              <w:widowControl w:val="0"/>
            </w:pPr>
            <w:r w:rsidRPr="00391019">
              <w:t>Outcomes</w:t>
            </w:r>
          </w:p>
        </w:tc>
        <w:tc>
          <w:tcPr>
            <w:tcW w:w="3020" w:type="dxa"/>
            <w:tcBorders>
              <w:top w:val="single" w:sz="4" w:space="0" w:color="auto"/>
              <w:bottom w:val="nil"/>
            </w:tcBorders>
          </w:tcPr>
          <w:p w14:paraId="68F13C9B" w14:textId="5E227852" w:rsidR="00391019" w:rsidRPr="00391019" w:rsidRDefault="00A37E87" w:rsidP="005B5940">
            <w:pPr>
              <w:pStyle w:val="TableHeading"/>
              <w:keepNext w:val="0"/>
              <w:widowControl w:val="0"/>
            </w:pPr>
            <w:r>
              <w:t>Deliverables</w:t>
            </w:r>
          </w:p>
        </w:tc>
      </w:tr>
      <w:tr w:rsidR="00391019" w:rsidRPr="00391019" w14:paraId="6645BC36" w14:textId="77777777" w:rsidTr="00AA1818">
        <w:tc>
          <w:tcPr>
            <w:tcW w:w="3020" w:type="dxa"/>
            <w:tcBorders>
              <w:top w:val="nil"/>
              <w:bottom w:val="nil"/>
            </w:tcBorders>
          </w:tcPr>
          <w:p w14:paraId="19211235" w14:textId="3728E1EB" w:rsidR="00391019" w:rsidRPr="00391019" w:rsidRDefault="00391019" w:rsidP="0058700D">
            <w:pPr>
              <w:pStyle w:val="TableText"/>
            </w:pPr>
            <w:r w:rsidRPr="00391019">
              <w:t xml:space="preserve">1. Governance and </w:t>
            </w:r>
            <w:r w:rsidR="004F46DA">
              <w:t>s</w:t>
            </w:r>
            <w:r w:rsidRPr="00391019">
              <w:t>trategy</w:t>
            </w:r>
          </w:p>
        </w:tc>
        <w:tc>
          <w:tcPr>
            <w:tcW w:w="3020" w:type="dxa"/>
            <w:tcBorders>
              <w:top w:val="nil"/>
              <w:bottom w:val="nil"/>
            </w:tcBorders>
          </w:tcPr>
          <w:p w14:paraId="24C4310E" w14:textId="77777777" w:rsidR="00391019" w:rsidRDefault="00391019" w:rsidP="00BC75DE">
            <w:pPr>
              <w:pStyle w:val="TableText"/>
              <w:widowControl w:val="0"/>
            </w:pPr>
            <w:r w:rsidRPr="00391019">
              <w:t>A unified strategic framework for the national biosecurity system</w:t>
            </w:r>
          </w:p>
          <w:p w14:paraId="159AA999" w14:textId="77777777" w:rsidR="00391019" w:rsidRDefault="00391019" w:rsidP="00BC75DE">
            <w:pPr>
              <w:pStyle w:val="TableText"/>
              <w:widowControl w:val="0"/>
            </w:pPr>
            <w:r w:rsidRPr="00391019">
              <w:t>Improved governance of the national system</w:t>
            </w:r>
          </w:p>
          <w:p w14:paraId="69691F4E" w14:textId="23B984FE" w:rsidR="00391019" w:rsidRPr="00391019" w:rsidRDefault="00391019" w:rsidP="00572B68">
            <w:pPr>
              <w:pStyle w:val="TableText"/>
              <w:widowControl w:val="0"/>
            </w:pPr>
            <w:r w:rsidRPr="00391019">
              <w:t>A consistent approach to biosecurity risk prioritisation and investment across the system (for animal, plant and environmental</w:t>
            </w:r>
            <w:r w:rsidR="00371CE8">
              <w:t>^</w:t>
            </w:r>
            <w:r w:rsidRPr="00391019">
              <w:t xml:space="preserve"> streams)</w:t>
            </w:r>
          </w:p>
        </w:tc>
        <w:tc>
          <w:tcPr>
            <w:tcW w:w="3020" w:type="dxa"/>
            <w:tcBorders>
              <w:top w:val="nil"/>
              <w:bottom w:val="nil"/>
            </w:tcBorders>
          </w:tcPr>
          <w:p w14:paraId="00E2F38B" w14:textId="76E4DE1F" w:rsidR="00391019" w:rsidRDefault="00391019" w:rsidP="00BC75DE">
            <w:pPr>
              <w:pStyle w:val="TableText"/>
              <w:widowControl w:val="0"/>
            </w:pPr>
            <w:r w:rsidRPr="00391019">
              <w:t>Agreed roles and responsibilities for all system participants</w:t>
            </w:r>
          </w:p>
          <w:p w14:paraId="1DA5C6CF" w14:textId="51376A02" w:rsidR="00391019" w:rsidRDefault="00391019" w:rsidP="00BC75DE">
            <w:pPr>
              <w:pStyle w:val="TableText"/>
              <w:widowControl w:val="0"/>
            </w:pPr>
            <w:r w:rsidRPr="00391019">
              <w:t xml:space="preserve">A National </w:t>
            </w:r>
            <w:r w:rsidR="00275334">
              <w:t xml:space="preserve">Biosecurity </w:t>
            </w:r>
            <w:r w:rsidRPr="00391019">
              <w:t>Statement, developed in collaboration with key system participants</w:t>
            </w:r>
          </w:p>
          <w:p w14:paraId="5B9DD8CC" w14:textId="77777777" w:rsidR="00391019" w:rsidRDefault="00391019" w:rsidP="00BC75DE">
            <w:pPr>
              <w:pStyle w:val="TableText"/>
              <w:widowControl w:val="0"/>
            </w:pPr>
            <w:r w:rsidRPr="00391019">
              <w:t>Formalised whole-of-government biosecurity arrangements within all jurisdictions, including through memoranda of understanding</w:t>
            </w:r>
          </w:p>
          <w:p w14:paraId="5192E48C" w14:textId="77777777" w:rsidR="00391019" w:rsidRDefault="00391019" w:rsidP="00BC75DE">
            <w:pPr>
              <w:pStyle w:val="TableText"/>
              <w:widowControl w:val="0"/>
            </w:pPr>
            <w:r w:rsidRPr="00391019">
              <w:t>Defined core commitments for jurisdictions under the national system</w:t>
            </w:r>
          </w:p>
          <w:p w14:paraId="0B56B1EB" w14:textId="5FE0BBE7" w:rsidR="00391019" w:rsidRDefault="00391019" w:rsidP="00BC75DE">
            <w:pPr>
              <w:pStyle w:val="TableText"/>
              <w:widowControl w:val="0"/>
            </w:pPr>
            <w:r w:rsidRPr="00391019">
              <w:t>A</w:t>
            </w:r>
            <w:r w:rsidR="003442D3">
              <w:t>n</w:t>
            </w:r>
            <w:r w:rsidRPr="00391019">
              <w:t xml:space="preserve"> </w:t>
            </w:r>
            <w:r w:rsidR="003442D3">
              <w:t>empowered</w:t>
            </w:r>
            <w:r w:rsidR="00307000">
              <w:t xml:space="preserve"> NBC and revised sub</w:t>
            </w:r>
            <w:r w:rsidRPr="00391019">
              <w:t>committee structure, including a</w:t>
            </w:r>
            <w:r w:rsidR="00041C06">
              <w:t xml:space="preserve">n Industry and </w:t>
            </w:r>
            <w:r w:rsidR="00F10EF9">
              <w:t>Community</w:t>
            </w:r>
            <w:r w:rsidR="003442D3">
              <w:t xml:space="preserve"> Biosecurity</w:t>
            </w:r>
            <w:r w:rsidR="00F10EF9">
              <w:t xml:space="preserve"> </w:t>
            </w:r>
            <w:r w:rsidRPr="00391019">
              <w:t xml:space="preserve">Committee, a Chief </w:t>
            </w:r>
            <w:r w:rsidR="00D27E31">
              <w:t xml:space="preserve">Community and </w:t>
            </w:r>
            <w:r w:rsidRPr="00391019">
              <w:t xml:space="preserve">Environmental Biosecurity Officer, and </w:t>
            </w:r>
            <w:r w:rsidR="006D444A">
              <w:t xml:space="preserve">Community and </w:t>
            </w:r>
            <w:r w:rsidRPr="00391019">
              <w:t>Environmental Biosecurity Committee</w:t>
            </w:r>
          </w:p>
          <w:p w14:paraId="17F43CCB" w14:textId="72678D8B" w:rsidR="00391019" w:rsidRDefault="00391019" w:rsidP="00BC75DE">
            <w:pPr>
              <w:pStyle w:val="TableText"/>
              <w:widowControl w:val="0"/>
            </w:pPr>
            <w:r w:rsidRPr="00391019">
              <w:t>A revised National Framework for Cost</w:t>
            </w:r>
            <w:r w:rsidR="00CB21E8">
              <w:t xml:space="preserve"> </w:t>
            </w:r>
            <w:r w:rsidRPr="00391019">
              <w:t>Sharing Biosecurity Activities</w:t>
            </w:r>
          </w:p>
          <w:p w14:paraId="47DDE809" w14:textId="77777777" w:rsidR="00391019" w:rsidRDefault="00391019" w:rsidP="00BC75DE">
            <w:pPr>
              <w:pStyle w:val="TableText"/>
              <w:widowControl w:val="0"/>
            </w:pPr>
            <w:r w:rsidRPr="00391019">
              <w:t>National biosecurity research and innovation priorities</w:t>
            </w:r>
          </w:p>
          <w:p w14:paraId="136FC1B5" w14:textId="77777777" w:rsidR="00391019" w:rsidRDefault="00391019" w:rsidP="00BC75DE">
            <w:pPr>
              <w:pStyle w:val="TableText"/>
              <w:widowControl w:val="0"/>
            </w:pPr>
            <w:r w:rsidRPr="00391019">
              <w:t>Agreed uniform and fully inclusive categories of funding activity</w:t>
            </w:r>
          </w:p>
          <w:p w14:paraId="271B8839" w14:textId="42536240" w:rsidR="003442D3" w:rsidRPr="00391019" w:rsidRDefault="003442D3" w:rsidP="00BC75DE">
            <w:pPr>
              <w:pStyle w:val="TableText"/>
              <w:widowControl w:val="0"/>
            </w:pPr>
            <w:r w:rsidRPr="003442D3">
              <w:t>A standalone website for the NBC</w:t>
            </w:r>
          </w:p>
        </w:tc>
      </w:tr>
      <w:tr w:rsidR="00391019" w:rsidRPr="00391019" w14:paraId="2A4385C4" w14:textId="77777777" w:rsidTr="00AA1818">
        <w:tc>
          <w:tcPr>
            <w:tcW w:w="3020" w:type="dxa"/>
            <w:tcBorders>
              <w:top w:val="nil"/>
            </w:tcBorders>
          </w:tcPr>
          <w:p w14:paraId="1C5244BA" w14:textId="77777777" w:rsidR="00391019" w:rsidRPr="00391019" w:rsidRDefault="00391019" w:rsidP="0058700D">
            <w:pPr>
              <w:pStyle w:val="TableText"/>
            </w:pPr>
            <w:r w:rsidRPr="00391019">
              <w:t>2. National priority pests and diseases</w:t>
            </w:r>
          </w:p>
        </w:tc>
        <w:tc>
          <w:tcPr>
            <w:tcW w:w="3020" w:type="dxa"/>
            <w:tcBorders>
              <w:top w:val="nil"/>
            </w:tcBorders>
          </w:tcPr>
          <w:p w14:paraId="1B2356A2" w14:textId="7FCB8F41" w:rsidR="00391019" w:rsidRDefault="00391019" w:rsidP="00BC75DE">
            <w:pPr>
              <w:pStyle w:val="TableText"/>
              <w:widowControl w:val="0"/>
            </w:pPr>
            <w:r w:rsidRPr="00391019">
              <w:t>Identification of national priority pests and diseases (animal, plant, environmental</w:t>
            </w:r>
            <w:r w:rsidR="00FB0F9F">
              <w:t>^</w:t>
            </w:r>
            <w:r w:rsidRPr="00391019">
              <w:t>)</w:t>
            </w:r>
          </w:p>
          <w:p w14:paraId="35BF4E22" w14:textId="77777777" w:rsidR="00391019" w:rsidRDefault="00391019" w:rsidP="00BC75DE">
            <w:pPr>
              <w:pStyle w:val="TableText"/>
              <w:widowControl w:val="0"/>
            </w:pPr>
            <w:r w:rsidRPr="00391019">
              <w:t>Identification of prevention, emergency preparedness and response requirements and responsibilities</w:t>
            </w:r>
          </w:p>
          <w:p w14:paraId="07253A8F" w14:textId="77777777" w:rsidR="00391019" w:rsidRDefault="00391019" w:rsidP="00BC75DE">
            <w:pPr>
              <w:pStyle w:val="TableText"/>
              <w:widowControl w:val="0"/>
            </w:pPr>
            <w:r w:rsidRPr="00391019">
              <w:t>Early detection and accurate, timely diagnosis of national priority pests and diseases</w:t>
            </w:r>
          </w:p>
          <w:p w14:paraId="3A442903" w14:textId="77777777" w:rsidR="00391019" w:rsidRDefault="00391019" w:rsidP="00BC75DE">
            <w:pPr>
              <w:pStyle w:val="TableText"/>
              <w:widowControl w:val="0"/>
            </w:pPr>
            <w:r w:rsidRPr="00391019">
              <w:t>Demonstration of Australia’s pest and disease status for market access</w:t>
            </w:r>
          </w:p>
          <w:p w14:paraId="7616D88B" w14:textId="0A6B2ABC" w:rsidR="00391019" w:rsidRPr="00391019" w:rsidRDefault="006D444A" w:rsidP="006D444A">
            <w:pPr>
              <w:pStyle w:val="TableText"/>
              <w:widowControl w:val="0"/>
            </w:pPr>
            <w:r>
              <w:t>Identification of responsibilities for established pests and diseases</w:t>
            </w:r>
          </w:p>
        </w:tc>
        <w:tc>
          <w:tcPr>
            <w:tcW w:w="3020" w:type="dxa"/>
            <w:tcBorders>
              <w:top w:val="nil"/>
            </w:tcBorders>
          </w:tcPr>
          <w:p w14:paraId="657E3565" w14:textId="13ED11FC" w:rsidR="00391019" w:rsidRDefault="00DB358A" w:rsidP="00BC75DE">
            <w:pPr>
              <w:pStyle w:val="TableText"/>
              <w:widowControl w:val="0"/>
            </w:pPr>
            <w:r w:rsidRPr="00DB358A">
              <w:t xml:space="preserve">Implementation of a systematic </w:t>
            </w:r>
            <w:r w:rsidR="003442D3">
              <w:t xml:space="preserve">approach for </w:t>
            </w:r>
            <w:r w:rsidRPr="00DB358A">
              <w:t>national p</w:t>
            </w:r>
            <w:r w:rsidR="00A353DE">
              <w:t xml:space="preserve">riority </w:t>
            </w:r>
            <w:r w:rsidRPr="00DB358A">
              <w:t>pest</w:t>
            </w:r>
            <w:r w:rsidR="003442D3">
              <w:t>s</w:t>
            </w:r>
            <w:r w:rsidRPr="00DB358A">
              <w:t xml:space="preserve"> and disease</w:t>
            </w:r>
            <w:r w:rsidR="003442D3">
              <w:t>s</w:t>
            </w:r>
            <w:r w:rsidRPr="00DB358A">
              <w:t>, including environmental</w:t>
            </w:r>
          </w:p>
          <w:p w14:paraId="35D348EC" w14:textId="77777777" w:rsidR="00DB358A" w:rsidRDefault="00DB358A" w:rsidP="00BC75DE">
            <w:pPr>
              <w:pStyle w:val="TableText"/>
              <w:widowControl w:val="0"/>
            </w:pPr>
            <w:r w:rsidRPr="00DB358A">
              <w:t>Risk assessments for national priority pests and diseases</w:t>
            </w:r>
          </w:p>
          <w:p w14:paraId="05A1486D" w14:textId="56994ADF" w:rsidR="00DB358A" w:rsidRDefault="00DB358A" w:rsidP="00BC75DE">
            <w:pPr>
              <w:pStyle w:val="TableText"/>
              <w:widowControl w:val="0"/>
            </w:pPr>
            <w:r w:rsidRPr="008747BF">
              <w:t>Acti</w:t>
            </w:r>
            <w:r w:rsidR="00DD4A5E">
              <w:t>on</w:t>
            </w:r>
            <w:r w:rsidRPr="008747BF">
              <w:t xml:space="preserve"> plans</w:t>
            </w:r>
            <w:r w:rsidRPr="00DB358A">
              <w:t xml:space="preserve"> for managing national priority pest</w:t>
            </w:r>
            <w:r w:rsidR="002F45E6">
              <w:t>s</w:t>
            </w:r>
            <w:r w:rsidRPr="00DB358A">
              <w:t xml:space="preserve"> and diseases, agreed by all relevant participants, outlin</w:t>
            </w:r>
            <w:r w:rsidR="00683BE0">
              <w:t>ing</w:t>
            </w:r>
            <w:r w:rsidRPr="00DB358A">
              <w:t xml:space="preserve"> risk mitigation</w:t>
            </w:r>
            <w:r w:rsidR="00683BE0">
              <w:t xml:space="preserve"> measures</w:t>
            </w:r>
            <w:r w:rsidRPr="00DB358A">
              <w:t>, surveillance, diagnostics, response, as well as the relevant participants (including their roles and responsibilities and cost</w:t>
            </w:r>
            <w:r w:rsidR="00C8522A">
              <w:t>-</w:t>
            </w:r>
            <w:r w:rsidRPr="00DB358A">
              <w:t>sharing arrangements)</w:t>
            </w:r>
          </w:p>
          <w:p w14:paraId="1764240A" w14:textId="699B2CE6" w:rsidR="00DB358A" w:rsidRDefault="00DB358A" w:rsidP="00BC75DE">
            <w:pPr>
              <w:pStyle w:val="TableText"/>
              <w:widowControl w:val="0"/>
            </w:pPr>
            <w:r w:rsidRPr="00DB358A">
              <w:t>Alignment of biosecurity surveillance activities with major export market risks</w:t>
            </w:r>
            <w:r w:rsidR="00137C0E">
              <w:t xml:space="preserve"> </w:t>
            </w:r>
            <w:r w:rsidR="003442D3">
              <w:t>and tourism</w:t>
            </w:r>
          </w:p>
          <w:p w14:paraId="5E127F31" w14:textId="77777777" w:rsidR="007A7B0E" w:rsidRDefault="00DB358A" w:rsidP="00A7561D">
            <w:pPr>
              <w:pStyle w:val="TableText"/>
              <w:widowControl w:val="0"/>
            </w:pPr>
            <w:r w:rsidRPr="00DB358A">
              <w:t xml:space="preserve">Emergency response deeds for aquatic animals and exotic </w:t>
            </w:r>
            <w:r w:rsidR="00081AD5">
              <w:t xml:space="preserve">production </w:t>
            </w:r>
            <w:r w:rsidRPr="00DB358A">
              <w:t>weeds</w:t>
            </w:r>
          </w:p>
          <w:p w14:paraId="340B22D1" w14:textId="2664F368" w:rsidR="00F13E8C" w:rsidRPr="00391019" w:rsidRDefault="00F13E8C" w:rsidP="00A7561D">
            <w:pPr>
              <w:pStyle w:val="TableText"/>
              <w:widowControl w:val="0"/>
            </w:pPr>
            <w:r w:rsidRPr="00F13E8C">
              <w:t xml:space="preserve">Greater landowner-led resourcing and management of nationally </w:t>
            </w:r>
            <w:r w:rsidRPr="00F13E8C">
              <w:lastRenderedPageBreak/>
              <w:t>significant established pests and diseases</w:t>
            </w:r>
          </w:p>
        </w:tc>
      </w:tr>
      <w:tr w:rsidR="00391019" w:rsidRPr="00391019" w14:paraId="380C0AD6" w14:textId="77777777" w:rsidTr="00DB358A">
        <w:tc>
          <w:tcPr>
            <w:tcW w:w="3020" w:type="dxa"/>
          </w:tcPr>
          <w:p w14:paraId="7B6F81DF" w14:textId="77777777" w:rsidR="00391019" w:rsidRPr="00391019" w:rsidRDefault="00DB358A" w:rsidP="0058700D">
            <w:pPr>
              <w:pStyle w:val="TableText"/>
            </w:pPr>
            <w:r w:rsidRPr="00DB358A">
              <w:lastRenderedPageBreak/>
              <w:t>3. Knowledge management and system performance</w:t>
            </w:r>
          </w:p>
        </w:tc>
        <w:tc>
          <w:tcPr>
            <w:tcW w:w="3020" w:type="dxa"/>
          </w:tcPr>
          <w:p w14:paraId="7FD647C3" w14:textId="5DC2D436" w:rsidR="00391019" w:rsidRDefault="00E61317" w:rsidP="00BC75DE">
            <w:pPr>
              <w:pStyle w:val="TableText"/>
              <w:widowControl w:val="0"/>
            </w:pPr>
            <w:r>
              <w:t xml:space="preserve">Improved decision </w:t>
            </w:r>
            <w:r w:rsidR="00DB358A" w:rsidRPr="00DB358A">
              <w:t>making and operational efficiency and effectiveness</w:t>
            </w:r>
          </w:p>
          <w:p w14:paraId="5A8BF880" w14:textId="77777777" w:rsidR="00DB358A" w:rsidRDefault="00DB358A" w:rsidP="00BC75DE">
            <w:pPr>
              <w:pStyle w:val="TableText"/>
              <w:widowControl w:val="0"/>
            </w:pPr>
            <w:r w:rsidRPr="00DB358A">
              <w:t>Increased capacity to measure and demonstrate the performance of the national biosecurity system</w:t>
            </w:r>
          </w:p>
          <w:p w14:paraId="46C93FA9" w14:textId="77777777" w:rsidR="00DB358A" w:rsidRDefault="00DB358A" w:rsidP="00BC75DE">
            <w:pPr>
              <w:pStyle w:val="TableText"/>
              <w:widowControl w:val="0"/>
            </w:pPr>
            <w:r w:rsidRPr="00DB358A">
              <w:t>Improved accountability of jurisdictions for commitments under the IGAB</w:t>
            </w:r>
          </w:p>
          <w:p w14:paraId="319C0538" w14:textId="77777777" w:rsidR="00DB358A" w:rsidRPr="00391019" w:rsidRDefault="00DB358A" w:rsidP="00BC75DE">
            <w:pPr>
              <w:pStyle w:val="TableText"/>
              <w:widowControl w:val="0"/>
            </w:pPr>
            <w:r w:rsidRPr="00DB358A">
              <w:t>Greater public understanding of the performance of the system</w:t>
            </w:r>
          </w:p>
        </w:tc>
        <w:tc>
          <w:tcPr>
            <w:tcW w:w="3020" w:type="dxa"/>
          </w:tcPr>
          <w:p w14:paraId="4981127B" w14:textId="77777777" w:rsidR="00391019" w:rsidRDefault="00DB358A" w:rsidP="00BC75DE">
            <w:pPr>
              <w:pStyle w:val="TableText"/>
              <w:widowControl w:val="0"/>
            </w:pPr>
            <w:r w:rsidRPr="00DB358A">
              <w:t>National collaboration on data</w:t>
            </w:r>
            <w:r w:rsidR="00343658">
              <w:t xml:space="preserve"> and intelligence</w:t>
            </w:r>
            <w:r w:rsidRPr="00DB358A">
              <w:t xml:space="preserve"> sharing</w:t>
            </w:r>
          </w:p>
          <w:p w14:paraId="078A5EF8" w14:textId="3D840E1D" w:rsidR="00DB358A" w:rsidRDefault="00DB358A" w:rsidP="00BC75DE">
            <w:pPr>
              <w:pStyle w:val="TableText"/>
              <w:widowControl w:val="0"/>
            </w:pPr>
            <w:r w:rsidRPr="00DB358A">
              <w:t xml:space="preserve">Agreement </w:t>
            </w:r>
            <w:r w:rsidR="00A7561D">
              <w:t>t</w:t>
            </w:r>
            <w:r w:rsidRPr="00DB358A">
              <w:t>o</w:t>
            </w:r>
            <w:r w:rsidR="003442D3">
              <w:t xml:space="preserve"> </w:t>
            </w:r>
            <w:r w:rsidR="003442D3" w:rsidRPr="003442D3">
              <w:t>common information architecture for the national system, including data sharing protocols, and data standards</w:t>
            </w:r>
          </w:p>
          <w:p w14:paraId="545E16EB" w14:textId="77777777" w:rsidR="00137C0E" w:rsidRDefault="00A7561D" w:rsidP="00BC75DE">
            <w:pPr>
              <w:pStyle w:val="TableText"/>
              <w:widowControl w:val="0"/>
            </w:pPr>
            <w:r>
              <w:t>A</w:t>
            </w:r>
            <w:r w:rsidR="003442D3" w:rsidRPr="003442D3">
              <w:t>n inde</w:t>
            </w:r>
            <w:r>
              <w:t>pe</w:t>
            </w:r>
            <w:r w:rsidR="003442D3" w:rsidRPr="003442D3">
              <w:t>ndent comparative Report of Government Biosecurity Services (ROGBS)</w:t>
            </w:r>
          </w:p>
          <w:p w14:paraId="4CD324F7" w14:textId="38A20625" w:rsidR="00DB358A" w:rsidRDefault="00DB358A" w:rsidP="00BC75DE">
            <w:pPr>
              <w:pStyle w:val="TableText"/>
              <w:widowControl w:val="0"/>
            </w:pPr>
            <w:r w:rsidRPr="00DB358A">
              <w:t>An independent IGAB Evaluation Program of jurisdictional commitments</w:t>
            </w:r>
          </w:p>
          <w:p w14:paraId="51C9714A" w14:textId="37218D34" w:rsidR="003442D3" w:rsidRPr="00391019" w:rsidRDefault="003442D3" w:rsidP="00BC75DE">
            <w:pPr>
              <w:pStyle w:val="TableText"/>
              <w:widowControl w:val="0"/>
            </w:pPr>
            <w:r w:rsidRPr="003442D3">
              <w:t>Nationally consistent system for property identification codes (PICs)</w:t>
            </w:r>
          </w:p>
        </w:tc>
      </w:tr>
    </w:tbl>
    <w:p w14:paraId="57C7B6B8" w14:textId="695170D3" w:rsidR="00371CE8" w:rsidRPr="00A57509" w:rsidRDefault="00371CE8" w:rsidP="00371CE8">
      <w:pPr>
        <w:pStyle w:val="FigureTableNoteSource"/>
        <w:rPr>
          <w:szCs w:val="18"/>
        </w:rPr>
      </w:pPr>
      <w:r>
        <w:rPr>
          <w:szCs w:val="18"/>
        </w:rPr>
        <w:t>^</w:t>
      </w:r>
      <w:r w:rsidR="00550963">
        <w:rPr>
          <w:szCs w:val="18"/>
        </w:rPr>
        <w:t xml:space="preserve"> </w:t>
      </w:r>
      <w:r>
        <w:rPr>
          <w:szCs w:val="18"/>
        </w:rPr>
        <w:t>Environmental biosecurity includes risks to social amenity.</w:t>
      </w:r>
    </w:p>
    <w:p w14:paraId="4BB17783" w14:textId="5F9BADD4" w:rsidR="00275334" w:rsidRDefault="00275334" w:rsidP="00DB65C6">
      <w:bookmarkStart w:id="230" w:name="_Ref467063791"/>
      <w:bookmarkStart w:id="231" w:name="_Toc468176733"/>
      <w:r w:rsidRPr="00343658">
        <w:rPr>
          <w:lang w:eastAsia="ja-JP"/>
        </w:rPr>
        <w:t>As required by th</w:t>
      </w:r>
      <w:r>
        <w:rPr>
          <w:lang w:eastAsia="ja-JP"/>
        </w:rPr>
        <w:t>e</w:t>
      </w:r>
      <w:r w:rsidRPr="00343658">
        <w:rPr>
          <w:lang w:eastAsia="ja-JP"/>
        </w:rPr>
        <w:t xml:space="preserve"> </w:t>
      </w:r>
      <w:r w:rsidR="00550963">
        <w:rPr>
          <w:lang w:eastAsia="ja-JP"/>
        </w:rPr>
        <w:t>r</w:t>
      </w:r>
      <w:r w:rsidRPr="00343658">
        <w:rPr>
          <w:lang w:eastAsia="ja-JP"/>
        </w:rPr>
        <w:t xml:space="preserve">eview terms of reference, the </w:t>
      </w:r>
      <w:r w:rsidR="00550963">
        <w:rPr>
          <w:lang w:eastAsia="ja-JP"/>
        </w:rPr>
        <w:t>p</w:t>
      </w:r>
      <w:r w:rsidRPr="00343658">
        <w:rPr>
          <w:lang w:eastAsia="ja-JP"/>
        </w:rPr>
        <w:t>anel has examined the structure and content of the 2012 IGAB document. T</w:t>
      </w:r>
      <w:r>
        <w:rPr>
          <w:lang w:eastAsia="ja-JP"/>
        </w:rPr>
        <w:t xml:space="preserve">he </w:t>
      </w:r>
      <w:r w:rsidR="00550963">
        <w:rPr>
          <w:lang w:eastAsia="ja-JP"/>
        </w:rPr>
        <w:t>p</w:t>
      </w:r>
      <w:r>
        <w:rPr>
          <w:lang w:eastAsia="ja-JP"/>
        </w:rPr>
        <w:t xml:space="preserve">anel has </w:t>
      </w:r>
      <w:r w:rsidRPr="00343658">
        <w:rPr>
          <w:lang w:eastAsia="ja-JP"/>
        </w:rPr>
        <w:t>ma</w:t>
      </w:r>
      <w:r>
        <w:rPr>
          <w:lang w:eastAsia="ja-JP"/>
        </w:rPr>
        <w:t xml:space="preserve">de </w:t>
      </w:r>
      <w:r w:rsidRPr="00343658">
        <w:rPr>
          <w:lang w:eastAsia="ja-JP"/>
        </w:rPr>
        <w:t>a number of comments, findings and recommendations that should be reflected in IGAB2</w:t>
      </w:r>
      <w:r>
        <w:rPr>
          <w:lang w:eastAsia="ja-JP"/>
        </w:rPr>
        <w:t xml:space="preserve"> (</w:t>
      </w:r>
      <w:r>
        <w:rPr>
          <w:highlight w:val="yellow"/>
          <w:lang w:eastAsia="ja-JP"/>
        </w:rPr>
        <w:fldChar w:fldCharType="begin"/>
      </w:r>
      <w:r>
        <w:rPr>
          <w:lang w:eastAsia="ja-JP"/>
        </w:rPr>
        <w:instrText xml:space="preserve"> REF _Ref483572424 \h </w:instrText>
      </w:r>
      <w:r w:rsidR="00DB65C6">
        <w:rPr>
          <w:highlight w:val="yellow"/>
          <w:lang w:eastAsia="ja-JP"/>
        </w:rPr>
        <w:instrText xml:space="preserve"> \* MERGEFORMAT </w:instrText>
      </w:r>
      <w:r>
        <w:rPr>
          <w:highlight w:val="yellow"/>
          <w:lang w:eastAsia="ja-JP"/>
        </w:rPr>
      </w:r>
      <w:r>
        <w:rPr>
          <w:highlight w:val="yellow"/>
          <w:lang w:eastAsia="ja-JP"/>
        </w:rPr>
        <w:fldChar w:fldCharType="separate"/>
      </w:r>
      <w:r w:rsidR="009F6923" w:rsidRPr="00590407">
        <w:t xml:space="preserve">Table </w:t>
      </w:r>
      <w:r w:rsidR="009F6923">
        <w:rPr>
          <w:noProof/>
        </w:rPr>
        <w:t>13</w:t>
      </w:r>
      <w:r>
        <w:rPr>
          <w:highlight w:val="yellow"/>
          <w:lang w:eastAsia="ja-JP"/>
        </w:rPr>
        <w:fldChar w:fldCharType="end"/>
      </w:r>
      <w:r>
        <w:rPr>
          <w:lang w:eastAsia="ja-JP"/>
        </w:rPr>
        <w:t>)</w:t>
      </w:r>
      <w:r w:rsidR="00B27DBF">
        <w:rPr>
          <w:lang w:eastAsia="ja-JP"/>
        </w:rPr>
        <w:t>.</w:t>
      </w:r>
    </w:p>
    <w:p w14:paraId="7DB9BAFE" w14:textId="5E07BCF8" w:rsidR="00FD4FAA" w:rsidRPr="00590407" w:rsidRDefault="00807218" w:rsidP="00BC28A1">
      <w:pPr>
        <w:pStyle w:val="Caption"/>
        <w:keepLines/>
        <w:widowControl w:val="0"/>
        <w:rPr>
          <w:szCs w:val="22"/>
          <w:lang w:eastAsia="ja-JP"/>
        </w:rPr>
      </w:pPr>
      <w:bookmarkStart w:id="232" w:name="_Ref483572424"/>
      <w:r w:rsidRPr="00590407">
        <w:rPr>
          <w:szCs w:val="22"/>
        </w:rPr>
        <w:t xml:space="preserve">Table </w:t>
      </w:r>
      <w:r w:rsidR="00D56373" w:rsidRPr="00590407">
        <w:rPr>
          <w:szCs w:val="22"/>
        </w:rPr>
        <w:fldChar w:fldCharType="begin"/>
      </w:r>
      <w:r w:rsidR="00D56373" w:rsidRPr="00590407">
        <w:rPr>
          <w:szCs w:val="22"/>
        </w:rPr>
        <w:instrText xml:space="preserve"> SEQ Table \* ARABIC </w:instrText>
      </w:r>
      <w:r w:rsidR="00D56373" w:rsidRPr="00590407">
        <w:rPr>
          <w:szCs w:val="22"/>
        </w:rPr>
        <w:fldChar w:fldCharType="separate"/>
      </w:r>
      <w:r w:rsidR="009F6923">
        <w:rPr>
          <w:noProof/>
          <w:szCs w:val="22"/>
        </w:rPr>
        <w:t>13</w:t>
      </w:r>
      <w:r w:rsidR="00D56373" w:rsidRPr="00590407">
        <w:rPr>
          <w:noProof/>
          <w:szCs w:val="22"/>
        </w:rPr>
        <w:fldChar w:fldCharType="end"/>
      </w:r>
      <w:bookmarkEnd w:id="230"/>
      <w:bookmarkEnd w:id="232"/>
      <w:r w:rsidRPr="00590407">
        <w:rPr>
          <w:szCs w:val="22"/>
        </w:rPr>
        <w:t xml:space="preserve"> Proposed </w:t>
      </w:r>
      <w:r w:rsidR="00FB0F9F">
        <w:rPr>
          <w:szCs w:val="22"/>
        </w:rPr>
        <w:t xml:space="preserve">IGAB </w:t>
      </w:r>
      <w:r w:rsidRPr="00590407">
        <w:rPr>
          <w:szCs w:val="22"/>
        </w:rPr>
        <w:t>revisions</w:t>
      </w:r>
      <w:bookmarkEnd w:id="23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FD4FAA" w:rsidRPr="00FD4FAA" w14:paraId="797251C5" w14:textId="77777777" w:rsidTr="00AA1818">
        <w:trPr>
          <w:tblHeader/>
        </w:trPr>
        <w:tc>
          <w:tcPr>
            <w:tcW w:w="2689" w:type="dxa"/>
            <w:tcBorders>
              <w:top w:val="single" w:sz="4" w:space="0" w:color="auto"/>
              <w:bottom w:val="nil"/>
            </w:tcBorders>
          </w:tcPr>
          <w:p w14:paraId="59478BB2" w14:textId="077D055C" w:rsidR="00FD4FAA" w:rsidRPr="00FD4FAA" w:rsidRDefault="00550963" w:rsidP="00BC28A1">
            <w:pPr>
              <w:pStyle w:val="TableHeading"/>
              <w:keepLines/>
              <w:widowControl w:val="0"/>
              <w:rPr>
                <w:lang w:eastAsia="ja-JP"/>
              </w:rPr>
            </w:pPr>
            <w:r>
              <w:rPr>
                <w:lang w:eastAsia="ja-JP"/>
              </w:rPr>
              <w:t>Issue/s</w:t>
            </w:r>
            <w:r w:rsidR="00891EDF">
              <w:rPr>
                <w:lang w:eastAsia="ja-JP"/>
              </w:rPr>
              <w:t>ection</w:t>
            </w:r>
          </w:p>
        </w:tc>
        <w:tc>
          <w:tcPr>
            <w:tcW w:w="6371" w:type="dxa"/>
            <w:tcBorders>
              <w:top w:val="single" w:sz="4" w:space="0" w:color="auto"/>
              <w:bottom w:val="nil"/>
            </w:tcBorders>
          </w:tcPr>
          <w:p w14:paraId="28C71B62" w14:textId="42C00CD2" w:rsidR="00FD4FAA" w:rsidRPr="00FD4FAA" w:rsidRDefault="00891EDF" w:rsidP="00BC28A1">
            <w:pPr>
              <w:pStyle w:val="TableHeading"/>
              <w:keepLines/>
              <w:widowControl w:val="0"/>
              <w:rPr>
                <w:lang w:eastAsia="ja-JP"/>
              </w:rPr>
            </w:pPr>
            <w:r>
              <w:rPr>
                <w:lang w:eastAsia="ja-JP"/>
              </w:rPr>
              <w:t>Proposed changes</w:t>
            </w:r>
          </w:p>
        </w:tc>
      </w:tr>
      <w:tr w:rsidR="00FD4FAA" w:rsidRPr="00FD4FAA" w14:paraId="161F3BA2" w14:textId="77777777" w:rsidTr="00AA1818">
        <w:tc>
          <w:tcPr>
            <w:tcW w:w="2689" w:type="dxa"/>
            <w:tcBorders>
              <w:top w:val="nil"/>
              <w:bottom w:val="nil"/>
            </w:tcBorders>
          </w:tcPr>
          <w:p w14:paraId="31B7E43C" w14:textId="77777777" w:rsidR="00FD4FAA" w:rsidRPr="00FD4FAA" w:rsidRDefault="00FD4FAA" w:rsidP="00BC28A1">
            <w:pPr>
              <w:pStyle w:val="TableText"/>
              <w:keepNext/>
              <w:keepLines/>
              <w:widowControl w:val="0"/>
              <w:rPr>
                <w:lang w:eastAsia="ja-JP"/>
              </w:rPr>
            </w:pPr>
            <w:r w:rsidRPr="00FD4FAA">
              <w:rPr>
                <w:lang w:eastAsia="ja-JP"/>
              </w:rPr>
              <w:t>Structure</w:t>
            </w:r>
          </w:p>
        </w:tc>
        <w:tc>
          <w:tcPr>
            <w:tcW w:w="6371" w:type="dxa"/>
            <w:tcBorders>
              <w:top w:val="nil"/>
              <w:bottom w:val="nil"/>
            </w:tcBorders>
          </w:tcPr>
          <w:p w14:paraId="76BB9A66" w14:textId="77777777" w:rsidR="00FD4FAA" w:rsidRPr="00FD4FAA" w:rsidRDefault="00FD4FAA" w:rsidP="00BC28A1">
            <w:pPr>
              <w:pStyle w:val="TableText"/>
              <w:keepNext/>
              <w:keepLines/>
              <w:widowControl w:val="0"/>
              <w:rPr>
                <w:lang w:eastAsia="ja-JP"/>
              </w:rPr>
            </w:pPr>
            <w:r w:rsidRPr="00FD4FAA">
              <w:rPr>
                <w:lang w:eastAsia="ja-JP"/>
              </w:rPr>
              <w:t>Structure needs to reflect a logical flow of issues and group sections concerned with the national system together, and sections concerned with the IGAB together.</w:t>
            </w:r>
          </w:p>
        </w:tc>
      </w:tr>
      <w:tr w:rsidR="00FD4FAA" w:rsidRPr="00FD4FAA" w14:paraId="2AF884E8" w14:textId="77777777" w:rsidTr="00AA1818">
        <w:tc>
          <w:tcPr>
            <w:tcW w:w="2689" w:type="dxa"/>
            <w:tcBorders>
              <w:top w:val="nil"/>
            </w:tcBorders>
          </w:tcPr>
          <w:p w14:paraId="473F8400" w14:textId="7DC1EC33" w:rsidR="00FD4FAA" w:rsidRPr="00FD4FAA" w:rsidRDefault="00891EDF" w:rsidP="00BC28A1">
            <w:pPr>
              <w:pStyle w:val="TableText"/>
              <w:keepNext/>
              <w:keepLines/>
              <w:widowControl w:val="0"/>
              <w:rPr>
                <w:lang w:eastAsia="ja-JP"/>
              </w:rPr>
            </w:pPr>
            <w:r>
              <w:rPr>
                <w:lang w:eastAsia="ja-JP"/>
              </w:rPr>
              <w:t>Language</w:t>
            </w:r>
          </w:p>
        </w:tc>
        <w:tc>
          <w:tcPr>
            <w:tcW w:w="6371" w:type="dxa"/>
            <w:tcBorders>
              <w:top w:val="nil"/>
            </w:tcBorders>
          </w:tcPr>
          <w:p w14:paraId="6AB7DF25" w14:textId="6AF7FCBE" w:rsidR="00FD4FAA" w:rsidRPr="00FD4FAA" w:rsidRDefault="00FD4FAA" w:rsidP="00BC28A1">
            <w:pPr>
              <w:pStyle w:val="TableText"/>
              <w:keepNext/>
              <w:keepLines/>
              <w:widowControl w:val="0"/>
              <w:rPr>
                <w:lang w:eastAsia="ja-JP"/>
              </w:rPr>
            </w:pPr>
            <w:r w:rsidRPr="00FD4FAA">
              <w:rPr>
                <w:lang w:eastAsia="ja-JP"/>
              </w:rPr>
              <w:t>Language could be simplified, sharper and purposeful. Jurisdictions should look to make clear (versus heavily caveated) commitments in the agreement, reflective of the consensus progressively being reached o</w:t>
            </w:r>
            <w:r w:rsidR="003B1A0F">
              <w:rPr>
                <w:lang w:eastAsia="ja-JP"/>
              </w:rPr>
              <w:t>n issues.</w:t>
            </w:r>
          </w:p>
        </w:tc>
      </w:tr>
      <w:tr w:rsidR="00FD4FAA" w:rsidRPr="00FD4FAA" w14:paraId="7817C86F" w14:textId="77777777" w:rsidTr="00807218">
        <w:tc>
          <w:tcPr>
            <w:tcW w:w="2689" w:type="dxa"/>
          </w:tcPr>
          <w:p w14:paraId="1B0F726E" w14:textId="4C2155F1" w:rsidR="00FD4FAA" w:rsidRPr="00FD4FAA" w:rsidRDefault="00FD4FAA" w:rsidP="00550963">
            <w:pPr>
              <w:pStyle w:val="TableText"/>
              <w:rPr>
                <w:lang w:eastAsia="ja-JP"/>
              </w:rPr>
            </w:pPr>
            <w:r w:rsidRPr="00FD4FAA">
              <w:rPr>
                <w:lang w:eastAsia="ja-JP"/>
              </w:rPr>
              <w:t xml:space="preserve">Front page of the </w:t>
            </w:r>
            <w:r w:rsidR="00550963">
              <w:rPr>
                <w:lang w:eastAsia="ja-JP"/>
              </w:rPr>
              <w:t>a</w:t>
            </w:r>
            <w:r w:rsidRPr="00FD4FAA">
              <w:rPr>
                <w:lang w:eastAsia="ja-JP"/>
              </w:rPr>
              <w:t>greement</w:t>
            </w:r>
          </w:p>
        </w:tc>
        <w:tc>
          <w:tcPr>
            <w:tcW w:w="6371" w:type="dxa"/>
          </w:tcPr>
          <w:p w14:paraId="3AA597A4" w14:textId="77777777" w:rsidR="00FD4FAA" w:rsidRDefault="00FD4FAA" w:rsidP="00BC75DE">
            <w:pPr>
              <w:pStyle w:val="TableText"/>
              <w:widowControl w:val="0"/>
              <w:rPr>
                <w:lang w:eastAsia="ja-JP"/>
              </w:rPr>
            </w:pPr>
            <w:r w:rsidRPr="00FD4FAA">
              <w:rPr>
                <w:lang w:eastAsia="ja-JP"/>
              </w:rPr>
              <w:t>Should list all jurisdictions who are signatories to the agreement.</w:t>
            </w:r>
          </w:p>
          <w:p w14:paraId="7DB73276" w14:textId="0C3D345C" w:rsidR="00FD4FAA" w:rsidRPr="00FD4FAA" w:rsidRDefault="00FD4FAA" w:rsidP="00550963">
            <w:pPr>
              <w:pStyle w:val="TableText"/>
              <w:widowControl w:val="0"/>
              <w:rPr>
                <w:lang w:eastAsia="ja-JP"/>
              </w:rPr>
            </w:pPr>
            <w:r w:rsidRPr="00FD4FAA">
              <w:rPr>
                <w:lang w:eastAsia="ja-JP"/>
              </w:rPr>
              <w:t xml:space="preserve">Should state the following revised objective for the agreement: </w:t>
            </w:r>
            <w:r w:rsidRPr="005E1421">
              <w:rPr>
                <w:i/>
                <w:lang w:eastAsia="ja-JP"/>
              </w:rPr>
              <w:t xml:space="preserve">The objective of this </w:t>
            </w:r>
            <w:r w:rsidR="00550963">
              <w:rPr>
                <w:i/>
                <w:lang w:eastAsia="ja-JP"/>
              </w:rPr>
              <w:t>a</w:t>
            </w:r>
            <w:r w:rsidRPr="005E1421">
              <w:rPr>
                <w:i/>
                <w:lang w:eastAsia="ja-JP"/>
              </w:rPr>
              <w:t xml:space="preserve">greement </w:t>
            </w:r>
            <w:r w:rsidR="00632040">
              <w:rPr>
                <w:i/>
                <w:lang w:eastAsia="ja-JP"/>
              </w:rPr>
              <w:t xml:space="preserve">is to strengthen </w:t>
            </w:r>
            <w:r w:rsidRPr="005E1421">
              <w:rPr>
                <w:i/>
                <w:lang w:eastAsia="ja-JP"/>
              </w:rPr>
              <w:t>Australia</w:t>
            </w:r>
            <w:r w:rsidR="00632040">
              <w:rPr>
                <w:i/>
                <w:lang w:eastAsia="ja-JP"/>
              </w:rPr>
              <w:t>’s</w:t>
            </w:r>
            <w:r w:rsidRPr="005E1421">
              <w:rPr>
                <w:i/>
                <w:lang w:eastAsia="ja-JP"/>
              </w:rPr>
              <w:t xml:space="preserve"> biosecurity system</w:t>
            </w:r>
            <w:r w:rsidR="00632040">
              <w:rPr>
                <w:i/>
                <w:lang w:eastAsia="ja-JP"/>
              </w:rPr>
              <w:t xml:space="preserve"> through enhanced national collaboration </w:t>
            </w:r>
            <w:r w:rsidR="00275334">
              <w:rPr>
                <w:i/>
                <w:lang w:eastAsia="ja-JP"/>
              </w:rPr>
              <w:t xml:space="preserve">among </w:t>
            </w:r>
            <w:r w:rsidR="00632040">
              <w:rPr>
                <w:i/>
                <w:lang w:eastAsia="ja-JP"/>
              </w:rPr>
              <w:t>Australian governments</w:t>
            </w:r>
            <w:r w:rsidRPr="005E1421">
              <w:rPr>
                <w:i/>
                <w:lang w:eastAsia="ja-JP"/>
              </w:rPr>
              <w:t>.</w:t>
            </w:r>
          </w:p>
        </w:tc>
      </w:tr>
      <w:tr w:rsidR="00FD4FAA" w:rsidRPr="00FD4FAA" w14:paraId="517ABA92" w14:textId="77777777" w:rsidTr="00807218">
        <w:tc>
          <w:tcPr>
            <w:tcW w:w="2689" w:type="dxa"/>
          </w:tcPr>
          <w:p w14:paraId="437135FF" w14:textId="77777777" w:rsidR="00FD4FAA" w:rsidRPr="00FD4FAA" w:rsidRDefault="00FD4FAA" w:rsidP="0058700D">
            <w:pPr>
              <w:pStyle w:val="TableText"/>
              <w:rPr>
                <w:lang w:eastAsia="ja-JP"/>
              </w:rPr>
            </w:pPr>
            <w:r w:rsidRPr="00FD4FAA">
              <w:rPr>
                <w:lang w:eastAsia="ja-JP"/>
              </w:rPr>
              <w:t>1. Preamble</w:t>
            </w:r>
          </w:p>
        </w:tc>
        <w:tc>
          <w:tcPr>
            <w:tcW w:w="6371" w:type="dxa"/>
          </w:tcPr>
          <w:p w14:paraId="242C45B3" w14:textId="1B2D695A" w:rsidR="00FD4FAA" w:rsidRPr="00FD4FAA" w:rsidRDefault="00FD4FAA" w:rsidP="00632040">
            <w:pPr>
              <w:pStyle w:val="TableText"/>
              <w:widowControl w:val="0"/>
              <w:rPr>
                <w:lang w:eastAsia="ja-JP"/>
              </w:rPr>
            </w:pPr>
            <w:r w:rsidRPr="00FD4FAA">
              <w:rPr>
                <w:lang w:eastAsia="ja-JP"/>
              </w:rPr>
              <w:t>Should be redrafted to provide a more refined and succinct precis of the national biosecurity system and its challenges. It should include reference to Australia and its external territories.</w:t>
            </w:r>
          </w:p>
        </w:tc>
      </w:tr>
      <w:tr w:rsidR="00FD4FAA" w:rsidRPr="00FD4FAA" w14:paraId="316BA639" w14:textId="77777777" w:rsidTr="00807218">
        <w:tc>
          <w:tcPr>
            <w:tcW w:w="2689" w:type="dxa"/>
          </w:tcPr>
          <w:p w14:paraId="6C544502" w14:textId="7926CF0B" w:rsidR="00FD4FAA" w:rsidRPr="00FD4FAA" w:rsidRDefault="00FD4FAA" w:rsidP="00550963">
            <w:pPr>
              <w:pStyle w:val="TableText"/>
              <w:rPr>
                <w:lang w:eastAsia="ja-JP"/>
              </w:rPr>
            </w:pPr>
            <w:r w:rsidRPr="00FD4FAA">
              <w:rPr>
                <w:lang w:eastAsia="ja-JP"/>
              </w:rPr>
              <w:t xml:space="preserve">2. Purpose [and scope] of the </w:t>
            </w:r>
            <w:r w:rsidR="00550963">
              <w:rPr>
                <w:lang w:eastAsia="ja-JP"/>
              </w:rPr>
              <w:t>a</w:t>
            </w:r>
            <w:r w:rsidRPr="00FD4FAA">
              <w:rPr>
                <w:lang w:eastAsia="ja-JP"/>
              </w:rPr>
              <w:t>greement</w:t>
            </w:r>
          </w:p>
        </w:tc>
        <w:tc>
          <w:tcPr>
            <w:tcW w:w="6371" w:type="dxa"/>
          </w:tcPr>
          <w:p w14:paraId="77E852FC" w14:textId="6B6ED2A1" w:rsidR="00FD4FAA" w:rsidRDefault="00FD4FAA" w:rsidP="00BC75DE">
            <w:pPr>
              <w:pStyle w:val="TableText"/>
              <w:widowControl w:val="0"/>
              <w:rPr>
                <w:lang w:eastAsia="ja-JP"/>
              </w:rPr>
            </w:pPr>
            <w:r w:rsidRPr="00FD4FAA">
              <w:rPr>
                <w:lang w:eastAsia="ja-JP"/>
              </w:rPr>
              <w:t xml:space="preserve">Should reflect the objective </w:t>
            </w:r>
            <w:r w:rsidR="00B0082A">
              <w:rPr>
                <w:lang w:eastAsia="ja-JP"/>
              </w:rPr>
              <w:t>of</w:t>
            </w:r>
            <w:r w:rsidRPr="00FD4FAA">
              <w:rPr>
                <w:lang w:eastAsia="ja-JP"/>
              </w:rPr>
              <w:t xml:space="preserve"> the agreement (see front page above) in 2.1.</w:t>
            </w:r>
          </w:p>
          <w:p w14:paraId="26C49817" w14:textId="4146949B" w:rsidR="00FD4FAA" w:rsidRDefault="00FD4FAA" w:rsidP="00BC75DE">
            <w:pPr>
              <w:pStyle w:val="TableText"/>
              <w:widowControl w:val="0"/>
              <w:rPr>
                <w:lang w:eastAsia="ja-JP"/>
              </w:rPr>
            </w:pPr>
            <w:r w:rsidRPr="00FD4FAA">
              <w:rPr>
                <w:lang w:eastAsia="ja-JP"/>
              </w:rPr>
              <w:t>Should include a statement on the scope of the agreement, identify the IGAB as a major element of the na</w:t>
            </w:r>
            <w:r w:rsidR="00550963">
              <w:rPr>
                <w:lang w:eastAsia="ja-JP"/>
              </w:rPr>
              <w:t>tional biosecurity architecture and</w:t>
            </w:r>
            <w:r w:rsidRPr="00FD4FAA">
              <w:rPr>
                <w:lang w:eastAsia="ja-JP"/>
              </w:rPr>
              <w:t xml:space="preserve"> acknowledge other major parties (industry and community).</w:t>
            </w:r>
          </w:p>
          <w:p w14:paraId="5F0B7EA6" w14:textId="456DD5C6" w:rsidR="00FD4FAA" w:rsidRDefault="00FD4FAA" w:rsidP="00BC75DE">
            <w:pPr>
              <w:pStyle w:val="TableText"/>
              <w:widowControl w:val="0"/>
              <w:rPr>
                <w:lang w:eastAsia="ja-JP"/>
              </w:rPr>
            </w:pPr>
            <w:r w:rsidRPr="00FD4FAA">
              <w:rPr>
                <w:lang w:eastAsia="ja-JP"/>
              </w:rPr>
              <w:t>2.2(ii)</w:t>
            </w:r>
            <w:r w:rsidR="00550963">
              <w:rPr>
                <w:lang w:eastAsia="ja-JP"/>
              </w:rPr>
              <w:t xml:space="preserve"> should focus on key components and</w:t>
            </w:r>
            <w:r w:rsidRPr="00FD4FAA">
              <w:rPr>
                <w:lang w:eastAsia="ja-JP"/>
              </w:rPr>
              <w:t xml:space="preserve"> refer to diseases transmitted between vertebrate and invertebrate animals and humans rather than zoonotic diseases</w:t>
            </w:r>
            <w:r w:rsidR="00D31C62">
              <w:rPr>
                <w:lang w:eastAsia="ja-JP"/>
              </w:rPr>
              <w:t>.</w:t>
            </w:r>
          </w:p>
          <w:p w14:paraId="57068D68" w14:textId="2071E643" w:rsidR="00FD4FAA" w:rsidRPr="00FD4FAA" w:rsidRDefault="00FD4FAA" w:rsidP="002D26D3">
            <w:pPr>
              <w:pStyle w:val="TableText"/>
              <w:widowControl w:val="0"/>
              <w:rPr>
                <w:lang w:eastAsia="ja-JP"/>
              </w:rPr>
            </w:pPr>
            <w:r w:rsidRPr="00FD4FAA">
              <w:rPr>
                <w:lang w:eastAsia="ja-JP"/>
              </w:rPr>
              <w:t xml:space="preserve">Should include the roles and responsibilities of </w:t>
            </w:r>
            <w:r w:rsidRPr="00550963">
              <w:rPr>
                <w:lang w:eastAsia="ja-JP"/>
              </w:rPr>
              <w:t xml:space="preserve">the </w:t>
            </w:r>
            <w:r w:rsidR="002D26D3" w:rsidRPr="00550963">
              <w:rPr>
                <w:lang w:eastAsia="ja-JP"/>
              </w:rPr>
              <w:t>Australian</w:t>
            </w:r>
            <w:r w:rsidRPr="00FD4FAA">
              <w:rPr>
                <w:lang w:eastAsia="ja-JP"/>
              </w:rPr>
              <w:t xml:space="preserve">, </w:t>
            </w:r>
            <w:r w:rsidR="002D26D3">
              <w:rPr>
                <w:lang w:eastAsia="ja-JP"/>
              </w:rPr>
              <w:t>state and t</w:t>
            </w:r>
            <w:r w:rsidRPr="00FD4FAA">
              <w:rPr>
                <w:lang w:eastAsia="ja-JP"/>
              </w:rPr>
              <w:t xml:space="preserve">erritory governments (including for domestic and international market access) within Strengthening the Working Partnership (currently </w:t>
            </w:r>
            <w:r w:rsidR="00550963">
              <w:rPr>
                <w:lang w:eastAsia="ja-JP"/>
              </w:rPr>
              <w:t>s</w:t>
            </w:r>
            <w:r w:rsidR="00C468AF">
              <w:rPr>
                <w:lang w:eastAsia="ja-JP"/>
              </w:rPr>
              <w:t>ection 7) as the basis for 2.2</w:t>
            </w:r>
            <w:r w:rsidRPr="00FD4FAA">
              <w:rPr>
                <w:lang w:eastAsia="ja-JP"/>
              </w:rPr>
              <w:t>(iii) remaining.</w:t>
            </w:r>
          </w:p>
        </w:tc>
      </w:tr>
      <w:tr w:rsidR="00FD4FAA" w:rsidRPr="00FD4FAA" w14:paraId="1C257746" w14:textId="77777777" w:rsidTr="00807218">
        <w:tc>
          <w:tcPr>
            <w:tcW w:w="2689" w:type="dxa"/>
          </w:tcPr>
          <w:p w14:paraId="09D4B193" w14:textId="77777777" w:rsidR="00FD4FAA" w:rsidRPr="00FD4FAA" w:rsidRDefault="00FD4FAA" w:rsidP="0058700D">
            <w:pPr>
              <w:pStyle w:val="TableText"/>
              <w:rPr>
                <w:lang w:eastAsia="ja-JP"/>
              </w:rPr>
            </w:pPr>
            <w:r w:rsidRPr="00FD4FAA">
              <w:rPr>
                <w:lang w:eastAsia="ja-JP"/>
              </w:rPr>
              <w:t>3. Principles underpinning the National Biosecurity System</w:t>
            </w:r>
          </w:p>
        </w:tc>
        <w:tc>
          <w:tcPr>
            <w:tcW w:w="6371" w:type="dxa"/>
          </w:tcPr>
          <w:p w14:paraId="3FAD1836" w14:textId="77777777" w:rsidR="00FD4FAA" w:rsidRDefault="00FD4FAA" w:rsidP="00BC75DE">
            <w:pPr>
              <w:pStyle w:val="TableText"/>
              <w:widowControl w:val="0"/>
              <w:rPr>
                <w:lang w:eastAsia="ja-JP"/>
              </w:rPr>
            </w:pPr>
            <w:r w:rsidRPr="00FD4FAA">
              <w:rPr>
                <w:lang w:eastAsia="ja-JP"/>
              </w:rPr>
              <w:t>Principles should be articulated before goal/objectives</w:t>
            </w:r>
            <w:r w:rsidR="00D31C62">
              <w:rPr>
                <w:lang w:eastAsia="ja-JP"/>
              </w:rPr>
              <w:t>.</w:t>
            </w:r>
          </w:p>
          <w:p w14:paraId="415605B3" w14:textId="77777777" w:rsidR="00D31C62" w:rsidRPr="00FD4FAA" w:rsidRDefault="00D31C62" w:rsidP="00BC75DE">
            <w:pPr>
              <w:pStyle w:val="TableText"/>
              <w:widowControl w:val="0"/>
              <w:rPr>
                <w:lang w:eastAsia="ja-JP"/>
              </w:rPr>
            </w:pPr>
            <w:r w:rsidRPr="00D31C62">
              <w:rPr>
                <w:lang w:eastAsia="ja-JP"/>
              </w:rPr>
              <w:t>Should include the principle of ecologically sustainable development</w:t>
            </w:r>
            <w:r>
              <w:rPr>
                <w:lang w:eastAsia="ja-JP"/>
              </w:rPr>
              <w:t>.</w:t>
            </w:r>
          </w:p>
        </w:tc>
      </w:tr>
      <w:tr w:rsidR="00FD4FAA" w:rsidRPr="00FD4FAA" w14:paraId="6A779175" w14:textId="77777777" w:rsidTr="00807218">
        <w:tc>
          <w:tcPr>
            <w:tcW w:w="2689" w:type="dxa"/>
          </w:tcPr>
          <w:p w14:paraId="645D8AB3" w14:textId="7E3F5101" w:rsidR="00FD4FAA" w:rsidRPr="00FD4FAA" w:rsidRDefault="00D31C62" w:rsidP="00550963">
            <w:pPr>
              <w:pStyle w:val="TableText"/>
              <w:rPr>
                <w:lang w:eastAsia="ja-JP"/>
              </w:rPr>
            </w:pPr>
            <w:r w:rsidRPr="00D31C62">
              <w:rPr>
                <w:lang w:eastAsia="ja-JP"/>
              </w:rPr>
              <w:lastRenderedPageBreak/>
              <w:t>4.</w:t>
            </w:r>
            <w:r w:rsidR="00615B8C">
              <w:rPr>
                <w:lang w:eastAsia="ja-JP"/>
              </w:rPr>
              <w:t xml:space="preserve"> </w:t>
            </w:r>
            <w:r w:rsidRPr="00D31C62">
              <w:rPr>
                <w:lang w:eastAsia="ja-JP"/>
              </w:rPr>
              <w:t xml:space="preserve">Goals and </w:t>
            </w:r>
            <w:r w:rsidR="00550963">
              <w:rPr>
                <w:lang w:eastAsia="ja-JP"/>
              </w:rPr>
              <w:t>o</w:t>
            </w:r>
            <w:r w:rsidRPr="00D31C62">
              <w:rPr>
                <w:lang w:eastAsia="ja-JP"/>
              </w:rPr>
              <w:t>bjectives of the National Biosecurity System</w:t>
            </w:r>
          </w:p>
        </w:tc>
        <w:tc>
          <w:tcPr>
            <w:tcW w:w="6371" w:type="dxa"/>
          </w:tcPr>
          <w:p w14:paraId="739EDFCC" w14:textId="15935976" w:rsidR="00D31C62" w:rsidRDefault="00D31C62" w:rsidP="00BC75DE">
            <w:pPr>
              <w:pStyle w:val="TableText"/>
              <w:widowControl w:val="0"/>
              <w:rPr>
                <w:lang w:eastAsia="ja-JP"/>
              </w:rPr>
            </w:pPr>
            <w:r w:rsidRPr="00D31C62">
              <w:rPr>
                <w:lang w:eastAsia="ja-JP"/>
              </w:rPr>
              <w:t xml:space="preserve">Include the following simplified goal: </w:t>
            </w:r>
            <w:r w:rsidRPr="00807218">
              <w:rPr>
                <w:i/>
                <w:lang w:eastAsia="ja-JP"/>
              </w:rPr>
              <w:t>The goal of the national biosecurity system is to minimise the impact of pests and diseases on Australia’s economy, environment and the community while facilitating trade and the movement of plants, animals, people and products.</w:t>
            </w:r>
          </w:p>
          <w:p w14:paraId="30FC8F18" w14:textId="1490C794" w:rsidR="00D31C62" w:rsidRDefault="00CB7F9A" w:rsidP="00BC75DE">
            <w:pPr>
              <w:pStyle w:val="TableText"/>
              <w:widowControl w:val="0"/>
              <w:rPr>
                <w:lang w:eastAsia="ja-JP"/>
              </w:rPr>
            </w:pPr>
            <w:r>
              <w:rPr>
                <w:lang w:eastAsia="ja-JP"/>
              </w:rPr>
              <w:t>In old 3.2 add ‘</w:t>
            </w:r>
            <w:r w:rsidR="00D31C62" w:rsidRPr="00807218">
              <w:rPr>
                <w:i/>
                <w:lang w:eastAsia="ja-JP"/>
              </w:rPr>
              <w:t>involving governments, industry and community</w:t>
            </w:r>
            <w:r>
              <w:rPr>
                <w:lang w:eastAsia="ja-JP"/>
              </w:rPr>
              <w:t>’</w:t>
            </w:r>
            <w:r w:rsidR="00D31C62" w:rsidRPr="00D31C62">
              <w:rPr>
                <w:lang w:eastAsia="ja-JP"/>
              </w:rPr>
              <w:t xml:space="preserve"> after frameworks</w:t>
            </w:r>
            <w:r w:rsidR="001451D2">
              <w:rPr>
                <w:lang w:eastAsia="ja-JP"/>
              </w:rPr>
              <w:t>.</w:t>
            </w:r>
          </w:p>
          <w:p w14:paraId="640A5A77" w14:textId="103A7B57" w:rsidR="00D31C62" w:rsidRDefault="00CB7F9A" w:rsidP="00BC75DE">
            <w:pPr>
              <w:pStyle w:val="TableText"/>
              <w:widowControl w:val="0"/>
              <w:rPr>
                <w:lang w:eastAsia="ja-JP"/>
              </w:rPr>
            </w:pPr>
            <w:r>
              <w:rPr>
                <w:lang w:eastAsia="ja-JP"/>
              </w:rPr>
              <w:t>In old 3.2</w:t>
            </w:r>
            <w:r w:rsidR="00D31C62" w:rsidRPr="00D31C62">
              <w:rPr>
                <w:lang w:eastAsia="ja-JP"/>
              </w:rPr>
              <w:t>(ii) add ‘</w:t>
            </w:r>
            <w:r w:rsidR="00D31C62" w:rsidRPr="00807218">
              <w:rPr>
                <w:i/>
                <w:lang w:eastAsia="ja-JP"/>
              </w:rPr>
              <w:t>to minimise impact</w:t>
            </w:r>
            <w:r w:rsidR="00D31C62" w:rsidRPr="00D31C62">
              <w:rPr>
                <w:lang w:eastAsia="ja-JP"/>
              </w:rPr>
              <w:t>’.</w:t>
            </w:r>
          </w:p>
          <w:p w14:paraId="7C3D83C2" w14:textId="75F4BE08" w:rsidR="00D31C62" w:rsidRDefault="00D31C62" w:rsidP="00BC75DE">
            <w:pPr>
              <w:pStyle w:val="TableText"/>
              <w:widowControl w:val="0"/>
              <w:rPr>
                <w:lang w:eastAsia="ja-JP"/>
              </w:rPr>
            </w:pPr>
            <w:r w:rsidRPr="00D31C62">
              <w:rPr>
                <w:lang w:eastAsia="ja-JP"/>
              </w:rPr>
              <w:t>Include the following s</w:t>
            </w:r>
            <w:r w:rsidR="00BD4E42">
              <w:rPr>
                <w:lang w:eastAsia="ja-JP"/>
              </w:rPr>
              <w:t>implified objective for old 3.2</w:t>
            </w:r>
            <w:r w:rsidRPr="00D31C62">
              <w:rPr>
                <w:lang w:eastAsia="ja-JP"/>
              </w:rPr>
              <w:t>(iii</w:t>
            </w:r>
            <w:r w:rsidRPr="00807218">
              <w:rPr>
                <w:lang w:eastAsia="ja-JP"/>
              </w:rPr>
              <w:t>):</w:t>
            </w:r>
            <w:r w:rsidRPr="00807218">
              <w:rPr>
                <w:i/>
                <w:lang w:eastAsia="ja-JP"/>
              </w:rPr>
              <w:t xml:space="preserve"> ensure that, where appropriate, national significant pests and diseases already in Australia are contained, suppressed or managed by relevant landowners</w:t>
            </w:r>
            <w:r w:rsidRPr="00D31C62">
              <w:rPr>
                <w:lang w:eastAsia="ja-JP"/>
              </w:rPr>
              <w:t>.</w:t>
            </w:r>
          </w:p>
          <w:p w14:paraId="5EF4A555" w14:textId="323E9A56" w:rsidR="00FD4FAA" w:rsidRPr="00FD4FAA" w:rsidRDefault="00D31C62" w:rsidP="00550963">
            <w:pPr>
              <w:pStyle w:val="TableText"/>
              <w:widowControl w:val="0"/>
              <w:rPr>
                <w:lang w:eastAsia="ja-JP"/>
              </w:rPr>
            </w:pPr>
            <w:r w:rsidRPr="00D31C62">
              <w:rPr>
                <w:lang w:eastAsia="ja-JP"/>
              </w:rPr>
              <w:t>Include the</w:t>
            </w:r>
            <w:r w:rsidR="00A96D66">
              <w:rPr>
                <w:lang w:eastAsia="ja-JP"/>
              </w:rPr>
              <w:t xml:space="preserve"> following new objective at 4.2</w:t>
            </w:r>
            <w:r w:rsidRPr="00D31C62">
              <w:rPr>
                <w:lang w:eastAsia="ja-JP"/>
              </w:rPr>
              <w:t xml:space="preserve">(iv): </w:t>
            </w:r>
            <w:r w:rsidRPr="00807218">
              <w:rPr>
                <w:i/>
                <w:lang w:eastAsia="ja-JP"/>
              </w:rPr>
              <w:t>enable</w:t>
            </w:r>
            <w:r w:rsidR="00942ACC">
              <w:rPr>
                <w:i/>
                <w:lang w:eastAsia="ja-JP"/>
              </w:rPr>
              <w:t xml:space="preserve"> international and domestic</w:t>
            </w:r>
            <w:r w:rsidRPr="00807218">
              <w:rPr>
                <w:i/>
                <w:lang w:eastAsia="ja-JP"/>
              </w:rPr>
              <w:t xml:space="preserve"> market access and tourism</w:t>
            </w:r>
            <w:r w:rsidR="00942ACC">
              <w:rPr>
                <w:i/>
                <w:lang w:eastAsia="ja-JP"/>
              </w:rPr>
              <w:t>.</w:t>
            </w:r>
          </w:p>
        </w:tc>
      </w:tr>
      <w:tr w:rsidR="00FD4FAA" w:rsidRPr="00FD4FAA" w14:paraId="143281E4" w14:textId="77777777" w:rsidTr="00807218">
        <w:tc>
          <w:tcPr>
            <w:tcW w:w="2689" w:type="dxa"/>
          </w:tcPr>
          <w:p w14:paraId="08141EB5" w14:textId="77777777" w:rsidR="00FD4FAA" w:rsidRPr="00FD4FAA" w:rsidRDefault="00D31C62" w:rsidP="0058700D">
            <w:pPr>
              <w:pStyle w:val="TableText"/>
              <w:rPr>
                <w:lang w:eastAsia="ja-JP"/>
              </w:rPr>
            </w:pPr>
            <w:r w:rsidRPr="00D31C62">
              <w:rPr>
                <w:lang w:eastAsia="ja-JP"/>
              </w:rPr>
              <w:t>5. System components</w:t>
            </w:r>
          </w:p>
        </w:tc>
        <w:tc>
          <w:tcPr>
            <w:tcW w:w="6371" w:type="dxa"/>
          </w:tcPr>
          <w:p w14:paraId="06EABA22" w14:textId="642C95F6" w:rsidR="00FD4FAA" w:rsidRDefault="00D31C62" w:rsidP="00BC75DE">
            <w:pPr>
              <w:pStyle w:val="TableText"/>
              <w:widowControl w:val="0"/>
              <w:rPr>
                <w:lang w:eastAsia="ja-JP"/>
              </w:rPr>
            </w:pPr>
            <w:r w:rsidRPr="00D31C62">
              <w:rPr>
                <w:lang w:eastAsia="ja-JP"/>
              </w:rPr>
              <w:t xml:space="preserve">Limit 5.1 to a short description of the components of the national biosecurity system, (currently a mix of components, features, principles, activities and outcomes). Include any key principles in 3. </w:t>
            </w:r>
            <w:r w:rsidR="001451D2">
              <w:rPr>
                <w:lang w:eastAsia="ja-JP"/>
              </w:rPr>
              <w:t>a</w:t>
            </w:r>
            <w:r w:rsidRPr="00D31C62">
              <w:rPr>
                <w:lang w:eastAsia="ja-JP"/>
              </w:rPr>
              <w:t>bove.</w:t>
            </w:r>
          </w:p>
          <w:p w14:paraId="75F35C8D" w14:textId="1812D28D" w:rsidR="00D31C62" w:rsidRPr="00FD4FAA" w:rsidRDefault="00D31C62" w:rsidP="00942ACC">
            <w:pPr>
              <w:pStyle w:val="TableText"/>
              <w:widowControl w:val="0"/>
              <w:rPr>
                <w:lang w:eastAsia="ja-JP"/>
              </w:rPr>
            </w:pPr>
            <w:r w:rsidRPr="00D31C62">
              <w:rPr>
                <w:lang w:eastAsia="ja-JP"/>
              </w:rPr>
              <w:t xml:space="preserve">Include the following new component in 5.2: </w:t>
            </w:r>
            <w:r w:rsidRPr="00807218">
              <w:rPr>
                <w:i/>
                <w:lang w:eastAsia="ja-JP"/>
              </w:rPr>
              <w:t>National list of exotic priority pests and diseases (animal, plant and environmental)</w:t>
            </w:r>
            <w:r>
              <w:rPr>
                <w:lang w:eastAsia="ja-JP"/>
              </w:rPr>
              <w:t>.</w:t>
            </w:r>
          </w:p>
        </w:tc>
      </w:tr>
      <w:tr w:rsidR="00FD4FAA" w:rsidRPr="00FD4FAA" w14:paraId="58DC5164" w14:textId="77777777" w:rsidTr="00807218">
        <w:tc>
          <w:tcPr>
            <w:tcW w:w="2689" w:type="dxa"/>
          </w:tcPr>
          <w:p w14:paraId="70ADB442" w14:textId="77777777" w:rsidR="00FD4FAA" w:rsidRPr="00FD4FAA" w:rsidRDefault="00D31C62" w:rsidP="0058700D">
            <w:pPr>
              <w:pStyle w:val="TableText"/>
              <w:rPr>
                <w:lang w:eastAsia="ja-JP"/>
              </w:rPr>
            </w:pPr>
            <w:r w:rsidRPr="00D31C62">
              <w:rPr>
                <w:lang w:eastAsia="ja-JP"/>
              </w:rPr>
              <w:t>6. Strengthening System components</w:t>
            </w:r>
          </w:p>
        </w:tc>
        <w:tc>
          <w:tcPr>
            <w:tcW w:w="6371" w:type="dxa"/>
          </w:tcPr>
          <w:p w14:paraId="52E93D2A" w14:textId="5973F0C4" w:rsidR="00FD4FAA" w:rsidRPr="00FD4FAA" w:rsidRDefault="00D31C62" w:rsidP="00445F21">
            <w:pPr>
              <w:pStyle w:val="TableText"/>
              <w:widowControl w:val="0"/>
              <w:rPr>
                <w:lang w:eastAsia="ja-JP"/>
              </w:rPr>
            </w:pPr>
            <w:r w:rsidRPr="00D31C62">
              <w:rPr>
                <w:lang w:eastAsia="ja-JP"/>
              </w:rPr>
              <w:t xml:space="preserve">Should simply read: </w:t>
            </w:r>
            <w:r w:rsidRPr="00807218">
              <w:rPr>
                <w:i/>
                <w:lang w:eastAsia="ja-JP"/>
              </w:rPr>
              <w:t xml:space="preserve">The Parties agree to further develop and continuously improve the national biosecurity system in accordance with the </w:t>
            </w:r>
            <w:r w:rsidR="00445F21">
              <w:rPr>
                <w:i/>
                <w:lang w:eastAsia="ja-JP"/>
              </w:rPr>
              <w:t>P</w:t>
            </w:r>
            <w:r w:rsidRPr="00807218">
              <w:rPr>
                <w:i/>
                <w:lang w:eastAsia="ja-JP"/>
              </w:rPr>
              <w:t xml:space="preserve">riority </w:t>
            </w:r>
            <w:r w:rsidR="00445F21">
              <w:rPr>
                <w:i/>
                <w:lang w:eastAsia="ja-JP"/>
              </w:rPr>
              <w:t>R</w:t>
            </w:r>
            <w:r w:rsidRPr="00807218">
              <w:rPr>
                <w:i/>
                <w:lang w:eastAsia="ja-JP"/>
              </w:rPr>
              <w:t xml:space="preserve">eform </w:t>
            </w:r>
            <w:r w:rsidR="00445F21">
              <w:rPr>
                <w:i/>
                <w:lang w:eastAsia="ja-JP"/>
              </w:rPr>
              <w:t>A</w:t>
            </w:r>
            <w:r w:rsidRPr="00807218">
              <w:rPr>
                <w:i/>
                <w:lang w:eastAsia="ja-JP"/>
              </w:rPr>
              <w:t xml:space="preserve">reas </w:t>
            </w:r>
            <w:r w:rsidR="00445F21">
              <w:rPr>
                <w:i/>
                <w:lang w:eastAsia="ja-JP"/>
              </w:rPr>
              <w:t>(</w:t>
            </w:r>
            <w:r w:rsidRPr="00807218">
              <w:rPr>
                <w:i/>
                <w:lang w:eastAsia="ja-JP"/>
              </w:rPr>
              <w:t>Schedule 1</w:t>
            </w:r>
            <w:r w:rsidR="00445F21">
              <w:rPr>
                <w:i/>
                <w:lang w:eastAsia="ja-JP"/>
              </w:rPr>
              <w:t>)</w:t>
            </w:r>
            <w:r w:rsidRPr="00807218">
              <w:rPr>
                <w:i/>
                <w:lang w:eastAsia="ja-JP"/>
              </w:rPr>
              <w:t xml:space="preserve"> </w:t>
            </w:r>
            <w:r w:rsidR="00942ACC">
              <w:rPr>
                <w:i/>
                <w:lang w:eastAsia="ja-JP"/>
              </w:rPr>
              <w:t xml:space="preserve">within their jurisdiction and in partnership with other Parties, </w:t>
            </w:r>
            <w:r w:rsidRPr="00807218">
              <w:rPr>
                <w:i/>
                <w:lang w:eastAsia="ja-JP"/>
              </w:rPr>
              <w:t>recognising that the rate of progress will be contingent on available resources</w:t>
            </w:r>
            <w:r w:rsidRPr="00D31C62">
              <w:rPr>
                <w:lang w:eastAsia="ja-JP"/>
              </w:rPr>
              <w:t>.</w:t>
            </w:r>
          </w:p>
        </w:tc>
      </w:tr>
      <w:tr w:rsidR="00FD4FAA" w:rsidRPr="00FD4FAA" w14:paraId="6DC08727" w14:textId="77777777" w:rsidTr="00807218">
        <w:tc>
          <w:tcPr>
            <w:tcW w:w="2689" w:type="dxa"/>
          </w:tcPr>
          <w:p w14:paraId="172B6111" w14:textId="77777777" w:rsidR="00FD4FAA" w:rsidRPr="00FD4FAA" w:rsidRDefault="00D31C62" w:rsidP="0058700D">
            <w:pPr>
              <w:pStyle w:val="TableText"/>
              <w:rPr>
                <w:lang w:eastAsia="ja-JP"/>
              </w:rPr>
            </w:pPr>
            <w:r w:rsidRPr="00D31C62">
              <w:rPr>
                <w:lang w:eastAsia="ja-JP"/>
              </w:rPr>
              <w:t>7. Strengthening the working partnership</w:t>
            </w:r>
          </w:p>
        </w:tc>
        <w:tc>
          <w:tcPr>
            <w:tcW w:w="6371" w:type="dxa"/>
          </w:tcPr>
          <w:p w14:paraId="763786B0" w14:textId="7AC3C30B" w:rsidR="00FD4FAA" w:rsidRDefault="00D31C62" w:rsidP="00BC75DE">
            <w:pPr>
              <w:pStyle w:val="TableText"/>
              <w:widowControl w:val="0"/>
              <w:rPr>
                <w:lang w:eastAsia="ja-JP"/>
              </w:rPr>
            </w:pPr>
            <w:r w:rsidRPr="00D31C62">
              <w:rPr>
                <w:lang w:eastAsia="ja-JP"/>
              </w:rPr>
              <w:t xml:space="preserve">7.2 should read: </w:t>
            </w:r>
            <w:r w:rsidRPr="00807218">
              <w:rPr>
                <w:i/>
                <w:lang w:eastAsia="ja-JP"/>
              </w:rPr>
              <w:t>The foundation of institutional relationships and arrangements between governments and the agricultural sector is already well developed.</w:t>
            </w:r>
            <w:r w:rsidR="00615B8C">
              <w:rPr>
                <w:i/>
                <w:lang w:eastAsia="ja-JP"/>
              </w:rPr>
              <w:t xml:space="preserve"> </w:t>
            </w:r>
            <w:r w:rsidR="00550963">
              <w:rPr>
                <w:i/>
                <w:lang w:eastAsia="ja-JP"/>
              </w:rPr>
              <w:t>This a</w:t>
            </w:r>
            <w:r w:rsidRPr="00807218">
              <w:rPr>
                <w:i/>
                <w:lang w:eastAsia="ja-JP"/>
              </w:rPr>
              <w:t xml:space="preserve">greement and the </w:t>
            </w:r>
            <w:r w:rsidR="00B0082A">
              <w:rPr>
                <w:i/>
                <w:lang w:eastAsia="ja-JP"/>
              </w:rPr>
              <w:t>P</w:t>
            </w:r>
            <w:r w:rsidRPr="00807218">
              <w:rPr>
                <w:i/>
                <w:lang w:eastAsia="ja-JP"/>
              </w:rPr>
              <w:t xml:space="preserve">riority </w:t>
            </w:r>
            <w:r w:rsidR="00B0082A">
              <w:rPr>
                <w:i/>
                <w:lang w:eastAsia="ja-JP"/>
              </w:rPr>
              <w:t>R</w:t>
            </w:r>
            <w:r w:rsidRPr="00807218">
              <w:rPr>
                <w:i/>
                <w:lang w:eastAsia="ja-JP"/>
              </w:rPr>
              <w:t xml:space="preserve">eform </w:t>
            </w:r>
            <w:r w:rsidR="00B0082A">
              <w:rPr>
                <w:i/>
                <w:lang w:eastAsia="ja-JP"/>
              </w:rPr>
              <w:t>A</w:t>
            </w:r>
            <w:r w:rsidRPr="00807218">
              <w:rPr>
                <w:i/>
                <w:lang w:eastAsia="ja-JP"/>
              </w:rPr>
              <w:t xml:space="preserve">reas </w:t>
            </w:r>
            <w:r w:rsidR="00B0082A">
              <w:rPr>
                <w:i/>
                <w:lang w:eastAsia="ja-JP"/>
              </w:rPr>
              <w:t xml:space="preserve">(Schedule 1) </w:t>
            </w:r>
            <w:r w:rsidRPr="00807218">
              <w:rPr>
                <w:i/>
                <w:lang w:eastAsia="ja-JP"/>
              </w:rPr>
              <w:t>will build on these and strengthen arrangements with</w:t>
            </w:r>
            <w:r w:rsidR="00B0082A">
              <w:rPr>
                <w:i/>
                <w:lang w:eastAsia="ja-JP"/>
              </w:rPr>
              <w:t xml:space="preserve"> other industries and</w:t>
            </w:r>
            <w:r w:rsidR="00656EDF">
              <w:rPr>
                <w:i/>
                <w:lang w:eastAsia="ja-JP"/>
              </w:rPr>
              <w:t xml:space="preserve"> </w:t>
            </w:r>
            <w:r w:rsidRPr="00807218">
              <w:rPr>
                <w:i/>
                <w:lang w:eastAsia="ja-JP"/>
              </w:rPr>
              <w:t>the broader community</w:t>
            </w:r>
            <w:r w:rsidRPr="00D31C62">
              <w:rPr>
                <w:lang w:eastAsia="ja-JP"/>
              </w:rPr>
              <w:t>.</w:t>
            </w:r>
          </w:p>
          <w:p w14:paraId="554FE428" w14:textId="187E43A2" w:rsidR="001451D2" w:rsidRDefault="00D31C62" w:rsidP="00BC75DE">
            <w:pPr>
              <w:pStyle w:val="TableText"/>
              <w:widowControl w:val="0"/>
              <w:rPr>
                <w:lang w:eastAsia="ja-JP"/>
              </w:rPr>
            </w:pPr>
            <w:r w:rsidRPr="00D31C62">
              <w:rPr>
                <w:lang w:eastAsia="ja-JP"/>
              </w:rPr>
              <w:t>7.3</w:t>
            </w:r>
            <w:r w:rsidR="00202C10">
              <w:rPr>
                <w:lang w:eastAsia="ja-JP"/>
              </w:rPr>
              <w:t>–</w:t>
            </w:r>
            <w:r w:rsidRPr="00D31C62">
              <w:rPr>
                <w:lang w:eastAsia="ja-JP"/>
              </w:rPr>
              <w:t>7.5 concerning national</w:t>
            </w:r>
            <w:r w:rsidR="001451D2">
              <w:rPr>
                <w:lang w:eastAsia="ja-JP"/>
              </w:rPr>
              <w:t xml:space="preserve"> appointments are now redundant.</w:t>
            </w:r>
          </w:p>
          <w:p w14:paraId="1AE12459" w14:textId="711D9F89" w:rsidR="00D31C62" w:rsidRDefault="00D31C62" w:rsidP="00BC75DE">
            <w:pPr>
              <w:pStyle w:val="TableText"/>
              <w:widowControl w:val="0"/>
              <w:rPr>
                <w:lang w:eastAsia="ja-JP"/>
              </w:rPr>
            </w:pPr>
            <w:r w:rsidRPr="00D31C62">
              <w:rPr>
                <w:lang w:eastAsia="ja-JP"/>
              </w:rPr>
              <w:t>International responsibilities should include Australia’s commitment to the Con</w:t>
            </w:r>
            <w:r w:rsidR="001451D2">
              <w:rPr>
                <w:lang w:eastAsia="ja-JP"/>
              </w:rPr>
              <w:t>vention on Biological Diversity.</w:t>
            </w:r>
          </w:p>
          <w:p w14:paraId="4A3C1E08" w14:textId="04AB56C9" w:rsidR="00D31C62" w:rsidRDefault="00D31C62" w:rsidP="00BC75DE">
            <w:pPr>
              <w:pStyle w:val="TableText"/>
              <w:widowControl w:val="0"/>
              <w:rPr>
                <w:lang w:eastAsia="ja-JP"/>
              </w:rPr>
            </w:pPr>
            <w:r w:rsidRPr="00D31C62">
              <w:rPr>
                <w:lang w:eastAsia="ja-JP"/>
              </w:rPr>
              <w:t>7.13 should refer to the PITMATD as the vehicle for state/territory consultation.</w:t>
            </w:r>
          </w:p>
          <w:p w14:paraId="7F58FF7B" w14:textId="7D4914CA" w:rsidR="00D31C62" w:rsidRDefault="00D31C62" w:rsidP="00BC75DE">
            <w:pPr>
              <w:pStyle w:val="TableText"/>
              <w:widowControl w:val="0"/>
              <w:rPr>
                <w:lang w:eastAsia="ja-JP"/>
              </w:rPr>
            </w:pPr>
            <w:r w:rsidRPr="00D31C62">
              <w:rPr>
                <w:lang w:eastAsia="ja-JP"/>
              </w:rPr>
              <w:t>7.18</w:t>
            </w:r>
            <w:r w:rsidR="00202C10">
              <w:rPr>
                <w:lang w:eastAsia="ja-JP"/>
              </w:rPr>
              <w:t>–</w:t>
            </w:r>
            <w:r w:rsidRPr="00D31C62">
              <w:rPr>
                <w:lang w:eastAsia="ja-JP"/>
              </w:rPr>
              <w:t xml:space="preserve">7.19 should be </w:t>
            </w:r>
            <w:r w:rsidR="00942ACC">
              <w:rPr>
                <w:lang w:eastAsia="ja-JP"/>
              </w:rPr>
              <w:t>removed</w:t>
            </w:r>
            <w:r w:rsidRPr="00D31C62">
              <w:rPr>
                <w:lang w:eastAsia="ja-JP"/>
              </w:rPr>
              <w:t>.</w:t>
            </w:r>
          </w:p>
          <w:p w14:paraId="144E0513" w14:textId="0550ECDC" w:rsidR="00D31C62" w:rsidRDefault="00D31C62" w:rsidP="00BC75DE">
            <w:pPr>
              <w:pStyle w:val="TableText"/>
              <w:widowControl w:val="0"/>
              <w:rPr>
                <w:lang w:eastAsia="ja-JP"/>
              </w:rPr>
            </w:pPr>
            <w:r w:rsidRPr="00D31C62">
              <w:rPr>
                <w:lang w:eastAsia="ja-JP"/>
              </w:rPr>
              <w:t xml:space="preserve">Should </w:t>
            </w:r>
            <w:r w:rsidR="00A53F83">
              <w:rPr>
                <w:lang w:eastAsia="ja-JP"/>
              </w:rPr>
              <w:t xml:space="preserve">insert </w:t>
            </w:r>
            <w:r w:rsidRPr="00D31C62">
              <w:rPr>
                <w:lang w:eastAsia="ja-JP"/>
              </w:rPr>
              <w:t>a section on ‘Core Commitments’</w:t>
            </w:r>
            <w:r w:rsidR="00793A19">
              <w:rPr>
                <w:lang w:eastAsia="ja-JP"/>
              </w:rPr>
              <w:t xml:space="preserve">, </w:t>
            </w:r>
            <w:r w:rsidR="00A53F83">
              <w:rPr>
                <w:lang w:eastAsia="ja-JP"/>
              </w:rPr>
              <w:t>which includes articulation of the following</w:t>
            </w:r>
            <w:r w:rsidRPr="00D31C62">
              <w:rPr>
                <w:lang w:eastAsia="ja-JP"/>
              </w:rPr>
              <w:t>:</w:t>
            </w:r>
          </w:p>
          <w:p w14:paraId="10257941" w14:textId="7A8AD289" w:rsidR="00D31C62" w:rsidRDefault="00550963" w:rsidP="00BC75DE">
            <w:pPr>
              <w:pStyle w:val="TableBullet"/>
              <w:widowControl w:val="0"/>
              <w:rPr>
                <w:lang w:eastAsia="ja-JP"/>
              </w:rPr>
            </w:pPr>
            <w:r>
              <w:rPr>
                <w:lang w:eastAsia="ja-JP"/>
              </w:rPr>
              <w:t>a</w:t>
            </w:r>
            <w:r w:rsidR="00942ACC">
              <w:rPr>
                <w:lang w:eastAsia="ja-JP"/>
              </w:rPr>
              <w:t xml:space="preserve"> commitment to meet their obligations under the </w:t>
            </w:r>
            <w:r w:rsidR="00D31C62" w:rsidRPr="00D31C62">
              <w:rPr>
                <w:lang w:eastAsia="ja-JP"/>
              </w:rPr>
              <w:t>IGAB, for which they undertake to be accountable</w:t>
            </w:r>
          </w:p>
          <w:p w14:paraId="08A973CE" w14:textId="77777777" w:rsidR="00D31C62" w:rsidRDefault="00D31C62" w:rsidP="00BC75DE">
            <w:pPr>
              <w:pStyle w:val="TableBullet"/>
              <w:widowControl w:val="0"/>
              <w:rPr>
                <w:lang w:eastAsia="ja-JP"/>
              </w:rPr>
            </w:pPr>
            <w:r w:rsidRPr="00D31C62">
              <w:rPr>
                <w:lang w:eastAsia="ja-JP"/>
              </w:rPr>
              <w:t>a commitment to support financially, decisions agreed to under animal, plant, and environment emergency response deeds</w:t>
            </w:r>
          </w:p>
          <w:p w14:paraId="67CC5A5C" w14:textId="77777777" w:rsidR="00D31C62" w:rsidRDefault="00D31C62" w:rsidP="00BC75DE">
            <w:pPr>
              <w:pStyle w:val="TableBullet"/>
              <w:widowControl w:val="0"/>
              <w:rPr>
                <w:lang w:eastAsia="ja-JP"/>
              </w:rPr>
            </w:pPr>
            <w:r w:rsidRPr="00D31C62">
              <w:rPr>
                <w:lang w:eastAsia="ja-JP"/>
              </w:rPr>
              <w:t>a commitment to data and knowledge sharing between jurisdictions</w:t>
            </w:r>
          </w:p>
          <w:p w14:paraId="25B361ED" w14:textId="77777777" w:rsidR="00D31C62" w:rsidRPr="00FD4FAA" w:rsidRDefault="00D31C62" w:rsidP="00BC75DE">
            <w:pPr>
              <w:pStyle w:val="TableBullet"/>
              <w:widowControl w:val="0"/>
              <w:rPr>
                <w:lang w:eastAsia="ja-JP"/>
              </w:rPr>
            </w:pPr>
            <w:r w:rsidRPr="00D31C62">
              <w:rPr>
                <w:lang w:eastAsia="ja-JP"/>
              </w:rPr>
              <w:t>a commitment to ongoing stakeholder engagement and communication, with activities scrutinised as part of jurisdictional evaluations under the IGAB.</w:t>
            </w:r>
          </w:p>
        </w:tc>
      </w:tr>
      <w:tr w:rsidR="00FD4FAA" w:rsidRPr="00FD4FAA" w14:paraId="5CE8615B" w14:textId="77777777" w:rsidTr="00807218">
        <w:tc>
          <w:tcPr>
            <w:tcW w:w="2689" w:type="dxa"/>
          </w:tcPr>
          <w:p w14:paraId="0E0DDD01" w14:textId="25A073B8" w:rsidR="00FD4FAA" w:rsidRPr="0058700D" w:rsidRDefault="00550963" w:rsidP="0058700D">
            <w:pPr>
              <w:pStyle w:val="TableText"/>
            </w:pPr>
            <w:r>
              <w:t>8. Implementing the a</w:t>
            </w:r>
            <w:r w:rsidR="00D31C62" w:rsidRPr="0058700D">
              <w:t>greement</w:t>
            </w:r>
          </w:p>
        </w:tc>
        <w:tc>
          <w:tcPr>
            <w:tcW w:w="6371" w:type="dxa"/>
          </w:tcPr>
          <w:p w14:paraId="44E43053" w14:textId="4E5B1B2D" w:rsidR="00FD4FAA" w:rsidRDefault="00D31C62" w:rsidP="00BC75DE">
            <w:pPr>
              <w:pStyle w:val="TableText"/>
              <w:widowControl w:val="0"/>
              <w:rPr>
                <w:lang w:eastAsia="ja-JP"/>
              </w:rPr>
            </w:pPr>
            <w:r w:rsidRPr="00D31C62">
              <w:rPr>
                <w:lang w:eastAsia="ja-JP"/>
              </w:rPr>
              <w:t xml:space="preserve">Should succinctly outline governance arrangements and responsibilities for implementation and administration by AGMIN, AGSOC and </w:t>
            </w:r>
            <w:r w:rsidR="00807740">
              <w:rPr>
                <w:lang w:eastAsia="ja-JP"/>
              </w:rPr>
              <w:t xml:space="preserve">the </w:t>
            </w:r>
            <w:r w:rsidRPr="00D31C62">
              <w:rPr>
                <w:lang w:eastAsia="ja-JP"/>
              </w:rPr>
              <w:t>NBC.</w:t>
            </w:r>
          </w:p>
          <w:p w14:paraId="011ECC81" w14:textId="4A68CAAF" w:rsidR="00D31C62" w:rsidRDefault="00D31C62" w:rsidP="00BC75DE">
            <w:pPr>
              <w:pStyle w:val="TableText"/>
              <w:widowControl w:val="0"/>
              <w:rPr>
                <w:lang w:eastAsia="ja-JP"/>
              </w:rPr>
            </w:pPr>
            <w:r w:rsidRPr="00D31C62">
              <w:rPr>
                <w:lang w:eastAsia="ja-JP"/>
              </w:rPr>
              <w:t xml:space="preserve">Should </w:t>
            </w:r>
            <w:r w:rsidR="00013D2C">
              <w:rPr>
                <w:lang w:eastAsia="ja-JP"/>
              </w:rPr>
              <w:t>constitute and authorise</w:t>
            </w:r>
            <w:r w:rsidR="004013C2">
              <w:rPr>
                <w:lang w:eastAsia="ja-JP"/>
              </w:rPr>
              <w:t xml:space="preserve"> the</w:t>
            </w:r>
            <w:r w:rsidRPr="00D31C62">
              <w:rPr>
                <w:lang w:eastAsia="ja-JP"/>
              </w:rPr>
              <w:t xml:space="preserve"> NBC and include its terms of reference as a Schedule.</w:t>
            </w:r>
          </w:p>
          <w:p w14:paraId="15981701" w14:textId="77777777" w:rsidR="00D31C62" w:rsidRDefault="00D31C62" w:rsidP="00BC75DE">
            <w:pPr>
              <w:pStyle w:val="TableText"/>
              <w:widowControl w:val="0"/>
              <w:rPr>
                <w:lang w:eastAsia="ja-JP"/>
              </w:rPr>
            </w:pPr>
            <w:r w:rsidRPr="00D31C62">
              <w:rPr>
                <w:lang w:eastAsia="ja-JP"/>
              </w:rPr>
              <w:t>8.1</w:t>
            </w:r>
            <w:r w:rsidR="00202C10">
              <w:rPr>
                <w:lang w:eastAsia="ja-JP"/>
              </w:rPr>
              <w:t>–</w:t>
            </w:r>
            <w:r w:rsidRPr="00D31C62">
              <w:rPr>
                <w:lang w:eastAsia="ja-JP"/>
              </w:rPr>
              <w:t>8.2 should identify ‘lead’ and ‘supporting’ biosecurity ministers and agencies and require formal mechanisms between agencies to define the relationship, roles and responsibilities, information flows, deliverables and resources.</w:t>
            </w:r>
          </w:p>
          <w:p w14:paraId="06B7464D" w14:textId="697A3D0E" w:rsidR="00D31C62" w:rsidRDefault="00615B8C" w:rsidP="00BC75DE">
            <w:pPr>
              <w:pStyle w:val="TableText"/>
              <w:widowControl w:val="0"/>
              <w:rPr>
                <w:lang w:eastAsia="ja-JP"/>
              </w:rPr>
            </w:pPr>
            <w:r>
              <w:rPr>
                <w:lang w:eastAsia="ja-JP"/>
              </w:rPr>
              <w:t xml:space="preserve">8.3 Should state: </w:t>
            </w:r>
            <w:r w:rsidR="00D31C62" w:rsidRPr="00807218">
              <w:rPr>
                <w:i/>
                <w:lang w:eastAsia="ja-JP"/>
              </w:rPr>
              <w:t>This agreement will commence operation on the date it is signed</w:t>
            </w:r>
            <w:r w:rsidR="00D31C62" w:rsidRPr="00D31C62">
              <w:rPr>
                <w:lang w:eastAsia="ja-JP"/>
              </w:rPr>
              <w:t>.</w:t>
            </w:r>
          </w:p>
          <w:p w14:paraId="4010BB25" w14:textId="77777777" w:rsidR="00D31C62" w:rsidRPr="00FD4FAA" w:rsidRDefault="00D31C62" w:rsidP="00BC75DE">
            <w:pPr>
              <w:pStyle w:val="TableText"/>
              <w:widowControl w:val="0"/>
              <w:rPr>
                <w:lang w:eastAsia="ja-JP"/>
              </w:rPr>
            </w:pPr>
            <w:r w:rsidRPr="00D31C62">
              <w:rPr>
                <w:lang w:eastAsia="ja-JP"/>
              </w:rPr>
              <w:t>Should succinctly outline the procedure for including new and amending existing IGAB clauses.</w:t>
            </w:r>
          </w:p>
        </w:tc>
      </w:tr>
      <w:tr w:rsidR="00FD4FAA" w:rsidRPr="00FD4FAA" w14:paraId="6DD79CC6" w14:textId="77777777" w:rsidTr="00807218">
        <w:tc>
          <w:tcPr>
            <w:tcW w:w="2689" w:type="dxa"/>
          </w:tcPr>
          <w:p w14:paraId="59EBB939" w14:textId="43CB68C0" w:rsidR="00FD4FAA" w:rsidRPr="0058700D" w:rsidRDefault="00D31C62" w:rsidP="00550963">
            <w:pPr>
              <w:pStyle w:val="TableText"/>
            </w:pPr>
            <w:r w:rsidRPr="0058700D">
              <w:lastRenderedPageBreak/>
              <w:t xml:space="preserve">9. (new) Performance and </w:t>
            </w:r>
            <w:r w:rsidR="00550963">
              <w:t>r</w:t>
            </w:r>
            <w:r w:rsidRPr="0058700D">
              <w:t>eporting</w:t>
            </w:r>
          </w:p>
        </w:tc>
        <w:tc>
          <w:tcPr>
            <w:tcW w:w="6371" w:type="dxa"/>
          </w:tcPr>
          <w:p w14:paraId="432D9F64" w14:textId="77777777" w:rsidR="00FD4FAA" w:rsidRDefault="00D31C62" w:rsidP="00BC75DE">
            <w:pPr>
              <w:pStyle w:val="TableText"/>
              <w:widowControl w:val="0"/>
              <w:rPr>
                <w:lang w:eastAsia="ja-JP"/>
              </w:rPr>
            </w:pPr>
            <w:r w:rsidRPr="00D31C62">
              <w:rPr>
                <w:lang w:eastAsia="ja-JP"/>
              </w:rPr>
              <w:t>Should include and authorise the following:</w:t>
            </w:r>
          </w:p>
          <w:p w14:paraId="48489772" w14:textId="4DB646F6" w:rsidR="00D31C62" w:rsidRDefault="00D31C62" w:rsidP="00BC75DE">
            <w:pPr>
              <w:pStyle w:val="TableText"/>
              <w:widowControl w:val="0"/>
              <w:rPr>
                <w:lang w:eastAsia="ja-JP"/>
              </w:rPr>
            </w:pPr>
            <w:r w:rsidRPr="00D31C62">
              <w:rPr>
                <w:lang w:eastAsia="ja-JP"/>
              </w:rPr>
              <w:t>1.</w:t>
            </w:r>
            <w:r w:rsidR="00807218">
              <w:rPr>
                <w:lang w:eastAsia="ja-JP"/>
              </w:rPr>
              <w:t xml:space="preserve"> </w:t>
            </w:r>
            <w:r w:rsidRPr="00D31C62">
              <w:rPr>
                <w:lang w:eastAsia="ja-JP"/>
              </w:rPr>
              <w:t>Annual reporting to ministers on implementation of the IGAB priority reform areas, to be made public</w:t>
            </w:r>
            <w:r w:rsidR="00402D24">
              <w:rPr>
                <w:lang w:eastAsia="ja-JP"/>
              </w:rPr>
              <w:t xml:space="preserve"> upon ministerial consideration</w:t>
            </w:r>
            <w:r w:rsidRPr="00D31C62">
              <w:rPr>
                <w:lang w:eastAsia="ja-JP"/>
              </w:rPr>
              <w:t>.</w:t>
            </w:r>
          </w:p>
          <w:p w14:paraId="23E6BB45" w14:textId="4E388D49" w:rsidR="00D31C62" w:rsidRDefault="00D31C62" w:rsidP="00BC75DE">
            <w:pPr>
              <w:pStyle w:val="TableText"/>
              <w:widowControl w:val="0"/>
              <w:rPr>
                <w:lang w:eastAsia="ja-JP"/>
              </w:rPr>
            </w:pPr>
            <w:r w:rsidRPr="00D31C62">
              <w:rPr>
                <w:lang w:eastAsia="ja-JP"/>
              </w:rPr>
              <w:t>2.</w:t>
            </w:r>
            <w:r w:rsidR="00807218">
              <w:rPr>
                <w:lang w:eastAsia="ja-JP"/>
              </w:rPr>
              <w:t xml:space="preserve"> </w:t>
            </w:r>
            <w:r w:rsidRPr="00D31C62">
              <w:rPr>
                <w:lang w:eastAsia="ja-JP"/>
              </w:rPr>
              <w:t xml:space="preserve">Establishment of a program of </w:t>
            </w:r>
            <w:r w:rsidR="00A509BB">
              <w:rPr>
                <w:lang w:eastAsia="ja-JP"/>
              </w:rPr>
              <w:t xml:space="preserve">independent </w:t>
            </w:r>
            <w:r w:rsidRPr="00D31C62">
              <w:rPr>
                <w:lang w:eastAsia="ja-JP"/>
              </w:rPr>
              <w:t>evaluation</w:t>
            </w:r>
            <w:r w:rsidR="00E85DA4">
              <w:rPr>
                <w:lang w:eastAsia="ja-JP"/>
              </w:rPr>
              <w:t xml:space="preserve">s to </w:t>
            </w:r>
            <w:r w:rsidR="00D102A2">
              <w:rPr>
                <w:lang w:eastAsia="ja-JP"/>
              </w:rPr>
              <w:t>assess</w:t>
            </w:r>
            <w:r w:rsidR="00E85DA4">
              <w:rPr>
                <w:lang w:eastAsia="ja-JP"/>
              </w:rPr>
              <w:t xml:space="preserve"> and report </w:t>
            </w:r>
            <w:r w:rsidRPr="00D31C62">
              <w:rPr>
                <w:lang w:eastAsia="ja-JP"/>
              </w:rPr>
              <w:t>on implementation of jurisdicti</w:t>
            </w:r>
            <w:r w:rsidR="00A031BF">
              <w:rPr>
                <w:lang w:eastAsia="ja-JP"/>
              </w:rPr>
              <w:t>ons’ commitments under the IGAB, to be made public following ministerial consideration.</w:t>
            </w:r>
          </w:p>
          <w:p w14:paraId="65AB0B26" w14:textId="77777777" w:rsidR="00D31C62" w:rsidRPr="00FD4FAA" w:rsidRDefault="00D31C62" w:rsidP="00BC75DE">
            <w:pPr>
              <w:pStyle w:val="TableText"/>
              <w:widowControl w:val="0"/>
              <w:rPr>
                <w:lang w:eastAsia="ja-JP"/>
              </w:rPr>
            </w:pPr>
            <w:r w:rsidRPr="00D31C62">
              <w:rPr>
                <w:lang w:eastAsia="ja-JP"/>
              </w:rPr>
              <w:t>3.</w:t>
            </w:r>
            <w:r w:rsidR="00807218">
              <w:rPr>
                <w:lang w:eastAsia="ja-JP"/>
              </w:rPr>
              <w:t xml:space="preserve"> </w:t>
            </w:r>
            <w:r w:rsidRPr="00D31C62">
              <w:rPr>
                <w:lang w:eastAsia="ja-JP"/>
              </w:rPr>
              <w:t>A periodic, independent assessment of the effectiveness of IGAB (drawing on 1 and 2 above), to be made public.</w:t>
            </w:r>
          </w:p>
        </w:tc>
      </w:tr>
      <w:tr w:rsidR="00FD4FAA" w:rsidRPr="00FD4FAA" w14:paraId="190EB979" w14:textId="77777777" w:rsidTr="00807218">
        <w:tc>
          <w:tcPr>
            <w:tcW w:w="2689" w:type="dxa"/>
          </w:tcPr>
          <w:p w14:paraId="03A64E52" w14:textId="111B3254" w:rsidR="00FD4FAA" w:rsidRPr="0058700D" w:rsidRDefault="0081484D" w:rsidP="0058700D">
            <w:pPr>
              <w:pStyle w:val="TableText"/>
            </w:pPr>
            <w:r w:rsidRPr="0058700D">
              <w:t>Schedules</w:t>
            </w:r>
          </w:p>
        </w:tc>
        <w:tc>
          <w:tcPr>
            <w:tcW w:w="6371" w:type="dxa"/>
          </w:tcPr>
          <w:p w14:paraId="1E1752F8" w14:textId="757FDF14" w:rsidR="0081484D" w:rsidRDefault="0081484D" w:rsidP="00BC75DE">
            <w:pPr>
              <w:pStyle w:val="TableText"/>
              <w:widowControl w:val="0"/>
              <w:rPr>
                <w:lang w:eastAsia="ja-JP"/>
              </w:rPr>
            </w:pPr>
            <w:r w:rsidRPr="0081484D">
              <w:rPr>
                <w:lang w:eastAsia="ja-JP"/>
              </w:rPr>
              <w:t xml:space="preserve">Should include </w:t>
            </w:r>
            <w:r w:rsidR="00275334">
              <w:rPr>
                <w:lang w:eastAsia="ja-JP"/>
              </w:rPr>
              <w:t>three</w:t>
            </w:r>
            <w:r w:rsidR="00275334" w:rsidRPr="0081484D">
              <w:rPr>
                <w:lang w:eastAsia="ja-JP"/>
              </w:rPr>
              <w:t xml:space="preserve"> </w:t>
            </w:r>
            <w:r w:rsidRPr="0081484D">
              <w:rPr>
                <w:lang w:eastAsia="ja-JP"/>
              </w:rPr>
              <w:t>schedules only:</w:t>
            </w:r>
          </w:p>
          <w:p w14:paraId="7FD6A9E4" w14:textId="77777777" w:rsidR="0081484D" w:rsidRDefault="0081484D" w:rsidP="00BC75DE">
            <w:pPr>
              <w:pStyle w:val="TableText"/>
              <w:widowControl w:val="0"/>
              <w:rPr>
                <w:lang w:eastAsia="ja-JP"/>
              </w:rPr>
            </w:pPr>
            <w:r w:rsidRPr="0081484D">
              <w:rPr>
                <w:lang w:eastAsia="ja-JP"/>
              </w:rPr>
              <w:t>1.</w:t>
            </w:r>
            <w:r w:rsidR="00807218">
              <w:rPr>
                <w:lang w:eastAsia="ja-JP"/>
              </w:rPr>
              <w:t xml:space="preserve"> </w:t>
            </w:r>
            <w:r w:rsidR="004013C2">
              <w:rPr>
                <w:lang w:eastAsia="ja-JP"/>
              </w:rPr>
              <w:t xml:space="preserve">The </w:t>
            </w:r>
            <w:r w:rsidRPr="0081484D">
              <w:rPr>
                <w:lang w:eastAsia="ja-JP"/>
              </w:rPr>
              <w:t>IGAB Priority Reform Areas</w:t>
            </w:r>
            <w:r w:rsidR="004013C2">
              <w:rPr>
                <w:lang w:eastAsia="ja-JP"/>
              </w:rPr>
              <w:t>.</w:t>
            </w:r>
          </w:p>
          <w:p w14:paraId="694079B3" w14:textId="77777777" w:rsidR="0081484D" w:rsidRDefault="0081484D" w:rsidP="00BC75DE">
            <w:pPr>
              <w:pStyle w:val="TableText"/>
              <w:widowControl w:val="0"/>
              <w:rPr>
                <w:lang w:eastAsia="ja-JP"/>
              </w:rPr>
            </w:pPr>
            <w:r w:rsidRPr="0081484D">
              <w:rPr>
                <w:lang w:eastAsia="ja-JP"/>
              </w:rPr>
              <w:t>2.</w:t>
            </w:r>
            <w:r w:rsidR="00807218">
              <w:rPr>
                <w:lang w:eastAsia="ja-JP"/>
              </w:rPr>
              <w:t xml:space="preserve"> </w:t>
            </w:r>
            <w:r w:rsidR="004013C2">
              <w:rPr>
                <w:lang w:eastAsia="ja-JP"/>
              </w:rPr>
              <w:t xml:space="preserve">The </w:t>
            </w:r>
            <w:r w:rsidRPr="0081484D">
              <w:rPr>
                <w:lang w:eastAsia="ja-JP"/>
              </w:rPr>
              <w:t>NBC’s terms of reference</w:t>
            </w:r>
            <w:r w:rsidR="004013C2">
              <w:rPr>
                <w:lang w:eastAsia="ja-JP"/>
              </w:rPr>
              <w:t>.</w:t>
            </w:r>
          </w:p>
          <w:p w14:paraId="02FF593A" w14:textId="5B211A3F" w:rsidR="00FD4FAA" w:rsidRPr="00FD4FAA" w:rsidRDefault="0081484D" w:rsidP="00DB65C6">
            <w:pPr>
              <w:pStyle w:val="TableText"/>
              <w:widowControl w:val="0"/>
              <w:rPr>
                <w:lang w:eastAsia="ja-JP"/>
              </w:rPr>
            </w:pPr>
            <w:r w:rsidRPr="0081484D">
              <w:rPr>
                <w:lang w:eastAsia="ja-JP"/>
              </w:rPr>
              <w:t>3.</w:t>
            </w:r>
            <w:r w:rsidR="00807218">
              <w:rPr>
                <w:lang w:eastAsia="ja-JP"/>
              </w:rPr>
              <w:t xml:space="preserve"> </w:t>
            </w:r>
            <w:r w:rsidR="004013C2">
              <w:rPr>
                <w:lang w:eastAsia="ja-JP"/>
              </w:rPr>
              <w:t>S</w:t>
            </w:r>
            <w:r w:rsidRPr="0081484D">
              <w:rPr>
                <w:lang w:eastAsia="ja-JP"/>
              </w:rPr>
              <w:t>implified glossary, inclusive of</w:t>
            </w:r>
            <w:r w:rsidR="00013D2C">
              <w:rPr>
                <w:lang w:eastAsia="ja-JP"/>
              </w:rPr>
              <w:t xml:space="preserve"> ‘core commitments’, ‘environmental biosecurity’ and</w:t>
            </w:r>
            <w:r w:rsidRPr="0081484D">
              <w:rPr>
                <w:lang w:eastAsia="ja-JP"/>
              </w:rPr>
              <w:t xml:space="preserve"> ‘shared responsibility’</w:t>
            </w:r>
            <w:r w:rsidR="004013C2">
              <w:rPr>
                <w:lang w:eastAsia="ja-JP"/>
              </w:rPr>
              <w:t>.</w:t>
            </w:r>
          </w:p>
        </w:tc>
      </w:tr>
    </w:tbl>
    <w:p w14:paraId="3D11F5DB" w14:textId="40CC2660" w:rsidR="00275334" w:rsidRPr="00FB0F9F" w:rsidRDefault="00275334" w:rsidP="00275334">
      <w:pPr>
        <w:rPr>
          <w:lang w:eastAsia="ja-JP"/>
        </w:rPr>
      </w:pPr>
      <w:r w:rsidRPr="00FB0F9F">
        <w:rPr>
          <w:lang w:eastAsia="ja-JP"/>
        </w:rPr>
        <w:t xml:space="preserve">To </w:t>
      </w:r>
      <w:r w:rsidR="00FB0F9F" w:rsidRPr="00FB0F9F">
        <w:rPr>
          <w:lang w:eastAsia="ja-JP"/>
        </w:rPr>
        <w:t>demonstrate</w:t>
      </w:r>
      <w:r w:rsidRPr="00FB0F9F">
        <w:rPr>
          <w:lang w:eastAsia="ja-JP"/>
        </w:rPr>
        <w:t xml:space="preserve"> how these </w:t>
      </w:r>
      <w:r w:rsidR="00DB65C6" w:rsidRPr="00FB0F9F">
        <w:rPr>
          <w:lang w:eastAsia="ja-JP"/>
        </w:rPr>
        <w:t>proposed</w:t>
      </w:r>
      <w:r w:rsidRPr="00FB0F9F">
        <w:rPr>
          <w:lang w:eastAsia="ja-JP"/>
        </w:rPr>
        <w:t xml:space="preserve"> changes could be </w:t>
      </w:r>
      <w:r w:rsidR="00A37E87">
        <w:rPr>
          <w:lang w:eastAsia="ja-JP"/>
        </w:rPr>
        <w:t xml:space="preserve">reflected </w:t>
      </w:r>
      <w:r w:rsidRPr="00FB0F9F">
        <w:rPr>
          <w:lang w:eastAsia="ja-JP"/>
        </w:rPr>
        <w:t>in IGAB</w:t>
      </w:r>
      <w:r w:rsidR="00A37E87">
        <w:rPr>
          <w:lang w:eastAsia="ja-JP"/>
        </w:rPr>
        <w:t>2</w:t>
      </w:r>
      <w:r w:rsidRPr="00FB0F9F">
        <w:rPr>
          <w:lang w:eastAsia="ja-JP"/>
        </w:rPr>
        <w:t xml:space="preserve">, the </w:t>
      </w:r>
      <w:r w:rsidR="00550963">
        <w:rPr>
          <w:lang w:eastAsia="ja-JP"/>
        </w:rPr>
        <w:t>p</w:t>
      </w:r>
      <w:r w:rsidRPr="00FB0F9F">
        <w:rPr>
          <w:lang w:eastAsia="ja-JP"/>
        </w:rPr>
        <w:t xml:space="preserve">anel has provided a draft agreement, which </w:t>
      </w:r>
      <w:r w:rsidR="00FB0F9F" w:rsidRPr="00FB0F9F">
        <w:rPr>
          <w:lang w:eastAsia="ja-JP"/>
        </w:rPr>
        <w:t>provides</w:t>
      </w:r>
      <w:r w:rsidRPr="00FB0F9F">
        <w:rPr>
          <w:lang w:eastAsia="ja-JP"/>
        </w:rPr>
        <w:t xml:space="preserve"> jurisdictions a starting point for discussions</w:t>
      </w:r>
      <w:r w:rsidR="00DB65C6" w:rsidRPr="00FB0F9F">
        <w:rPr>
          <w:lang w:eastAsia="ja-JP"/>
        </w:rPr>
        <w:t xml:space="preserve"> and further development</w:t>
      </w:r>
      <w:r w:rsidRPr="00FB0F9F">
        <w:rPr>
          <w:lang w:eastAsia="ja-JP"/>
        </w:rPr>
        <w:t>. The draft also demonstrates how several of the report’s recommendations would be implemented within IGAB2.</w:t>
      </w:r>
    </w:p>
    <w:p w14:paraId="2397C4D8" w14:textId="6E925F93" w:rsidR="00674995" w:rsidRDefault="00275334" w:rsidP="00C230DE">
      <w:pPr>
        <w:rPr>
          <w:lang w:eastAsia="ja-JP"/>
        </w:rPr>
      </w:pPr>
      <w:r w:rsidRPr="00FB0F9F">
        <w:rPr>
          <w:lang w:eastAsia="ja-JP"/>
        </w:rPr>
        <w:t xml:space="preserve">The </w:t>
      </w:r>
      <w:r w:rsidR="00550963">
        <w:rPr>
          <w:lang w:eastAsia="ja-JP"/>
        </w:rPr>
        <w:t>p</w:t>
      </w:r>
      <w:r w:rsidRPr="00FB0F9F">
        <w:rPr>
          <w:lang w:eastAsia="ja-JP"/>
        </w:rPr>
        <w:t>anel reiterates the need for ongoing</w:t>
      </w:r>
      <w:r w:rsidR="00DB65C6" w:rsidRPr="00FB0F9F">
        <w:rPr>
          <w:lang w:eastAsia="ja-JP"/>
        </w:rPr>
        <w:t xml:space="preserve"> continuous improvement and </w:t>
      </w:r>
      <w:r w:rsidRPr="00FB0F9F">
        <w:rPr>
          <w:lang w:eastAsia="ja-JP"/>
        </w:rPr>
        <w:t xml:space="preserve">review of the </w:t>
      </w:r>
      <w:r w:rsidR="00A509BB">
        <w:rPr>
          <w:lang w:eastAsia="ja-JP"/>
        </w:rPr>
        <w:t xml:space="preserve">national </w:t>
      </w:r>
      <w:r w:rsidRPr="00FB0F9F">
        <w:rPr>
          <w:lang w:eastAsia="ja-JP"/>
        </w:rPr>
        <w:t xml:space="preserve">system and its underpinning agreement. In this light, the </w:t>
      </w:r>
      <w:r w:rsidR="00550963">
        <w:rPr>
          <w:lang w:eastAsia="ja-JP"/>
        </w:rPr>
        <w:t>p</w:t>
      </w:r>
      <w:r w:rsidRPr="00FB0F9F">
        <w:rPr>
          <w:lang w:eastAsia="ja-JP"/>
        </w:rPr>
        <w:t xml:space="preserve">anel strongly suggests </w:t>
      </w:r>
      <w:r w:rsidR="00550963">
        <w:rPr>
          <w:lang w:eastAsia="ja-JP"/>
        </w:rPr>
        <w:t xml:space="preserve">that </w:t>
      </w:r>
      <w:r w:rsidRPr="00FB0F9F">
        <w:rPr>
          <w:lang w:eastAsia="ja-JP"/>
        </w:rPr>
        <w:t xml:space="preserve">governments, </w:t>
      </w:r>
      <w:r w:rsidR="00DB65C6" w:rsidRPr="00FB0F9F">
        <w:rPr>
          <w:lang w:eastAsia="ja-JP"/>
        </w:rPr>
        <w:t xml:space="preserve">together </w:t>
      </w:r>
      <w:r w:rsidRPr="00FB0F9F">
        <w:rPr>
          <w:lang w:eastAsia="ja-JP"/>
        </w:rPr>
        <w:t>with industry and the community, schedule a significant independent review for around 2022.</w:t>
      </w:r>
    </w:p>
    <w:p w14:paraId="12CEB2AF" w14:textId="6D9813A6" w:rsidR="00307A29" w:rsidRDefault="00B34B50" w:rsidP="000C7946">
      <w:pPr>
        <w:rPr>
          <w:rFonts w:ascii="Calibri" w:eastAsia="Times New Roman" w:hAnsi="Calibri" w:cs="Times New Roman"/>
          <w:szCs w:val="20"/>
          <w:lang w:eastAsia="en-AU"/>
        </w:rPr>
      </w:pPr>
      <w:r>
        <w:rPr>
          <w:noProof/>
          <w:lang w:eastAsia="en-AU"/>
        </w:rPr>
        <w:lastRenderedPageBreak/>
        <w:drawing>
          <wp:inline distT="0" distB="0" distL="0" distR="0" wp14:anchorId="26F903FF" wp14:editId="6F57CABF">
            <wp:extent cx="5759450" cy="8111490"/>
            <wp:effectExtent l="38100" t="38100" r="88900" b="99060"/>
            <wp:docPr id="17" name="Picture 17"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r w:rsidR="008E59ED" w:rsidRPr="008E59ED">
        <w:rPr>
          <w:noProof/>
          <w:lang w:eastAsia="en-AU"/>
        </w:rPr>
        <w:t xml:space="preserve"> </w:t>
      </w:r>
      <w:r w:rsidR="008E59ED">
        <w:rPr>
          <w:noProof/>
          <w:lang w:eastAsia="en-AU"/>
        </w:rPr>
        <w:lastRenderedPageBreak/>
        <w:drawing>
          <wp:inline distT="0" distB="0" distL="0" distR="0" wp14:anchorId="26DA8722" wp14:editId="160A002C">
            <wp:extent cx="5759450" cy="8124190"/>
            <wp:effectExtent l="38100" t="38100" r="88900" b="86360"/>
            <wp:docPr id="20" name="Picture 20"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8124190"/>
                    </a:xfrm>
                    <a:prstGeom prst="rect">
                      <a:avLst/>
                    </a:prstGeom>
                    <a:effectLst>
                      <a:outerShdw blurRad="50800" dist="38100" dir="2700000" algn="tl" rotWithShape="0">
                        <a:prstClr val="black">
                          <a:alpha val="40000"/>
                        </a:prstClr>
                      </a:outerShdw>
                    </a:effectLst>
                  </pic:spPr>
                </pic:pic>
              </a:graphicData>
            </a:graphic>
          </wp:inline>
        </w:drawing>
      </w:r>
      <w:r w:rsidR="0040452E" w:rsidRPr="0040452E">
        <w:rPr>
          <w:noProof/>
          <w:lang w:eastAsia="en-AU"/>
        </w:rPr>
        <w:t xml:space="preserve"> </w:t>
      </w:r>
      <w:r w:rsidR="0040452E">
        <w:rPr>
          <w:noProof/>
          <w:lang w:eastAsia="en-AU"/>
        </w:rPr>
        <w:lastRenderedPageBreak/>
        <w:drawing>
          <wp:inline distT="0" distB="0" distL="0" distR="0" wp14:anchorId="3836F4E4" wp14:editId="18B54911">
            <wp:extent cx="5759450" cy="8111490"/>
            <wp:effectExtent l="38100" t="38100" r="88900" b="99060"/>
            <wp:docPr id="21" name="Picture 21"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r w:rsidR="0040452E" w:rsidRPr="0040452E">
        <w:rPr>
          <w:noProof/>
          <w:lang w:eastAsia="en-AU"/>
        </w:rPr>
        <w:t xml:space="preserve"> </w:t>
      </w:r>
      <w:r w:rsidR="0040452E">
        <w:rPr>
          <w:noProof/>
          <w:lang w:eastAsia="en-AU"/>
        </w:rPr>
        <w:lastRenderedPageBreak/>
        <w:drawing>
          <wp:inline distT="0" distB="0" distL="0" distR="0" wp14:anchorId="1ECC074E" wp14:editId="476584CF">
            <wp:extent cx="5759450" cy="8115300"/>
            <wp:effectExtent l="38100" t="38100" r="88900" b="95250"/>
            <wp:docPr id="23" name="Picture 23"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759450" cy="8115300"/>
                    </a:xfrm>
                    <a:prstGeom prst="rect">
                      <a:avLst/>
                    </a:prstGeom>
                    <a:effectLst>
                      <a:outerShdw blurRad="50800" dist="38100" dir="2700000" algn="tl" rotWithShape="0">
                        <a:prstClr val="black">
                          <a:alpha val="40000"/>
                        </a:prstClr>
                      </a:outerShdw>
                    </a:effectLst>
                  </pic:spPr>
                </pic:pic>
              </a:graphicData>
            </a:graphic>
          </wp:inline>
        </w:drawing>
      </w:r>
      <w:r w:rsidR="00724224" w:rsidRPr="00724224">
        <w:rPr>
          <w:noProof/>
          <w:lang w:eastAsia="en-AU"/>
        </w:rPr>
        <w:t xml:space="preserve"> </w:t>
      </w:r>
      <w:r w:rsidR="00724224">
        <w:rPr>
          <w:noProof/>
          <w:lang w:eastAsia="en-AU"/>
        </w:rPr>
        <w:lastRenderedPageBreak/>
        <w:drawing>
          <wp:inline distT="0" distB="0" distL="0" distR="0" wp14:anchorId="765F7A13" wp14:editId="093A8179">
            <wp:extent cx="5759450" cy="8111490"/>
            <wp:effectExtent l="38100" t="38100" r="88900" b="99060"/>
            <wp:docPr id="24" name="Picture 24"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r w:rsidR="00724224">
        <w:rPr>
          <w:noProof/>
          <w:lang w:eastAsia="en-AU"/>
        </w:rPr>
        <w:lastRenderedPageBreak/>
        <w:drawing>
          <wp:inline distT="0" distB="0" distL="0" distR="0" wp14:anchorId="2CFF6D4B" wp14:editId="1275A42A">
            <wp:extent cx="5759450" cy="8107680"/>
            <wp:effectExtent l="38100" t="38100" r="88900" b="102870"/>
            <wp:docPr id="26" name="Picture 26"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59450" cy="8107680"/>
                    </a:xfrm>
                    <a:prstGeom prst="rect">
                      <a:avLst/>
                    </a:prstGeom>
                    <a:effectLst>
                      <a:outerShdw blurRad="50800" dist="38100" dir="2700000" algn="tl" rotWithShape="0">
                        <a:prstClr val="black">
                          <a:alpha val="40000"/>
                        </a:prstClr>
                      </a:outerShdw>
                    </a:effectLst>
                  </pic:spPr>
                </pic:pic>
              </a:graphicData>
            </a:graphic>
          </wp:inline>
        </w:drawing>
      </w:r>
      <w:r w:rsidR="006866F6" w:rsidRPr="006866F6">
        <w:rPr>
          <w:noProof/>
          <w:lang w:eastAsia="en-AU"/>
        </w:rPr>
        <w:t xml:space="preserve"> </w:t>
      </w:r>
      <w:r w:rsidR="006866F6">
        <w:rPr>
          <w:noProof/>
          <w:lang w:eastAsia="en-AU"/>
        </w:rPr>
        <w:lastRenderedPageBreak/>
        <w:drawing>
          <wp:inline distT="0" distB="0" distL="0" distR="0" wp14:anchorId="53CDA337" wp14:editId="73901AD5">
            <wp:extent cx="5759450" cy="8115300"/>
            <wp:effectExtent l="38100" t="38100" r="88900" b="95250"/>
            <wp:docPr id="28" name="Picture 28"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59450" cy="8115300"/>
                    </a:xfrm>
                    <a:prstGeom prst="rect">
                      <a:avLst/>
                    </a:prstGeom>
                    <a:effectLst>
                      <a:outerShdw blurRad="50800" dist="38100" dir="2700000" algn="tl" rotWithShape="0">
                        <a:prstClr val="black">
                          <a:alpha val="40000"/>
                        </a:prstClr>
                      </a:outerShdw>
                    </a:effectLst>
                  </pic:spPr>
                </pic:pic>
              </a:graphicData>
            </a:graphic>
          </wp:inline>
        </w:drawing>
      </w:r>
      <w:r w:rsidR="002208D7" w:rsidRPr="002208D7">
        <w:rPr>
          <w:noProof/>
          <w:lang w:eastAsia="en-AU"/>
        </w:rPr>
        <w:t xml:space="preserve"> </w:t>
      </w:r>
      <w:r w:rsidR="002208D7">
        <w:rPr>
          <w:noProof/>
          <w:lang w:eastAsia="en-AU"/>
        </w:rPr>
        <w:lastRenderedPageBreak/>
        <w:drawing>
          <wp:inline distT="0" distB="0" distL="0" distR="0" wp14:anchorId="5632EEEF" wp14:editId="7346B77D">
            <wp:extent cx="5759450" cy="8124190"/>
            <wp:effectExtent l="38100" t="38100" r="88900" b="86360"/>
            <wp:docPr id="29" name="Picture 29"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759450" cy="8124190"/>
                    </a:xfrm>
                    <a:prstGeom prst="rect">
                      <a:avLst/>
                    </a:prstGeom>
                    <a:effectLst>
                      <a:outerShdw blurRad="50800" dist="38100" dir="2700000" algn="tl" rotWithShape="0">
                        <a:prstClr val="black">
                          <a:alpha val="40000"/>
                        </a:prstClr>
                      </a:outerShdw>
                    </a:effectLst>
                  </pic:spPr>
                </pic:pic>
              </a:graphicData>
            </a:graphic>
          </wp:inline>
        </w:drawing>
      </w:r>
      <w:r w:rsidR="007F1E8D" w:rsidRPr="007F1E8D">
        <w:rPr>
          <w:noProof/>
          <w:lang w:eastAsia="en-AU"/>
        </w:rPr>
        <w:t xml:space="preserve"> </w:t>
      </w:r>
      <w:r w:rsidR="007F1E8D">
        <w:rPr>
          <w:noProof/>
          <w:lang w:eastAsia="en-AU"/>
        </w:rPr>
        <w:lastRenderedPageBreak/>
        <w:drawing>
          <wp:inline distT="0" distB="0" distL="0" distR="0" wp14:anchorId="7440B574" wp14:editId="55FAA411">
            <wp:extent cx="5759450" cy="8111490"/>
            <wp:effectExtent l="38100" t="38100" r="88900" b="99060"/>
            <wp:docPr id="30" name="Picture 30"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r w:rsidR="007F1E8D" w:rsidRPr="007F1E8D">
        <w:rPr>
          <w:noProof/>
          <w:lang w:eastAsia="en-AU"/>
        </w:rPr>
        <w:t xml:space="preserve"> </w:t>
      </w:r>
      <w:r w:rsidR="007F1E8D">
        <w:rPr>
          <w:noProof/>
          <w:lang w:eastAsia="en-AU"/>
        </w:rPr>
        <w:lastRenderedPageBreak/>
        <w:drawing>
          <wp:inline distT="0" distB="0" distL="0" distR="0" wp14:anchorId="390679B2" wp14:editId="5C66E228">
            <wp:extent cx="5759450" cy="8124190"/>
            <wp:effectExtent l="38100" t="38100" r="88900" b="86360"/>
            <wp:docPr id="32" name="Picture 32"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59450" cy="8124190"/>
                    </a:xfrm>
                    <a:prstGeom prst="rect">
                      <a:avLst/>
                    </a:prstGeom>
                    <a:effectLst>
                      <a:outerShdw blurRad="50800" dist="38100" dir="2700000" algn="tl" rotWithShape="0">
                        <a:prstClr val="black">
                          <a:alpha val="40000"/>
                        </a:prstClr>
                      </a:outerShdw>
                    </a:effectLst>
                  </pic:spPr>
                </pic:pic>
              </a:graphicData>
            </a:graphic>
          </wp:inline>
        </w:drawing>
      </w:r>
      <w:r w:rsidR="007F1E8D" w:rsidRPr="007F1E8D">
        <w:rPr>
          <w:noProof/>
          <w:lang w:eastAsia="en-AU"/>
        </w:rPr>
        <w:t xml:space="preserve"> </w:t>
      </w:r>
      <w:r w:rsidR="007F1E8D">
        <w:rPr>
          <w:noProof/>
          <w:lang w:eastAsia="en-AU"/>
        </w:rPr>
        <w:lastRenderedPageBreak/>
        <w:drawing>
          <wp:inline distT="0" distB="0" distL="0" distR="0" wp14:anchorId="59832BDF" wp14:editId="102A4511">
            <wp:extent cx="5759450" cy="8111490"/>
            <wp:effectExtent l="38100" t="38100" r="88900" b="99060"/>
            <wp:docPr id="35" name="Picture 35"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r w:rsidR="000C7946" w:rsidRPr="000C7946">
        <w:rPr>
          <w:noProof/>
          <w:lang w:eastAsia="en-AU"/>
        </w:rPr>
        <w:t xml:space="preserve"> </w:t>
      </w:r>
      <w:r w:rsidR="000C7946">
        <w:rPr>
          <w:noProof/>
          <w:lang w:eastAsia="en-AU"/>
        </w:rPr>
        <w:lastRenderedPageBreak/>
        <w:drawing>
          <wp:inline distT="0" distB="0" distL="0" distR="0" wp14:anchorId="4E73B007" wp14:editId="39D16DDA">
            <wp:extent cx="5759450" cy="8111490"/>
            <wp:effectExtent l="38100" t="38100" r="88900" b="99060"/>
            <wp:docPr id="36" name="Picture 36" descr="A draft IGAB2 illustrating the changes proposed by this review as outlined in tables 12 an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59450" cy="8111490"/>
                    </a:xfrm>
                    <a:prstGeom prst="rect">
                      <a:avLst/>
                    </a:prstGeom>
                    <a:effectLst>
                      <a:outerShdw blurRad="50800" dist="38100" dir="2700000" algn="tl" rotWithShape="0">
                        <a:prstClr val="black">
                          <a:alpha val="40000"/>
                        </a:prstClr>
                      </a:outerShdw>
                    </a:effectLst>
                  </pic:spPr>
                </pic:pic>
              </a:graphicData>
            </a:graphic>
          </wp:inline>
        </w:drawing>
      </w:r>
    </w:p>
    <w:p w14:paraId="0EB4F8C0" w14:textId="7E36BC44" w:rsidR="00307A29" w:rsidRDefault="00307A29" w:rsidP="00C264B3">
      <w:pPr>
        <w:spacing w:after="120" w:line="260" w:lineRule="exact"/>
        <w:ind w:left="851"/>
        <w:jc w:val="both"/>
        <w:rPr>
          <w:rFonts w:ascii="Calibri" w:eastAsia="Times New Roman" w:hAnsi="Calibri" w:cs="Times New Roman"/>
          <w:szCs w:val="20"/>
          <w:lang w:eastAsia="en-AU"/>
        </w:rPr>
      </w:pPr>
      <w:r w:rsidRPr="00307A29">
        <w:rPr>
          <w:noProof/>
          <w:lang w:eastAsia="en-AU"/>
        </w:rPr>
        <w:lastRenderedPageBreak/>
        <w:drawing>
          <wp:inline distT="0" distB="0" distL="0" distR="0" wp14:anchorId="7C3783A5" wp14:editId="4A1907DB">
            <wp:extent cx="5759450" cy="8146415"/>
            <wp:effectExtent l="0" t="0" r="0" b="6985"/>
            <wp:docPr id="38" name="Picture 38" descr="A draft IG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59450" cy="8146415"/>
                    </a:xfrm>
                    <a:prstGeom prst="rect">
                      <a:avLst/>
                    </a:prstGeom>
                  </pic:spPr>
                </pic:pic>
              </a:graphicData>
            </a:graphic>
          </wp:inline>
        </w:drawing>
      </w:r>
      <w:r w:rsidRPr="00307A29">
        <w:rPr>
          <w:noProof/>
          <w:lang w:eastAsia="en-AU"/>
        </w:rPr>
        <w:lastRenderedPageBreak/>
        <w:drawing>
          <wp:inline distT="0" distB="0" distL="0" distR="0" wp14:anchorId="5958CD47" wp14:editId="3D4F28D6">
            <wp:extent cx="5759450" cy="8146415"/>
            <wp:effectExtent l="0" t="0" r="0" b="6985"/>
            <wp:docPr id="47" name="Picture 47" descr="A draft IGA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759450" cy="8146415"/>
                    </a:xfrm>
                    <a:prstGeom prst="rect">
                      <a:avLst/>
                    </a:prstGeom>
                  </pic:spPr>
                </pic:pic>
              </a:graphicData>
            </a:graphic>
          </wp:inline>
        </w:drawing>
      </w:r>
    </w:p>
    <w:p w14:paraId="1E8E44E9" w14:textId="4A9D8408" w:rsidR="0003507A" w:rsidRDefault="00274D8F" w:rsidP="00210276">
      <w:pPr>
        <w:pStyle w:val="Heading2"/>
        <w:numPr>
          <w:ilvl w:val="0"/>
          <w:numId w:val="0"/>
        </w:numPr>
        <w:ind w:left="709" w:hanging="709"/>
      </w:pPr>
      <w:bookmarkStart w:id="233" w:name="_Appendix_A:_Terms"/>
      <w:bookmarkStart w:id="234" w:name="_Appendix_A:_Terms_1"/>
      <w:bookmarkStart w:id="235" w:name="_Toc486236071"/>
      <w:bookmarkEnd w:id="233"/>
      <w:bookmarkEnd w:id="234"/>
      <w:r>
        <w:lastRenderedPageBreak/>
        <w:t>Appendix A</w:t>
      </w:r>
      <w:r w:rsidR="00E258DE">
        <w:t xml:space="preserve"> </w:t>
      </w:r>
      <w:bookmarkEnd w:id="44"/>
      <w:r w:rsidR="00DA7B99">
        <w:t>Terms of r</w:t>
      </w:r>
      <w:r w:rsidR="00E05D8B">
        <w:t>eference</w:t>
      </w:r>
      <w:r w:rsidR="00807B87">
        <w:t xml:space="preserve"> </w:t>
      </w:r>
      <w:r w:rsidR="00CB0D60">
        <w:t xml:space="preserve">and links to the </w:t>
      </w:r>
      <w:r w:rsidR="00F67315">
        <w:t>r</w:t>
      </w:r>
      <w:r w:rsidR="00807B87">
        <w:t>eport</w:t>
      </w:r>
      <w:bookmarkEnd w:id="235"/>
    </w:p>
    <w:p w14:paraId="52F6636E" w14:textId="77777777" w:rsidR="00E05D8B" w:rsidRPr="00E05D8B" w:rsidRDefault="00E05D8B" w:rsidP="00E05D8B">
      <w:pPr>
        <w:rPr>
          <w:rStyle w:val="Strong"/>
          <w:lang w:eastAsia="ja-JP"/>
        </w:rPr>
      </w:pPr>
      <w:r w:rsidRPr="00E05D8B">
        <w:rPr>
          <w:rStyle w:val="Strong"/>
          <w:lang w:eastAsia="ja-JP"/>
        </w:rPr>
        <w:t>Purpose of the review</w:t>
      </w:r>
    </w:p>
    <w:p w14:paraId="5151430F" w14:textId="77777777" w:rsidR="00E05D8B" w:rsidRDefault="00E05D8B" w:rsidP="00E05D8B">
      <w:pPr>
        <w:rPr>
          <w:lang w:eastAsia="ja-JP"/>
        </w:rPr>
      </w:pPr>
      <w:r>
        <w:rPr>
          <w:lang w:eastAsia="ja-JP"/>
        </w:rPr>
        <w:t>The review will assess the capacity of the national biosecurity system to manage increased biosecurity risk associated with an increasingly complex global environment; and, identify where adjustments are needed to ensure the system is effective, efficient and flexible and continues to support market access for Australian produce, to minimise primary production costs and to support a healthy economy, environment and community.</w:t>
      </w:r>
    </w:p>
    <w:p w14:paraId="358676F5" w14:textId="77777777" w:rsidR="00E05D8B" w:rsidRDefault="00E05D8B" w:rsidP="00E05D8B">
      <w:pPr>
        <w:rPr>
          <w:lang w:eastAsia="ja-JP"/>
        </w:rPr>
      </w:pPr>
      <w:r>
        <w:rPr>
          <w:lang w:eastAsia="ja-JP"/>
        </w:rPr>
        <w:t>The review will also assess the implementation and effectiveness of the IGAB and its schedules, and report to Commonwealth, state and territory ministers responsible for biosecurity matters on findings and recommendations for amendments. The review will recommend if the purpose, goals and objectives, coverage, principles, key components and features of the IGAB are still relevant.</w:t>
      </w:r>
    </w:p>
    <w:p w14:paraId="028E6D0C" w14:textId="77777777" w:rsidR="00E05D8B" w:rsidRPr="00E05D8B" w:rsidRDefault="00E05D8B" w:rsidP="00E05D8B">
      <w:pPr>
        <w:rPr>
          <w:rStyle w:val="Strong"/>
          <w:lang w:eastAsia="ja-JP"/>
        </w:rPr>
      </w:pPr>
      <w:r w:rsidRPr="00E05D8B">
        <w:rPr>
          <w:rStyle w:val="Strong"/>
          <w:lang w:eastAsia="ja-JP"/>
        </w:rPr>
        <w:t>Scope of the review</w:t>
      </w:r>
    </w:p>
    <w:p w14:paraId="2CFA293F" w14:textId="77777777" w:rsidR="00E05D8B" w:rsidRDefault="00E05D8B" w:rsidP="00E05D8B">
      <w:pPr>
        <w:rPr>
          <w:lang w:eastAsia="ja-JP"/>
        </w:rPr>
      </w:pPr>
      <w:r>
        <w:rPr>
          <w:lang w:eastAsia="ja-JP"/>
        </w:rPr>
        <w:t>The IGAB review will consider and provide recommendations on the following terms of reference:</w:t>
      </w:r>
    </w:p>
    <w:p w14:paraId="140D1F19" w14:textId="77777777" w:rsidR="00E05D8B" w:rsidRDefault="00E05D8B" w:rsidP="008B4496">
      <w:pPr>
        <w:pStyle w:val="ListNumber"/>
        <w:numPr>
          <w:ilvl w:val="0"/>
          <w:numId w:val="10"/>
        </w:numPr>
        <w:rPr>
          <w:lang w:eastAsia="ja-JP"/>
        </w:rPr>
      </w:pPr>
      <w:r>
        <w:rPr>
          <w:lang w:eastAsia="ja-JP"/>
        </w:rPr>
        <w:t>The implementation and effectiveness of each section of the current agreement, progress against the priority reform areas outlined in schedules 2–8 and any requirements for revision of the schedules.</w:t>
      </w:r>
    </w:p>
    <w:p w14:paraId="566EB7F4" w14:textId="77777777" w:rsidR="00E05D8B" w:rsidRDefault="00E05D8B" w:rsidP="008B4496">
      <w:pPr>
        <w:pStyle w:val="ListNumber"/>
        <w:numPr>
          <w:ilvl w:val="0"/>
          <w:numId w:val="10"/>
        </w:numPr>
        <w:rPr>
          <w:lang w:eastAsia="ja-JP"/>
        </w:rPr>
      </w:pPr>
      <w:r>
        <w:rPr>
          <w:lang w:eastAsia="ja-JP"/>
        </w:rPr>
        <w:t>The suitability of the agreement to underpin the national biosecurity system into the future.</w:t>
      </w:r>
    </w:p>
    <w:p w14:paraId="7093FC7B" w14:textId="0662525B" w:rsidR="00E05D8B" w:rsidRDefault="00E05D8B" w:rsidP="008B4496">
      <w:pPr>
        <w:pStyle w:val="ListNumber"/>
        <w:numPr>
          <w:ilvl w:val="0"/>
          <w:numId w:val="10"/>
        </w:numPr>
        <w:rPr>
          <w:lang w:eastAsia="ja-JP"/>
        </w:rPr>
      </w:pPr>
      <w:r>
        <w:rPr>
          <w:lang w:eastAsia="ja-JP"/>
        </w:rPr>
        <w:t>Current and likely future biosecurity risks and priorities, including the optimal allocation of resources and availability of required capability and capacity to address those risks and priorities, with particular consideration of risks that may impact Australia’s market access arrangements for agricultural products and the use of innovation in the system.</w:t>
      </w:r>
    </w:p>
    <w:p w14:paraId="7849E9A6" w14:textId="77777777" w:rsidR="00E05D8B" w:rsidRDefault="00E05D8B" w:rsidP="008B4496">
      <w:pPr>
        <w:pStyle w:val="ListNumber"/>
        <w:numPr>
          <w:ilvl w:val="0"/>
          <w:numId w:val="10"/>
        </w:numPr>
        <w:rPr>
          <w:lang w:eastAsia="ja-JP"/>
        </w:rPr>
      </w:pPr>
      <w:r>
        <w:rPr>
          <w:lang w:eastAsia="ja-JP"/>
        </w:rPr>
        <w:t>The development of a national statement of intent for the biosecurity system, encompassing the entire biosecurity continuum, including economic and market access, environmental and social considerations for governments, industry and the community.</w:t>
      </w:r>
    </w:p>
    <w:p w14:paraId="469585F5" w14:textId="77777777" w:rsidR="00E05D8B" w:rsidRDefault="00E05D8B" w:rsidP="008B4496">
      <w:pPr>
        <w:pStyle w:val="ListNumber"/>
        <w:numPr>
          <w:ilvl w:val="0"/>
          <w:numId w:val="10"/>
        </w:numPr>
        <w:rPr>
          <w:lang w:eastAsia="ja-JP"/>
        </w:rPr>
      </w:pPr>
      <w:r>
        <w:rPr>
          <w:lang w:eastAsia="ja-JP"/>
        </w:rPr>
        <w:lastRenderedPageBreak/>
        <w:t>Defining roles and responsibilities of all parties in the national biosecurity system. This should include advice on how the concept of a shared biosecurity responsibility can be better understood and implemented across government, industry, environmental and community groups and individuals.</w:t>
      </w:r>
    </w:p>
    <w:p w14:paraId="7140DD32" w14:textId="33134C49" w:rsidR="00E05D8B" w:rsidRDefault="00E05D8B" w:rsidP="008B4496">
      <w:pPr>
        <w:pStyle w:val="ListNumber"/>
        <w:numPr>
          <w:ilvl w:val="0"/>
          <w:numId w:val="10"/>
        </w:numPr>
        <w:rPr>
          <w:lang w:eastAsia="ja-JP"/>
        </w:rPr>
      </w:pPr>
      <w:r>
        <w:rPr>
          <w:lang w:eastAsia="ja-JP"/>
        </w:rPr>
        <w:t>The review of existing cost</w:t>
      </w:r>
      <w:r w:rsidR="00F34F38">
        <w:rPr>
          <w:lang w:eastAsia="ja-JP"/>
        </w:rPr>
        <w:t>-</w:t>
      </w:r>
      <w:r>
        <w:rPr>
          <w:lang w:eastAsia="ja-JP"/>
        </w:rPr>
        <w:t>sharing arrangements and the potential for implementation of new funding arrangements for all biosecurity activities. Consideration should be given to relevant National Biosecurity Committee projects including:</w:t>
      </w:r>
    </w:p>
    <w:p w14:paraId="6072B528" w14:textId="1A04F207" w:rsidR="00E05D8B" w:rsidRDefault="00D00AB3" w:rsidP="008B4496">
      <w:pPr>
        <w:pStyle w:val="ListNumber2"/>
        <w:numPr>
          <w:ilvl w:val="1"/>
          <w:numId w:val="10"/>
        </w:numPr>
        <w:rPr>
          <w:lang w:eastAsia="ja-JP"/>
        </w:rPr>
      </w:pPr>
      <w:r>
        <w:rPr>
          <w:lang w:eastAsia="ja-JP"/>
        </w:rPr>
        <w:t>t</w:t>
      </w:r>
      <w:r w:rsidR="00E05D8B">
        <w:rPr>
          <w:lang w:eastAsia="ja-JP"/>
        </w:rPr>
        <w:t>he National Framework for Cost Sharing Biosecurity Activities</w:t>
      </w:r>
    </w:p>
    <w:p w14:paraId="2B9CB23F" w14:textId="28BDAAEC" w:rsidR="00E05D8B" w:rsidRDefault="00D00AB3" w:rsidP="008B4496">
      <w:pPr>
        <w:pStyle w:val="ListNumber2"/>
        <w:numPr>
          <w:ilvl w:val="1"/>
          <w:numId w:val="10"/>
        </w:numPr>
        <w:rPr>
          <w:lang w:eastAsia="ja-JP"/>
        </w:rPr>
      </w:pPr>
      <w:r>
        <w:rPr>
          <w:lang w:eastAsia="ja-JP"/>
        </w:rPr>
        <w:t>t</w:t>
      </w:r>
      <w:r w:rsidR="00E05D8B">
        <w:rPr>
          <w:lang w:eastAsia="ja-JP"/>
        </w:rPr>
        <w:t>he national portfolio in</w:t>
      </w:r>
      <w:r w:rsidR="00F34F38">
        <w:rPr>
          <w:lang w:eastAsia="ja-JP"/>
        </w:rPr>
        <w:t>vestment optimisation model</w:t>
      </w:r>
    </w:p>
    <w:p w14:paraId="356EF840" w14:textId="09CB34E4" w:rsidR="00E05D8B" w:rsidRDefault="00D00AB3" w:rsidP="008B4496">
      <w:pPr>
        <w:pStyle w:val="ListNumber2"/>
        <w:numPr>
          <w:ilvl w:val="1"/>
          <w:numId w:val="10"/>
        </w:numPr>
        <w:rPr>
          <w:lang w:eastAsia="ja-JP"/>
        </w:rPr>
      </w:pPr>
      <w:r>
        <w:rPr>
          <w:lang w:eastAsia="ja-JP"/>
        </w:rPr>
        <w:t>t</w:t>
      </w:r>
      <w:r w:rsidR="00E05D8B">
        <w:rPr>
          <w:lang w:eastAsia="ja-JP"/>
        </w:rPr>
        <w:t>he national stocktake of biosecurity investment.</w:t>
      </w:r>
    </w:p>
    <w:p w14:paraId="7D366F29" w14:textId="77777777" w:rsidR="00E05D8B" w:rsidRDefault="00E05D8B" w:rsidP="008B4496">
      <w:pPr>
        <w:pStyle w:val="ListNumber"/>
        <w:numPr>
          <w:ilvl w:val="0"/>
          <w:numId w:val="10"/>
        </w:numPr>
        <w:rPr>
          <w:lang w:eastAsia="ja-JP"/>
        </w:rPr>
      </w:pPr>
      <w:r>
        <w:rPr>
          <w:lang w:eastAsia="ja-JP"/>
        </w:rPr>
        <w:t>The development of measurable indicators to assess whether the national system is achieving its objectives, and to identify where adjustments are needed. Consideration should be given to the availability of appropriate and consistent data.</w:t>
      </w:r>
    </w:p>
    <w:p w14:paraId="72F103D9" w14:textId="7A912CDA" w:rsidR="007B738A" w:rsidRPr="00590407" w:rsidRDefault="000E675E" w:rsidP="000E675E">
      <w:pPr>
        <w:pStyle w:val="Caption"/>
        <w:rPr>
          <w:szCs w:val="22"/>
          <w:lang w:eastAsia="ja-JP"/>
        </w:rPr>
      </w:pPr>
      <w:r>
        <w:t>Table A</w:t>
      </w:r>
      <w:fldSimple w:instr=" SEQ Table_A \* ARABIC ">
        <w:r w:rsidR="009F6923">
          <w:rPr>
            <w:noProof/>
          </w:rPr>
          <w:t>1</w:t>
        </w:r>
      </w:fldSimple>
      <w:r>
        <w:t xml:space="preserve"> </w:t>
      </w:r>
      <w:r w:rsidR="007B738A" w:rsidRPr="00590407">
        <w:rPr>
          <w:szCs w:val="22"/>
        </w:rPr>
        <w:t xml:space="preserve">Where </w:t>
      </w:r>
      <w:r w:rsidR="00143546" w:rsidRPr="00590407">
        <w:rPr>
          <w:szCs w:val="22"/>
        </w:rPr>
        <w:t>this</w:t>
      </w:r>
      <w:r w:rsidR="007B738A" w:rsidRPr="00590407">
        <w:rPr>
          <w:szCs w:val="22"/>
        </w:rPr>
        <w:t xml:space="preserve"> review’s terms of reference are addressed in the </w:t>
      </w:r>
      <w:r w:rsidR="00F34F38">
        <w:rPr>
          <w:szCs w:val="22"/>
        </w:rPr>
        <w:t>r</w:t>
      </w:r>
      <w:r w:rsidR="007B738A" w:rsidRPr="00590407">
        <w:rPr>
          <w:szCs w:val="22"/>
        </w:rPr>
        <w:t>eport</w:t>
      </w:r>
    </w:p>
    <w:tbl>
      <w:tblPr>
        <w:tblStyle w:val="TableGrid"/>
        <w:tblW w:w="85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379"/>
      </w:tblGrid>
      <w:tr w:rsidR="004C6E1A" w:rsidRPr="0098052D" w14:paraId="23611BDC" w14:textId="77777777" w:rsidTr="006F70C0">
        <w:trPr>
          <w:tblHeader/>
        </w:trPr>
        <w:tc>
          <w:tcPr>
            <w:tcW w:w="2127" w:type="dxa"/>
          </w:tcPr>
          <w:p w14:paraId="4902B68E" w14:textId="41D7EA4C" w:rsidR="004C6E1A" w:rsidRPr="006F70C0" w:rsidRDefault="004C6E1A" w:rsidP="00563216">
            <w:pPr>
              <w:pStyle w:val="TableHeading"/>
              <w:keepNext w:val="0"/>
              <w:widowControl w:val="0"/>
              <w:rPr>
                <w:sz w:val="22"/>
              </w:rPr>
            </w:pPr>
            <w:r w:rsidRPr="006F70C0">
              <w:rPr>
                <w:sz w:val="22"/>
              </w:rPr>
              <w:t>Term of reference</w:t>
            </w:r>
          </w:p>
        </w:tc>
        <w:tc>
          <w:tcPr>
            <w:tcW w:w="6379" w:type="dxa"/>
          </w:tcPr>
          <w:p w14:paraId="0822353D" w14:textId="1CF1E6A2" w:rsidR="004C6E1A" w:rsidRPr="006F70C0" w:rsidRDefault="00870360" w:rsidP="00870360">
            <w:pPr>
              <w:pStyle w:val="TableHeading"/>
              <w:keepNext w:val="0"/>
              <w:widowControl w:val="0"/>
              <w:rPr>
                <w:sz w:val="22"/>
              </w:rPr>
            </w:pPr>
            <w:r>
              <w:rPr>
                <w:sz w:val="22"/>
              </w:rPr>
              <w:t>Where a</w:t>
            </w:r>
            <w:r w:rsidR="004C6E1A" w:rsidRPr="006F70C0">
              <w:rPr>
                <w:sz w:val="22"/>
              </w:rPr>
              <w:t>ddressed</w:t>
            </w:r>
          </w:p>
        </w:tc>
      </w:tr>
      <w:tr w:rsidR="004C6E1A" w:rsidRPr="0098052D" w14:paraId="002A643F" w14:textId="77777777" w:rsidTr="006F70C0">
        <w:tc>
          <w:tcPr>
            <w:tcW w:w="2127" w:type="dxa"/>
          </w:tcPr>
          <w:p w14:paraId="374EB4E3" w14:textId="25DC664E" w:rsidR="004C6E1A" w:rsidRPr="006F70C0" w:rsidRDefault="00F34F38" w:rsidP="00C058A1">
            <w:pPr>
              <w:pStyle w:val="TableText"/>
              <w:rPr>
                <w:sz w:val="17"/>
                <w:szCs w:val="17"/>
              </w:rPr>
            </w:pPr>
            <w:r>
              <w:rPr>
                <w:sz w:val="17"/>
                <w:szCs w:val="17"/>
              </w:rPr>
              <w:t>1.</w:t>
            </w:r>
          </w:p>
        </w:tc>
        <w:tc>
          <w:tcPr>
            <w:tcW w:w="6379" w:type="dxa"/>
          </w:tcPr>
          <w:p w14:paraId="617E26CE" w14:textId="45461793" w:rsidR="004C6E1A" w:rsidRPr="00E475B1" w:rsidRDefault="00C058A1" w:rsidP="0056569E">
            <w:pPr>
              <w:pStyle w:val="TableText"/>
              <w:widowControl w:val="0"/>
              <w:rPr>
                <w:sz w:val="17"/>
                <w:szCs w:val="17"/>
              </w:rPr>
            </w:pPr>
            <w:r w:rsidRPr="00E475B1">
              <w:rPr>
                <w:sz w:val="17"/>
                <w:szCs w:val="17"/>
              </w:rPr>
              <w:t xml:space="preserve">The 2012 IGAB: </w:t>
            </w:r>
            <w:r w:rsidR="004C6E1A" w:rsidRPr="00E475B1">
              <w:rPr>
                <w:sz w:val="17"/>
                <w:szCs w:val="17"/>
              </w:rPr>
              <w:t>1.</w:t>
            </w:r>
            <w:r w:rsidR="00E13AB4" w:rsidRPr="00E475B1">
              <w:rPr>
                <w:sz w:val="17"/>
                <w:szCs w:val="17"/>
              </w:rPr>
              <w:t>4</w:t>
            </w:r>
            <w:r w:rsidR="004C6E1A" w:rsidRPr="00E475B1">
              <w:rPr>
                <w:sz w:val="17"/>
                <w:szCs w:val="17"/>
              </w:rPr>
              <w:t xml:space="preserve"> </w:t>
            </w:r>
          </w:p>
          <w:p w14:paraId="3FA38B79" w14:textId="57D6D03F" w:rsidR="004C6E1A" w:rsidRPr="00E475B1" w:rsidRDefault="00C058A1" w:rsidP="00C058A1">
            <w:pPr>
              <w:pStyle w:val="TableText"/>
              <w:widowControl w:val="0"/>
              <w:rPr>
                <w:sz w:val="17"/>
                <w:szCs w:val="17"/>
              </w:rPr>
            </w:pPr>
            <w:r w:rsidRPr="00E475B1">
              <w:rPr>
                <w:sz w:val="17"/>
                <w:szCs w:val="17"/>
              </w:rPr>
              <w:t>A future IGAB: 10.2</w:t>
            </w:r>
          </w:p>
        </w:tc>
      </w:tr>
      <w:tr w:rsidR="004C6E1A" w:rsidRPr="0098052D" w14:paraId="6C5AC2F0" w14:textId="77777777" w:rsidTr="006F70C0">
        <w:tc>
          <w:tcPr>
            <w:tcW w:w="2127" w:type="dxa"/>
          </w:tcPr>
          <w:p w14:paraId="75547CB5" w14:textId="5939575E" w:rsidR="004C6E1A" w:rsidRPr="006F70C0" w:rsidRDefault="00C058A1" w:rsidP="00C058A1">
            <w:pPr>
              <w:pStyle w:val="TableText"/>
              <w:rPr>
                <w:sz w:val="17"/>
                <w:szCs w:val="17"/>
              </w:rPr>
            </w:pPr>
            <w:r w:rsidRPr="006F70C0">
              <w:rPr>
                <w:sz w:val="17"/>
                <w:szCs w:val="17"/>
              </w:rPr>
              <w:t>2.</w:t>
            </w:r>
          </w:p>
        </w:tc>
        <w:tc>
          <w:tcPr>
            <w:tcW w:w="6379" w:type="dxa"/>
          </w:tcPr>
          <w:p w14:paraId="454111F5" w14:textId="3B38F4DA" w:rsidR="004C6E1A" w:rsidRPr="00E475B1" w:rsidRDefault="004C6E1A" w:rsidP="00C058A1">
            <w:pPr>
              <w:pStyle w:val="TableText"/>
              <w:widowControl w:val="0"/>
              <w:rPr>
                <w:sz w:val="17"/>
                <w:szCs w:val="17"/>
              </w:rPr>
            </w:pPr>
            <w:r w:rsidRPr="00E475B1">
              <w:rPr>
                <w:sz w:val="17"/>
                <w:szCs w:val="17"/>
              </w:rPr>
              <w:t>Suitability of the IGAB</w:t>
            </w:r>
            <w:r w:rsidR="00C058A1" w:rsidRPr="00E475B1">
              <w:rPr>
                <w:sz w:val="17"/>
                <w:szCs w:val="17"/>
              </w:rPr>
              <w:t>:</w:t>
            </w:r>
            <w:r w:rsidRPr="00E475B1">
              <w:rPr>
                <w:sz w:val="17"/>
                <w:szCs w:val="17"/>
              </w:rPr>
              <w:t xml:space="preserve"> 10.2</w:t>
            </w:r>
          </w:p>
        </w:tc>
      </w:tr>
      <w:tr w:rsidR="004C6E1A" w:rsidRPr="0098052D" w14:paraId="7E381BC8" w14:textId="77777777" w:rsidTr="006F70C0">
        <w:tc>
          <w:tcPr>
            <w:tcW w:w="2127" w:type="dxa"/>
          </w:tcPr>
          <w:p w14:paraId="70F55058" w14:textId="10B33FE9" w:rsidR="004C6E1A" w:rsidRPr="006F70C0" w:rsidRDefault="004C6E1A" w:rsidP="00C058A1">
            <w:pPr>
              <w:pStyle w:val="TableText"/>
              <w:rPr>
                <w:sz w:val="17"/>
                <w:szCs w:val="17"/>
              </w:rPr>
            </w:pPr>
            <w:r w:rsidRPr="006F70C0">
              <w:rPr>
                <w:sz w:val="17"/>
                <w:szCs w:val="17"/>
              </w:rPr>
              <w:t xml:space="preserve">3. </w:t>
            </w:r>
          </w:p>
        </w:tc>
        <w:tc>
          <w:tcPr>
            <w:tcW w:w="6379" w:type="dxa"/>
          </w:tcPr>
          <w:p w14:paraId="0522C543" w14:textId="54D20443" w:rsidR="00C058A1" w:rsidRPr="00E475B1" w:rsidRDefault="00C058A1" w:rsidP="0056569E">
            <w:pPr>
              <w:pStyle w:val="TableText"/>
              <w:widowControl w:val="0"/>
              <w:rPr>
                <w:sz w:val="17"/>
                <w:szCs w:val="17"/>
              </w:rPr>
            </w:pPr>
            <w:r w:rsidRPr="00E475B1">
              <w:rPr>
                <w:sz w:val="17"/>
                <w:szCs w:val="17"/>
              </w:rPr>
              <w:t xml:space="preserve">Future risks: </w:t>
            </w:r>
            <w:r w:rsidR="00E475B1" w:rsidRPr="00E475B1">
              <w:rPr>
                <w:sz w:val="17"/>
                <w:szCs w:val="17"/>
              </w:rPr>
              <w:t>1.3</w:t>
            </w:r>
          </w:p>
          <w:p w14:paraId="0E183430" w14:textId="65F20DEB" w:rsidR="004C6E1A" w:rsidRPr="00E475B1" w:rsidRDefault="00C058A1" w:rsidP="0056569E">
            <w:pPr>
              <w:pStyle w:val="TableText"/>
              <w:widowControl w:val="0"/>
              <w:rPr>
                <w:sz w:val="17"/>
                <w:szCs w:val="17"/>
              </w:rPr>
            </w:pPr>
            <w:r w:rsidRPr="00E475B1">
              <w:rPr>
                <w:sz w:val="17"/>
                <w:szCs w:val="17"/>
              </w:rPr>
              <w:t xml:space="preserve">Determining priorities: </w:t>
            </w:r>
            <w:r w:rsidR="004C6E1A" w:rsidRPr="00E475B1">
              <w:rPr>
                <w:sz w:val="17"/>
                <w:szCs w:val="17"/>
              </w:rPr>
              <w:t>5.1</w:t>
            </w:r>
          </w:p>
          <w:p w14:paraId="5196BE6C" w14:textId="3F6B276E" w:rsidR="004C6E1A" w:rsidRPr="00E475B1" w:rsidRDefault="00917161" w:rsidP="0056569E">
            <w:pPr>
              <w:pStyle w:val="TableText"/>
              <w:widowControl w:val="0"/>
              <w:rPr>
                <w:sz w:val="17"/>
                <w:szCs w:val="17"/>
              </w:rPr>
            </w:pPr>
            <w:r w:rsidRPr="00E475B1">
              <w:rPr>
                <w:sz w:val="17"/>
                <w:szCs w:val="17"/>
              </w:rPr>
              <w:t xml:space="preserve">Resource allocation: </w:t>
            </w:r>
            <w:r w:rsidR="004C6E1A" w:rsidRPr="00E475B1">
              <w:rPr>
                <w:sz w:val="17"/>
                <w:szCs w:val="17"/>
              </w:rPr>
              <w:t>8.1</w:t>
            </w:r>
            <w:r w:rsidRPr="00E475B1">
              <w:rPr>
                <w:sz w:val="17"/>
                <w:szCs w:val="17"/>
              </w:rPr>
              <w:t>;</w:t>
            </w:r>
            <w:r w:rsidR="004C6E1A" w:rsidRPr="00E475B1">
              <w:rPr>
                <w:sz w:val="17"/>
                <w:szCs w:val="17"/>
              </w:rPr>
              <w:t xml:space="preserve"> 8.</w:t>
            </w:r>
            <w:r w:rsidR="00E13AB4" w:rsidRPr="00E475B1">
              <w:rPr>
                <w:sz w:val="17"/>
                <w:szCs w:val="17"/>
              </w:rPr>
              <w:t>4</w:t>
            </w:r>
          </w:p>
          <w:p w14:paraId="1F141CCA" w14:textId="2B10765A" w:rsidR="004C6E1A" w:rsidRPr="00E475B1" w:rsidRDefault="004C6E1A" w:rsidP="0056569E">
            <w:pPr>
              <w:pStyle w:val="TableText"/>
              <w:widowControl w:val="0"/>
              <w:rPr>
                <w:sz w:val="17"/>
                <w:szCs w:val="17"/>
              </w:rPr>
            </w:pPr>
            <w:r w:rsidRPr="00E475B1">
              <w:rPr>
                <w:sz w:val="17"/>
                <w:szCs w:val="17"/>
              </w:rPr>
              <w:t>Marke</w:t>
            </w:r>
            <w:r w:rsidR="00917161" w:rsidRPr="00E475B1">
              <w:rPr>
                <w:sz w:val="17"/>
                <w:szCs w:val="17"/>
              </w:rPr>
              <w:t>t access: 3.1</w:t>
            </w:r>
          </w:p>
          <w:p w14:paraId="61A125E8" w14:textId="559D3CEB" w:rsidR="004C6E1A" w:rsidRPr="00E475B1" w:rsidRDefault="00917161" w:rsidP="00917161">
            <w:pPr>
              <w:pStyle w:val="TableText"/>
              <w:widowControl w:val="0"/>
              <w:rPr>
                <w:sz w:val="17"/>
                <w:szCs w:val="17"/>
              </w:rPr>
            </w:pPr>
            <w:r w:rsidRPr="00E475B1">
              <w:rPr>
                <w:sz w:val="17"/>
                <w:szCs w:val="17"/>
              </w:rPr>
              <w:t xml:space="preserve">Innovation: </w:t>
            </w:r>
            <w:r w:rsidR="004C6E1A" w:rsidRPr="00E475B1">
              <w:rPr>
                <w:sz w:val="17"/>
                <w:szCs w:val="17"/>
              </w:rPr>
              <w:t>6.1</w:t>
            </w:r>
          </w:p>
        </w:tc>
      </w:tr>
      <w:tr w:rsidR="004C6E1A" w:rsidRPr="0098052D" w14:paraId="31069158" w14:textId="77777777" w:rsidTr="006F70C0">
        <w:tc>
          <w:tcPr>
            <w:tcW w:w="2127" w:type="dxa"/>
          </w:tcPr>
          <w:p w14:paraId="498EB414" w14:textId="2BE204E9" w:rsidR="004C6E1A" w:rsidRPr="006F70C0" w:rsidRDefault="004C6E1A" w:rsidP="004C6E1A">
            <w:pPr>
              <w:pStyle w:val="TableText"/>
              <w:rPr>
                <w:sz w:val="17"/>
                <w:szCs w:val="17"/>
              </w:rPr>
            </w:pPr>
            <w:r w:rsidRPr="006F70C0">
              <w:rPr>
                <w:sz w:val="17"/>
                <w:szCs w:val="17"/>
              </w:rPr>
              <w:t xml:space="preserve">4. </w:t>
            </w:r>
          </w:p>
        </w:tc>
        <w:tc>
          <w:tcPr>
            <w:tcW w:w="6379" w:type="dxa"/>
          </w:tcPr>
          <w:p w14:paraId="029F36D1" w14:textId="17E9212A" w:rsidR="004C6E1A" w:rsidRPr="00E475B1" w:rsidRDefault="00AD5BA2" w:rsidP="00E13AB4">
            <w:pPr>
              <w:pStyle w:val="TableText"/>
              <w:widowControl w:val="0"/>
              <w:rPr>
                <w:sz w:val="17"/>
                <w:szCs w:val="17"/>
              </w:rPr>
            </w:pPr>
            <w:r w:rsidRPr="00E475B1">
              <w:rPr>
                <w:sz w:val="17"/>
                <w:szCs w:val="17"/>
              </w:rPr>
              <w:t xml:space="preserve">National </w:t>
            </w:r>
            <w:r w:rsidR="00E13AB4" w:rsidRPr="00E475B1">
              <w:rPr>
                <w:sz w:val="17"/>
                <w:szCs w:val="17"/>
              </w:rPr>
              <w:t xml:space="preserve">Biosecurity </w:t>
            </w:r>
            <w:r w:rsidRPr="00E475B1">
              <w:rPr>
                <w:sz w:val="17"/>
                <w:szCs w:val="17"/>
              </w:rPr>
              <w:t>S</w:t>
            </w:r>
            <w:r w:rsidR="004C6E1A" w:rsidRPr="00E475B1">
              <w:rPr>
                <w:sz w:val="17"/>
                <w:szCs w:val="17"/>
              </w:rPr>
              <w:t>tatement</w:t>
            </w:r>
            <w:r w:rsidR="00917161" w:rsidRPr="00E475B1">
              <w:rPr>
                <w:sz w:val="17"/>
                <w:szCs w:val="17"/>
              </w:rPr>
              <w:t xml:space="preserve">: </w:t>
            </w:r>
            <w:r w:rsidR="004C6E1A" w:rsidRPr="00E475B1">
              <w:rPr>
                <w:sz w:val="17"/>
                <w:szCs w:val="17"/>
              </w:rPr>
              <w:t>2.</w:t>
            </w:r>
            <w:r w:rsidR="00E13AB4" w:rsidRPr="00E475B1">
              <w:rPr>
                <w:sz w:val="17"/>
                <w:szCs w:val="17"/>
              </w:rPr>
              <w:t>4</w:t>
            </w:r>
          </w:p>
        </w:tc>
      </w:tr>
      <w:tr w:rsidR="004C6E1A" w:rsidRPr="0098052D" w14:paraId="6576DC0A" w14:textId="77777777" w:rsidTr="006F70C0">
        <w:tc>
          <w:tcPr>
            <w:tcW w:w="2127" w:type="dxa"/>
          </w:tcPr>
          <w:p w14:paraId="6402B742" w14:textId="166A654C" w:rsidR="004C6E1A" w:rsidRPr="006F70C0" w:rsidRDefault="004C6E1A" w:rsidP="00C058A1">
            <w:pPr>
              <w:pStyle w:val="TableText"/>
              <w:rPr>
                <w:sz w:val="17"/>
                <w:szCs w:val="17"/>
              </w:rPr>
            </w:pPr>
            <w:r w:rsidRPr="006F70C0">
              <w:rPr>
                <w:sz w:val="17"/>
                <w:szCs w:val="17"/>
              </w:rPr>
              <w:t>5.</w:t>
            </w:r>
          </w:p>
        </w:tc>
        <w:tc>
          <w:tcPr>
            <w:tcW w:w="6379" w:type="dxa"/>
          </w:tcPr>
          <w:p w14:paraId="16479C5A" w14:textId="2EEA3223" w:rsidR="004C6E1A" w:rsidRPr="00E475B1" w:rsidRDefault="00447D73" w:rsidP="00C058A1">
            <w:pPr>
              <w:pStyle w:val="TableText"/>
              <w:widowControl w:val="0"/>
              <w:rPr>
                <w:sz w:val="17"/>
                <w:szCs w:val="17"/>
              </w:rPr>
            </w:pPr>
            <w:r w:rsidRPr="00E475B1">
              <w:rPr>
                <w:sz w:val="17"/>
                <w:szCs w:val="17"/>
              </w:rPr>
              <w:t>R</w:t>
            </w:r>
            <w:r w:rsidR="00C058A1" w:rsidRPr="00E475B1">
              <w:rPr>
                <w:sz w:val="17"/>
                <w:szCs w:val="17"/>
              </w:rPr>
              <w:t xml:space="preserve">oles and responsibilities: </w:t>
            </w:r>
            <w:r w:rsidR="004C6E1A" w:rsidRPr="00E475B1">
              <w:rPr>
                <w:sz w:val="17"/>
                <w:szCs w:val="17"/>
              </w:rPr>
              <w:t>2.1</w:t>
            </w:r>
            <w:r w:rsidR="00E13AB4" w:rsidRPr="00E475B1">
              <w:rPr>
                <w:sz w:val="17"/>
                <w:szCs w:val="17"/>
              </w:rPr>
              <w:t>, 2.4</w:t>
            </w:r>
          </w:p>
          <w:p w14:paraId="573D4B19" w14:textId="71126D4B" w:rsidR="00C058A1" w:rsidRPr="00E475B1" w:rsidRDefault="00447D73" w:rsidP="00C058A1">
            <w:pPr>
              <w:pStyle w:val="TableText"/>
              <w:widowControl w:val="0"/>
              <w:rPr>
                <w:sz w:val="17"/>
                <w:szCs w:val="17"/>
              </w:rPr>
            </w:pPr>
            <w:r w:rsidRPr="00E475B1">
              <w:rPr>
                <w:sz w:val="17"/>
                <w:szCs w:val="17"/>
              </w:rPr>
              <w:t>S</w:t>
            </w:r>
            <w:r w:rsidR="00C058A1" w:rsidRPr="00E475B1">
              <w:rPr>
                <w:sz w:val="17"/>
                <w:szCs w:val="17"/>
              </w:rPr>
              <w:t>hared responsibility: 2.1</w:t>
            </w:r>
          </w:p>
        </w:tc>
      </w:tr>
      <w:tr w:rsidR="004C6E1A" w:rsidRPr="0098052D" w14:paraId="52EF26C9" w14:textId="77777777" w:rsidTr="006F70C0">
        <w:tc>
          <w:tcPr>
            <w:tcW w:w="2127" w:type="dxa"/>
          </w:tcPr>
          <w:p w14:paraId="4748CFAA" w14:textId="484721E9" w:rsidR="004C6E1A" w:rsidRPr="006F70C0" w:rsidRDefault="00563216" w:rsidP="00563216">
            <w:pPr>
              <w:pStyle w:val="TableText"/>
              <w:rPr>
                <w:sz w:val="17"/>
                <w:szCs w:val="17"/>
              </w:rPr>
            </w:pPr>
            <w:r w:rsidRPr="006F70C0">
              <w:rPr>
                <w:sz w:val="17"/>
                <w:szCs w:val="17"/>
              </w:rPr>
              <w:t>6.</w:t>
            </w:r>
          </w:p>
        </w:tc>
        <w:tc>
          <w:tcPr>
            <w:tcW w:w="6379" w:type="dxa"/>
          </w:tcPr>
          <w:p w14:paraId="0ABCDFB1" w14:textId="27475ED8" w:rsidR="00C058A1" w:rsidRPr="00E475B1" w:rsidRDefault="004C6E1A" w:rsidP="0056569E">
            <w:pPr>
              <w:pStyle w:val="TableText"/>
              <w:widowControl w:val="0"/>
              <w:rPr>
                <w:sz w:val="17"/>
                <w:szCs w:val="17"/>
              </w:rPr>
            </w:pPr>
            <w:r w:rsidRPr="00E475B1">
              <w:rPr>
                <w:sz w:val="17"/>
                <w:szCs w:val="17"/>
              </w:rPr>
              <w:t xml:space="preserve">Funding </w:t>
            </w:r>
            <w:r w:rsidR="00C058A1" w:rsidRPr="00E475B1">
              <w:rPr>
                <w:sz w:val="17"/>
                <w:szCs w:val="17"/>
              </w:rPr>
              <w:t xml:space="preserve">arrangements: </w:t>
            </w:r>
            <w:r w:rsidRPr="00E475B1">
              <w:rPr>
                <w:sz w:val="17"/>
                <w:szCs w:val="17"/>
              </w:rPr>
              <w:t>8</w:t>
            </w:r>
            <w:r w:rsidR="006374E5" w:rsidRPr="00E475B1">
              <w:rPr>
                <w:sz w:val="17"/>
                <w:szCs w:val="17"/>
              </w:rPr>
              <w:t>.</w:t>
            </w:r>
            <w:r w:rsidR="00E13AB4" w:rsidRPr="00E475B1">
              <w:rPr>
                <w:sz w:val="17"/>
                <w:szCs w:val="17"/>
              </w:rPr>
              <w:t>5</w:t>
            </w:r>
            <w:r w:rsidRPr="00E475B1">
              <w:rPr>
                <w:sz w:val="17"/>
                <w:szCs w:val="17"/>
              </w:rPr>
              <w:t xml:space="preserve"> </w:t>
            </w:r>
          </w:p>
          <w:p w14:paraId="1344363C" w14:textId="559BE40A" w:rsidR="00C058A1" w:rsidRPr="00E475B1" w:rsidRDefault="00447D73" w:rsidP="006374E5">
            <w:pPr>
              <w:pStyle w:val="TableText"/>
              <w:widowControl w:val="0"/>
              <w:rPr>
                <w:sz w:val="17"/>
                <w:szCs w:val="17"/>
              </w:rPr>
            </w:pPr>
            <w:r w:rsidRPr="00E475B1">
              <w:rPr>
                <w:sz w:val="17"/>
                <w:szCs w:val="17"/>
              </w:rPr>
              <w:t>R</w:t>
            </w:r>
            <w:r w:rsidR="00C058A1" w:rsidRPr="00E475B1">
              <w:rPr>
                <w:sz w:val="17"/>
                <w:szCs w:val="17"/>
              </w:rPr>
              <w:t>elevant NBC projects: 8.2</w:t>
            </w:r>
          </w:p>
          <w:p w14:paraId="4F538A58" w14:textId="7E8CA6DD" w:rsidR="00563216" w:rsidRPr="00E475B1" w:rsidRDefault="00447D73" w:rsidP="00E13AB4">
            <w:pPr>
              <w:pStyle w:val="TableText"/>
              <w:widowControl w:val="0"/>
              <w:rPr>
                <w:sz w:val="17"/>
                <w:szCs w:val="17"/>
              </w:rPr>
            </w:pPr>
            <w:r w:rsidRPr="00E475B1">
              <w:rPr>
                <w:sz w:val="17"/>
                <w:szCs w:val="17"/>
              </w:rPr>
              <w:t>S</w:t>
            </w:r>
            <w:r w:rsidR="00563216" w:rsidRPr="00E475B1">
              <w:rPr>
                <w:sz w:val="17"/>
                <w:szCs w:val="17"/>
              </w:rPr>
              <w:t>ustainable funding opportunities: 8.</w:t>
            </w:r>
            <w:r w:rsidR="00E13AB4" w:rsidRPr="00E475B1">
              <w:rPr>
                <w:sz w:val="17"/>
                <w:szCs w:val="17"/>
              </w:rPr>
              <w:t>5</w:t>
            </w:r>
          </w:p>
        </w:tc>
      </w:tr>
      <w:tr w:rsidR="004C6E1A" w:rsidRPr="00CD06D9" w14:paraId="41B6D10F" w14:textId="77777777" w:rsidTr="006F70C0">
        <w:tc>
          <w:tcPr>
            <w:tcW w:w="2127" w:type="dxa"/>
          </w:tcPr>
          <w:p w14:paraId="3BAFDE89" w14:textId="28A0C486" w:rsidR="004C6E1A" w:rsidRPr="006F70C0" w:rsidRDefault="004C6E1A" w:rsidP="00563216">
            <w:pPr>
              <w:pStyle w:val="TableText"/>
              <w:rPr>
                <w:sz w:val="17"/>
                <w:szCs w:val="17"/>
              </w:rPr>
            </w:pPr>
            <w:r w:rsidRPr="006F70C0">
              <w:rPr>
                <w:sz w:val="17"/>
                <w:szCs w:val="17"/>
              </w:rPr>
              <w:t xml:space="preserve">7. </w:t>
            </w:r>
          </w:p>
        </w:tc>
        <w:tc>
          <w:tcPr>
            <w:tcW w:w="6379" w:type="dxa"/>
          </w:tcPr>
          <w:p w14:paraId="1945C33D" w14:textId="77777777" w:rsidR="004C6E1A" w:rsidRPr="00E475B1" w:rsidRDefault="004C6E1A" w:rsidP="00C058A1">
            <w:pPr>
              <w:pStyle w:val="TableText"/>
              <w:widowControl w:val="0"/>
              <w:rPr>
                <w:sz w:val="17"/>
                <w:szCs w:val="17"/>
              </w:rPr>
            </w:pPr>
            <w:r w:rsidRPr="00E475B1">
              <w:rPr>
                <w:sz w:val="17"/>
                <w:szCs w:val="17"/>
              </w:rPr>
              <w:t xml:space="preserve">Performance </w:t>
            </w:r>
            <w:r w:rsidR="00C058A1" w:rsidRPr="00E475B1">
              <w:rPr>
                <w:sz w:val="17"/>
                <w:szCs w:val="17"/>
              </w:rPr>
              <w:t>and reporting: 9.2</w:t>
            </w:r>
          </w:p>
          <w:p w14:paraId="64F90EBA" w14:textId="78FE8477" w:rsidR="00563216" w:rsidRPr="00E475B1" w:rsidRDefault="00563216" w:rsidP="00C058A1">
            <w:pPr>
              <w:pStyle w:val="TableText"/>
              <w:widowControl w:val="0"/>
              <w:rPr>
                <w:sz w:val="17"/>
                <w:szCs w:val="17"/>
              </w:rPr>
            </w:pPr>
            <w:r w:rsidRPr="00E475B1">
              <w:rPr>
                <w:sz w:val="17"/>
                <w:szCs w:val="17"/>
              </w:rPr>
              <w:t>Knowledge and data: 9.3</w:t>
            </w:r>
            <w:r w:rsidR="00E13AB4" w:rsidRPr="00E475B1">
              <w:rPr>
                <w:sz w:val="17"/>
                <w:szCs w:val="17"/>
              </w:rPr>
              <w:t>, 9.4</w:t>
            </w:r>
          </w:p>
        </w:tc>
      </w:tr>
    </w:tbl>
    <w:p w14:paraId="791B42C8" w14:textId="023D509F" w:rsidR="00D61093" w:rsidRDefault="00D61093" w:rsidP="007B738A">
      <w:pPr>
        <w:pStyle w:val="FigureTableNoteSource"/>
        <w:rPr>
          <w:lang w:eastAsia="ja-JP"/>
        </w:rPr>
      </w:pPr>
      <w:r>
        <w:rPr>
          <w:lang w:eastAsia="ja-JP"/>
        </w:rPr>
        <w:t>NBC: National Biosecurity Committee.</w:t>
      </w:r>
    </w:p>
    <w:p w14:paraId="18DA0CC4" w14:textId="03718776" w:rsidR="00E138C3" w:rsidRDefault="00E138C3" w:rsidP="007B738A">
      <w:pPr>
        <w:pStyle w:val="FigureTableNoteSource"/>
        <w:rPr>
          <w:lang w:eastAsia="ja-JP"/>
        </w:rPr>
      </w:pPr>
      <w:r>
        <w:rPr>
          <w:lang w:eastAsia="ja-JP"/>
        </w:rPr>
        <w:t xml:space="preserve">As outlined in the </w:t>
      </w:r>
      <w:r w:rsidR="00646B3C">
        <w:rPr>
          <w:lang w:eastAsia="ja-JP"/>
        </w:rPr>
        <w:t xml:space="preserve">IGAB </w:t>
      </w:r>
      <w:r w:rsidR="00A14332">
        <w:rPr>
          <w:lang w:eastAsia="ja-JP"/>
        </w:rPr>
        <w:t>r</w:t>
      </w:r>
      <w:r w:rsidR="00646B3C">
        <w:rPr>
          <w:lang w:eastAsia="ja-JP"/>
        </w:rPr>
        <w:t xml:space="preserve">eview </w:t>
      </w:r>
      <w:r w:rsidR="00A14332">
        <w:rPr>
          <w:lang w:eastAsia="ja-JP"/>
        </w:rPr>
        <w:t>d</w:t>
      </w:r>
      <w:r>
        <w:rPr>
          <w:lang w:eastAsia="ja-JP"/>
        </w:rPr>
        <w:t xml:space="preserve">iscussion </w:t>
      </w:r>
      <w:r w:rsidR="00A14332">
        <w:rPr>
          <w:lang w:eastAsia="ja-JP"/>
        </w:rPr>
        <w:t>p</w:t>
      </w:r>
      <w:r>
        <w:rPr>
          <w:lang w:eastAsia="ja-JP"/>
        </w:rPr>
        <w:t xml:space="preserve">aper, some aspects of the national biosecurity system </w:t>
      </w:r>
      <w:r w:rsidR="007A03A0">
        <w:rPr>
          <w:lang w:eastAsia="ja-JP"/>
        </w:rPr>
        <w:t>were</w:t>
      </w:r>
      <w:r>
        <w:rPr>
          <w:lang w:eastAsia="ja-JP"/>
        </w:rPr>
        <w:t xml:space="preserve"> not considered as part of this </w:t>
      </w:r>
      <w:r w:rsidR="00D61093">
        <w:rPr>
          <w:lang w:eastAsia="ja-JP"/>
        </w:rPr>
        <w:t>r</w:t>
      </w:r>
      <w:r w:rsidR="001451D2">
        <w:rPr>
          <w:lang w:eastAsia="ja-JP"/>
        </w:rPr>
        <w:t>eview, including:</w:t>
      </w:r>
    </w:p>
    <w:p w14:paraId="00287AE5" w14:textId="470F7410" w:rsidR="00E138C3" w:rsidRDefault="00E138C3" w:rsidP="008B4496">
      <w:pPr>
        <w:pStyle w:val="FigureTableNoteSource"/>
        <w:numPr>
          <w:ilvl w:val="0"/>
          <w:numId w:val="12"/>
        </w:numPr>
        <w:ind w:left="357" w:hanging="357"/>
        <w:rPr>
          <w:lang w:eastAsia="ja-JP"/>
        </w:rPr>
      </w:pPr>
      <w:r>
        <w:rPr>
          <w:lang w:eastAsia="ja-JP"/>
        </w:rPr>
        <w:t>biosecurity arrang</w:t>
      </w:r>
      <w:r w:rsidR="001451D2">
        <w:rPr>
          <w:lang w:eastAsia="ja-JP"/>
        </w:rPr>
        <w:t>ements specific to human health</w:t>
      </w:r>
    </w:p>
    <w:p w14:paraId="2BFF65CE" w14:textId="52AD2009" w:rsidR="00E138C3" w:rsidRDefault="00E138C3" w:rsidP="008B4496">
      <w:pPr>
        <w:pStyle w:val="FigureTableNoteSource"/>
        <w:numPr>
          <w:ilvl w:val="0"/>
          <w:numId w:val="12"/>
        </w:numPr>
        <w:ind w:left="357" w:hanging="357"/>
        <w:rPr>
          <w:lang w:eastAsia="ja-JP"/>
        </w:rPr>
      </w:pPr>
      <w:r>
        <w:rPr>
          <w:lang w:eastAsia="ja-JP"/>
        </w:rPr>
        <w:t>biosecuri</w:t>
      </w:r>
      <w:r w:rsidR="001451D2">
        <w:rPr>
          <w:lang w:eastAsia="ja-JP"/>
        </w:rPr>
        <w:t>ty Import Risk Analyses (BIRAs)</w:t>
      </w:r>
    </w:p>
    <w:p w14:paraId="7FF155AB" w14:textId="62F8679D" w:rsidR="00E138C3" w:rsidRDefault="00E138C3" w:rsidP="008B4496">
      <w:pPr>
        <w:pStyle w:val="FigureTableNoteSource"/>
        <w:numPr>
          <w:ilvl w:val="0"/>
          <w:numId w:val="12"/>
        </w:numPr>
        <w:ind w:left="357" w:hanging="357"/>
        <w:rPr>
          <w:lang w:eastAsia="ja-JP"/>
        </w:rPr>
      </w:pPr>
      <w:r>
        <w:rPr>
          <w:lang w:eastAsia="ja-JP"/>
        </w:rPr>
        <w:t>comprehensive revie</w:t>
      </w:r>
      <w:r w:rsidR="001451D2">
        <w:rPr>
          <w:lang w:eastAsia="ja-JP"/>
        </w:rPr>
        <w:t>ws of emergency responses deeds</w:t>
      </w:r>
    </w:p>
    <w:p w14:paraId="6870746F" w14:textId="23D87C2D" w:rsidR="00E138C3" w:rsidRDefault="00E138C3" w:rsidP="008B4496">
      <w:pPr>
        <w:pStyle w:val="FigureTableNoteSource"/>
        <w:numPr>
          <w:ilvl w:val="0"/>
          <w:numId w:val="12"/>
        </w:numPr>
        <w:ind w:left="357" w:hanging="357"/>
        <w:rPr>
          <w:lang w:eastAsia="ja-JP"/>
        </w:rPr>
      </w:pPr>
      <w:r>
        <w:rPr>
          <w:lang w:eastAsia="ja-JP"/>
        </w:rPr>
        <w:t>response plans, such as the Australian Veterin</w:t>
      </w:r>
      <w:r w:rsidR="001451D2">
        <w:rPr>
          <w:lang w:eastAsia="ja-JP"/>
        </w:rPr>
        <w:t>ary Emergency Plan (AUSVETPLAN)</w:t>
      </w:r>
    </w:p>
    <w:p w14:paraId="3D2FB525" w14:textId="0516DBD2" w:rsidR="00E138C3" w:rsidRDefault="00E138C3" w:rsidP="008B4496">
      <w:pPr>
        <w:pStyle w:val="FigureTableNoteSource"/>
        <w:numPr>
          <w:ilvl w:val="0"/>
          <w:numId w:val="12"/>
        </w:numPr>
        <w:ind w:left="357" w:hanging="357"/>
        <w:rPr>
          <w:lang w:eastAsia="ja-JP"/>
        </w:rPr>
      </w:pPr>
      <w:r>
        <w:rPr>
          <w:lang w:eastAsia="ja-JP"/>
        </w:rPr>
        <w:t>matters to do with specif</w:t>
      </w:r>
      <w:r w:rsidR="001451D2">
        <w:rPr>
          <w:lang w:eastAsia="ja-JP"/>
        </w:rPr>
        <w:t>ic biosecurity legislation</w:t>
      </w:r>
    </w:p>
    <w:p w14:paraId="6A4518B7" w14:textId="77777777" w:rsidR="00E138C3" w:rsidRPr="00E05D8B" w:rsidRDefault="00E138C3" w:rsidP="008B4496">
      <w:pPr>
        <w:pStyle w:val="FigureTableNoteSource"/>
        <w:numPr>
          <w:ilvl w:val="0"/>
          <w:numId w:val="12"/>
        </w:numPr>
        <w:ind w:left="357" w:hanging="357"/>
        <w:rPr>
          <w:lang w:eastAsia="ja-JP"/>
        </w:rPr>
      </w:pPr>
      <w:r>
        <w:rPr>
          <w:lang w:eastAsia="ja-JP"/>
        </w:rPr>
        <w:t>matters to do with Australia’s international obligations relating to biosecurity.</w:t>
      </w:r>
    </w:p>
    <w:p w14:paraId="77D2213C" w14:textId="17DEF609" w:rsidR="00E05D8B" w:rsidRDefault="00E05D8B" w:rsidP="00210276">
      <w:pPr>
        <w:pStyle w:val="Heading2"/>
        <w:numPr>
          <w:ilvl w:val="0"/>
          <w:numId w:val="0"/>
        </w:numPr>
        <w:ind w:left="709" w:hanging="709"/>
      </w:pPr>
      <w:bookmarkStart w:id="236" w:name="_Toc486236072"/>
      <w:bookmarkStart w:id="237" w:name="_Toc430782161"/>
      <w:r>
        <w:lastRenderedPageBreak/>
        <w:t>Appendix B</w:t>
      </w:r>
      <w:r w:rsidR="00596255">
        <w:t xml:space="preserve"> </w:t>
      </w:r>
      <w:r w:rsidR="00F50BD0">
        <w:t>Review panel b</w:t>
      </w:r>
      <w:r>
        <w:t>iographies</w:t>
      </w:r>
      <w:bookmarkEnd w:id="236"/>
    </w:p>
    <w:p w14:paraId="5351E532" w14:textId="77777777" w:rsidR="00E05D8B" w:rsidRPr="00E05D8B" w:rsidRDefault="00E05D8B" w:rsidP="00E05D8B">
      <w:pPr>
        <w:rPr>
          <w:rStyle w:val="Strong"/>
          <w:lang w:eastAsia="ja-JP"/>
        </w:rPr>
      </w:pPr>
      <w:r w:rsidRPr="00E05D8B">
        <w:rPr>
          <w:rStyle w:val="Strong"/>
          <w:lang w:eastAsia="ja-JP"/>
        </w:rPr>
        <w:t>Dr Wendy Craik AM (Chair)</w:t>
      </w:r>
    </w:p>
    <w:p w14:paraId="07D2864F" w14:textId="1A838A37" w:rsidR="00D73C51" w:rsidRDefault="00D73C51" w:rsidP="00D73C51">
      <w:pPr>
        <w:rPr>
          <w:lang w:eastAsia="ja-JP"/>
        </w:rPr>
      </w:pPr>
      <w:r>
        <w:rPr>
          <w:lang w:eastAsia="ja-JP"/>
        </w:rPr>
        <w:t xml:space="preserve">Dr Craik has </w:t>
      </w:r>
      <w:r w:rsidR="00AD5BA2">
        <w:rPr>
          <w:lang w:eastAsia="ja-JP"/>
        </w:rPr>
        <w:t xml:space="preserve">more than </w:t>
      </w:r>
      <w:r>
        <w:rPr>
          <w:lang w:eastAsia="ja-JP"/>
        </w:rPr>
        <w:t>25 years</w:t>
      </w:r>
      <w:r w:rsidR="003B1A0F">
        <w:rPr>
          <w:lang w:eastAsia="ja-JP"/>
        </w:rPr>
        <w:t>’</w:t>
      </w:r>
      <w:r>
        <w:rPr>
          <w:lang w:eastAsia="ja-JP"/>
        </w:rPr>
        <w:t xml:space="preserve"> experience in senior roles in public policy, particularly on issues related to natural resource management. She is currently Chair of the Climate Change Authority, Deputy Chancellor for the University of South Australia (2010–2018), Chair of the N</w:t>
      </w:r>
      <w:r w:rsidR="002776C3">
        <w:rPr>
          <w:lang w:eastAsia="ja-JP"/>
        </w:rPr>
        <w:t xml:space="preserve">ew </w:t>
      </w:r>
      <w:r>
        <w:rPr>
          <w:lang w:eastAsia="ja-JP"/>
        </w:rPr>
        <w:t>S</w:t>
      </w:r>
      <w:r w:rsidR="002776C3">
        <w:rPr>
          <w:lang w:eastAsia="ja-JP"/>
        </w:rPr>
        <w:t xml:space="preserve">outh </w:t>
      </w:r>
      <w:r>
        <w:rPr>
          <w:lang w:eastAsia="ja-JP"/>
        </w:rPr>
        <w:t>W</w:t>
      </w:r>
      <w:r w:rsidR="002776C3">
        <w:rPr>
          <w:lang w:eastAsia="ja-JP"/>
        </w:rPr>
        <w:t>ales</w:t>
      </w:r>
      <w:r>
        <w:rPr>
          <w:lang w:eastAsia="ja-JP"/>
        </w:rPr>
        <w:t xml:space="preserve"> Marine Estate Management Authority, </w:t>
      </w:r>
      <w:r w:rsidR="002776C3">
        <w:rPr>
          <w:lang w:eastAsia="ja-JP"/>
        </w:rPr>
        <w:t>b</w:t>
      </w:r>
      <w:r>
        <w:rPr>
          <w:lang w:eastAsia="ja-JP"/>
        </w:rPr>
        <w:t xml:space="preserve">oard </w:t>
      </w:r>
      <w:r w:rsidR="002776C3">
        <w:rPr>
          <w:lang w:eastAsia="ja-JP"/>
        </w:rPr>
        <w:t>m</w:t>
      </w:r>
      <w:r>
        <w:rPr>
          <w:lang w:eastAsia="ja-JP"/>
        </w:rPr>
        <w:t xml:space="preserve">ember of the Australian Farm Institute and </w:t>
      </w:r>
      <w:r w:rsidR="002776C3">
        <w:rPr>
          <w:lang w:eastAsia="ja-JP"/>
        </w:rPr>
        <w:t>a m</w:t>
      </w:r>
      <w:r>
        <w:rPr>
          <w:lang w:eastAsia="ja-JP"/>
        </w:rPr>
        <w:t xml:space="preserve">ember </w:t>
      </w:r>
      <w:r w:rsidR="002776C3">
        <w:rPr>
          <w:lang w:eastAsia="ja-JP"/>
        </w:rPr>
        <w:t xml:space="preserve">of the </w:t>
      </w:r>
      <w:r>
        <w:rPr>
          <w:lang w:eastAsia="ja-JP"/>
        </w:rPr>
        <w:t>Advisory Board for the Centre for Strategy and Governance.</w:t>
      </w:r>
    </w:p>
    <w:p w14:paraId="327741B1" w14:textId="77762700" w:rsidR="00D73C51" w:rsidRDefault="00D73C51" w:rsidP="00D73C51">
      <w:pPr>
        <w:rPr>
          <w:lang w:eastAsia="ja-JP"/>
        </w:rPr>
      </w:pPr>
      <w:r>
        <w:rPr>
          <w:lang w:eastAsia="ja-JP"/>
        </w:rPr>
        <w:t>She has a</w:t>
      </w:r>
      <w:r w:rsidR="002776C3">
        <w:rPr>
          <w:lang w:eastAsia="ja-JP"/>
        </w:rPr>
        <w:t>n extensive record of executive-</w:t>
      </w:r>
      <w:r>
        <w:rPr>
          <w:lang w:eastAsia="ja-JP"/>
        </w:rPr>
        <w:t xml:space="preserve">level appointments in both public and private sectors, most recently as a Commissioner of the Productivity Commission (2009–2014). Prior to this, </w:t>
      </w:r>
      <w:r w:rsidR="002776C3">
        <w:rPr>
          <w:lang w:eastAsia="ja-JP"/>
        </w:rPr>
        <w:t>Dr Craik was CEO of the Murray–</w:t>
      </w:r>
      <w:r>
        <w:rPr>
          <w:lang w:eastAsia="ja-JP"/>
        </w:rPr>
        <w:t>Darling Basin Commission (2004–2008) and Executive Director of the National Farmers’ Federation (1995–2000). Other previous roles include President of the National Competition Council, board member for Dairy Australia, Chair of the Australian Rural Leadership Foundation, Chair of the Australian Fisheries Management Authority and Chair of the National Rural Advisory Council.</w:t>
      </w:r>
    </w:p>
    <w:p w14:paraId="241FF799" w14:textId="77777777" w:rsidR="00E05D8B" w:rsidRPr="00E05D8B" w:rsidRDefault="00E05D8B" w:rsidP="00E05D8B">
      <w:pPr>
        <w:rPr>
          <w:rStyle w:val="Strong"/>
          <w:lang w:eastAsia="ja-JP"/>
        </w:rPr>
      </w:pPr>
      <w:r w:rsidRPr="00E05D8B">
        <w:rPr>
          <w:rStyle w:val="Strong"/>
          <w:lang w:eastAsia="ja-JP"/>
        </w:rPr>
        <w:t>Mr David Palmer</w:t>
      </w:r>
    </w:p>
    <w:p w14:paraId="7BD9F398" w14:textId="29390633" w:rsidR="003D625D" w:rsidRDefault="003D625D" w:rsidP="003D625D">
      <w:pPr>
        <w:rPr>
          <w:lang w:eastAsia="ja-JP"/>
        </w:rPr>
      </w:pPr>
      <w:r>
        <w:rPr>
          <w:lang w:eastAsia="ja-JP"/>
        </w:rPr>
        <w:t>Mr Palmer is currently the Chair of the N</w:t>
      </w:r>
      <w:r w:rsidR="00C47BF2">
        <w:rPr>
          <w:lang w:eastAsia="ja-JP"/>
        </w:rPr>
        <w:t xml:space="preserve">ew </w:t>
      </w:r>
      <w:r>
        <w:rPr>
          <w:lang w:eastAsia="ja-JP"/>
        </w:rPr>
        <w:t>S</w:t>
      </w:r>
      <w:r w:rsidR="00C47BF2">
        <w:rPr>
          <w:lang w:eastAsia="ja-JP"/>
        </w:rPr>
        <w:t xml:space="preserve">outh </w:t>
      </w:r>
      <w:r>
        <w:rPr>
          <w:lang w:eastAsia="ja-JP"/>
        </w:rPr>
        <w:t>W</w:t>
      </w:r>
      <w:r w:rsidR="00C47BF2">
        <w:rPr>
          <w:lang w:eastAsia="ja-JP"/>
        </w:rPr>
        <w:t xml:space="preserve">ales </w:t>
      </w:r>
      <w:r>
        <w:rPr>
          <w:lang w:eastAsia="ja-JP"/>
        </w:rPr>
        <w:t xml:space="preserve"> Biosecurity Advisory Committee and the Board of the NSW Rural Assistance Authority. Mr Palmer is also an independent director on the Board of Animal Health Australia, the Invasive Animals CRC and the Greater Sydney Local Land Services.</w:t>
      </w:r>
    </w:p>
    <w:p w14:paraId="0257463C" w14:textId="467B421D" w:rsidR="00E05D8B" w:rsidRDefault="003D625D" w:rsidP="003D625D">
      <w:pPr>
        <w:rPr>
          <w:lang w:eastAsia="ja-JP"/>
        </w:rPr>
      </w:pPr>
      <w:r>
        <w:rPr>
          <w:lang w:eastAsia="ja-JP"/>
        </w:rPr>
        <w:t xml:space="preserve">He is the former Managing Director of Meat </w:t>
      </w:r>
      <w:r w:rsidR="00C47BF2">
        <w:rPr>
          <w:lang w:eastAsia="ja-JP"/>
        </w:rPr>
        <w:t>&amp;</w:t>
      </w:r>
      <w:r>
        <w:rPr>
          <w:lang w:eastAsia="ja-JP"/>
        </w:rPr>
        <w:t xml:space="preserve"> Livestock Australia </w:t>
      </w:r>
      <w:r w:rsidR="00C47BF2">
        <w:rPr>
          <w:lang w:eastAsia="ja-JP"/>
        </w:rPr>
        <w:t xml:space="preserve">Limited </w:t>
      </w:r>
      <w:r>
        <w:rPr>
          <w:lang w:eastAsia="ja-JP"/>
        </w:rPr>
        <w:t>and spent six years as the Executive Director of the Cattle Council of Australia. Other previous work includes th</w:t>
      </w:r>
      <w:r w:rsidR="0006277D">
        <w:rPr>
          <w:lang w:eastAsia="ja-JP"/>
        </w:rPr>
        <w:t>e chairmanship of the Australia–</w:t>
      </w:r>
      <w:r>
        <w:rPr>
          <w:lang w:eastAsia="ja-JP"/>
        </w:rPr>
        <w:t>Korea Foundation and employment with the N</w:t>
      </w:r>
      <w:r w:rsidR="0006277D">
        <w:rPr>
          <w:lang w:eastAsia="ja-JP"/>
        </w:rPr>
        <w:t xml:space="preserve">ew </w:t>
      </w:r>
      <w:r>
        <w:rPr>
          <w:lang w:eastAsia="ja-JP"/>
        </w:rPr>
        <w:t>S</w:t>
      </w:r>
      <w:r w:rsidR="0006277D">
        <w:rPr>
          <w:lang w:eastAsia="ja-JP"/>
        </w:rPr>
        <w:t xml:space="preserve">outh </w:t>
      </w:r>
      <w:r>
        <w:rPr>
          <w:lang w:eastAsia="ja-JP"/>
        </w:rPr>
        <w:t>W</w:t>
      </w:r>
      <w:r w:rsidR="0006277D">
        <w:rPr>
          <w:lang w:eastAsia="ja-JP"/>
        </w:rPr>
        <w:t>ales</w:t>
      </w:r>
      <w:r>
        <w:rPr>
          <w:lang w:eastAsia="ja-JP"/>
        </w:rPr>
        <w:t xml:space="preserve"> Meat Industry Authorit</w:t>
      </w:r>
      <w:r w:rsidR="0006277D">
        <w:rPr>
          <w:lang w:eastAsia="ja-JP"/>
        </w:rPr>
        <w:t>y, the NSW Farmer’s Association</w:t>
      </w:r>
      <w:r>
        <w:rPr>
          <w:lang w:eastAsia="ja-JP"/>
        </w:rPr>
        <w:t xml:space="preserve"> and the Australian Meat &amp; Livestock Corporation.</w:t>
      </w:r>
    </w:p>
    <w:p w14:paraId="692E1E5F" w14:textId="77777777" w:rsidR="00E05D8B" w:rsidRPr="00E05D8B" w:rsidRDefault="00E05D8B" w:rsidP="00E05D8B">
      <w:pPr>
        <w:rPr>
          <w:rStyle w:val="Strong"/>
          <w:lang w:eastAsia="ja-JP"/>
        </w:rPr>
      </w:pPr>
      <w:r w:rsidRPr="00E05D8B">
        <w:rPr>
          <w:rStyle w:val="Strong"/>
          <w:lang w:eastAsia="ja-JP"/>
        </w:rPr>
        <w:t>Dr Richard Sheldrake AM</w:t>
      </w:r>
    </w:p>
    <w:p w14:paraId="295013A8" w14:textId="320882C9" w:rsidR="00E05D8B" w:rsidRDefault="00E05D8B" w:rsidP="00E05D8B">
      <w:pPr>
        <w:rPr>
          <w:lang w:eastAsia="ja-JP"/>
        </w:rPr>
      </w:pPr>
      <w:r>
        <w:rPr>
          <w:lang w:eastAsia="ja-JP"/>
        </w:rPr>
        <w:t>Dr Sheldrake is the Former Director</w:t>
      </w:r>
      <w:r w:rsidR="008A1CEB">
        <w:rPr>
          <w:lang w:eastAsia="ja-JP"/>
        </w:rPr>
        <w:t>-</w:t>
      </w:r>
      <w:r>
        <w:rPr>
          <w:lang w:eastAsia="ja-JP"/>
        </w:rPr>
        <w:t>General of the New South Wales Department of Primary Industries. Prior to this appointment</w:t>
      </w:r>
      <w:r w:rsidR="00590289">
        <w:rPr>
          <w:lang w:eastAsia="ja-JP"/>
        </w:rPr>
        <w:t>,</w:t>
      </w:r>
      <w:r>
        <w:rPr>
          <w:lang w:eastAsia="ja-JP"/>
        </w:rPr>
        <w:t xml:space="preserve"> Dr Sheldrake had been Director-General of </w:t>
      </w:r>
      <w:r>
        <w:rPr>
          <w:lang w:eastAsia="ja-JP"/>
        </w:rPr>
        <w:lastRenderedPageBreak/>
        <w:t>the N</w:t>
      </w:r>
      <w:r w:rsidR="00590289">
        <w:rPr>
          <w:lang w:eastAsia="ja-JP"/>
        </w:rPr>
        <w:t xml:space="preserve">ew </w:t>
      </w:r>
      <w:r>
        <w:rPr>
          <w:lang w:eastAsia="ja-JP"/>
        </w:rPr>
        <w:t>S</w:t>
      </w:r>
      <w:r w:rsidR="00590289">
        <w:rPr>
          <w:lang w:eastAsia="ja-JP"/>
        </w:rPr>
        <w:t xml:space="preserve">outh </w:t>
      </w:r>
      <w:r>
        <w:rPr>
          <w:lang w:eastAsia="ja-JP"/>
        </w:rPr>
        <w:t>W</w:t>
      </w:r>
      <w:r w:rsidR="00590289">
        <w:rPr>
          <w:lang w:eastAsia="ja-JP"/>
        </w:rPr>
        <w:t>ales</w:t>
      </w:r>
      <w:r>
        <w:rPr>
          <w:lang w:eastAsia="ja-JP"/>
        </w:rPr>
        <w:t xml:space="preserve"> Departments of Industry and Investment, Natural Resources and Agriculture. He has led the various departments in service delivery, policy development, compliance and regulation, research and development and technology transfer across a broad range of fields.</w:t>
      </w:r>
    </w:p>
    <w:p w14:paraId="000EE927" w14:textId="355F6C41" w:rsidR="00E05D8B" w:rsidRDefault="00E05D8B" w:rsidP="00E05D8B">
      <w:pPr>
        <w:rPr>
          <w:lang w:eastAsia="ja-JP"/>
        </w:rPr>
      </w:pPr>
      <w:r>
        <w:rPr>
          <w:lang w:eastAsia="ja-JP"/>
        </w:rPr>
        <w:t>Dr Sheldrake has played a role in developing and guiding state and national policy in areas such as carbon offsets</w:t>
      </w:r>
      <w:r w:rsidR="00590289">
        <w:rPr>
          <w:lang w:eastAsia="ja-JP"/>
        </w:rPr>
        <w:t>,</w:t>
      </w:r>
      <w:r>
        <w:rPr>
          <w:lang w:eastAsia="ja-JP"/>
        </w:rPr>
        <w:t xml:space="preserve"> plant and animal biosecurity</w:t>
      </w:r>
      <w:r w:rsidR="00590289">
        <w:rPr>
          <w:lang w:eastAsia="ja-JP"/>
        </w:rPr>
        <w:t>,</w:t>
      </w:r>
      <w:r>
        <w:rPr>
          <w:lang w:eastAsia="ja-JP"/>
        </w:rPr>
        <w:t xml:space="preserve"> agricultural research and development</w:t>
      </w:r>
      <w:r w:rsidR="00590289">
        <w:rPr>
          <w:lang w:eastAsia="ja-JP"/>
        </w:rPr>
        <w:t>,</w:t>
      </w:r>
      <w:r>
        <w:rPr>
          <w:lang w:eastAsia="ja-JP"/>
        </w:rPr>
        <w:t xml:space="preserve"> drought policy</w:t>
      </w:r>
      <w:r w:rsidR="00590289">
        <w:rPr>
          <w:lang w:eastAsia="ja-JP"/>
        </w:rPr>
        <w:t>,</w:t>
      </w:r>
      <w:r>
        <w:rPr>
          <w:lang w:eastAsia="ja-JP"/>
        </w:rPr>
        <w:t xml:space="preserve"> rural and regional service del</w:t>
      </w:r>
      <w:r w:rsidR="00590289">
        <w:rPr>
          <w:lang w:eastAsia="ja-JP"/>
        </w:rPr>
        <w:t>ivery, native forest management, native vegetation, fisheries resource management, efficient water use, sustainable land use and</w:t>
      </w:r>
      <w:r>
        <w:rPr>
          <w:lang w:eastAsia="ja-JP"/>
        </w:rPr>
        <w:t xml:space="preserve"> export market development.</w:t>
      </w:r>
    </w:p>
    <w:p w14:paraId="57133DD4" w14:textId="527A25E4" w:rsidR="00E05D8B" w:rsidRPr="00E05D8B" w:rsidRDefault="00E05D8B" w:rsidP="00E05D8B">
      <w:pPr>
        <w:rPr>
          <w:lang w:eastAsia="ja-JP"/>
        </w:rPr>
      </w:pPr>
      <w:r>
        <w:rPr>
          <w:lang w:eastAsia="ja-JP"/>
        </w:rPr>
        <w:t xml:space="preserve">He has previously held the offices of Commissioner of the </w:t>
      </w:r>
      <w:r w:rsidR="00CA2B7D">
        <w:rPr>
          <w:lang w:eastAsia="ja-JP"/>
        </w:rPr>
        <w:t>Murray–</w:t>
      </w:r>
      <w:r>
        <w:rPr>
          <w:lang w:eastAsia="ja-JP"/>
        </w:rPr>
        <w:t>Darling Basin Commission, N</w:t>
      </w:r>
      <w:r w:rsidR="00CA2B7D">
        <w:rPr>
          <w:lang w:eastAsia="ja-JP"/>
        </w:rPr>
        <w:t xml:space="preserve">ew </w:t>
      </w:r>
      <w:r>
        <w:rPr>
          <w:lang w:eastAsia="ja-JP"/>
        </w:rPr>
        <w:t>S</w:t>
      </w:r>
      <w:r w:rsidR="00CA2B7D">
        <w:rPr>
          <w:lang w:eastAsia="ja-JP"/>
        </w:rPr>
        <w:t xml:space="preserve">outh </w:t>
      </w:r>
      <w:r>
        <w:rPr>
          <w:lang w:eastAsia="ja-JP"/>
        </w:rPr>
        <w:t>W</w:t>
      </w:r>
      <w:r w:rsidR="00CA2B7D">
        <w:rPr>
          <w:lang w:eastAsia="ja-JP"/>
        </w:rPr>
        <w:t>ales</w:t>
      </w:r>
      <w:r>
        <w:rPr>
          <w:lang w:eastAsia="ja-JP"/>
        </w:rPr>
        <w:t xml:space="preserve"> Commissioner for Soil Conservation and N</w:t>
      </w:r>
      <w:r w:rsidR="00CA2B7D">
        <w:rPr>
          <w:lang w:eastAsia="ja-JP"/>
        </w:rPr>
        <w:t xml:space="preserve">ew </w:t>
      </w:r>
      <w:r>
        <w:rPr>
          <w:lang w:eastAsia="ja-JP"/>
        </w:rPr>
        <w:t>S</w:t>
      </w:r>
      <w:r w:rsidR="00CA2B7D">
        <w:rPr>
          <w:lang w:eastAsia="ja-JP"/>
        </w:rPr>
        <w:t xml:space="preserve">outh </w:t>
      </w:r>
      <w:r>
        <w:rPr>
          <w:lang w:eastAsia="ja-JP"/>
        </w:rPr>
        <w:t>W</w:t>
      </w:r>
      <w:r w:rsidR="00CA2B7D">
        <w:rPr>
          <w:lang w:eastAsia="ja-JP"/>
        </w:rPr>
        <w:t>ales</w:t>
      </w:r>
      <w:r>
        <w:rPr>
          <w:lang w:eastAsia="ja-JP"/>
        </w:rPr>
        <w:t xml:space="preserve"> Commissioner of Forests. Dr Sheldrake was previously a Director of the Pig Research and Development Corporation and Animal Health Australia Limited and Chair of the Primary Industries Health Committee.</w:t>
      </w:r>
    </w:p>
    <w:p w14:paraId="1837E4DB" w14:textId="67A4FF79" w:rsidR="0070601C" w:rsidRDefault="00274D8F" w:rsidP="00210276">
      <w:pPr>
        <w:pStyle w:val="Heading2"/>
        <w:numPr>
          <w:ilvl w:val="0"/>
          <w:numId w:val="0"/>
        </w:numPr>
        <w:ind w:left="709" w:hanging="709"/>
      </w:pPr>
      <w:bookmarkStart w:id="238" w:name="_Appendix_C:_Public"/>
      <w:bookmarkStart w:id="239" w:name="_Ref468449481"/>
      <w:bookmarkStart w:id="240" w:name="_Ref468449496"/>
      <w:bookmarkStart w:id="241" w:name="_Ref468449504"/>
      <w:bookmarkStart w:id="242" w:name="_Toc486236073"/>
      <w:bookmarkEnd w:id="238"/>
      <w:r>
        <w:lastRenderedPageBreak/>
        <w:t>Appendix C</w:t>
      </w:r>
      <w:r w:rsidR="0070601C">
        <w:t xml:space="preserve"> </w:t>
      </w:r>
      <w:r w:rsidR="00280A78">
        <w:t>Public</w:t>
      </w:r>
      <w:r w:rsidR="0070601C">
        <w:t xml:space="preserve"> consultation</w:t>
      </w:r>
      <w:bookmarkEnd w:id="239"/>
      <w:bookmarkEnd w:id="240"/>
      <w:bookmarkEnd w:id="241"/>
      <w:bookmarkEnd w:id="242"/>
    </w:p>
    <w:p w14:paraId="335369D2" w14:textId="77777777" w:rsidR="0070601C" w:rsidRPr="0070601C" w:rsidRDefault="0070601C" w:rsidP="0070601C">
      <w:pPr>
        <w:rPr>
          <w:rStyle w:val="Strong"/>
          <w:lang w:eastAsia="ja-JP"/>
        </w:rPr>
      </w:pPr>
      <w:r w:rsidRPr="0070601C">
        <w:rPr>
          <w:rStyle w:val="Strong"/>
          <w:lang w:eastAsia="ja-JP"/>
        </w:rPr>
        <w:t>Consultation process</w:t>
      </w:r>
    </w:p>
    <w:p w14:paraId="220F62F9" w14:textId="6C8127D8" w:rsidR="00280A78" w:rsidRDefault="00862086" w:rsidP="00280A78">
      <w:pPr>
        <w:rPr>
          <w:lang w:eastAsia="ja-JP"/>
        </w:rPr>
      </w:pPr>
      <w:r>
        <w:rPr>
          <w:lang w:eastAsia="ja-JP"/>
        </w:rPr>
        <w:t>Over</w:t>
      </w:r>
      <w:r w:rsidR="00280A78">
        <w:rPr>
          <w:lang w:eastAsia="ja-JP"/>
        </w:rPr>
        <w:t xml:space="preserve"> </w:t>
      </w:r>
      <w:r w:rsidR="00280A78" w:rsidRPr="00AD25F6">
        <w:rPr>
          <w:lang w:eastAsia="ja-JP"/>
        </w:rPr>
        <w:t>65</w:t>
      </w:r>
      <w:r w:rsidR="00280A78">
        <w:rPr>
          <w:lang w:eastAsia="ja-JP"/>
        </w:rPr>
        <w:t xml:space="preserve"> submissions were received in response to the </w:t>
      </w:r>
      <w:r w:rsidR="00CA2B7D">
        <w:rPr>
          <w:lang w:eastAsia="ja-JP"/>
        </w:rPr>
        <w:t>p</w:t>
      </w:r>
      <w:r w:rsidR="00280A78">
        <w:rPr>
          <w:lang w:eastAsia="ja-JP"/>
        </w:rPr>
        <w:t xml:space="preserve">anel’s </w:t>
      </w:r>
      <w:r w:rsidR="00A14332">
        <w:rPr>
          <w:lang w:eastAsia="ja-JP"/>
        </w:rPr>
        <w:t>d</w:t>
      </w:r>
      <w:r w:rsidR="00280A78">
        <w:rPr>
          <w:lang w:eastAsia="ja-JP"/>
        </w:rPr>
        <w:t xml:space="preserve">iscussion </w:t>
      </w:r>
      <w:r w:rsidR="00A14332">
        <w:rPr>
          <w:lang w:eastAsia="ja-JP"/>
        </w:rPr>
        <w:t>p</w:t>
      </w:r>
      <w:r w:rsidR="00280A78">
        <w:rPr>
          <w:lang w:eastAsia="ja-JP"/>
        </w:rPr>
        <w:t>aper</w:t>
      </w:r>
      <w:r w:rsidR="00225C64">
        <w:rPr>
          <w:lang w:eastAsia="ja-JP"/>
        </w:rPr>
        <w:t xml:space="preserve"> </w:t>
      </w:r>
      <w:r w:rsidR="00225C64" w:rsidRPr="00735E72">
        <w:rPr>
          <w:lang w:eastAsia="ja-JP"/>
        </w:rPr>
        <w:t>(DP)</w:t>
      </w:r>
      <w:r w:rsidR="00CA2B7D">
        <w:rPr>
          <w:lang w:eastAsia="ja-JP"/>
        </w:rPr>
        <w:t>,</w:t>
      </w:r>
      <w:r w:rsidR="00280A78">
        <w:rPr>
          <w:lang w:eastAsia="ja-JP"/>
        </w:rPr>
        <w:t xml:space="preserve"> released in May 2016.</w:t>
      </w:r>
      <w:r w:rsidR="00225C64">
        <w:rPr>
          <w:lang w:eastAsia="ja-JP"/>
        </w:rPr>
        <w:t xml:space="preserve"> </w:t>
      </w:r>
      <w:r w:rsidR="00225C64" w:rsidRPr="00A71885">
        <w:rPr>
          <w:lang w:eastAsia="ja-JP"/>
        </w:rPr>
        <w:t xml:space="preserve">Over </w:t>
      </w:r>
      <w:r w:rsidR="00E07F73" w:rsidRPr="00A71885">
        <w:rPr>
          <w:lang w:eastAsia="ja-JP"/>
        </w:rPr>
        <w:t>50</w:t>
      </w:r>
      <w:r w:rsidR="00225C64" w:rsidRPr="00A71885">
        <w:rPr>
          <w:lang w:eastAsia="ja-JP"/>
        </w:rPr>
        <w:t xml:space="preserve"> submissions were received in response to the </w:t>
      </w:r>
      <w:r w:rsidR="00CA2B7D">
        <w:rPr>
          <w:lang w:eastAsia="ja-JP"/>
        </w:rPr>
        <w:t>p</w:t>
      </w:r>
      <w:r w:rsidR="00225C64" w:rsidRPr="00A71885">
        <w:rPr>
          <w:lang w:eastAsia="ja-JP"/>
        </w:rPr>
        <w:t xml:space="preserve">anel’s </w:t>
      </w:r>
      <w:r w:rsidR="00CA2B7D">
        <w:rPr>
          <w:lang w:eastAsia="ja-JP"/>
        </w:rPr>
        <w:t>d</w:t>
      </w:r>
      <w:r w:rsidR="00225C64" w:rsidRPr="00A71885">
        <w:rPr>
          <w:lang w:eastAsia="ja-JP"/>
        </w:rPr>
        <w:t xml:space="preserve">raft </w:t>
      </w:r>
      <w:r w:rsidR="00CA2B7D">
        <w:rPr>
          <w:lang w:eastAsia="ja-JP"/>
        </w:rPr>
        <w:t>r</w:t>
      </w:r>
      <w:r w:rsidR="00225C64" w:rsidRPr="00A71885">
        <w:rPr>
          <w:lang w:eastAsia="ja-JP"/>
        </w:rPr>
        <w:t>eport (DR)</w:t>
      </w:r>
      <w:r w:rsidR="00CA2B7D">
        <w:rPr>
          <w:lang w:eastAsia="ja-JP"/>
        </w:rPr>
        <w:t>,</w:t>
      </w:r>
      <w:r w:rsidR="00225C64" w:rsidRPr="00A71885">
        <w:rPr>
          <w:lang w:eastAsia="ja-JP"/>
        </w:rPr>
        <w:t xml:space="preserve"> released in December 2016.</w:t>
      </w:r>
      <w:r w:rsidR="00225C64">
        <w:rPr>
          <w:lang w:eastAsia="ja-JP"/>
        </w:rPr>
        <w:t xml:space="preserve"> </w:t>
      </w:r>
      <w:r w:rsidR="00280A78">
        <w:rPr>
          <w:lang w:eastAsia="ja-JP"/>
        </w:rPr>
        <w:t xml:space="preserve">Non-confidential submissions can be found at </w:t>
      </w:r>
      <w:hyperlink r:id="rId101" w:history="1">
        <w:r w:rsidR="00652584">
          <w:rPr>
            <w:rStyle w:val="Hyperlink"/>
            <w:lang w:eastAsia="ja-JP"/>
          </w:rPr>
          <w:t>IGAB review</w:t>
        </w:r>
      </w:hyperlink>
      <w:r w:rsidR="00280A78">
        <w:rPr>
          <w:lang w:eastAsia="ja-JP"/>
        </w:rPr>
        <w:t xml:space="preserve"> on the Australian Government </w:t>
      </w:r>
      <w:r w:rsidR="00652584">
        <w:rPr>
          <w:lang w:eastAsia="ja-JP"/>
        </w:rPr>
        <w:t>Department of A</w:t>
      </w:r>
      <w:r w:rsidR="00223BB2">
        <w:rPr>
          <w:lang w:eastAsia="ja-JP"/>
        </w:rPr>
        <w:t>griculture</w:t>
      </w:r>
      <w:r w:rsidR="00652584">
        <w:rPr>
          <w:lang w:eastAsia="ja-JP"/>
        </w:rPr>
        <w:t xml:space="preserve"> and Water Resources </w:t>
      </w:r>
      <w:r w:rsidR="00280A78">
        <w:rPr>
          <w:lang w:eastAsia="ja-JP"/>
        </w:rPr>
        <w:t>website.</w:t>
      </w:r>
    </w:p>
    <w:p w14:paraId="4354C173" w14:textId="05ED7147" w:rsidR="00280A78" w:rsidRPr="00590407" w:rsidRDefault="000E675E" w:rsidP="000E675E">
      <w:pPr>
        <w:pStyle w:val="Caption"/>
        <w:rPr>
          <w:szCs w:val="22"/>
        </w:rPr>
      </w:pPr>
      <w:bookmarkStart w:id="243" w:name="_Toc468176734"/>
      <w:r>
        <w:t>Table C</w:t>
      </w:r>
      <w:fldSimple w:instr=" SEQ Table_C \* ARABIC ">
        <w:r w:rsidR="009F6923">
          <w:rPr>
            <w:noProof/>
          </w:rPr>
          <w:t>1</w:t>
        </w:r>
      </w:fldSimple>
      <w:r>
        <w:rPr>
          <w:szCs w:val="22"/>
        </w:rPr>
        <w:t xml:space="preserve"> </w:t>
      </w:r>
      <w:r w:rsidR="00DE7128">
        <w:rPr>
          <w:szCs w:val="22"/>
        </w:rPr>
        <w:t>S</w:t>
      </w:r>
      <w:r w:rsidR="00280A78" w:rsidRPr="00590407">
        <w:rPr>
          <w:szCs w:val="22"/>
        </w:rPr>
        <w:t>ubmissions</w:t>
      </w:r>
      <w:bookmarkEnd w:id="243"/>
      <w:r w:rsidR="00280A78" w:rsidRPr="00590407">
        <w:rPr>
          <w:szCs w:val="22"/>
        </w:rPr>
        <w:t xml:space="preserve"> </w:t>
      </w:r>
      <w:r w:rsidR="00C07A4F">
        <w:rPr>
          <w:szCs w:val="22"/>
        </w:rPr>
        <w:t>received</w:t>
      </w:r>
    </w:p>
    <w:tbl>
      <w:tblPr>
        <w:tblStyle w:val="TableGrid"/>
        <w:tblW w:w="9214" w:type="dxa"/>
        <w:tblBorders>
          <w:left w:val="none" w:sz="0" w:space="0" w:color="auto"/>
          <w:right w:val="none" w:sz="0" w:space="0" w:color="auto"/>
          <w:insideH w:val="none" w:sz="0" w:space="0" w:color="auto"/>
        </w:tblBorders>
        <w:tblLook w:val="04A0" w:firstRow="1" w:lastRow="0" w:firstColumn="1" w:lastColumn="0" w:noHBand="0" w:noVBand="1"/>
      </w:tblPr>
      <w:tblGrid>
        <w:gridCol w:w="4839"/>
        <w:gridCol w:w="4375"/>
      </w:tblGrid>
      <w:tr w:rsidR="00943E1E" w:rsidRPr="00B11944" w14:paraId="56FCCB96" w14:textId="77777777" w:rsidTr="00EB69B2">
        <w:trPr>
          <w:tblHeader/>
        </w:trPr>
        <w:tc>
          <w:tcPr>
            <w:tcW w:w="4839" w:type="dxa"/>
            <w:tcBorders>
              <w:top w:val="single" w:sz="4" w:space="0" w:color="auto"/>
              <w:bottom w:val="single" w:sz="4" w:space="0" w:color="auto"/>
            </w:tcBorders>
          </w:tcPr>
          <w:p w14:paraId="605F71F7" w14:textId="4058C8CA" w:rsidR="00943E1E" w:rsidRPr="00F741E3" w:rsidRDefault="00943E1E" w:rsidP="00943E1E">
            <w:pPr>
              <w:pStyle w:val="TableHeading"/>
              <w:rPr>
                <w:lang w:eastAsia="ja-JP"/>
              </w:rPr>
            </w:pPr>
            <w:r>
              <w:rPr>
                <w:lang w:eastAsia="ja-JP"/>
              </w:rPr>
              <w:t>Organisation/individual</w:t>
            </w:r>
          </w:p>
        </w:tc>
        <w:tc>
          <w:tcPr>
            <w:tcW w:w="4375" w:type="dxa"/>
            <w:tcBorders>
              <w:top w:val="single" w:sz="4" w:space="0" w:color="auto"/>
              <w:bottom w:val="single" w:sz="4" w:space="0" w:color="auto"/>
            </w:tcBorders>
          </w:tcPr>
          <w:p w14:paraId="48A40265" w14:textId="6992635E" w:rsidR="00943E1E" w:rsidRPr="006D2680" w:rsidRDefault="00943E1E" w:rsidP="00943E1E">
            <w:pPr>
              <w:pStyle w:val="TableHeading"/>
              <w:rPr>
                <w:lang w:eastAsia="ja-JP"/>
              </w:rPr>
            </w:pPr>
            <w:r w:rsidRPr="00943E1E">
              <w:rPr>
                <w:lang w:eastAsia="ja-JP"/>
              </w:rPr>
              <w:t>Organisation/individual</w:t>
            </w:r>
          </w:p>
        </w:tc>
      </w:tr>
      <w:tr w:rsidR="00735E72" w:rsidRPr="00B11944" w14:paraId="69524885" w14:textId="77777777" w:rsidTr="00EB69B2">
        <w:tc>
          <w:tcPr>
            <w:tcW w:w="4839" w:type="dxa"/>
            <w:tcBorders>
              <w:top w:val="single" w:sz="4" w:space="0" w:color="auto"/>
            </w:tcBorders>
          </w:tcPr>
          <w:p w14:paraId="60D5BC9A" w14:textId="25DE388F" w:rsidR="00735E72" w:rsidRPr="00735E72" w:rsidRDefault="00735E72" w:rsidP="00735E72">
            <w:pPr>
              <w:pStyle w:val="TableText"/>
              <w:rPr>
                <w:lang w:eastAsia="ja-JP"/>
              </w:rPr>
            </w:pPr>
            <w:r w:rsidRPr="00735E72">
              <w:rPr>
                <w:lang w:eastAsia="ja-JP"/>
              </w:rPr>
              <w:t>Adelaide and Mt Lofty Ranges Natural Resources Management Board DP12</w:t>
            </w:r>
          </w:p>
        </w:tc>
        <w:tc>
          <w:tcPr>
            <w:tcW w:w="4375" w:type="dxa"/>
            <w:tcBorders>
              <w:top w:val="single" w:sz="4" w:space="0" w:color="auto"/>
            </w:tcBorders>
          </w:tcPr>
          <w:p w14:paraId="02B15D3B" w14:textId="3F773FFF" w:rsidR="00735E72" w:rsidRPr="006D2680" w:rsidRDefault="00735E72" w:rsidP="00735E72">
            <w:pPr>
              <w:pStyle w:val="TableText"/>
              <w:rPr>
                <w:lang w:eastAsia="ja-JP"/>
              </w:rPr>
            </w:pPr>
            <w:r w:rsidRPr="009D18E4">
              <w:rPr>
                <w:lang w:eastAsia="ja-JP"/>
              </w:rPr>
              <w:t>New South Wales Government Department of Primary Industries</w:t>
            </w:r>
            <w:r>
              <w:rPr>
                <w:lang w:eastAsia="ja-JP"/>
              </w:rPr>
              <w:t xml:space="preserve"> </w:t>
            </w:r>
            <w:r w:rsidRPr="00CA7B8A">
              <w:rPr>
                <w:lang w:eastAsia="ja-JP"/>
              </w:rPr>
              <w:t>DP58,</w:t>
            </w:r>
            <w:r>
              <w:rPr>
                <w:lang w:eastAsia="ja-JP"/>
              </w:rPr>
              <w:t xml:space="preserve"> DR113</w:t>
            </w:r>
          </w:p>
        </w:tc>
      </w:tr>
      <w:tr w:rsidR="00316880" w:rsidRPr="00B11944" w14:paraId="425176FF" w14:textId="77777777" w:rsidTr="00527614">
        <w:tc>
          <w:tcPr>
            <w:tcW w:w="4839" w:type="dxa"/>
          </w:tcPr>
          <w:p w14:paraId="6BE99B9F" w14:textId="725A576F" w:rsidR="00316880" w:rsidRPr="00735E72" w:rsidRDefault="00316880" w:rsidP="000A6F9C">
            <w:pPr>
              <w:pStyle w:val="TableText"/>
              <w:rPr>
                <w:lang w:eastAsia="ja-JP"/>
              </w:rPr>
            </w:pPr>
            <w:r w:rsidRPr="00735E72">
              <w:rPr>
                <w:lang w:eastAsia="ja-JP"/>
              </w:rPr>
              <w:t>AgForce Queensland DP20, DR84</w:t>
            </w:r>
          </w:p>
        </w:tc>
        <w:tc>
          <w:tcPr>
            <w:tcW w:w="4375" w:type="dxa"/>
          </w:tcPr>
          <w:p w14:paraId="7C040C1C" w14:textId="6A673D16" w:rsidR="00316880" w:rsidRPr="009D18E4" w:rsidRDefault="00316880" w:rsidP="00316880">
            <w:pPr>
              <w:pStyle w:val="TableText"/>
              <w:rPr>
                <w:lang w:eastAsia="ja-JP"/>
              </w:rPr>
            </w:pPr>
            <w:r>
              <w:rPr>
                <w:lang w:eastAsia="ja-JP"/>
              </w:rPr>
              <w:t>Northern Territory Government D117</w:t>
            </w:r>
          </w:p>
        </w:tc>
      </w:tr>
      <w:tr w:rsidR="00316880" w:rsidRPr="00B11944" w14:paraId="3D808961" w14:textId="77777777" w:rsidTr="00527614">
        <w:tc>
          <w:tcPr>
            <w:tcW w:w="4839" w:type="dxa"/>
          </w:tcPr>
          <w:p w14:paraId="258E2E33" w14:textId="10F0299A" w:rsidR="00316880" w:rsidRPr="00735E72" w:rsidRDefault="00316880" w:rsidP="00316880">
            <w:pPr>
              <w:pStyle w:val="TableText"/>
              <w:rPr>
                <w:lang w:eastAsia="ja-JP"/>
              </w:rPr>
            </w:pPr>
            <w:r w:rsidRPr="00735E72">
              <w:rPr>
                <w:lang w:eastAsia="ja-JP"/>
              </w:rPr>
              <w:t>Animal Health Australia Limited DP33, DR107</w:t>
            </w:r>
          </w:p>
        </w:tc>
        <w:tc>
          <w:tcPr>
            <w:tcW w:w="4375" w:type="dxa"/>
          </w:tcPr>
          <w:p w14:paraId="5A8F10B3" w14:textId="6D3FA023" w:rsidR="00316880" w:rsidRPr="006D2680" w:rsidRDefault="00316880" w:rsidP="000A6F9C">
            <w:pPr>
              <w:pStyle w:val="TableText"/>
              <w:rPr>
                <w:lang w:eastAsia="ja-JP"/>
              </w:rPr>
            </w:pPr>
            <w:r w:rsidRPr="006D2680">
              <w:rPr>
                <w:lang w:eastAsia="ja-JP"/>
              </w:rPr>
              <w:t>Nursery and Garden Industry Association Australia Limited</w:t>
            </w:r>
            <w:r>
              <w:rPr>
                <w:lang w:eastAsia="ja-JP"/>
              </w:rPr>
              <w:t xml:space="preserve"> </w:t>
            </w:r>
            <w:r w:rsidRPr="00271491">
              <w:rPr>
                <w:lang w:eastAsia="ja-JP"/>
              </w:rPr>
              <w:t>DP23,</w:t>
            </w:r>
            <w:r>
              <w:rPr>
                <w:lang w:eastAsia="ja-JP"/>
              </w:rPr>
              <w:t xml:space="preserve"> DR99</w:t>
            </w:r>
          </w:p>
        </w:tc>
      </w:tr>
      <w:tr w:rsidR="00316880" w:rsidRPr="00B11944" w14:paraId="64FF6DCC" w14:textId="77777777" w:rsidTr="00527614">
        <w:tc>
          <w:tcPr>
            <w:tcW w:w="4839" w:type="dxa"/>
          </w:tcPr>
          <w:p w14:paraId="07232CBA" w14:textId="0ED9386F" w:rsidR="00316880" w:rsidRPr="00735E72" w:rsidRDefault="00316880" w:rsidP="000A6F9C">
            <w:pPr>
              <w:pStyle w:val="TableText"/>
              <w:rPr>
                <w:lang w:eastAsia="ja-JP"/>
              </w:rPr>
            </w:pPr>
            <w:r w:rsidRPr="00735E72">
              <w:rPr>
                <w:lang w:eastAsia="ja-JP"/>
              </w:rPr>
              <w:t>Association of Biosafety Australia and New Zealand DR79</w:t>
            </w:r>
          </w:p>
        </w:tc>
        <w:tc>
          <w:tcPr>
            <w:tcW w:w="4375" w:type="dxa"/>
          </w:tcPr>
          <w:p w14:paraId="6B7790EB" w14:textId="3CEF5AB9" w:rsidR="00316880" w:rsidRPr="006D2680" w:rsidRDefault="00316880" w:rsidP="000A6F9C">
            <w:pPr>
              <w:pStyle w:val="TableText"/>
              <w:rPr>
                <w:lang w:eastAsia="ja-JP"/>
              </w:rPr>
            </w:pPr>
            <w:r>
              <w:rPr>
                <w:lang w:eastAsia="ja-JP"/>
              </w:rPr>
              <w:t>Pearl Producers Association DR96</w:t>
            </w:r>
          </w:p>
        </w:tc>
      </w:tr>
      <w:tr w:rsidR="00316880" w:rsidRPr="00B11944" w14:paraId="12F95D9D" w14:textId="77777777" w:rsidTr="00527614">
        <w:tc>
          <w:tcPr>
            <w:tcW w:w="4839" w:type="dxa"/>
          </w:tcPr>
          <w:p w14:paraId="362410A3" w14:textId="76A6F1FC" w:rsidR="00316880" w:rsidRPr="00735E72" w:rsidRDefault="00316880" w:rsidP="00316880">
            <w:pPr>
              <w:pStyle w:val="TableText"/>
              <w:rPr>
                <w:lang w:eastAsia="ja-JP"/>
              </w:rPr>
            </w:pPr>
            <w:r w:rsidRPr="00735E72">
              <w:rPr>
                <w:lang w:eastAsia="ja-JP"/>
              </w:rPr>
              <w:t>Australian Barramundi Farmers Association DP45</w:t>
            </w:r>
          </w:p>
        </w:tc>
        <w:tc>
          <w:tcPr>
            <w:tcW w:w="4375" w:type="dxa"/>
          </w:tcPr>
          <w:p w14:paraId="209F1BC7" w14:textId="1DC2713A" w:rsidR="00316880" w:rsidRPr="006D2680" w:rsidRDefault="00316880" w:rsidP="00316880">
            <w:pPr>
              <w:pStyle w:val="TableText"/>
              <w:rPr>
                <w:lang w:eastAsia="ja-JP"/>
              </w:rPr>
            </w:pPr>
            <w:r w:rsidRPr="00CA7B8A">
              <w:rPr>
                <w:lang w:eastAsia="ja-JP"/>
              </w:rPr>
              <w:t>Plant Biosecurity Cooperative Research Centre DP42, DR103</w:t>
            </w:r>
          </w:p>
        </w:tc>
      </w:tr>
      <w:tr w:rsidR="00316880" w:rsidRPr="00B11944" w14:paraId="1ED1C360" w14:textId="77777777" w:rsidTr="00527614">
        <w:tc>
          <w:tcPr>
            <w:tcW w:w="4839" w:type="dxa"/>
          </w:tcPr>
          <w:p w14:paraId="03890BFB" w14:textId="7D9E3D7D" w:rsidR="00316880" w:rsidRPr="00735E72" w:rsidRDefault="00316880" w:rsidP="00316880">
            <w:pPr>
              <w:pStyle w:val="TableText"/>
              <w:rPr>
                <w:lang w:eastAsia="ja-JP"/>
              </w:rPr>
            </w:pPr>
            <w:r w:rsidRPr="00735E72">
              <w:rPr>
                <w:lang w:eastAsia="ja-JP"/>
              </w:rPr>
              <w:t>Australian Capital Territory Government (Environment, Planning and Sustainable Development Directorate) DP46, DR093</w:t>
            </w:r>
          </w:p>
        </w:tc>
        <w:tc>
          <w:tcPr>
            <w:tcW w:w="4375" w:type="dxa"/>
          </w:tcPr>
          <w:p w14:paraId="3B9D5BA6" w14:textId="477E8DDE" w:rsidR="00316880" w:rsidRPr="006D2680" w:rsidRDefault="00316880" w:rsidP="00316880">
            <w:pPr>
              <w:pStyle w:val="TableText"/>
              <w:rPr>
                <w:lang w:eastAsia="ja-JP"/>
              </w:rPr>
            </w:pPr>
            <w:r w:rsidRPr="006D2680">
              <w:rPr>
                <w:lang w:eastAsia="ja-JP"/>
              </w:rPr>
              <w:t>Plant Health Australia Limited</w:t>
            </w:r>
            <w:r>
              <w:rPr>
                <w:lang w:eastAsia="ja-JP"/>
              </w:rPr>
              <w:t xml:space="preserve"> </w:t>
            </w:r>
            <w:r w:rsidRPr="00CA7B8A">
              <w:rPr>
                <w:lang w:eastAsia="ja-JP"/>
              </w:rPr>
              <w:t>DP63,</w:t>
            </w:r>
            <w:r>
              <w:rPr>
                <w:lang w:eastAsia="ja-JP"/>
              </w:rPr>
              <w:t xml:space="preserve"> DR106</w:t>
            </w:r>
          </w:p>
        </w:tc>
      </w:tr>
      <w:tr w:rsidR="00316880" w:rsidRPr="00B11944" w14:paraId="79B55530" w14:textId="77777777" w:rsidTr="00527614">
        <w:tc>
          <w:tcPr>
            <w:tcW w:w="4839" w:type="dxa"/>
          </w:tcPr>
          <w:p w14:paraId="39871E7E" w14:textId="3AA9E8CF" w:rsidR="00316880" w:rsidRPr="00735E72" w:rsidRDefault="00316880" w:rsidP="00316880">
            <w:pPr>
              <w:pStyle w:val="TableText"/>
              <w:rPr>
                <w:lang w:eastAsia="ja-JP"/>
              </w:rPr>
            </w:pPr>
            <w:r w:rsidRPr="00735E72">
              <w:rPr>
                <w:lang w:eastAsia="ja-JP"/>
              </w:rPr>
              <w:t>Australian Forest Products Association DP19</w:t>
            </w:r>
          </w:p>
        </w:tc>
        <w:tc>
          <w:tcPr>
            <w:tcW w:w="4375" w:type="dxa"/>
          </w:tcPr>
          <w:p w14:paraId="0FA9A1EA" w14:textId="4578365C" w:rsidR="00316880" w:rsidRPr="006D2680" w:rsidRDefault="00316880" w:rsidP="000A6F9C">
            <w:pPr>
              <w:pStyle w:val="TableText"/>
              <w:rPr>
                <w:lang w:eastAsia="ja-JP"/>
              </w:rPr>
            </w:pPr>
            <w:r w:rsidRPr="006D2680">
              <w:rPr>
                <w:lang w:eastAsia="ja-JP"/>
              </w:rPr>
              <w:t xml:space="preserve">Ports </w:t>
            </w:r>
            <w:r w:rsidRPr="000C6301">
              <w:rPr>
                <w:lang w:eastAsia="ja-JP"/>
              </w:rPr>
              <w:t>Australia DP10</w:t>
            </w:r>
            <w:r>
              <w:rPr>
                <w:lang w:eastAsia="ja-JP"/>
              </w:rPr>
              <w:t>, DR68</w:t>
            </w:r>
          </w:p>
        </w:tc>
      </w:tr>
      <w:tr w:rsidR="00316880" w:rsidRPr="00B11944" w14:paraId="5CF5F1B5" w14:textId="77777777" w:rsidTr="00527614">
        <w:tc>
          <w:tcPr>
            <w:tcW w:w="4839" w:type="dxa"/>
          </w:tcPr>
          <w:p w14:paraId="70410C12" w14:textId="2355258B" w:rsidR="00316880" w:rsidRPr="00735E72" w:rsidRDefault="00316880" w:rsidP="00316880">
            <w:pPr>
              <w:pStyle w:val="TableText"/>
              <w:rPr>
                <w:lang w:eastAsia="ja-JP"/>
              </w:rPr>
            </w:pPr>
            <w:r w:rsidRPr="00735E72">
              <w:rPr>
                <w:lang w:eastAsia="ja-JP"/>
              </w:rPr>
              <w:t>Australian Forest Products Association’s subcommittee on Forest Health and Biosecurity DP26</w:t>
            </w:r>
          </w:p>
        </w:tc>
        <w:tc>
          <w:tcPr>
            <w:tcW w:w="4375" w:type="dxa"/>
          </w:tcPr>
          <w:p w14:paraId="0A78F259" w14:textId="195C6A78" w:rsidR="00316880" w:rsidRPr="00735E72" w:rsidRDefault="00316880" w:rsidP="00316880">
            <w:pPr>
              <w:pStyle w:val="TableText"/>
              <w:rPr>
                <w:lang w:eastAsia="ja-JP"/>
              </w:rPr>
            </w:pPr>
            <w:r w:rsidRPr="00735E72">
              <w:rPr>
                <w:lang w:eastAsia="ja-JP"/>
              </w:rPr>
              <w:t>Pratley, James DP1</w:t>
            </w:r>
          </w:p>
        </w:tc>
      </w:tr>
      <w:tr w:rsidR="00316880" w:rsidRPr="00B11944" w14:paraId="7D60140D" w14:textId="77777777" w:rsidTr="00527614">
        <w:tc>
          <w:tcPr>
            <w:tcW w:w="4839" w:type="dxa"/>
          </w:tcPr>
          <w:p w14:paraId="5984C0A0" w14:textId="148DFEE5" w:rsidR="00316880" w:rsidRPr="00735E72" w:rsidRDefault="00316880" w:rsidP="00316880">
            <w:pPr>
              <w:pStyle w:val="TableText"/>
              <w:rPr>
                <w:lang w:eastAsia="ja-JP"/>
              </w:rPr>
            </w:pPr>
            <w:r w:rsidRPr="00735E72">
              <w:rPr>
                <w:lang w:eastAsia="ja-JP"/>
              </w:rPr>
              <w:t>Australian Government (Department of Agriculture and Water Resources; Department of the Environment and Energy) DP65, DR115</w:t>
            </w:r>
          </w:p>
        </w:tc>
        <w:tc>
          <w:tcPr>
            <w:tcW w:w="4375" w:type="dxa"/>
          </w:tcPr>
          <w:p w14:paraId="54DEAB57" w14:textId="096D3FFC" w:rsidR="00316880" w:rsidRPr="00735E72" w:rsidRDefault="00316880" w:rsidP="00316880">
            <w:pPr>
              <w:pStyle w:val="TableText"/>
              <w:rPr>
                <w:lang w:eastAsia="ja-JP"/>
              </w:rPr>
            </w:pPr>
            <w:r w:rsidRPr="00735E72">
              <w:rPr>
                <w:lang w:eastAsia="ja-JP"/>
              </w:rPr>
              <w:t>QIMR Berghofer Medical Research Institute DR100</w:t>
            </w:r>
          </w:p>
        </w:tc>
      </w:tr>
      <w:tr w:rsidR="00316880" w:rsidRPr="00B11944" w14:paraId="18B8F0F8" w14:textId="77777777" w:rsidTr="00527614">
        <w:tc>
          <w:tcPr>
            <w:tcW w:w="4839" w:type="dxa"/>
          </w:tcPr>
          <w:p w14:paraId="6246A17E" w14:textId="3E56BE96" w:rsidR="00316880" w:rsidRPr="00735E72" w:rsidRDefault="00316880" w:rsidP="000A6F9C">
            <w:pPr>
              <w:pStyle w:val="TableText"/>
              <w:rPr>
                <w:lang w:eastAsia="ja-JP"/>
              </w:rPr>
            </w:pPr>
            <w:r w:rsidRPr="00735E72">
              <w:rPr>
                <w:lang w:eastAsia="ja-JP"/>
              </w:rPr>
              <w:t>Australian Lot Feeders’ Association DP38, DR76</w:t>
            </w:r>
          </w:p>
        </w:tc>
        <w:tc>
          <w:tcPr>
            <w:tcW w:w="4375" w:type="dxa"/>
          </w:tcPr>
          <w:p w14:paraId="4AAE3876" w14:textId="3F3C577A" w:rsidR="00316880" w:rsidRPr="00735E72" w:rsidRDefault="00316880" w:rsidP="00316880">
            <w:pPr>
              <w:pStyle w:val="TableText"/>
              <w:rPr>
                <w:lang w:eastAsia="ja-JP"/>
              </w:rPr>
            </w:pPr>
            <w:r w:rsidRPr="00735E72">
              <w:rPr>
                <w:lang w:eastAsia="ja-JP"/>
              </w:rPr>
              <w:t>Queensland Government Department of Agriculture and Fisheries DP48</w:t>
            </w:r>
          </w:p>
        </w:tc>
      </w:tr>
      <w:tr w:rsidR="00316880" w:rsidRPr="00BE56A1" w14:paraId="3E360323" w14:textId="77777777" w:rsidTr="00527614">
        <w:tc>
          <w:tcPr>
            <w:tcW w:w="4839" w:type="dxa"/>
          </w:tcPr>
          <w:p w14:paraId="0A01155E" w14:textId="709E8ABD" w:rsidR="00316880" w:rsidRPr="00735E72" w:rsidRDefault="00316880" w:rsidP="00316880">
            <w:pPr>
              <w:pStyle w:val="TableText"/>
              <w:rPr>
                <w:lang w:eastAsia="ja-JP"/>
              </w:rPr>
            </w:pPr>
            <w:r w:rsidRPr="00735E72">
              <w:rPr>
                <w:lang w:eastAsia="ja-JP"/>
              </w:rPr>
              <w:t>Australian Pork Limited DP35, DR116</w:t>
            </w:r>
          </w:p>
        </w:tc>
        <w:tc>
          <w:tcPr>
            <w:tcW w:w="4375" w:type="dxa"/>
          </w:tcPr>
          <w:p w14:paraId="669D5E42" w14:textId="2FCA4861" w:rsidR="00316880" w:rsidRPr="00735E72" w:rsidRDefault="00316880" w:rsidP="000A6F9C">
            <w:pPr>
              <w:pStyle w:val="TableText"/>
              <w:rPr>
                <w:lang w:eastAsia="ja-JP"/>
              </w:rPr>
            </w:pPr>
            <w:r w:rsidRPr="00735E72">
              <w:rPr>
                <w:lang w:eastAsia="ja-JP"/>
              </w:rPr>
              <w:t>Queensland Tourism Industry Council Limited DP57, DR97</w:t>
            </w:r>
          </w:p>
        </w:tc>
      </w:tr>
      <w:tr w:rsidR="00316880" w:rsidRPr="00B11944" w14:paraId="1B13EB71" w14:textId="77777777" w:rsidTr="00527614">
        <w:tc>
          <w:tcPr>
            <w:tcW w:w="4839" w:type="dxa"/>
          </w:tcPr>
          <w:p w14:paraId="3923248A" w14:textId="0D3D607C" w:rsidR="00316880" w:rsidRPr="00735E72" w:rsidRDefault="00316880" w:rsidP="00316880">
            <w:pPr>
              <w:pStyle w:val="TableText"/>
              <w:rPr>
                <w:lang w:eastAsia="ja-JP"/>
              </w:rPr>
            </w:pPr>
            <w:r w:rsidRPr="00735E72">
              <w:rPr>
                <w:lang w:eastAsia="ja-JP"/>
              </w:rPr>
              <w:t>Australian Seed Federation Limited DP41</w:t>
            </w:r>
          </w:p>
        </w:tc>
        <w:tc>
          <w:tcPr>
            <w:tcW w:w="4375" w:type="dxa"/>
          </w:tcPr>
          <w:p w14:paraId="143D9F46" w14:textId="7E478CB9" w:rsidR="00316880" w:rsidRPr="00735E72" w:rsidRDefault="00316880" w:rsidP="000A6F9C">
            <w:pPr>
              <w:pStyle w:val="TableText"/>
              <w:rPr>
                <w:lang w:eastAsia="ja-JP"/>
              </w:rPr>
            </w:pPr>
            <w:r w:rsidRPr="00735E72">
              <w:rPr>
                <w:lang w:eastAsia="ja-JP"/>
              </w:rPr>
              <w:t>Quinn, Nelson DP60, DR74</w:t>
            </w:r>
          </w:p>
        </w:tc>
      </w:tr>
      <w:tr w:rsidR="00316880" w:rsidRPr="00B11944" w14:paraId="67A6D837" w14:textId="77777777" w:rsidTr="00527614">
        <w:tc>
          <w:tcPr>
            <w:tcW w:w="4839" w:type="dxa"/>
          </w:tcPr>
          <w:p w14:paraId="663C0B91" w14:textId="20DA462D" w:rsidR="00316880" w:rsidRPr="00735E72" w:rsidRDefault="00316880" w:rsidP="000A6F9C">
            <w:pPr>
              <w:pStyle w:val="TableText"/>
              <w:rPr>
                <w:lang w:eastAsia="ja-JP"/>
              </w:rPr>
            </w:pPr>
            <w:r w:rsidRPr="00735E72">
              <w:rPr>
                <w:lang w:eastAsia="ja-JP"/>
              </w:rPr>
              <w:t>Australian Vignerons DR90</w:t>
            </w:r>
          </w:p>
        </w:tc>
        <w:tc>
          <w:tcPr>
            <w:tcW w:w="4375" w:type="dxa"/>
          </w:tcPr>
          <w:p w14:paraId="28949863" w14:textId="73EB9B66" w:rsidR="00316880" w:rsidRPr="00735E72" w:rsidRDefault="00316880" w:rsidP="00316880">
            <w:pPr>
              <w:pStyle w:val="TableText"/>
              <w:rPr>
                <w:lang w:eastAsia="ja-JP"/>
              </w:rPr>
            </w:pPr>
            <w:r w:rsidRPr="00735E72">
              <w:rPr>
                <w:lang w:eastAsia="ja-JP"/>
              </w:rPr>
              <w:t>Ridley, Wayne DP17</w:t>
            </w:r>
          </w:p>
        </w:tc>
      </w:tr>
      <w:tr w:rsidR="00316880" w:rsidRPr="00B11944" w14:paraId="4A518873" w14:textId="77777777" w:rsidTr="00527614">
        <w:tc>
          <w:tcPr>
            <w:tcW w:w="4839" w:type="dxa"/>
          </w:tcPr>
          <w:p w14:paraId="06C1B669" w14:textId="70C30356" w:rsidR="00316880" w:rsidRPr="00735E72" w:rsidRDefault="00316880" w:rsidP="000A6F9C">
            <w:pPr>
              <w:pStyle w:val="TableText"/>
              <w:rPr>
                <w:lang w:eastAsia="ja-JP"/>
              </w:rPr>
            </w:pPr>
            <w:r w:rsidRPr="00735E72">
              <w:rPr>
                <w:lang w:eastAsia="ja-JP"/>
              </w:rPr>
              <w:t>Australian Walnut Industry Association Incorporated, Chestnuts Australia Inc., Hazelnut Growers of Australia Inc., and Pistachio Growers’ Association Inc. DP21, DR94</w:t>
            </w:r>
          </w:p>
        </w:tc>
        <w:tc>
          <w:tcPr>
            <w:tcW w:w="4375" w:type="dxa"/>
          </w:tcPr>
          <w:p w14:paraId="507F9A5B" w14:textId="30B583F4" w:rsidR="00316880" w:rsidRPr="00735E72" w:rsidRDefault="00316880" w:rsidP="00316880">
            <w:pPr>
              <w:pStyle w:val="TableText"/>
              <w:rPr>
                <w:lang w:eastAsia="ja-JP"/>
              </w:rPr>
            </w:pPr>
            <w:r w:rsidRPr="00735E72">
              <w:rPr>
                <w:lang w:eastAsia="ja-JP"/>
              </w:rPr>
              <w:t>RSPCA Australia DP15</w:t>
            </w:r>
          </w:p>
        </w:tc>
      </w:tr>
      <w:tr w:rsidR="00316880" w:rsidRPr="00B11944" w14:paraId="7CA0EB3B" w14:textId="77777777" w:rsidTr="00527614">
        <w:tc>
          <w:tcPr>
            <w:tcW w:w="4839" w:type="dxa"/>
          </w:tcPr>
          <w:p w14:paraId="34EC7321" w14:textId="0463F607" w:rsidR="00316880" w:rsidRPr="00735E72" w:rsidRDefault="00316880" w:rsidP="000A6F9C">
            <w:pPr>
              <w:pStyle w:val="TableText"/>
              <w:rPr>
                <w:lang w:eastAsia="ja-JP"/>
              </w:rPr>
            </w:pPr>
            <w:r w:rsidRPr="00735E72">
              <w:rPr>
                <w:lang w:eastAsia="ja-JP"/>
              </w:rPr>
              <w:t>AUSVEG DR88</w:t>
            </w:r>
          </w:p>
        </w:tc>
        <w:tc>
          <w:tcPr>
            <w:tcW w:w="4375" w:type="dxa"/>
          </w:tcPr>
          <w:p w14:paraId="6E097A2C" w14:textId="19EE8D18" w:rsidR="00316880" w:rsidRPr="00735E72" w:rsidRDefault="00316880" w:rsidP="000A6F9C">
            <w:pPr>
              <w:pStyle w:val="TableText"/>
              <w:rPr>
                <w:lang w:eastAsia="ja-JP"/>
              </w:rPr>
            </w:pPr>
            <w:r w:rsidRPr="00735E72">
              <w:rPr>
                <w:lang w:eastAsia="ja-JP"/>
              </w:rPr>
              <w:t>Rural Industries Research and Development Corporation DR86</w:t>
            </w:r>
          </w:p>
        </w:tc>
      </w:tr>
      <w:tr w:rsidR="00316880" w:rsidRPr="00B11944" w14:paraId="449A1177" w14:textId="77777777" w:rsidTr="00527614">
        <w:tc>
          <w:tcPr>
            <w:tcW w:w="4839" w:type="dxa"/>
          </w:tcPr>
          <w:p w14:paraId="78FAB418" w14:textId="640D1E08" w:rsidR="00316880" w:rsidRPr="00735E72" w:rsidRDefault="00316880" w:rsidP="00316880">
            <w:pPr>
              <w:pStyle w:val="TableText"/>
              <w:rPr>
                <w:lang w:eastAsia="ja-JP"/>
              </w:rPr>
            </w:pPr>
            <w:r w:rsidRPr="00735E72">
              <w:rPr>
                <w:lang w:eastAsia="ja-JP"/>
              </w:rPr>
              <w:t>Blue Ribbon Group DP40</w:t>
            </w:r>
          </w:p>
        </w:tc>
        <w:tc>
          <w:tcPr>
            <w:tcW w:w="4375" w:type="dxa"/>
          </w:tcPr>
          <w:p w14:paraId="44DBF02F" w14:textId="4C85BA53" w:rsidR="00316880" w:rsidRPr="00735E72" w:rsidRDefault="00316880" w:rsidP="00316880">
            <w:pPr>
              <w:pStyle w:val="TableText"/>
              <w:rPr>
                <w:lang w:eastAsia="ja-JP"/>
              </w:rPr>
            </w:pPr>
            <w:r w:rsidRPr="00735E72">
              <w:rPr>
                <w:lang w:eastAsia="ja-JP"/>
              </w:rPr>
              <w:t>Sheepmeat Council of Australia and WoolProducers Australia Limited DP29</w:t>
            </w:r>
          </w:p>
        </w:tc>
      </w:tr>
      <w:tr w:rsidR="00316880" w:rsidRPr="00B11944" w14:paraId="25AF72BE" w14:textId="77777777" w:rsidTr="00527614">
        <w:tc>
          <w:tcPr>
            <w:tcW w:w="4839" w:type="dxa"/>
          </w:tcPr>
          <w:p w14:paraId="55CF18FB" w14:textId="09E220B8" w:rsidR="00316880" w:rsidRPr="00735E72" w:rsidRDefault="00316880" w:rsidP="000A6F9C">
            <w:pPr>
              <w:pStyle w:val="TableText"/>
              <w:rPr>
                <w:lang w:eastAsia="ja-JP"/>
              </w:rPr>
            </w:pPr>
            <w:r w:rsidRPr="00735E72">
              <w:rPr>
                <w:lang w:eastAsia="ja-JP"/>
              </w:rPr>
              <w:t>Biosecurity Council of Western Australia DP52, DR98</w:t>
            </w:r>
          </w:p>
        </w:tc>
        <w:tc>
          <w:tcPr>
            <w:tcW w:w="4375" w:type="dxa"/>
          </w:tcPr>
          <w:p w14:paraId="04FE2A75" w14:textId="4149DDF1" w:rsidR="00316880" w:rsidRPr="00735E72" w:rsidRDefault="00316880" w:rsidP="00316880">
            <w:pPr>
              <w:pStyle w:val="TableText"/>
              <w:rPr>
                <w:lang w:eastAsia="ja-JP"/>
              </w:rPr>
            </w:pPr>
            <w:r w:rsidRPr="00735E72">
              <w:rPr>
                <w:lang w:eastAsia="ja-JP"/>
              </w:rPr>
              <w:t>Slowgrove, Gary DP3</w:t>
            </w:r>
          </w:p>
        </w:tc>
      </w:tr>
      <w:tr w:rsidR="00316880" w:rsidRPr="00B11944" w14:paraId="5E4CFB23" w14:textId="77777777" w:rsidTr="00527614">
        <w:tc>
          <w:tcPr>
            <w:tcW w:w="4839" w:type="dxa"/>
          </w:tcPr>
          <w:p w14:paraId="446D4360" w14:textId="430DF2D5" w:rsidR="00316880" w:rsidRPr="00735E72" w:rsidRDefault="00316880" w:rsidP="000A6F9C">
            <w:pPr>
              <w:pStyle w:val="TableText"/>
              <w:rPr>
                <w:lang w:eastAsia="ja-JP"/>
              </w:rPr>
            </w:pPr>
            <w:r w:rsidRPr="00735E72">
              <w:rPr>
                <w:lang w:eastAsia="ja-JP"/>
              </w:rPr>
              <w:t>Brisbane City Council DR72</w:t>
            </w:r>
          </w:p>
        </w:tc>
        <w:tc>
          <w:tcPr>
            <w:tcW w:w="4375" w:type="dxa"/>
          </w:tcPr>
          <w:p w14:paraId="2EBE86FA" w14:textId="49D42D95" w:rsidR="00316880" w:rsidRPr="00735E72" w:rsidRDefault="00316880" w:rsidP="00316880">
            <w:pPr>
              <w:pStyle w:val="TableText"/>
              <w:rPr>
                <w:lang w:eastAsia="ja-JP"/>
              </w:rPr>
            </w:pPr>
            <w:r w:rsidRPr="00735E72">
              <w:rPr>
                <w:lang w:eastAsia="ja-JP"/>
              </w:rPr>
              <w:t>South Australian Government DP56, DR111</w:t>
            </w:r>
          </w:p>
        </w:tc>
      </w:tr>
      <w:tr w:rsidR="00316880" w:rsidRPr="00B11944" w14:paraId="0A588541" w14:textId="77777777" w:rsidTr="00527614">
        <w:tc>
          <w:tcPr>
            <w:tcW w:w="4839" w:type="dxa"/>
          </w:tcPr>
          <w:p w14:paraId="5034E394" w14:textId="78444BCE" w:rsidR="00316880" w:rsidRPr="00735E72" w:rsidRDefault="00316880" w:rsidP="00316880">
            <w:pPr>
              <w:pStyle w:val="TableText"/>
              <w:rPr>
                <w:lang w:eastAsia="ja-JP"/>
              </w:rPr>
            </w:pPr>
            <w:r w:rsidRPr="00735E72">
              <w:rPr>
                <w:lang w:eastAsia="ja-JP"/>
              </w:rPr>
              <w:lastRenderedPageBreak/>
              <w:t>Cattle Council of Australia DP25, DR109</w:t>
            </w:r>
          </w:p>
        </w:tc>
        <w:tc>
          <w:tcPr>
            <w:tcW w:w="4375" w:type="dxa"/>
          </w:tcPr>
          <w:p w14:paraId="180B7371" w14:textId="6FA79D2B" w:rsidR="00316880" w:rsidRPr="00735E72" w:rsidRDefault="00316880" w:rsidP="000A6F9C">
            <w:pPr>
              <w:pStyle w:val="TableText"/>
              <w:rPr>
                <w:lang w:eastAsia="ja-JP"/>
              </w:rPr>
            </w:pPr>
            <w:r w:rsidRPr="00735E72">
              <w:rPr>
                <w:lang w:eastAsia="ja-JP"/>
              </w:rPr>
              <w:t>Southern Cross Cargo Proprietary Limited DP5, DR67</w:t>
            </w:r>
          </w:p>
        </w:tc>
      </w:tr>
      <w:tr w:rsidR="00316880" w:rsidRPr="00B11944" w14:paraId="0AEA8360" w14:textId="77777777" w:rsidTr="00527614">
        <w:tc>
          <w:tcPr>
            <w:tcW w:w="4839" w:type="dxa"/>
          </w:tcPr>
          <w:p w14:paraId="4A4B5125" w14:textId="0929B3DE" w:rsidR="00316880" w:rsidRPr="00735E72" w:rsidRDefault="00316880" w:rsidP="000A6F9C">
            <w:pPr>
              <w:pStyle w:val="TableText"/>
              <w:rPr>
                <w:lang w:eastAsia="ja-JP"/>
              </w:rPr>
            </w:pPr>
            <w:r w:rsidRPr="00735E72">
              <w:rPr>
                <w:lang w:eastAsia="ja-JP"/>
              </w:rPr>
              <w:t>Centre of Excellence for Biosecurity Risk Analysis DR80</w:t>
            </w:r>
          </w:p>
        </w:tc>
        <w:tc>
          <w:tcPr>
            <w:tcW w:w="4375" w:type="dxa"/>
          </w:tcPr>
          <w:p w14:paraId="4674D3B4" w14:textId="60971CD5" w:rsidR="00316880" w:rsidRPr="00735E72" w:rsidRDefault="00316880" w:rsidP="00316880">
            <w:pPr>
              <w:pStyle w:val="TableText"/>
              <w:rPr>
                <w:lang w:eastAsia="ja-JP"/>
              </w:rPr>
            </w:pPr>
            <w:r w:rsidRPr="00735E72">
              <w:rPr>
                <w:lang w:eastAsia="ja-JP"/>
              </w:rPr>
              <w:t>Southern Gulf NRM Limited DP8</w:t>
            </w:r>
          </w:p>
        </w:tc>
      </w:tr>
      <w:tr w:rsidR="00316880" w:rsidRPr="00B11944" w14:paraId="513EEF7D" w14:textId="77777777" w:rsidTr="00527614">
        <w:tc>
          <w:tcPr>
            <w:tcW w:w="4839" w:type="dxa"/>
          </w:tcPr>
          <w:p w14:paraId="61BEAB53" w14:textId="663C72F4" w:rsidR="00316880" w:rsidRPr="00735E72" w:rsidRDefault="00316880" w:rsidP="00316880">
            <w:pPr>
              <w:pStyle w:val="TableText"/>
              <w:rPr>
                <w:lang w:eastAsia="ja-JP"/>
              </w:rPr>
            </w:pPr>
            <w:r w:rsidRPr="00735E72">
              <w:rPr>
                <w:lang w:eastAsia="ja-JP"/>
              </w:rPr>
              <w:t>Cotton Australia DR108</w:t>
            </w:r>
          </w:p>
        </w:tc>
        <w:tc>
          <w:tcPr>
            <w:tcW w:w="4375" w:type="dxa"/>
          </w:tcPr>
          <w:p w14:paraId="6ABF8ADB" w14:textId="2039FAD0" w:rsidR="00316880" w:rsidRPr="00735E72" w:rsidRDefault="00316880" w:rsidP="00316880">
            <w:pPr>
              <w:pStyle w:val="TableText"/>
              <w:rPr>
                <w:lang w:eastAsia="ja-JP"/>
              </w:rPr>
            </w:pPr>
            <w:r w:rsidRPr="00735E72">
              <w:rPr>
                <w:lang w:eastAsia="ja-JP"/>
              </w:rPr>
              <w:t>Strawberry Growers Association of Western Australia Incorporated DP36</w:t>
            </w:r>
          </w:p>
        </w:tc>
      </w:tr>
      <w:tr w:rsidR="00316880" w:rsidRPr="00B11944" w14:paraId="7A0D6629" w14:textId="77777777" w:rsidTr="00527614">
        <w:tc>
          <w:tcPr>
            <w:tcW w:w="4839" w:type="dxa"/>
          </w:tcPr>
          <w:p w14:paraId="1E08812F" w14:textId="1FE60100" w:rsidR="00316880" w:rsidRPr="00735E72" w:rsidRDefault="00316880" w:rsidP="000A6F9C">
            <w:pPr>
              <w:pStyle w:val="TableText"/>
              <w:rPr>
                <w:lang w:eastAsia="ja-JP"/>
              </w:rPr>
            </w:pPr>
            <w:r>
              <w:rPr>
                <w:lang w:eastAsia="ja-JP"/>
              </w:rPr>
              <w:t>Council of Natural Resource Management Presiding Members DR69</w:t>
            </w:r>
          </w:p>
        </w:tc>
        <w:tc>
          <w:tcPr>
            <w:tcW w:w="4375" w:type="dxa"/>
          </w:tcPr>
          <w:p w14:paraId="47509914" w14:textId="6B57B276" w:rsidR="00316880" w:rsidRPr="00735E72" w:rsidRDefault="00316880" w:rsidP="00316880">
            <w:pPr>
              <w:pStyle w:val="TableText"/>
              <w:rPr>
                <w:lang w:eastAsia="ja-JP"/>
              </w:rPr>
            </w:pPr>
            <w:r w:rsidRPr="00735E72">
              <w:rPr>
                <w:lang w:eastAsia="ja-JP"/>
              </w:rPr>
              <w:t>Sydney Airport Limited DP28</w:t>
            </w:r>
          </w:p>
        </w:tc>
      </w:tr>
      <w:tr w:rsidR="00316880" w:rsidRPr="00B11944" w14:paraId="6C937AD9" w14:textId="77777777" w:rsidTr="00527614">
        <w:tc>
          <w:tcPr>
            <w:tcW w:w="4839" w:type="dxa"/>
          </w:tcPr>
          <w:p w14:paraId="767678E1" w14:textId="45D5BFB3" w:rsidR="00316880" w:rsidRPr="006D2680" w:rsidRDefault="00316880" w:rsidP="00316880">
            <w:pPr>
              <w:pStyle w:val="TableText"/>
              <w:rPr>
                <w:lang w:eastAsia="ja-JP"/>
              </w:rPr>
            </w:pPr>
            <w:r>
              <w:rPr>
                <w:lang w:eastAsia="ja-JP"/>
              </w:rPr>
              <w:t>Council of Rural Research and Development Corporations DR114</w:t>
            </w:r>
          </w:p>
        </w:tc>
        <w:tc>
          <w:tcPr>
            <w:tcW w:w="4375" w:type="dxa"/>
          </w:tcPr>
          <w:p w14:paraId="3A085436" w14:textId="1E663BDA" w:rsidR="00316880" w:rsidRPr="006D2680" w:rsidRDefault="00316880" w:rsidP="00316880">
            <w:pPr>
              <w:pStyle w:val="TableText"/>
              <w:rPr>
                <w:lang w:eastAsia="ja-JP"/>
              </w:rPr>
            </w:pPr>
            <w:r>
              <w:rPr>
                <w:lang w:eastAsia="ja-JP"/>
              </w:rPr>
              <w:t>Tasmanian Government DR112</w:t>
            </w:r>
          </w:p>
        </w:tc>
      </w:tr>
      <w:tr w:rsidR="00316880" w:rsidRPr="00B11944" w14:paraId="3F3F9AA1" w14:textId="77777777" w:rsidTr="00527614">
        <w:tc>
          <w:tcPr>
            <w:tcW w:w="4839" w:type="dxa"/>
          </w:tcPr>
          <w:p w14:paraId="66999887" w14:textId="55C11D10" w:rsidR="00316880" w:rsidRDefault="00316880" w:rsidP="000A6F9C">
            <w:pPr>
              <w:pStyle w:val="TableText"/>
              <w:rPr>
                <w:lang w:eastAsia="ja-JP"/>
              </w:rPr>
            </w:pPr>
            <w:r>
              <w:rPr>
                <w:lang w:eastAsia="ja-JP"/>
              </w:rPr>
              <w:t>CSIRO DR92</w:t>
            </w:r>
          </w:p>
        </w:tc>
        <w:tc>
          <w:tcPr>
            <w:tcW w:w="4375" w:type="dxa"/>
          </w:tcPr>
          <w:p w14:paraId="2D7D695B" w14:textId="0C457775" w:rsidR="00316880" w:rsidRPr="006D2680" w:rsidRDefault="00316880" w:rsidP="000A6F9C">
            <w:pPr>
              <w:pStyle w:val="TableText"/>
              <w:rPr>
                <w:lang w:eastAsia="ja-JP"/>
              </w:rPr>
            </w:pPr>
            <w:r>
              <w:rPr>
                <w:lang w:eastAsia="ja-JP"/>
              </w:rPr>
              <w:t>Tasmanian Seafood Industry Council DR89</w:t>
            </w:r>
          </w:p>
        </w:tc>
      </w:tr>
      <w:tr w:rsidR="00316880" w:rsidRPr="00B11944" w14:paraId="6343080C" w14:textId="77777777" w:rsidTr="00527614">
        <w:tc>
          <w:tcPr>
            <w:tcW w:w="4839" w:type="dxa"/>
          </w:tcPr>
          <w:p w14:paraId="1B2E1D9E" w14:textId="00A7C14E" w:rsidR="00316880" w:rsidRDefault="00316880" w:rsidP="00316880">
            <w:pPr>
              <w:pStyle w:val="TableText"/>
              <w:rPr>
                <w:lang w:eastAsia="ja-JP"/>
              </w:rPr>
            </w:pPr>
            <w:r w:rsidRPr="00735E72">
              <w:rPr>
                <w:lang w:eastAsia="ja-JP"/>
              </w:rPr>
              <w:t>Dairy Australia Limited and Australian Dairy Farmers DP39, DR104</w:t>
            </w:r>
          </w:p>
        </w:tc>
        <w:tc>
          <w:tcPr>
            <w:tcW w:w="4375" w:type="dxa"/>
          </w:tcPr>
          <w:p w14:paraId="5332E9E0" w14:textId="131E5486" w:rsidR="00316880" w:rsidRPr="00735E72" w:rsidRDefault="00316880" w:rsidP="00316880">
            <w:pPr>
              <w:pStyle w:val="TableText"/>
              <w:rPr>
                <w:lang w:eastAsia="ja-JP"/>
              </w:rPr>
            </w:pPr>
            <w:r w:rsidRPr="00735E72">
              <w:rPr>
                <w:lang w:eastAsia="ja-JP"/>
              </w:rPr>
              <w:t>Teys Australia Proprietary Limited DP49</w:t>
            </w:r>
          </w:p>
        </w:tc>
      </w:tr>
      <w:tr w:rsidR="00316880" w:rsidRPr="00B11944" w14:paraId="7F5F808E" w14:textId="77777777" w:rsidTr="00527614">
        <w:tc>
          <w:tcPr>
            <w:tcW w:w="4839" w:type="dxa"/>
          </w:tcPr>
          <w:p w14:paraId="66D0F274" w14:textId="3EAF8D66" w:rsidR="00316880" w:rsidRPr="00735E72" w:rsidRDefault="00316880" w:rsidP="00316880">
            <w:pPr>
              <w:pStyle w:val="TableText"/>
              <w:rPr>
                <w:lang w:eastAsia="ja-JP"/>
              </w:rPr>
            </w:pPr>
            <w:r w:rsidRPr="00735E72">
              <w:rPr>
                <w:lang w:eastAsia="ja-JP"/>
              </w:rPr>
              <w:t>Dreamtime Wholesale Nursery DP4</w:t>
            </w:r>
          </w:p>
        </w:tc>
        <w:tc>
          <w:tcPr>
            <w:tcW w:w="4375" w:type="dxa"/>
          </w:tcPr>
          <w:p w14:paraId="78F2381C" w14:textId="0D9D43C4" w:rsidR="00316880" w:rsidRPr="00735E72" w:rsidRDefault="00316880" w:rsidP="00316880">
            <w:pPr>
              <w:pStyle w:val="TableText"/>
              <w:rPr>
                <w:lang w:eastAsia="ja-JP"/>
              </w:rPr>
            </w:pPr>
            <w:r w:rsidRPr="00735E72">
              <w:rPr>
                <w:lang w:eastAsia="ja-JP"/>
              </w:rPr>
              <w:t>The Australian Veterinary Association Limited DP24</w:t>
            </w:r>
          </w:p>
        </w:tc>
      </w:tr>
      <w:tr w:rsidR="00316880" w:rsidRPr="00B11944" w14:paraId="153D7EA4" w14:textId="77777777" w:rsidTr="00527614">
        <w:tc>
          <w:tcPr>
            <w:tcW w:w="4839" w:type="dxa"/>
          </w:tcPr>
          <w:p w14:paraId="4AC6FE48" w14:textId="6FD06782" w:rsidR="00316880" w:rsidRPr="00735E72" w:rsidRDefault="00316880" w:rsidP="00316880">
            <w:pPr>
              <w:pStyle w:val="TableText"/>
              <w:rPr>
                <w:lang w:eastAsia="ja-JP"/>
              </w:rPr>
            </w:pPr>
            <w:r w:rsidRPr="00735E72">
              <w:rPr>
                <w:lang w:eastAsia="ja-JP"/>
              </w:rPr>
              <w:t>Export Council of Australia DP37</w:t>
            </w:r>
          </w:p>
        </w:tc>
        <w:tc>
          <w:tcPr>
            <w:tcW w:w="4375" w:type="dxa"/>
          </w:tcPr>
          <w:p w14:paraId="4F15DFF4" w14:textId="653D7AB0" w:rsidR="00316880" w:rsidRPr="00735E72" w:rsidRDefault="00316880" w:rsidP="00316880">
            <w:pPr>
              <w:pStyle w:val="TableText"/>
              <w:rPr>
                <w:lang w:eastAsia="ja-JP"/>
              </w:rPr>
            </w:pPr>
            <w:r w:rsidRPr="00735E72">
              <w:rPr>
                <w:lang w:eastAsia="ja-JP"/>
              </w:rPr>
              <w:t>The Tasmanian Salmonid Growers Association Limited DP43</w:t>
            </w:r>
          </w:p>
        </w:tc>
      </w:tr>
      <w:tr w:rsidR="00316880" w:rsidRPr="00B11944" w14:paraId="5FBA5A67" w14:textId="77777777" w:rsidTr="00527614">
        <w:tc>
          <w:tcPr>
            <w:tcW w:w="4839" w:type="dxa"/>
          </w:tcPr>
          <w:p w14:paraId="4267EBEE" w14:textId="6C84D443" w:rsidR="00316880" w:rsidRPr="00735E72" w:rsidRDefault="00316880" w:rsidP="000A6F9C">
            <w:pPr>
              <w:pStyle w:val="TableText"/>
              <w:rPr>
                <w:lang w:eastAsia="ja-JP"/>
              </w:rPr>
            </w:pPr>
            <w:r w:rsidRPr="00735E72">
              <w:rPr>
                <w:lang w:eastAsia="ja-JP"/>
              </w:rPr>
              <w:t>Fisheries Research Development Corporation DR78</w:t>
            </w:r>
          </w:p>
        </w:tc>
        <w:tc>
          <w:tcPr>
            <w:tcW w:w="4375" w:type="dxa"/>
          </w:tcPr>
          <w:p w14:paraId="27D2DECE" w14:textId="02988C88" w:rsidR="00316880" w:rsidRPr="00735E72" w:rsidRDefault="00316880" w:rsidP="00316880">
            <w:pPr>
              <w:pStyle w:val="TableText"/>
              <w:rPr>
                <w:lang w:eastAsia="ja-JP"/>
              </w:rPr>
            </w:pPr>
            <w:r w:rsidRPr="00735E72">
              <w:rPr>
                <w:lang w:eastAsia="ja-JP"/>
              </w:rPr>
              <w:t>The Tourism and Transport Forum Australia Limited DP30</w:t>
            </w:r>
          </w:p>
        </w:tc>
      </w:tr>
      <w:tr w:rsidR="00316880" w:rsidRPr="00BE56A1" w14:paraId="61BD3D4D" w14:textId="77777777" w:rsidTr="00527614">
        <w:tc>
          <w:tcPr>
            <w:tcW w:w="4839" w:type="dxa"/>
          </w:tcPr>
          <w:p w14:paraId="70DCD1DD" w14:textId="4379AE17" w:rsidR="00316880" w:rsidRPr="00735E72" w:rsidRDefault="00316880" w:rsidP="00316880">
            <w:pPr>
              <w:pStyle w:val="TableText"/>
              <w:rPr>
                <w:lang w:eastAsia="ja-JP"/>
              </w:rPr>
            </w:pPr>
            <w:r w:rsidRPr="00735E72">
              <w:rPr>
                <w:lang w:eastAsia="ja-JP"/>
              </w:rPr>
              <w:t>Flower Association of Queensland Incorporated DP34</w:t>
            </w:r>
          </w:p>
        </w:tc>
        <w:tc>
          <w:tcPr>
            <w:tcW w:w="4375" w:type="dxa"/>
          </w:tcPr>
          <w:p w14:paraId="626BEF03" w14:textId="3153E1AC" w:rsidR="00316880" w:rsidRPr="00735E72" w:rsidRDefault="00316880" w:rsidP="00316880">
            <w:pPr>
              <w:pStyle w:val="TableText"/>
              <w:rPr>
                <w:lang w:eastAsia="ja-JP"/>
              </w:rPr>
            </w:pPr>
            <w:r w:rsidRPr="00735E72">
              <w:rPr>
                <w:lang w:eastAsia="ja-JP"/>
              </w:rPr>
              <w:t>The University of Sydney DP14</w:t>
            </w:r>
          </w:p>
        </w:tc>
      </w:tr>
      <w:tr w:rsidR="00316880" w:rsidRPr="00BE56A1" w14:paraId="05D59ABD" w14:textId="77777777" w:rsidTr="00527614">
        <w:tc>
          <w:tcPr>
            <w:tcW w:w="4839" w:type="dxa"/>
          </w:tcPr>
          <w:p w14:paraId="33E58C70" w14:textId="2E188784" w:rsidR="00316880" w:rsidRPr="00735E72" w:rsidRDefault="00316880" w:rsidP="00316880">
            <w:pPr>
              <w:pStyle w:val="TableText"/>
              <w:rPr>
                <w:lang w:eastAsia="ja-JP"/>
              </w:rPr>
            </w:pPr>
            <w:r w:rsidRPr="00735E72">
              <w:rPr>
                <w:lang w:eastAsia="ja-JP"/>
              </w:rPr>
              <w:t>Grains Research and Development Corporation DR101</w:t>
            </w:r>
          </w:p>
        </w:tc>
        <w:tc>
          <w:tcPr>
            <w:tcW w:w="4375" w:type="dxa"/>
          </w:tcPr>
          <w:p w14:paraId="084979E2" w14:textId="7A055A07" w:rsidR="00316880" w:rsidRPr="00735E72" w:rsidRDefault="00316880" w:rsidP="00316880">
            <w:pPr>
              <w:pStyle w:val="TableText"/>
              <w:rPr>
                <w:lang w:eastAsia="ja-JP"/>
              </w:rPr>
            </w:pPr>
            <w:r w:rsidRPr="00735E72">
              <w:rPr>
                <w:lang w:eastAsia="ja-JP"/>
              </w:rPr>
              <w:t>The Western Australian Farmers Federation Incorporated DP32</w:t>
            </w:r>
          </w:p>
        </w:tc>
      </w:tr>
      <w:tr w:rsidR="00316880" w:rsidRPr="00BE56A1" w14:paraId="17A8C330" w14:textId="77777777" w:rsidTr="00527614">
        <w:tc>
          <w:tcPr>
            <w:tcW w:w="4839" w:type="dxa"/>
          </w:tcPr>
          <w:p w14:paraId="6E9DEAA5" w14:textId="7E13A0A6" w:rsidR="00316880" w:rsidRPr="00735E72" w:rsidRDefault="00316880" w:rsidP="00316880">
            <w:pPr>
              <w:pStyle w:val="TableText"/>
              <w:rPr>
                <w:lang w:eastAsia="ja-JP"/>
              </w:rPr>
            </w:pPr>
            <w:r w:rsidRPr="00735E72">
              <w:rPr>
                <w:lang w:eastAsia="ja-JP"/>
              </w:rPr>
              <w:t>Greatrex, Chris DP7</w:t>
            </w:r>
          </w:p>
        </w:tc>
        <w:tc>
          <w:tcPr>
            <w:tcW w:w="4375" w:type="dxa"/>
          </w:tcPr>
          <w:p w14:paraId="3B3FBFAA" w14:textId="1D0E7556" w:rsidR="00316880" w:rsidRPr="00735E72" w:rsidRDefault="00316880" w:rsidP="00316880">
            <w:pPr>
              <w:pStyle w:val="TableText"/>
              <w:rPr>
                <w:lang w:eastAsia="ja-JP"/>
              </w:rPr>
            </w:pPr>
            <w:r w:rsidRPr="00735E72">
              <w:rPr>
                <w:lang w:eastAsia="ja-JP"/>
              </w:rPr>
              <w:t>Victorian Government (Agriculture Victoria, Department of Economic Development, Jobs, Transport and Resources) DP64</w:t>
            </w:r>
            <w:r>
              <w:rPr>
                <w:lang w:eastAsia="ja-JP"/>
              </w:rPr>
              <w:t>, DR118</w:t>
            </w:r>
          </w:p>
        </w:tc>
      </w:tr>
      <w:tr w:rsidR="00316880" w:rsidRPr="00BE56A1" w14:paraId="4ED141C2" w14:textId="77777777" w:rsidTr="00527614">
        <w:tc>
          <w:tcPr>
            <w:tcW w:w="4839" w:type="dxa"/>
          </w:tcPr>
          <w:p w14:paraId="4116F5E4" w14:textId="52070E5E" w:rsidR="00316880" w:rsidRPr="00735E72" w:rsidRDefault="00316880" w:rsidP="00316880">
            <w:pPr>
              <w:pStyle w:val="TableText"/>
              <w:rPr>
                <w:lang w:eastAsia="ja-JP"/>
              </w:rPr>
            </w:pPr>
            <w:r w:rsidRPr="00735E72">
              <w:rPr>
                <w:lang w:eastAsia="ja-JP"/>
              </w:rPr>
              <w:t>Green Triangle regional Plantations Committee DR102</w:t>
            </w:r>
          </w:p>
        </w:tc>
        <w:tc>
          <w:tcPr>
            <w:tcW w:w="4375" w:type="dxa"/>
          </w:tcPr>
          <w:p w14:paraId="28E40645" w14:textId="6004684B" w:rsidR="00316880" w:rsidRPr="00735E72" w:rsidRDefault="00316880" w:rsidP="000A6F9C">
            <w:pPr>
              <w:pStyle w:val="TableText"/>
              <w:rPr>
                <w:lang w:eastAsia="ja-JP"/>
              </w:rPr>
            </w:pPr>
            <w:r w:rsidRPr="00735E72">
              <w:rPr>
                <w:lang w:eastAsia="ja-JP"/>
              </w:rPr>
              <w:t>Vinehealth Australia DR91</w:t>
            </w:r>
          </w:p>
        </w:tc>
      </w:tr>
      <w:tr w:rsidR="00316880" w:rsidRPr="00B11944" w14:paraId="714FF6A7" w14:textId="77777777" w:rsidTr="00527614">
        <w:tc>
          <w:tcPr>
            <w:tcW w:w="4839" w:type="dxa"/>
          </w:tcPr>
          <w:p w14:paraId="4054C787" w14:textId="73BF14F8" w:rsidR="00316880" w:rsidRPr="00735E72" w:rsidRDefault="00316880" w:rsidP="00316880">
            <w:pPr>
              <w:pStyle w:val="TableText"/>
              <w:rPr>
                <w:lang w:eastAsia="ja-JP"/>
              </w:rPr>
            </w:pPr>
            <w:r w:rsidRPr="00735E72">
              <w:rPr>
                <w:lang w:eastAsia="ja-JP"/>
              </w:rPr>
              <w:t>Hills Orchard Improvement Group Incorporated DP47</w:t>
            </w:r>
          </w:p>
        </w:tc>
        <w:tc>
          <w:tcPr>
            <w:tcW w:w="4375" w:type="dxa"/>
          </w:tcPr>
          <w:p w14:paraId="0F775DA3" w14:textId="65EFF99A" w:rsidR="00316880" w:rsidRPr="00735E72" w:rsidRDefault="00316880" w:rsidP="00316880">
            <w:pPr>
              <w:pStyle w:val="TableText"/>
              <w:rPr>
                <w:lang w:eastAsia="ja-JP"/>
              </w:rPr>
            </w:pPr>
            <w:r w:rsidRPr="00735E72">
              <w:rPr>
                <w:lang w:eastAsia="ja-JP"/>
              </w:rPr>
              <w:t>Voice of Horticulture Limited DP11</w:t>
            </w:r>
          </w:p>
        </w:tc>
      </w:tr>
      <w:tr w:rsidR="00316880" w:rsidRPr="00B11944" w14:paraId="455BC2DE" w14:textId="77777777" w:rsidTr="00527614">
        <w:tc>
          <w:tcPr>
            <w:tcW w:w="4839" w:type="dxa"/>
          </w:tcPr>
          <w:p w14:paraId="4441D5AA" w14:textId="3ED00C4B" w:rsidR="00316880" w:rsidRPr="00735E72" w:rsidRDefault="00316880" w:rsidP="000A6F9C">
            <w:pPr>
              <w:pStyle w:val="TableText"/>
              <w:rPr>
                <w:lang w:eastAsia="ja-JP"/>
              </w:rPr>
            </w:pPr>
            <w:r w:rsidRPr="00735E72">
              <w:rPr>
                <w:lang w:eastAsia="ja-JP"/>
              </w:rPr>
              <w:t>Horticulture Innovation Australia Ltd DR82</w:t>
            </w:r>
          </w:p>
        </w:tc>
        <w:tc>
          <w:tcPr>
            <w:tcW w:w="4375" w:type="dxa"/>
          </w:tcPr>
          <w:p w14:paraId="2CAEB4D3" w14:textId="4247785D" w:rsidR="00316880" w:rsidRPr="00735E72" w:rsidRDefault="00316880" w:rsidP="00316880">
            <w:pPr>
              <w:pStyle w:val="TableText"/>
              <w:rPr>
                <w:lang w:eastAsia="ja-JP"/>
              </w:rPr>
            </w:pPr>
            <w:r w:rsidRPr="00735E72">
              <w:rPr>
                <w:lang w:eastAsia="ja-JP"/>
              </w:rPr>
              <w:t>West Australian Pork Producers’ Association Incorporated DP44</w:t>
            </w:r>
          </w:p>
        </w:tc>
      </w:tr>
      <w:tr w:rsidR="00316880" w:rsidRPr="00B11944" w14:paraId="1EC72702" w14:textId="77777777" w:rsidTr="00527614">
        <w:tc>
          <w:tcPr>
            <w:tcW w:w="4839" w:type="dxa"/>
          </w:tcPr>
          <w:p w14:paraId="23B6469A" w14:textId="4E74801F" w:rsidR="00316880" w:rsidRPr="00735E72" w:rsidRDefault="00316880" w:rsidP="000A6F9C">
            <w:pPr>
              <w:pStyle w:val="TableText"/>
              <w:rPr>
                <w:lang w:eastAsia="ja-JP"/>
              </w:rPr>
            </w:pPr>
            <w:r w:rsidRPr="00735E72">
              <w:rPr>
                <w:lang w:eastAsia="ja-JP"/>
              </w:rPr>
              <w:t>Invasive Animals Cooperative Research Centre DR75</w:t>
            </w:r>
          </w:p>
        </w:tc>
        <w:tc>
          <w:tcPr>
            <w:tcW w:w="4375" w:type="dxa"/>
          </w:tcPr>
          <w:p w14:paraId="22BF4502" w14:textId="4AE16572" w:rsidR="00316880" w:rsidRPr="00735E72" w:rsidRDefault="00316880" w:rsidP="00316880">
            <w:pPr>
              <w:pStyle w:val="TableText"/>
              <w:rPr>
                <w:lang w:eastAsia="ja-JP"/>
              </w:rPr>
            </w:pPr>
            <w:r w:rsidRPr="00735E72">
              <w:rPr>
                <w:lang w:eastAsia="ja-JP"/>
              </w:rPr>
              <w:t>Western Australian Agricultural Produce Commission Stonefruit Committee DP51</w:t>
            </w:r>
          </w:p>
        </w:tc>
      </w:tr>
      <w:tr w:rsidR="00316880" w:rsidRPr="00B11944" w14:paraId="270A7500" w14:textId="77777777" w:rsidTr="00527614">
        <w:tc>
          <w:tcPr>
            <w:tcW w:w="4839" w:type="dxa"/>
          </w:tcPr>
          <w:p w14:paraId="0584BF6F" w14:textId="66640E29" w:rsidR="00316880" w:rsidRPr="00735E72" w:rsidRDefault="00316880" w:rsidP="000A6F9C">
            <w:pPr>
              <w:pStyle w:val="TableText"/>
              <w:rPr>
                <w:lang w:eastAsia="ja-JP"/>
              </w:rPr>
            </w:pPr>
            <w:r w:rsidRPr="00735E72">
              <w:rPr>
                <w:lang w:eastAsia="ja-JP"/>
              </w:rPr>
              <w:t>Invasive Species Council Incorporated DP50, DR95</w:t>
            </w:r>
          </w:p>
        </w:tc>
        <w:tc>
          <w:tcPr>
            <w:tcW w:w="4375" w:type="dxa"/>
          </w:tcPr>
          <w:p w14:paraId="50B0BB33" w14:textId="43FDA234" w:rsidR="00316880" w:rsidRPr="00735E72" w:rsidRDefault="00316880" w:rsidP="00316880">
            <w:pPr>
              <w:pStyle w:val="TableText"/>
              <w:rPr>
                <w:lang w:eastAsia="ja-JP"/>
              </w:rPr>
            </w:pPr>
            <w:r w:rsidRPr="00735E72">
              <w:rPr>
                <w:lang w:eastAsia="ja-JP"/>
              </w:rPr>
              <w:t>Western Australian Government DP58</w:t>
            </w:r>
          </w:p>
        </w:tc>
      </w:tr>
      <w:tr w:rsidR="00316880" w:rsidRPr="00B11944" w14:paraId="531C5C9F" w14:textId="77777777" w:rsidTr="00527614">
        <w:tc>
          <w:tcPr>
            <w:tcW w:w="4839" w:type="dxa"/>
          </w:tcPr>
          <w:p w14:paraId="593043ED" w14:textId="27802020" w:rsidR="00316880" w:rsidRPr="00735E72" w:rsidRDefault="00316880" w:rsidP="000A6F9C">
            <w:pPr>
              <w:pStyle w:val="TableText"/>
              <w:rPr>
                <w:lang w:eastAsia="ja-JP"/>
              </w:rPr>
            </w:pPr>
            <w:r w:rsidRPr="00735E72">
              <w:rPr>
                <w:lang w:eastAsia="ja-JP"/>
              </w:rPr>
              <w:t>John Daniels DR71</w:t>
            </w:r>
          </w:p>
        </w:tc>
        <w:tc>
          <w:tcPr>
            <w:tcW w:w="4375" w:type="dxa"/>
          </w:tcPr>
          <w:p w14:paraId="2BAAD0E3" w14:textId="2421E635" w:rsidR="00316880" w:rsidRPr="00735E72" w:rsidRDefault="00316880" w:rsidP="000A6F9C">
            <w:pPr>
              <w:pStyle w:val="TableText"/>
              <w:rPr>
                <w:lang w:eastAsia="ja-JP"/>
              </w:rPr>
            </w:pPr>
            <w:r w:rsidRPr="00735E72">
              <w:rPr>
                <w:lang w:eastAsia="ja-JP"/>
              </w:rPr>
              <w:t>Western Australian Fishing Industry Council DR77</w:t>
            </w:r>
          </w:p>
        </w:tc>
      </w:tr>
      <w:tr w:rsidR="00316880" w:rsidRPr="00B11944" w14:paraId="594AB737" w14:textId="77777777" w:rsidTr="00527614">
        <w:tc>
          <w:tcPr>
            <w:tcW w:w="4839" w:type="dxa"/>
          </w:tcPr>
          <w:p w14:paraId="5BE29B12" w14:textId="795D2E4F" w:rsidR="00316880" w:rsidRPr="00735E72" w:rsidRDefault="00316880" w:rsidP="000A6F9C">
            <w:pPr>
              <w:pStyle w:val="TableText"/>
              <w:rPr>
                <w:lang w:eastAsia="ja-JP"/>
              </w:rPr>
            </w:pPr>
            <w:r w:rsidRPr="00735E72">
              <w:rPr>
                <w:lang w:eastAsia="ja-JP"/>
              </w:rPr>
              <w:t>Local Government Association of Queensland DR73</w:t>
            </w:r>
          </w:p>
        </w:tc>
        <w:tc>
          <w:tcPr>
            <w:tcW w:w="4375" w:type="dxa"/>
          </w:tcPr>
          <w:p w14:paraId="1F63F8C1" w14:textId="7FED1E10" w:rsidR="00316880" w:rsidRPr="00735E72" w:rsidRDefault="00316880" w:rsidP="00316880">
            <w:pPr>
              <w:pStyle w:val="TableText"/>
              <w:rPr>
                <w:lang w:eastAsia="ja-JP"/>
              </w:rPr>
            </w:pPr>
            <w:r w:rsidRPr="00735E72">
              <w:rPr>
                <w:lang w:eastAsia="ja-JP"/>
              </w:rPr>
              <w:t>Western Australian Local Government Association DP62, DR110</w:t>
            </w:r>
          </w:p>
        </w:tc>
      </w:tr>
      <w:tr w:rsidR="00316880" w:rsidRPr="00B11944" w14:paraId="558F5A2D" w14:textId="77777777" w:rsidTr="00527614">
        <w:tc>
          <w:tcPr>
            <w:tcW w:w="4839" w:type="dxa"/>
          </w:tcPr>
          <w:p w14:paraId="2E425139" w14:textId="06C67FDE" w:rsidR="00316880" w:rsidRPr="00735E72" w:rsidRDefault="00316880" w:rsidP="000A6F9C">
            <w:pPr>
              <w:pStyle w:val="TableText"/>
              <w:rPr>
                <w:lang w:eastAsia="ja-JP"/>
              </w:rPr>
            </w:pPr>
            <w:r w:rsidRPr="00735E72">
              <w:rPr>
                <w:lang w:eastAsia="ja-JP"/>
              </w:rPr>
              <w:t>National Aquaculture Council DR87</w:t>
            </w:r>
          </w:p>
        </w:tc>
        <w:tc>
          <w:tcPr>
            <w:tcW w:w="4375" w:type="dxa"/>
          </w:tcPr>
          <w:p w14:paraId="4132D12C" w14:textId="43893461" w:rsidR="00316880" w:rsidRPr="00735E72" w:rsidRDefault="00316880" w:rsidP="000A6F9C">
            <w:pPr>
              <w:pStyle w:val="TableText"/>
              <w:rPr>
                <w:lang w:eastAsia="ja-JP"/>
              </w:rPr>
            </w:pPr>
            <w:r w:rsidRPr="00735E72">
              <w:rPr>
                <w:lang w:eastAsia="ja-JP"/>
              </w:rPr>
              <w:t>Wildlife Health Australia Incorporated DP31, DR81</w:t>
            </w:r>
          </w:p>
        </w:tc>
      </w:tr>
      <w:tr w:rsidR="00316880" w:rsidRPr="00B11944" w14:paraId="33D86346" w14:textId="77777777" w:rsidTr="00527614">
        <w:tc>
          <w:tcPr>
            <w:tcW w:w="4839" w:type="dxa"/>
          </w:tcPr>
          <w:p w14:paraId="021A1688" w14:textId="0824222C" w:rsidR="00316880" w:rsidRPr="00735E72" w:rsidRDefault="00316880" w:rsidP="000A6F9C">
            <w:pPr>
              <w:pStyle w:val="TableText"/>
              <w:rPr>
                <w:lang w:eastAsia="ja-JP"/>
              </w:rPr>
            </w:pPr>
            <w:r w:rsidRPr="00735E72">
              <w:rPr>
                <w:lang w:eastAsia="ja-JP"/>
              </w:rPr>
              <w:t>National Farmers’ Federation Limited DP16, DR85</w:t>
            </w:r>
          </w:p>
        </w:tc>
        <w:tc>
          <w:tcPr>
            <w:tcW w:w="4375" w:type="dxa"/>
          </w:tcPr>
          <w:p w14:paraId="3DDF1FEC" w14:textId="1AD70A4E" w:rsidR="00316880" w:rsidRPr="00735E72" w:rsidRDefault="00316880" w:rsidP="00316880">
            <w:pPr>
              <w:pStyle w:val="TableText"/>
              <w:rPr>
                <w:lang w:eastAsia="ja-JP"/>
              </w:rPr>
            </w:pPr>
            <w:r w:rsidRPr="00735E72">
              <w:rPr>
                <w:lang w:eastAsia="ja-JP"/>
              </w:rPr>
              <w:t>Wildlife Preservation Society of Queensland Incorporated DP54</w:t>
            </w:r>
          </w:p>
        </w:tc>
      </w:tr>
      <w:tr w:rsidR="00316880" w:rsidRPr="00B11944" w14:paraId="25DD16D9" w14:textId="77777777" w:rsidTr="00527614">
        <w:tc>
          <w:tcPr>
            <w:tcW w:w="4839" w:type="dxa"/>
          </w:tcPr>
          <w:p w14:paraId="0677534D" w14:textId="1CED086A" w:rsidR="00316880" w:rsidRPr="00735E72" w:rsidRDefault="00316880" w:rsidP="00316880">
            <w:pPr>
              <w:pStyle w:val="TableText"/>
              <w:rPr>
                <w:lang w:eastAsia="ja-JP"/>
              </w:rPr>
            </w:pPr>
            <w:r w:rsidRPr="00735E72">
              <w:rPr>
                <w:lang w:eastAsia="ja-JP"/>
              </w:rPr>
              <w:t>Nature Conservation Society of South Australia Incorporated DP55, DR105</w:t>
            </w:r>
          </w:p>
        </w:tc>
        <w:tc>
          <w:tcPr>
            <w:tcW w:w="4375" w:type="dxa"/>
          </w:tcPr>
          <w:p w14:paraId="2AC36A98" w14:textId="46B32282" w:rsidR="00316880" w:rsidRPr="00735E72" w:rsidRDefault="00316880" w:rsidP="00316880">
            <w:pPr>
              <w:pStyle w:val="TableText"/>
              <w:rPr>
                <w:lang w:eastAsia="ja-JP"/>
              </w:rPr>
            </w:pPr>
            <w:r w:rsidRPr="00735E72">
              <w:rPr>
                <w:lang w:eastAsia="ja-JP"/>
              </w:rPr>
              <w:t>Wine Tasmania DP13</w:t>
            </w:r>
          </w:p>
        </w:tc>
      </w:tr>
      <w:tr w:rsidR="00316880" w:rsidRPr="00B11944" w14:paraId="0A07250E" w14:textId="77777777" w:rsidTr="00527614">
        <w:tc>
          <w:tcPr>
            <w:tcW w:w="4839" w:type="dxa"/>
          </w:tcPr>
          <w:p w14:paraId="74B6DFFC" w14:textId="4C689224" w:rsidR="00316880" w:rsidRPr="00735E72" w:rsidRDefault="00316880" w:rsidP="00316880">
            <w:pPr>
              <w:pStyle w:val="TableText"/>
              <w:rPr>
                <w:lang w:eastAsia="ja-JP"/>
              </w:rPr>
            </w:pPr>
            <w:r w:rsidRPr="00735E72">
              <w:rPr>
                <w:lang w:eastAsia="ja-JP"/>
              </w:rPr>
              <w:t>Northern Territory Farmers Association Incorporated DP9</w:t>
            </w:r>
          </w:p>
        </w:tc>
        <w:tc>
          <w:tcPr>
            <w:tcW w:w="4375" w:type="dxa"/>
          </w:tcPr>
          <w:p w14:paraId="26BBB478" w14:textId="01AB3EC4" w:rsidR="00316880" w:rsidRPr="00735E72" w:rsidRDefault="00316880" w:rsidP="000A6F9C">
            <w:pPr>
              <w:pStyle w:val="TableText"/>
              <w:rPr>
                <w:lang w:eastAsia="ja-JP"/>
              </w:rPr>
            </w:pPr>
            <w:r w:rsidRPr="00735E72">
              <w:rPr>
                <w:lang w:eastAsia="ja-JP"/>
              </w:rPr>
              <w:t>Zoo and Aquarium Association DR83</w:t>
            </w:r>
          </w:p>
        </w:tc>
      </w:tr>
      <w:tr w:rsidR="00316880" w:rsidRPr="00B11944" w14:paraId="2497D884" w14:textId="77777777" w:rsidTr="00527614">
        <w:tc>
          <w:tcPr>
            <w:tcW w:w="4839" w:type="dxa"/>
          </w:tcPr>
          <w:p w14:paraId="10DD8193" w14:textId="2F320945" w:rsidR="00316880" w:rsidRPr="00735E72" w:rsidRDefault="00316880" w:rsidP="00316880">
            <w:pPr>
              <w:pStyle w:val="TableText"/>
              <w:rPr>
                <w:lang w:eastAsia="ja-JP"/>
              </w:rPr>
            </w:pPr>
          </w:p>
        </w:tc>
        <w:tc>
          <w:tcPr>
            <w:tcW w:w="4375" w:type="dxa"/>
          </w:tcPr>
          <w:p w14:paraId="1CC09EC6" w14:textId="6ED16C56" w:rsidR="00316880" w:rsidRPr="006D2680" w:rsidRDefault="00316880" w:rsidP="000A6F9C">
            <w:pPr>
              <w:pStyle w:val="TableText"/>
              <w:rPr>
                <w:lang w:eastAsia="ja-JP"/>
              </w:rPr>
            </w:pPr>
            <w:r w:rsidRPr="009D18E4">
              <w:rPr>
                <w:i/>
                <w:lang w:eastAsia="ja-JP"/>
              </w:rPr>
              <w:t>Confidential submissions (</w:t>
            </w:r>
            <w:r w:rsidR="000A6F9C">
              <w:rPr>
                <w:i/>
                <w:lang w:eastAsia="ja-JP"/>
              </w:rPr>
              <w:t>10</w:t>
            </w:r>
            <w:r w:rsidRPr="009D18E4">
              <w:rPr>
                <w:i/>
                <w:lang w:eastAsia="ja-JP"/>
              </w:rPr>
              <w:t>)</w:t>
            </w:r>
          </w:p>
        </w:tc>
      </w:tr>
    </w:tbl>
    <w:p w14:paraId="023653C9" w14:textId="13723A9C" w:rsidR="00280A78" w:rsidRDefault="00280A78" w:rsidP="0070601C">
      <w:pPr>
        <w:rPr>
          <w:lang w:eastAsia="ja-JP"/>
        </w:rPr>
      </w:pPr>
      <w:r>
        <w:rPr>
          <w:lang w:eastAsia="ja-JP"/>
        </w:rPr>
        <w:t xml:space="preserve">The </w:t>
      </w:r>
      <w:r w:rsidR="00BA680F">
        <w:rPr>
          <w:lang w:eastAsia="ja-JP"/>
        </w:rPr>
        <w:t>p</w:t>
      </w:r>
      <w:r>
        <w:rPr>
          <w:lang w:eastAsia="ja-JP"/>
        </w:rPr>
        <w:t xml:space="preserve">anel has consulted a range of stakeholders in the preparation of the </w:t>
      </w:r>
      <w:r w:rsidR="00BA680F">
        <w:rPr>
          <w:lang w:eastAsia="ja-JP"/>
        </w:rPr>
        <w:t>r</w:t>
      </w:r>
      <w:r>
        <w:rPr>
          <w:lang w:eastAsia="ja-JP"/>
        </w:rPr>
        <w:t>eport (</w:t>
      </w:r>
      <w:r w:rsidR="000E675E">
        <w:rPr>
          <w:lang w:eastAsia="ja-JP"/>
        </w:rPr>
        <w:fldChar w:fldCharType="begin"/>
      </w:r>
      <w:r w:rsidR="000E675E">
        <w:rPr>
          <w:lang w:eastAsia="ja-JP"/>
        </w:rPr>
        <w:instrText xml:space="preserve"> REF _Ref484781752 \h </w:instrText>
      </w:r>
      <w:r w:rsidR="000E675E">
        <w:rPr>
          <w:lang w:eastAsia="ja-JP"/>
        </w:rPr>
      </w:r>
      <w:r w:rsidR="000E675E">
        <w:rPr>
          <w:lang w:eastAsia="ja-JP"/>
        </w:rPr>
        <w:fldChar w:fldCharType="separate"/>
      </w:r>
      <w:r w:rsidR="009F6923">
        <w:t>Table C</w:t>
      </w:r>
      <w:r w:rsidR="009F6923">
        <w:rPr>
          <w:noProof/>
        </w:rPr>
        <w:t>2</w:t>
      </w:r>
      <w:r w:rsidR="000E675E">
        <w:rPr>
          <w:lang w:eastAsia="ja-JP"/>
        </w:rPr>
        <w:fldChar w:fldCharType="end"/>
      </w:r>
      <w:r>
        <w:rPr>
          <w:lang w:eastAsia="ja-JP"/>
        </w:rPr>
        <w:t>):</w:t>
      </w:r>
    </w:p>
    <w:p w14:paraId="7938F871" w14:textId="5D8DA4FE" w:rsidR="00280A78" w:rsidRPr="00590407" w:rsidRDefault="000E675E" w:rsidP="000E675E">
      <w:pPr>
        <w:pStyle w:val="Caption"/>
        <w:rPr>
          <w:szCs w:val="22"/>
          <w:lang w:eastAsia="ja-JP"/>
        </w:rPr>
      </w:pPr>
      <w:bookmarkStart w:id="244" w:name="_Ref484781752"/>
      <w:bookmarkStart w:id="245" w:name="_Toc468176735"/>
      <w:r>
        <w:t>Table C</w:t>
      </w:r>
      <w:fldSimple w:instr=" SEQ Table_C \* ARABIC ">
        <w:r w:rsidR="009F6923">
          <w:rPr>
            <w:noProof/>
          </w:rPr>
          <w:t>2</w:t>
        </w:r>
      </w:fldSimple>
      <w:bookmarkEnd w:id="244"/>
      <w:r>
        <w:rPr>
          <w:szCs w:val="22"/>
        </w:rPr>
        <w:t xml:space="preserve"> </w:t>
      </w:r>
      <w:r w:rsidR="00280A78" w:rsidRPr="00590407">
        <w:rPr>
          <w:szCs w:val="22"/>
        </w:rPr>
        <w:t>Stakeholders consulted</w:t>
      </w:r>
      <w:bookmarkEnd w:id="245"/>
      <w:r w:rsidR="00280A78" w:rsidRPr="00590407">
        <w:rPr>
          <w:szCs w:val="22"/>
        </w:rPr>
        <w:t xml:space="preserve"> </w:t>
      </w:r>
    </w:p>
    <w:tbl>
      <w:tblPr>
        <w:tblStyle w:val="TableGrid"/>
        <w:tblW w:w="0" w:type="auto"/>
        <w:tblBorders>
          <w:left w:val="none" w:sz="0" w:space="0" w:color="auto"/>
          <w:right w:val="none" w:sz="0" w:space="0" w:color="auto"/>
          <w:insideH w:val="none" w:sz="0" w:space="0" w:color="auto"/>
        </w:tblBorders>
        <w:tblLook w:val="04A0" w:firstRow="1" w:lastRow="0" w:firstColumn="1" w:lastColumn="0" w:noHBand="0" w:noVBand="1"/>
      </w:tblPr>
      <w:tblGrid>
        <w:gridCol w:w="4536"/>
        <w:gridCol w:w="4534"/>
      </w:tblGrid>
      <w:tr w:rsidR="00943E1E" w:rsidRPr="00A31657" w14:paraId="25327D73" w14:textId="77777777" w:rsidTr="00EB69B2">
        <w:trPr>
          <w:tblHeader/>
        </w:trPr>
        <w:tc>
          <w:tcPr>
            <w:tcW w:w="4536" w:type="dxa"/>
            <w:tcBorders>
              <w:top w:val="single" w:sz="4" w:space="0" w:color="auto"/>
              <w:bottom w:val="single" w:sz="4" w:space="0" w:color="auto"/>
            </w:tcBorders>
          </w:tcPr>
          <w:p w14:paraId="4B8DCCE3" w14:textId="6659F5EF" w:rsidR="00943E1E" w:rsidRPr="00A31657" w:rsidRDefault="00943E1E" w:rsidP="00943E1E">
            <w:pPr>
              <w:pStyle w:val="TableHeading"/>
            </w:pPr>
            <w:r>
              <w:t>Organisation/individual</w:t>
            </w:r>
          </w:p>
        </w:tc>
        <w:tc>
          <w:tcPr>
            <w:tcW w:w="4534" w:type="dxa"/>
            <w:tcBorders>
              <w:top w:val="single" w:sz="4" w:space="0" w:color="auto"/>
              <w:bottom w:val="single" w:sz="4" w:space="0" w:color="auto"/>
            </w:tcBorders>
          </w:tcPr>
          <w:p w14:paraId="19F9F4D6" w14:textId="40FB3C57" w:rsidR="00943E1E" w:rsidRPr="00A31657" w:rsidRDefault="00943E1E" w:rsidP="00943E1E">
            <w:pPr>
              <w:pStyle w:val="TableHeading"/>
            </w:pPr>
            <w:r w:rsidRPr="00943E1E">
              <w:t>Organisation/individual</w:t>
            </w:r>
          </w:p>
        </w:tc>
      </w:tr>
      <w:tr w:rsidR="00661C3B" w:rsidRPr="00A31657" w14:paraId="242B4869" w14:textId="77777777" w:rsidTr="00EB69B2">
        <w:tc>
          <w:tcPr>
            <w:tcW w:w="4536" w:type="dxa"/>
            <w:tcBorders>
              <w:top w:val="single" w:sz="4" w:space="0" w:color="auto"/>
            </w:tcBorders>
          </w:tcPr>
          <w:p w14:paraId="19A010A0" w14:textId="77777777" w:rsidR="00661C3B" w:rsidRPr="00A31657" w:rsidRDefault="00661C3B" w:rsidP="00661C3B">
            <w:pPr>
              <w:pStyle w:val="TableText"/>
            </w:pPr>
            <w:r w:rsidRPr="00A31657">
              <w:t>AgForce Queensland</w:t>
            </w:r>
          </w:p>
        </w:tc>
        <w:tc>
          <w:tcPr>
            <w:tcW w:w="4534" w:type="dxa"/>
            <w:tcBorders>
              <w:top w:val="single" w:sz="4" w:space="0" w:color="auto"/>
            </w:tcBorders>
          </w:tcPr>
          <w:p w14:paraId="2CAA8133" w14:textId="77777777" w:rsidR="00661C3B" w:rsidRPr="00A31657" w:rsidRDefault="00661C3B" w:rsidP="00661C3B">
            <w:pPr>
              <w:pStyle w:val="TableText"/>
            </w:pPr>
            <w:r w:rsidRPr="00A31657">
              <w:t>PrimeSafe (Victoria)</w:t>
            </w:r>
          </w:p>
        </w:tc>
      </w:tr>
      <w:tr w:rsidR="00661C3B" w:rsidRPr="00A31657" w14:paraId="5E763122" w14:textId="77777777" w:rsidTr="001E5C05">
        <w:tc>
          <w:tcPr>
            <w:tcW w:w="4536" w:type="dxa"/>
          </w:tcPr>
          <w:p w14:paraId="2B85B78B" w14:textId="77777777" w:rsidR="00661C3B" w:rsidRPr="00A31657" w:rsidRDefault="00661C3B" w:rsidP="00661AA0">
            <w:pPr>
              <w:pStyle w:val="TableText"/>
            </w:pPr>
            <w:r w:rsidRPr="00A31657">
              <w:t xml:space="preserve">Agility Logistics </w:t>
            </w:r>
            <w:r w:rsidR="00661AA0">
              <w:t>Pty Ltd</w:t>
            </w:r>
          </w:p>
        </w:tc>
        <w:tc>
          <w:tcPr>
            <w:tcW w:w="4534" w:type="dxa"/>
          </w:tcPr>
          <w:p w14:paraId="43DF0957" w14:textId="77777777" w:rsidR="00661C3B" w:rsidRPr="00A31657" w:rsidRDefault="00661C3B" w:rsidP="00661C3B">
            <w:pPr>
              <w:pStyle w:val="TableText"/>
            </w:pPr>
            <w:r w:rsidRPr="00A31657">
              <w:t xml:space="preserve">Queensland Dairyfarmers’ Organisation </w:t>
            </w:r>
            <w:r w:rsidR="00661AA0">
              <w:t>Ltd</w:t>
            </w:r>
          </w:p>
        </w:tc>
      </w:tr>
      <w:tr w:rsidR="00661C3B" w:rsidRPr="00A31657" w14:paraId="2A9F6D6D" w14:textId="77777777" w:rsidTr="001E5C05">
        <w:tc>
          <w:tcPr>
            <w:tcW w:w="4536" w:type="dxa"/>
          </w:tcPr>
          <w:p w14:paraId="7747E015" w14:textId="77777777" w:rsidR="00661C3B" w:rsidRPr="00A31657" w:rsidRDefault="00661C3B" w:rsidP="00661AA0">
            <w:pPr>
              <w:pStyle w:val="TableText"/>
            </w:pPr>
            <w:r w:rsidRPr="00A31657">
              <w:t xml:space="preserve">Animal Health Australia </w:t>
            </w:r>
            <w:r w:rsidR="00661AA0">
              <w:t>Ltd</w:t>
            </w:r>
          </w:p>
        </w:tc>
        <w:tc>
          <w:tcPr>
            <w:tcW w:w="4534" w:type="dxa"/>
          </w:tcPr>
          <w:p w14:paraId="1B6C73B3" w14:textId="77777777" w:rsidR="00661C3B" w:rsidRPr="00A31657" w:rsidRDefault="00661C3B" w:rsidP="00661AA0">
            <w:pPr>
              <w:pStyle w:val="TableText"/>
            </w:pPr>
            <w:r w:rsidRPr="00A31657">
              <w:t xml:space="preserve">Queensland Murray-Darling Committee </w:t>
            </w:r>
            <w:r w:rsidR="00661AA0">
              <w:t>Inc.</w:t>
            </w:r>
          </w:p>
        </w:tc>
      </w:tr>
      <w:tr w:rsidR="00661C3B" w:rsidRPr="00A31657" w14:paraId="0A26FD80" w14:textId="77777777" w:rsidTr="001E5C05">
        <w:tc>
          <w:tcPr>
            <w:tcW w:w="4536" w:type="dxa"/>
          </w:tcPr>
          <w:p w14:paraId="4135A871" w14:textId="77777777" w:rsidR="00661C3B" w:rsidRPr="00A31657" w:rsidRDefault="00661C3B" w:rsidP="00661C3B">
            <w:pPr>
              <w:pStyle w:val="TableText"/>
            </w:pPr>
            <w:r w:rsidRPr="00A31657">
              <w:t xml:space="preserve">Apple and Pear Australia </w:t>
            </w:r>
            <w:r w:rsidR="00661AA0">
              <w:t>Ltd</w:t>
            </w:r>
          </w:p>
        </w:tc>
        <w:tc>
          <w:tcPr>
            <w:tcW w:w="4534" w:type="dxa"/>
          </w:tcPr>
          <w:p w14:paraId="428BD995" w14:textId="77777777" w:rsidR="00661C3B" w:rsidRPr="00A31657" w:rsidRDefault="00661C3B" w:rsidP="00661C3B">
            <w:pPr>
              <w:pStyle w:val="TableText"/>
            </w:pPr>
            <w:r w:rsidRPr="00A31657">
              <w:t xml:space="preserve">Queensland Tourism Industry Council </w:t>
            </w:r>
            <w:r w:rsidR="00661AA0">
              <w:t>Ltd</w:t>
            </w:r>
          </w:p>
        </w:tc>
      </w:tr>
      <w:tr w:rsidR="00661C3B" w:rsidRPr="00A31657" w14:paraId="24E72BA5" w14:textId="77777777" w:rsidTr="001E5C05">
        <w:tc>
          <w:tcPr>
            <w:tcW w:w="4536" w:type="dxa"/>
          </w:tcPr>
          <w:p w14:paraId="14D7DF36" w14:textId="77777777" w:rsidR="00661C3B" w:rsidRPr="00A31657" w:rsidRDefault="00661C3B" w:rsidP="00661C3B">
            <w:pPr>
              <w:pStyle w:val="TableText"/>
            </w:pPr>
            <w:r w:rsidRPr="00A31657">
              <w:t>Australian Chicken Growers Council</w:t>
            </w:r>
          </w:p>
        </w:tc>
        <w:tc>
          <w:tcPr>
            <w:tcW w:w="4534" w:type="dxa"/>
          </w:tcPr>
          <w:p w14:paraId="389AC793" w14:textId="77777777" w:rsidR="00661C3B" w:rsidRPr="00A31657" w:rsidRDefault="00661C3B" w:rsidP="00661C3B">
            <w:pPr>
              <w:pStyle w:val="TableText"/>
            </w:pPr>
            <w:r>
              <w:t>Reid Fruits</w:t>
            </w:r>
          </w:p>
        </w:tc>
      </w:tr>
      <w:tr w:rsidR="00661C3B" w:rsidRPr="00A31657" w14:paraId="6DF90730" w14:textId="77777777" w:rsidTr="001E5C05">
        <w:tc>
          <w:tcPr>
            <w:tcW w:w="4536" w:type="dxa"/>
          </w:tcPr>
          <w:p w14:paraId="5382193B" w14:textId="77777777" w:rsidR="00661C3B" w:rsidRPr="00A31657" w:rsidRDefault="00661C3B" w:rsidP="00661AA0">
            <w:pPr>
              <w:pStyle w:val="TableText"/>
            </w:pPr>
            <w:r w:rsidRPr="00A31657">
              <w:t xml:space="preserve">Australian Egg Corporation </w:t>
            </w:r>
            <w:r w:rsidR="00661AA0">
              <w:t>Ltd</w:t>
            </w:r>
          </w:p>
        </w:tc>
        <w:tc>
          <w:tcPr>
            <w:tcW w:w="4534" w:type="dxa"/>
          </w:tcPr>
          <w:p w14:paraId="410EC06E" w14:textId="77777777" w:rsidR="00661C3B" w:rsidRPr="00A31657" w:rsidRDefault="00661C3B" w:rsidP="00661C3B">
            <w:pPr>
              <w:pStyle w:val="TableText"/>
            </w:pPr>
            <w:r w:rsidRPr="00A31657">
              <w:t>Sheepmeat Council of Australia</w:t>
            </w:r>
          </w:p>
        </w:tc>
      </w:tr>
      <w:tr w:rsidR="00661C3B" w:rsidRPr="00A31657" w14:paraId="25EB98F0" w14:textId="77777777" w:rsidTr="001E5C05">
        <w:tc>
          <w:tcPr>
            <w:tcW w:w="4536" w:type="dxa"/>
          </w:tcPr>
          <w:p w14:paraId="0595A45E" w14:textId="77777777" w:rsidR="00661C3B" w:rsidRPr="00A31657" w:rsidRDefault="00661C3B" w:rsidP="00661C3B">
            <w:pPr>
              <w:pStyle w:val="TableText"/>
            </w:pPr>
            <w:r w:rsidRPr="00A31657">
              <w:t>Australian Farm Institute</w:t>
            </w:r>
          </w:p>
        </w:tc>
        <w:tc>
          <w:tcPr>
            <w:tcW w:w="4534" w:type="dxa"/>
          </w:tcPr>
          <w:p w14:paraId="58CF5B3A" w14:textId="77777777" w:rsidR="00661C3B" w:rsidRPr="00A31657" w:rsidRDefault="00661C3B" w:rsidP="00661C3B">
            <w:pPr>
              <w:pStyle w:val="TableText"/>
            </w:pPr>
            <w:r w:rsidRPr="00A31657">
              <w:t xml:space="preserve">Shipping Australia </w:t>
            </w:r>
            <w:r w:rsidR="00661AA0">
              <w:t>Ltd</w:t>
            </w:r>
          </w:p>
        </w:tc>
      </w:tr>
      <w:tr w:rsidR="00661C3B" w:rsidRPr="00A31657" w14:paraId="40303284" w14:textId="77777777" w:rsidTr="001E5C05">
        <w:tc>
          <w:tcPr>
            <w:tcW w:w="4536" w:type="dxa"/>
          </w:tcPr>
          <w:p w14:paraId="5A56F2FF" w14:textId="77777777" w:rsidR="00661C3B" w:rsidRPr="00A31657" w:rsidRDefault="00661C3B" w:rsidP="00661AA0">
            <w:pPr>
              <w:pStyle w:val="TableText"/>
            </w:pPr>
            <w:r w:rsidRPr="00A31657">
              <w:t xml:space="preserve">Australian Federation of International Forwarders </w:t>
            </w:r>
            <w:r w:rsidR="00661AA0">
              <w:t>Ltd</w:t>
            </w:r>
          </w:p>
        </w:tc>
        <w:tc>
          <w:tcPr>
            <w:tcW w:w="4534" w:type="dxa"/>
          </w:tcPr>
          <w:p w14:paraId="54B5093C" w14:textId="77777777" w:rsidR="00661C3B" w:rsidRPr="00A31657" w:rsidRDefault="00661C3B" w:rsidP="00661AA0">
            <w:pPr>
              <w:pStyle w:val="TableText"/>
            </w:pPr>
            <w:r w:rsidRPr="00A31657">
              <w:t xml:space="preserve">South Australian Freight Council </w:t>
            </w:r>
            <w:r w:rsidR="00661AA0">
              <w:t>Inc.</w:t>
            </w:r>
          </w:p>
        </w:tc>
      </w:tr>
      <w:tr w:rsidR="00661C3B" w:rsidRPr="00A31657" w14:paraId="2EE19DFE" w14:textId="77777777" w:rsidTr="001E5C05">
        <w:tc>
          <w:tcPr>
            <w:tcW w:w="4536" w:type="dxa"/>
          </w:tcPr>
          <w:p w14:paraId="140EC520" w14:textId="77777777" w:rsidR="00661C3B" w:rsidRPr="00A31657" w:rsidRDefault="00661C3B" w:rsidP="00661AA0">
            <w:pPr>
              <w:pStyle w:val="TableText"/>
            </w:pPr>
            <w:r w:rsidRPr="00A31657">
              <w:t xml:space="preserve">Australian Fodder Industry Association </w:t>
            </w:r>
            <w:r w:rsidR="00661AA0">
              <w:t>Ltd</w:t>
            </w:r>
          </w:p>
        </w:tc>
        <w:tc>
          <w:tcPr>
            <w:tcW w:w="4534" w:type="dxa"/>
          </w:tcPr>
          <w:p w14:paraId="15AD27EE" w14:textId="77777777" w:rsidR="00661C3B" w:rsidRPr="00A31657" w:rsidRDefault="00661C3B" w:rsidP="00661AA0">
            <w:pPr>
              <w:pStyle w:val="TableText"/>
            </w:pPr>
            <w:r w:rsidRPr="00A31657">
              <w:t>South Australia Oyster Growers Association Inc</w:t>
            </w:r>
            <w:r w:rsidR="00661AA0">
              <w:t>.</w:t>
            </w:r>
          </w:p>
        </w:tc>
      </w:tr>
      <w:tr w:rsidR="00661C3B" w:rsidRPr="00A31657" w14:paraId="30247144" w14:textId="77777777" w:rsidTr="001E5C05">
        <w:tc>
          <w:tcPr>
            <w:tcW w:w="4536" w:type="dxa"/>
          </w:tcPr>
          <w:p w14:paraId="2076EC85" w14:textId="77777777" w:rsidR="00661C3B" w:rsidRPr="00A31657" w:rsidRDefault="00661C3B" w:rsidP="00661C3B">
            <w:pPr>
              <w:pStyle w:val="TableText"/>
            </w:pPr>
            <w:r w:rsidRPr="00A31657">
              <w:t>Australian Forest Products Association</w:t>
            </w:r>
          </w:p>
        </w:tc>
        <w:tc>
          <w:tcPr>
            <w:tcW w:w="4534" w:type="dxa"/>
          </w:tcPr>
          <w:p w14:paraId="0D5C7C97" w14:textId="77777777" w:rsidR="00661C3B" w:rsidRPr="00A31657" w:rsidRDefault="00661C3B" w:rsidP="00661AA0">
            <w:pPr>
              <w:pStyle w:val="TableText"/>
            </w:pPr>
            <w:r w:rsidRPr="00A31657">
              <w:t xml:space="preserve">South Australia Rock Lobster Advisory Council </w:t>
            </w:r>
            <w:r w:rsidR="00661AA0">
              <w:t>Inc.</w:t>
            </w:r>
          </w:p>
        </w:tc>
      </w:tr>
      <w:tr w:rsidR="00661C3B" w:rsidRPr="00A31657" w14:paraId="7D935315" w14:textId="77777777" w:rsidTr="001E5C05">
        <w:tc>
          <w:tcPr>
            <w:tcW w:w="4536" w:type="dxa"/>
          </w:tcPr>
          <w:p w14:paraId="011A1154" w14:textId="77777777" w:rsidR="00661C3B" w:rsidRPr="00A31657" w:rsidRDefault="00661C3B" w:rsidP="00661C3B">
            <w:pPr>
              <w:pStyle w:val="TableText"/>
            </w:pPr>
            <w:r w:rsidRPr="00A31657">
              <w:t>Australian Grain Exporters Association</w:t>
            </w:r>
          </w:p>
        </w:tc>
        <w:tc>
          <w:tcPr>
            <w:tcW w:w="4534" w:type="dxa"/>
          </w:tcPr>
          <w:p w14:paraId="60176BE6" w14:textId="7DADF9EC" w:rsidR="00661C3B" w:rsidRPr="00A31657" w:rsidRDefault="00661C3B" w:rsidP="000A6F9C">
            <w:pPr>
              <w:pStyle w:val="TableText"/>
            </w:pPr>
            <w:r w:rsidRPr="00A31657">
              <w:t xml:space="preserve">Strawberry Growers Association of Western Australia </w:t>
            </w:r>
          </w:p>
        </w:tc>
      </w:tr>
      <w:tr w:rsidR="00661C3B" w:rsidRPr="00A31657" w14:paraId="463B2C77" w14:textId="77777777" w:rsidTr="001E5C05">
        <w:tc>
          <w:tcPr>
            <w:tcW w:w="4536" w:type="dxa"/>
          </w:tcPr>
          <w:p w14:paraId="17E753F4" w14:textId="77777777" w:rsidR="00661C3B" w:rsidRPr="00A31657" w:rsidRDefault="00661C3B" w:rsidP="00661C3B">
            <w:pPr>
              <w:pStyle w:val="TableText"/>
            </w:pPr>
            <w:r w:rsidRPr="00A31657">
              <w:t>Australian Horse Industry Council</w:t>
            </w:r>
          </w:p>
        </w:tc>
        <w:tc>
          <w:tcPr>
            <w:tcW w:w="4534" w:type="dxa"/>
          </w:tcPr>
          <w:p w14:paraId="208C6CEB" w14:textId="77777777" w:rsidR="00661C3B" w:rsidRPr="00A31657" w:rsidRDefault="00661C3B" w:rsidP="00661AA0">
            <w:pPr>
              <w:pStyle w:val="TableText"/>
            </w:pPr>
            <w:r w:rsidRPr="00A31657">
              <w:t xml:space="preserve">Sugar Australia </w:t>
            </w:r>
            <w:r w:rsidR="00661AA0">
              <w:t>Pty Ltd</w:t>
            </w:r>
          </w:p>
        </w:tc>
      </w:tr>
      <w:tr w:rsidR="00661C3B" w:rsidRPr="00A31657" w14:paraId="13E5050D" w14:textId="77777777" w:rsidTr="001E5C05">
        <w:tc>
          <w:tcPr>
            <w:tcW w:w="4536" w:type="dxa"/>
          </w:tcPr>
          <w:p w14:paraId="6725BACD" w14:textId="77777777" w:rsidR="00661C3B" w:rsidRPr="00A31657" w:rsidRDefault="00661C3B" w:rsidP="00661AA0">
            <w:pPr>
              <w:pStyle w:val="TableText"/>
            </w:pPr>
            <w:r w:rsidRPr="00A31657">
              <w:t xml:space="preserve">Australian Horticulture Exporters Association </w:t>
            </w:r>
            <w:r w:rsidR="00661AA0">
              <w:t>Ltd</w:t>
            </w:r>
          </w:p>
        </w:tc>
        <w:tc>
          <w:tcPr>
            <w:tcW w:w="4534" w:type="dxa"/>
          </w:tcPr>
          <w:p w14:paraId="2D7C480E" w14:textId="77777777" w:rsidR="00661C3B" w:rsidRPr="00A31657" w:rsidRDefault="00661C3B" w:rsidP="00661C3B">
            <w:pPr>
              <w:pStyle w:val="TableText"/>
            </w:pPr>
            <w:r w:rsidRPr="00A31657">
              <w:t>Tasmanian Seafood Industry Council</w:t>
            </w:r>
          </w:p>
        </w:tc>
      </w:tr>
      <w:tr w:rsidR="00661C3B" w:rsidRPr="00A31657" w14:paraId="40FB6F06" w14:textId="77777777" w:rsidTr="001E5C05">
        <w:tc>
          <w:tcPr>
            <w:tcW w:w="4536" w:type="dxa"/>
          </w:tcPr>
          <w:p w14:paraId="53FF6D88" w14:textId="77777777" w:rsidR="00661C3B" w:rsidRPr="00A31657" w:rsidRDefault="00661C3B" w:rsidP="00661C3B">
            <w:pPr>
              <w:pStyle w:val="TableText"/>
            </w:pPr>
            <w:r w:rsidRPr="00A31657">
              <w:t xml:space="preserve">Australian Local Government Association </w:t>
            </w:r>
            <w:r w:rsidR="00661AA0">
              <w:t>Ltd</w:t>
            </w:r>
          </w:p>
        </w:tc>
        <w:tc>
          <w:tcPr>
            <w:tcW w:w="4534" w:type="dxa"/>
          </w:tcPr>
          <w:p w14:paraId="0919E1E3" w14:textId="77777777" w:rsidR="00661C3B" w:rsidRPr="00A31657" w:rsidRDefault="00661C3B" w:rsidP="00661C3B">
            <w:pPr>
              <w:pStyle w:val="TableText"/>
            </w:pPr>
            <w:r w:rsidRPr="00A31657">
              <w:t xml:space="preserve">The Australian Veterinary Association </w:t>
            </w:r>
            <w:r w:rsidR="00661AA0">
              <w:t>Ltd</w:t>
            </w:r>
          </w:p>
        </w:tc>
      </w:tr>
      <w:tr w:rsidR="00661C3B" w:rsidRPr="00A31657" w14:paraId="38890C4A" w14:textId="77777777" w:rsidTr="001E5C05">
        <w:tc>
          <w:tcPr>
            <w:tcW w:w="4536" w:type="dxa"/>
          </w:tcPr>
          <w:p w14:paraId="08DEFD71" w14:textId="77777777" w:rsidR="00661C3B" w:rsidRPr="00A31657" w:rsidRDefault="00661C3B" w:rsidP="00661C3B">
            <w:pPr>
              <w:pStyle w:val="TableText"/>
            </w:pPr>
            <w:r w:rsidRPr="00A31657">
              <w:t xml:space="preserve">Australian Mango Industry Association </w:t>
            </w:r>
            <w:r w:rsidR="00661AA0">
              <w:t>Ltd</w:t>
            </w:r>
          </w:p>
        </w:tc>
        <w:tc>
          <w:tcPr>
            <w:tcW w:w="4534" w:type="dxa"/>
          </w:tcPr>
          <w:p w14:paraId="6DAD9DBB" w14:textId="77777777" w:rsidR="00661C3B" w:rsidRPr="00A31657" w:rsidRDefault="00661C3B" w:rsidP="00661C3B">
            <w:pPr>
              <w:pStyle w:val="TableText"/>
            </w:pPr>
            <w:r w:rsidRPr="00A31657">
              <w:t>The Australian Veterinary Association, Western Australian Division</w:t>
            </w:r>
          </w:p>
        </w:tc>
      </w:tr>
      <w:tr w:rsidR="00661C3B" w:rsidRPr="00A31657" w14:paraId="13796179" w14:textId="77777777" w:rsidTr="001E5C05">
        <w:tc>
          <w:tcPr>
            <w:tcW w:w="4536" w:type="dxa"/>
          </w:tcPr>
          <w:p w14:paraId="7CA9485F" w14:textId="77777777" w:rsidR="00661C3B" w:rsidRPr="00A31657" w:rsidRDefault="00661C3B" w:rsidP="00661C3B">
            <w:pPr>
              <w:pStyle w:val="TableText"/>
            </w:pPr>
            <w:r w:rsidRPr="00A31657">
              <w:t>Australian Meat Industry Council</w:t>
            </w:r>
          </w:p>
        </w:tc>
        <w:tc>
          <w:tcPr>
            <w:tcW w:w="4534" w:type="dxa"/>
          </w:tcPr>
          <w:p w14:paraId="054A6E62" w14:textId="77777777" w:rsidR="00661C3B" w:rsidRPr="00A31657" w:rsidRDefault="00661C3B" w:rsidP="00661AA0">
            <w:pPr>
              <w:pStyle w:val="TableText"/>
            </w:pPr>
            <w:r w:rsidRPr="00A31657">
              <w:t xml:space="preserve">The Commercial Egg Producers’ Association of Western Australia </w:t>
            </w:r>
            <w:r w:rsidR="00661AA0">
              <w:t>Inc.</w:t>
            </w:r>
          </w:p>
        </w:tc>
      </w:tr>
      <w:tr w:rsidR="00661C3B" w:rsidRPr="00A31657" w14:paraId="5202AFB3" w14:textId="77777777" w:rsidTr="001E5C05">
        <w:tc>
          <w:tcPr>
            <w:tcW w:w="4536" w:type="dxa"/>
          </w:tcPr>
          <w:p w14:paraId="329D1774" w14:textId="642E5027" w:rsidR="00661C3B" w:rsidRPr="00A31657" w:rsidRDefault="00661C3B" w:rsidP="001E5C05">
            <w:pPr>
              <w:pStyle w:val="TableText"/>
            </w:pPr>
            <w:r w:rsidRPr="00A31657">
              <w:t xml:space="preserve">Australian Nurserymen’s Fruit Improvement Company </w:t>
            </w:r>
          </w:p>
        </w:tc>
        <w:tc>
          <w:tcPr>
            <w:tcW w:w="4534" w:type="dxa"/>
          </w:tcPr>
          <w:p w14:paraId="4F999555" w14:textId="06F44601" w:rsidR="00661C3B" w:rsidRPr="00A31657" w:rsidRDefault="00661C3B" w:rsidP="001E5C05">
            <w:pPr>
              <w:pStyle w:val="TableText"/>
            </w:pPr>
            <w:r w:rsidRPr="00A31657">
              <w:t xml:space="preserve">The Northern Territory Livestock Exporters Association </w:t>
            </w:r>
          </w:p>
        </w:tc>
      </w:tr>
      <w:tr w:rsidR="00661C3B" w:rsidRPr="00A31657" w14:paraId="3B850C80" w14:textId="77777777" w:rsidTr="001E5C05">
        <w:tc>
          <w:tcPr>
            <w:tcW w:w="4536" w:type="dxa"/>
          </w:tcPr>
          <w:p w14:paraId="4C1B4D5A" w14:textId="77777777" w:rsidR="00661C3B" w:rsidRPr="00A31657" w:rsidRDefault="00661C3B" w:rsidP="00661AA0">
            <w:pPr>
              <w:pStyle w:val="TableText"/>
            </w:pPr>
            <w:r w:rsidRPr="00A31657">
              <w:t xml:space="preserve">Australian Prawn Farmers Association </w:t>
            </w:r>
            <w:r w:rsidR="00661AA0">
              <w:t>Inc.</w:t>
            </w:r>
          </w:p>
        </w:tc>
        <w:tc>
          <w:tcPr>
            <w:tcW w:w="4534" w:type="dxa"/>
          </w:tcPr>
          <w:p w14:paraId="4E73620B" w14:textId="77777777" w:rsidR="00661C3B" w:rsidRPr="00A31657" w:rsidRDefault="00661C3B" w:rsidP="00661C3B">
            <w:pPr>
              <w:pStyle w:val="TableText"/>
            </w:pPr>
            <w:r w:rsidRPr="00A31657">
              <w:t xml:space="preserve">The Tasmanian Salmonid Growers Association </w:t>
            </w:r>
            <w:r w:rsidR="00661AA0">
              <w:t>Ltd</w:t>
            </w:r>
          </w:p>
        </w:tc>
      </w:tr>
      <w:tr w:rsidR="00661C3B" w:rsidRPr="00A31657" w14:paraId="044828C4" w14:textId="77777777" w:rsidTr="001E5C05">
        <w:tc>
          <w:tcPr>
            <w:tcW w:w="4536" w:type="dxa"/>
          </w:tcPr>
          <w:p w14:paraId="7A3D4F6E" w14:textId="77777777" w:rsidR="00661C3B" w:rsidRPr="00A31657" w:rsidRDefault="00661C3B" w:rsidP="00661AA0">
            <w:pPr>
              <w:pStyle w:val="TableText"/>
            </w:pPr>
            <w:r w:rsidRPr="00A31657">
              <w:t xml:space="preserve">Australian Wool Innovation </w:t>
            </w:r>
            <w:r w:rsidR="00661AA0">
              <w:t>Ltd</w:t>
            </w:r>
          </w:p>
        </w:tc>
        <w:tc>
          <w:tcPr>
            <w:tcW w:w="4534" w:type="dxa"/>
          </w:tcPr>
          <w:p w14:paraId="1D1D335D" w14:textId="77777777" w:rsidR="00661C3B" w:rsidRPr="00A31657" w:rsidRDefault="00661C3B" w:rsidP="00661C3B">
            <w:pPr>
              <w:pStyle w:val="TableText"/>
            </w:pPr>
            <w:r w:rsidRPr="00A31657">
              <w:t>The University of Melbourne, Centre of Excellence for Biosecurity Risk Analysis</w:t>
            </w:r>
          </w:p>
        </w:tc>
      </w:tr>
      <w:tr w:rsidR="00661C3B" w:rsidRPr="00A31657" w14:paraId="03DD22DB" w14:textId="77777777" w:rsidTr="001E5C05">
        <w:tc>
          <w:tcPr>
            <w:tcW w:w="4536" w:type="dxa"/>
          </w:tcPr>
          <w:p w14:paraId="5F50A099" w14:textId="77777777" w:rsidR="00661C3B" w:rsidRPr="00A31657" w:rsidRDefault="00661C3B" w:rsidP="00661C3B">
            <w:pPr>
              <w:pStyle w:val="TableText"/>
            </w:pPr>
            <w:r w:rsidRPr="00A31657">
              <w:t>AUSVEG</w:t>
            </w:r>
          </w:p>
        </w:tc>
        <w:tc>
          <w:tcPr>
            <w:tcW w:w="4534" w:type="dxa"/>
          </w:tcPr>
          <w:p w14:paraId="332DECAB" w14:textId="77777777" w:rsidR="00661C3B" w:rsidRPr="00A31657" w:rsidRDefault="00661C3B" w:rsidP="00661AA0">
            <w:pPr>
              <w:pStyle w:val="TableText"/>
            </w:pPr>
            <w:r w:rsidRPr="00A31657">
              <w:t xml:space="preserve">The Western Australian Farmers Federation </w:t>
            </w:r>
            <w:r w:rsidR="00661AA0">
              <w:t>Inc.</w:t>
            </w:r>
          </w:p>
        </w:tc>
      </w:tr>
      <w:tr w:rsidR="00661C3B" w:rsidRPr="00A31657" w14:paraId="746595B2" w14:textId="77777777" w:rsidTr="001E5C05">
        <w:tc>
          <w:tcPr>
            <w:tcW w:w="4536" w:type="dxa"/>
          </w:tcPr>
          <w:p w14:paraId="558EF104" w14:textId="77777777" w:rsidR="00661C3B" w:rsidRPr="00A31657" w:rsidRDefault="00661C3B" w:rsidP="00661C3B">
            <w:pPr>
              <w:pStyle w:val="TableText"/>
            </w:pPr>
            <w:r w:rsidRPr="00A31657">
              <w:t xml:space="preserve">Avocados Australia </w:t>
            </w:r>
            <w:r w:rsidR="00661AA0">
              <w:t>Ltd</w:t>
            </w:r>
          </w:p>
        </w:tc>
        <w:tc>
          <w:tcPr>
            <w:tcW w:w="4534" w:type="dxa"/>
          </w:tcPr>
          <w:p w14:paraId="67C10EE7" w14:textId="1CBF01DF" w:rsidR="00661C3B" w:rsidRPr="00A31657" w:rsidRDefault="00661C3B" w:rsidP="001E5C05">
            <w:pPr>
              <w:pStyle w:val="TableText"/>
            </w:pPr>
            <w:r w:rsidRPr="00A31657">
              <w:t xml:space="preserve">The Western Australian Fishing Industry Council </w:t>
            </w:r>
            <w:r w:rsidR="001E5C05">
              <w:t>Inc</w:t>
            </w:r>
            <w:r w:rsidR="007A47B2">
              <w:t>.</w:t>
            </w:r>
          </w:p>
        </w:tc>
      </w:tr>
      <w:tr w:rsidR="00661C3B" w:rsidRPr="00A31657" w14:paraId="3F67C5F5" w14:textId="77777777" w:rsidTr="001E5C05">
        <w:tc>
          <w:tcPr>
            <w:tcW w:w="4536" w:type="dxa"/>
          </w:tcPr>
          <w:p w14:paraId="782CCF70" w14:textId="77777777" w:rsidR="00661C3B" w:rsidRPr="00A31657" w:rsidRDefault="00661C3B" w:rsidP="00661AA0">
            <w:pPr>
              <w:pStyle w:val="TableText"/>
            </w:pPr>
            <w:r w:rsidRPr="00A31657">
              <w:t xml:space="preserve">Balco Australia </w:t>
            </w:r>
            <w:r w:rsidR="00661AA0">
              <w:t>Pty Ltd</w:t>
            </w:r>
          </w:p>
        </w:tc>
        <w:tc>
          <w:tcPr>
            <w:tcW w:w="4534" w:type="dxa"/>
          </w:tcPr>
          <w:p w14:paraId="6A1EEC9A" w14:textId="77777777" w:rsidR="00661C3B" w:rsidRPr="00A31657" w:rsidRDefault="00661C3B" w:rsidP="00661C3B">
            <w:pPr>
              <w:pStyle w:val="TableText"/>
            </w:pPr>
            <w:r w:rsidRPr="00A31657">
              <w:t>Vegetables WA</w:t>
            </w:r>
          </w:p>
        </w:tc>
      </w:tr>
      <w:tr w:rsidR="00661C3B" w:rsidRPr="00A31657" w14:paraId="449960C4" w14:textId="77777777" w:rsidTr="001E5C05">
        <w:tc>
          <w:tcPr>
            <w:tcW w:w="4536" w:type="dxa"/>
          </w:tcPr>
          <w:p w14:paraId="0B222512" w14:textId="77777777" w:rsidR="00661C3B" w:rsidRPr="00A31657" w:rsidRDefault="00661C3B" w:rsidP="00661AA0">
            <w:pPr>
              <w:pStyle w:val="TableText"/>
            </w:pPr>
            <w:r w:rsidRPr="00A31657">
              <w:t xml:space="preserve">Barossa Grape and Wine Association </w:t>
            </w:r>
            <w:r w:rsidR="00661AA0">
              <w:t>Inc.</w:t>
            </w:r>
          </w:p>
        </w:tc>
        <w:tc>
          <w:tcPr>
            <w:tcW w:w="4534" w:type="dxa"/>
          </w:tcPr>
          <w:p w14:paraId="37F4C795" w14:textId="4E1B25DE" w:rsidR="00661C3B" w:rsidRPr="00A31657" w:rsidRDefault="00661C3B" w:rsidP="001E5C05">
            <w:pPr>
              <w:pStyle w:val="TableText"/>
            </w:pPr>
            <w:r w:rsidRPr="00A31657">
              <w:t xml:space="preserve">Vinehealth Australia </w:t>
            </w:r>
          </w:p>
        </w:tc>
      </w:tr>
      <w:tr w:rsidR="00661C3B" w:rsidRPr="00A31657" w14:paraId="3ECD26F3" w14:textId="77777777" w:rsidTr="001E5C05">
        <w:tc>
          <w:tcPr>
            <w:tcW w:w="4536" w:type="dxa"/>
          </w:tcPr>
          <w:p w14:paraId="4B221D8A" w14:textId="77777777" w:rsidR="00661C3B" w:rsidRPr="00A31657" w:rsidRDefault="00661C3B" w:rsidP="00661AA0">
            <w:pPr>
              <w:pStyle w:val="TableText"/>
            </w:pPr>
            <w:r w:rsidRPr="00A31657">
              <w:t xml:space="preserve">Beechworth Honey </w:t>
            </w:r>
            <w:r w:rsidR="00661AA0">
              <w:t>Pty Ltd</w:t>
            </w:r>
          </w:p>
        </w:tc>
        <w:tc>
          <w:tcPr>
            <w:tcW w:w="4534" w:type="dxa"/>
          </w:tcPr>
          <w:p w14:paraId="76D404E8" w14:textId="77777777" w:rsidR="00661C3B" w:rsidRPr="00A31657" w:rsidRDefault="00661C3B" w:rsidP="00661AA0">
            <w:pPr>
              <w:pStyle w:val="TableText"/>
            </w:pPr>
            <w:r w:rsidRPr="00A31657">
              <w:t xml:space="preserve">Viterra </w:t>
            </w:r>
            <w:r w:rsidR="00661AA0">
              <w:t>Pty Ltd</w:t>
            </w:r>
          </w:p>
        </w:tc>
      </w:tr>
      <w:tr w:rsidR="00661C3B" w:rsidRPr="00A31657" w14:paraId="2D095078" w14:textId="77777777" w:rsidTr="001E5C05">
        <w:tc>
          <w:tcPr>
            <w:tcW w:w="4536" w:type="dxa"/>
          </w:tcPr>
          <w:p w14:paraId="5F5C1D0E" w14:textId="77777777" w:rsidR="00661C3B" w:rsidRPr="00A31657" w:rsidRDefault="00661C3B" w:rsidP="00661C3B">
            <w:pPr>
              <w:pStyle w:val="TableText"/>
            </w:pPr>
            <w:r w:rsidRPr="00A31657">
              <w:t>Blue Ribbon Group</w:t>
            </w:r>
          </w:p>
        </w:tc>
        <w:tc>
          <w:tcPr>
            <w:tcW w:w="4534" w:type="dxa"/>
          </w:tcPr>
          <w:p w14:paraId="6BD387B0" w14:textId="77777777" w:rsidR="00661C3B" w:rsidRPr="00A31657" w:rsidRDefault="00661C3B" w:rsidP="00661AA0">
            <w:pPr>
              <w:pStyle w:val="TableText"/>
            </w:pPr>
            <w:r w:rsidRPr="00A31657">
              <w:t xml:space="preserve">Weed Society of Queensland </w:t>
            </w:r>
            <w:r w:rsidR="00661AA0">
              <w:t>Inc.</w:t>
            </w:r>
          </w:p>
        </w:tc>
      </w:tr>
      <w:tr w:rsidR="00661C3B" w:rsidRPr="00A31657" w14:paraId="69E35502" w14:textId="77777777" w:rsidTr="001E5C05">
        <w:tc>
          <w:tcPr>
            <w:tcW w:w="4536" w:type="dxa"/>
          </w:tcPr>
          <w:p w14:paraId="5960C3DD" w14:textId="77777777" w:rsidR="00661C3B" w:rsidRPr="00A31657" w:rsidRDefault="00661C3B" w:rsidP="00661C3B">
            <w:pPr>
              <w:pStyle w:val="TableText"/>
            </w:pPr>
            <w:r w:rsidRPr="00A31657">
              <w:t>Brisbane City Council</w:t>
            </w:r>
          </w:p>
        </w:tc>
        <w:tc>
          <w:tcPr>
            <w:tcW w:w="4534" w:type="dxa"/>
          </w:tcPr>
          <w:p w14:paraId="7046DEEE" w14:textId="77777777" w:rsidR="00661C3B" w:rsidRPr="00A31657" w:rsidRDefault="00661C3B" w:rsidP="00661C3B">
            <w:pPr>
              <w:pStyle w:val="TableText"/>
            </w:pPr>
            <w:r w:rsidRPr="00A31657">
              <w:t>WA Citrus</w:t>
            </w:r>
          </w:p>
        </w:tc>
      </w:tr>
      <w:tr w:rsidR="00661C3B" w:rsidRPr="00A31657" w14:paraId="20513493" w14:textId="77777777" w:rsidTr="001E5C05">
        <w:tc>
          <w:tcPr>
            <w:tcW w:w="4536" w:type="dxa"/>
          </w:tcPr>
          <w:p w14:paraId="51411401" w14:textId="77777777" w:rsidR="00661C3B" w:rsidRPr="00A31657" w:rsidRDefault="00661C3B" w:rsidP="00661C3B">
            <w:pPr>
              <w:pStyle w:val="TableText"/>
            </w:pPr>
            <w:r w:rsidRPr="00A31657">
              <w:t>Canegrowers</w:t>
            </w:r>
          </w:p>
        </w:tc>
        <w:tc>
          <w:tcPr>
            <w:tcW w:w="4534" w:type="dxa"/>
          </w:tcPr>
          <w:p w14:paraId="48A941E1" w14:textId="77777777" w:rsidR="00661C3B" w:rsidRPr="00A31657" w:rsidRDefault="00661C3B" w:rsidP="00661C3B">
            <w:pPr>
              <w:pStyle w:val="TableText"/>
            </w:pPr>
            <w:r w:rsidRPr="00A31657">
              <w:t>Western Australia Local Government Association</w:t>
            </w:r>
          </w:p>
        </w:tc>
      </w:tr>
      <w:tr w:rsidR="00661C3B" w:rsidRPr="00A31657" w14:paraId="3FFBD4B6" w14:textId="77777777" w:rsidTr="001E5C05">
        <w:tc>
          <w:tcPr>
            <w:tcW w:w="4536" w:type="dxa"/>
          </w:tcPr>
          <w:p w14:paraId="665AAB17" w14:textId="77777777" w:rsidR="00661C3B" w:rsidRPr="00A31657" w:rsidRDefault="00661C3B" w:rsidP="00661C3B">
            <w:pPr>
              <w:pStyle w:val="TableText"/>
            </w:pPr>
            <w:r w:rsidRPr="00A31657">
              <w:t>Cattle Council of Australia</w:t>
            </w:r>
          </w:p>
        </w:tc>
        <w:tc>
          <w:tcPr>
            <w:tcW w:w="4534" w:type="dxa"/>
          </w:tcPr>
          <w:p w14:paraId="3F627A55" w14:textId="77777777" w:rsidR="00661C3B" w:rsidRPr="00A31657" w:rsidRDefault="00661C3B" w:rsidP="00661AA0">
            <w:pPr>
              <w:pStyle w:val="TableText"/>
            </w:pPr>
            <w:r w:rsidRPr="00A31657">
              <w:t xml:space="preserve">Wildcatch Fisheries SA </w:t>
            </w:r>
            <w:r w:rsidR="00661AA0">
              <w:t>Inc.</w:t>
            </w:r>
          </w:p>
        </w:tc>
      </w:tr>
      <w:tr w:rsidR="00661C3B" w:rsidRPr="00A31657" w14:paraId="62F8E10E" w14:textId="77777777" w:rsidTr="001E5C05">
        <w:tc>
          <w:tcPr>
            <w:tcW w:w="4536" w:type="dxa"/>
          </w:tcPr>
          <w:p w14:paraId="3B1C2F0C" w14:textId="77777777" w:rsidR="00661C3B" w:rsidRPr="00A31657" w:rsidRDefault="00661C3B" w:rsidP="00661C3B">
            <w:pPr>
              <w:pStyle w:val="TableText"/>
            </w:pPr>
            <w:r w:rsidRPr="00A31657">
              <w:t>Charles Sturt University</w:t>
            </w:r>
          </w:p>
        </w:tc>
        <w:tc>
          <w:tcPr>
            <w:tcW w:w="4534" w:type="dxa"/>
          </w:tcPr>
          <w:p w14:paraId="4345AC89" w14:textId="77777777" w:rsidR="00661C3B" w:rsidRPr="00A31657" w:rsidRDefault="00661C3B" w:rsidP="00661AA0">
            <w:pPr>
              <w:pStyle w:val="TableText"/>
            </w:pPr>
            <w:r w:rsidRPr="00A31657">
              <w:t xml:space="preserve">Wildlife Preservation Society of Queensland </w:t>
            </w:r>
            <w:r w:rsidR="00661AA0">
              <w:t>Inc.</w:t>
            </w:r>
          </w:p>
        </w:tc>
      </w:tr>
      <w:tr w:rsidR="00661C3B" w:rsidRPr="00A31657" w14:paraId="4175D8FA" w14:textId="77777777" w:rsidTr="001E5C05">
        <w:tc>
          <w:tcPr>
            <w:tcW w:w="4536" w:type="dxa"/>
          </w:tcPr>
          <w:p w14:paraId="00DEB566" w14:textId="77777777" w:rsidR="00661C3B" w:rsidRPr="00A31657" w:rsidRDefault="00661C3B" w:rsidP="00661AA0">
            <w:pPr>
              <w:pStyle w:val="TableText"/>
            </w:pPr>
            <w:r w:rsidRPr="00A31657">
              <w:t xml:space="preserve">Coles Supermarkets Australia </w:t>
            </w:r>
            <w:r w:rsidR="00661AA0">
              <w:t>Pty Ltd</w:t>
            </w:r>
          </w:p>
        </w:tc>
        <w:tc>
          <w:tcPr>
            <w:tcW w:w="4534" w:type="dxa"/>
          </w:tcPr>
          <w:p w14:paraId="7AE1BF53" w14:textId="77777777" w:rsidR="00661C3B" w:rsidRPr="00C82614" w:rsidRDefault="00661C3B" w:rsidP="00661C3B">
            <w:pPr>
              <w:pStyle w:val="TableText"/>
            </w:pPr>
            <w:r w:rsidRPr="00A31657">
              <w:t xml:space="preserve">Woolworths </w:t>
            </w:r>
            <w:r w:rsidR="00661AA0">
              <w:t>Ltd</w:t>
            </w:r>
          </w:p>
        </w:tc>
      </w:tr>
      <w:tr w:rsidR="00661C3B" w:rsidRPr="00A31657" w14:paraId="7051A6BF" w14:textId="77777777" w:rsidTr="001E5C05">
        <w:tc>
          <w:tcPr>
            <w:tcW w:w="4536" w:type="dxa"/>
          </w:tcPr>
          <w:p w14:paraId="6111BD91" w14:textId="0BEDA62F" w:rsidR="00661C3B" w:rsidRPr="00A31657" w:rsidRDefault="001E5C05" w:rsidP="00661C3B">
            <w:pPr>
              <w:pStyle w:val="TableText"/>
            </w:pPr>
            <w:r>
              <w:t>Council of RDCs</w:t>
            </w:r>
          </w:p>
        </w:tc>
        <w:tc>
          <w:tcPr>
            <w:tcW w:w="4534" w:type="dxa"/>
          </w:tcPr>
          <w:p w14:paraId="00A26036" w14:textId="77777777" w:rsidR="00661C3B" w:rsidRPr="00D94AF8" w:rsidRDefault="00661C3B" w:rsidP="00661C3B">
            <w:pPr>
              <w:pStyle w:val="TableText"/>
              <w:rPr>
                <w:b/>
                <w:lang w:eastAsia="ja-JP"/>
              </w:rPr>
            </w:pPr>
            <w:r w:rsidRPr="00D94AF8">
              <w:rPr>
                <w:b/>
                <w:lang w:eastAsia="ja-JP"/>
              </w:rPr>
              <w:t>Government agencies</w:t>
            </w:r>
          </w:p>
        </w:tc>
      </w:tr>
      <w:tr w:rsidR="0022416E" w:rsidRPr="00A31657" w14:paraId="3CA8D365" w14:textId="77777777" w:rsidTr="001E5C05">
        <w:tc>
          <w:tcPr>
            <w:tcW w:w="4536" w:type="dxa"/>
          </w:tcPr>
          <w:p w14:paraId="0776D0E5" w14:textId="5E73232F" w:rsidR="0022416E" w:rsidRPr="00A31657" w:rsidRDefault="0022416E" w:rsidP="001E5C05">
            <w:pPr>
              <w:pStyle w:val="TableText"/>
            </w:pPr>
            <w:r w:rsidRPr="00A31657">
              <w:t>Curtin University</w:t>
            </w:r>
          </w:p>
        </w:tc>
        <w:tc>
          <w:tcPr>
            <w:tcW w:w="4534" w:type="dxa"/>
          </w:tcPr>
          <w:p w14:paraId="7438A898" w14:textId="77777777" w:rsidR="0022416E" w:rsidRPr="00D94AF8" w:rsidRDefault="0022416E" w:rsidP="001E5C05">
            <w:pPr>
              <w:pStyle w:val="TableText"/>
              <w:rPr>
                <w:i/>
                <w:lang w:eastAsia="ja-JP"/>
              </w:rPr>
            </w:pPr>
            <w:r w:rsidRPr="00D94AF8">
              <w:rPr>
                <w:i/>
                <w:lang w:eastAsia="ja-JP"/>
              </w:rPr>
              <w:t>Australian Government</w:t>
            </w:r>
          </w:p>
        </w:tc>
      </w:tr>
      <w:tr w:rsidR="0022416E" w:rsidRPr="00A31657" w14:paraId="1C564375" w14:textId="77777777" w:rsidTr="001E5C05">
        <w:tc>
          <w:tcPr>
            <w:tcW w:w="4536" w:type="dxa"/>
          </w:tcPr>
          <w:p w14:paraId="33C28D0E" w14:textId="2ECC4BA9" w:rsidR="0022416E" w:rsidRPr="00A31657" w:rsidRDefault="0022416E" w:rsidP="001E5C05">
            <w:pPr>
              <w:pStyle w:val="TableText"/>
            </w:pPr>
            <w:r w:rsidRPr="00A31657">
              <w:t xml:space="preserve">Customs Brokers and Forwarders Council of Australia </w:t>
            </w:r>
          </w:p>
        </w:tc>
        <w:tc>
          <w:tcPr>
            <w:tcW w:w="4534" w:type="dxa"/>
          </w:tcPr>
          <w:p w14:paraId="49AA10E0" w14:textId="77777777" w:rsidR="0022416E" w:rsidRPr="00D94AF8" w:rsidRDefault="0022416E" w:rsidP="001E5C05">
            <w:pPr>
              <w:pStyle w:val="TableText"/>
              <w:rPr>
                <w:lang w:eastAsia="ja-JP"/>
              </w:rPr>
            </w:pPr>
            <w:r w:rsidRPr="00D94AF8">
              <w:rPr>
                <w:lang w:eastAsia="ja-JP"/>
              </w:rPr>
              <w:t>Department of Agriculture and Water Resources</w:t>
            </w:r>
          </w:p>
        </w:tc>
      </w:tr>
      <w:tr w:rsidR="0022416E" w:rsidRPr="00A31657" w14:paraId="0F3ED1FB" w14:textId="77777777" w:rsidTr="001E5C05">
        <w:tc>
          <w:tcPr>
            <w:tcW w:w="4536" w:type="dxa"/>
          </w:tcPr>
          <w:p w14:paraId="3466B06D" w14:textId="25FE49CA" w:rsidR="0022416E" w:rsidRPr="00A31657" w:rsidRDefault="0022416E" w:rsidP="00C54625">
            <w:pPr>
              <w:pStyle w:val="TableText"/>
            </w:pPr>
            <w:r w:rsidRPr="00A31657">
              <w:t>Dairy Australia Limited and Australian Dairy Farmers</w:t>
            </w:r>
          </w:p>
        </w:tc>
        <w:tc>
          <w:tcPr>
            <w:tcW w:w="4534" w:type="dxa"/>
          </w:tcPr>
          <w:p w14:paraId="628B2607" w14:textId="77777777" w:rsidR="0022416E" w:rsidRPr="00D94AF8" w:rsidRDefault="0022416E" w:rsidP="001E5C05">
            <w:pPr>
              <w:pStyle w:val="TableText"/>
              <w:rPr>
                <w:lang w:eastAsia="ja-JP"/>
              </w:rPr>
            </w:pPr>
            <w:r w:rsidRPr="00D94AF8">
              <w:rPr>
                <w:lang w:eastAsia="ja-JP"/>
              </w:rPr>
              <w:t>Department of Foreign Affairs and Trade</w:t>
            </w:r>
          </w:p>
        </w:tc>
      </w:tr>
      <w:tr w:rsidR="0022416E" w:rsidRPr="00A31657" w14:paraId="7AD9119B" w14:textId="77777777" w:rsidTr="001E5C05">
        <w:tc>
          <w:tcPr>
            <w:tcW w:w="4536" w:type="dxa"/>
          </w:tcPr>
          <w:p w14:paraId="780A5230" w14:textId="6481D76F" w:rsidR="0022416E" w:rsidRPr="00A31657" w:rsidRDefault="0022416E" w:rsidP="001E5C05">
            <w:pPr>
              <w:pStyle w:val="TableText"/>
            </w:pPr>
            <w:r w:rsidRPr="00A31657">
              <w:t xml:space="preserve">Dairy NSW </w:t>
            </w:r>
            <w:r>
              <w:t>Ltd</w:t>
            </w:r>
          </w:p>
        </w:tc>
        <w:tc>
          <w:tcPr>
            <w:tcW w:w="4534" w:type="dxa"/>
          </w:tcPr>
          <w:p w14:paraId="3EFFEAA2" w14:textId="77777777" w:rsidR="0022416E" w:rsidRPr="00D94AF8" w:rsidRDefault="0022416E" w:rsidP="001E5C05">
            <w:pPr>
              <w:pStyle w:val="TableText"/>
              <w:rPr>
                <w:lang w:eastAsia="ja-JP"/>
              </w:rPr>
            </w:pPr>
            <w:r w:rsidRPr="00D94AF8">
              <w:rPr>
                <w:lang w:eastAsia="ja-JP"/>
              </w:rPr>
              <w:t>Department of Health</w:t>
            </w:r>
          </w:p>
        </w:tc>
      </w:tr>
      <w:tr w:rsidR="0022416E" w:rsidRPr="00A31657" w14:paraId="537682A4" w14:textId="77777777" w:rsidTr="001E5C05">
        <w:tc>
          <w:tcPr>
            <w:tcW w:w="4536" w:type="dxa"/>
          </w:tcPr>
          <w:p w14:paraId="74854F75" w14:textId="06565B7B" w:rsidR="0022416E" w:rsidRPr="00A31657" w:rsidRDefault="0022416E" w:rsidP="001E5C05">
            <w:pPr>
              <w:pStyle w:val="TableText"/>
            </w:pPr>
            <w:r w:rsidRPr="00A31657">
              <w:t>Darwin Port</w:t>
            </w:r>
          </w:p>
        </w:tc>
        <w:tc>
          <w:tcPr>
            <w:tcW w:w="4534" w:type="dxa"/>
          </w:tcPr>
          <w:p w14:paraId="394627ED" w14:textId="77777777" w:rsidR="0022416E" w:rsidRPr="00D94AF8" w:rsidRDefault="0022416E" w:rsidP="001E5C05">
            <w:pPr>
              <w:pStyle w:val="TableText"/>
              <w:rPr>
                <w:lang w:eastAsia="ja-JP"/>
              </w:rPr>
            </w:pPr>
            <w:r w:rsidRPr="00D94AF8">
              <w:rPr>
                <w:lang w:eastAsia="ja-JP"/>
              </w:rPr>
              <w:t>Department of Immigration and Border Protection</w:t>
            </w:r>
          </w:p>
        </w:tc>
      </w:tr>
      <w:tr w:rsidR="0022416E" w:rsidRPr="00A31657" w14:paraId="1B3F1742" w14:textId="77777777" w:rsidTr="001E5C05">
        <w:tc>
          <w:tcPr>
            <w:tcW w:w="4536" w:type="dxa"/>
          </w:tcPr>
          <w:p w14:paraId="047EBBBA" w14:textId="3675EC08" w:rsidR="0022416E" w:rsidRPr="00A31657" w:rsidRDefault="0022416E" w:rsidP="001E5C05">
            <w:pPr>
              <w:pStyle w:val="TableText"/>
            </w:pPr>
            <w:r w:rsidRPr="00A31657">
              <w:t>Export Council of Australia</w:t>
            </w:r>
          </w:p>
        </w:tc>
        <w:tc>
          <w:tcPr>
            <w:tcW w:w="4534" w:type="dxa"/>
          </w:tcPr>
          <w:p w14:paraId="0CF48280" w14:textId="77777777" w:rsidR="0022416E" w:rsidRPr="00D94AF8" w:rsidRDefault="0022416E" w:rsidP="001E5C05">
            <w:pPr>
              <w:pStyle w:val="TableText"/>
              <w:rPr>
                <w:lang w:eastAsia="ja-JP"/>
              </w:rPr>
            </w:pPr>
            <w:r w:rsidRPr="00D94AF8">
              <w:rPr>
                <w:lang w:eastAsia="ja-JP"/>
              </w:rPr>
              <w:t>Department of the Environment and Energy</w:t>
            </w:r>
          </w:p>
        </w:tc>
      </w:tr>
      <w:tr w:rsidR="0022416E" w:rsidRPr="00A31657" w14:paraId="050FAB44" w14:textId="77777777" w:rsidTr="001E5C05">
        <w:tc>
          <w:tcPr>
            <w:tcW w:w="4536" w:type="dxa"/>
          </w:tcPr>
          <w:p w14:paraId="66BA88AA" w14:textId="67A23E4D" w:rsidR="0022416E" w:rsidRPr="00A31657" w:rsidRDefault="0022416E" w:rsidP="001E5C05">
            <w:pPr>
              <w:pStyle w:val="TableText"/>
            </w:pPr>
            <w:r w:rsidRPr="00A31657">
              <w:t xml:space="preserve">Farm Pride Foods </w:t>
            </w:r>
            <w:r>
              <w:t>Ltd</w:t>
            </w:r>
          </w:p>
        </w:tc>
        <w:tc>
          <w:tcPr>
            <w:tcW w:w="4534" w:type="dxa"/>
          </w:tcPr>
          <w:p w14:paraId="1D19E26A" w14:textId="2813253E" w:rsidR="0022416E" w:rsidRPr="00D94AF8" w:rsidRDefault="0022416E" w:rsidP="001E5C05">
            <w:pPr>
              <w:pStyle w:val="TableText"/>
              <w:rPr>
                <w:lang w:eastAsia="ja-JP"/>
              </w:rPr>
            </w:pPr>
            <w:r>
              <w:rPr>
                <w:lang w:eastAsia="ja-JP"/>
              </w:rPr>
              <w:t>Emergency Management Australia</w:t>
            </w:r>
          </w:p>
        </w:tc>
      </w:tr>
      <w:tr w:rsidR="0022416E" w:rsidRPr="00A31657" w14:paraId="75491EB3" w14:textId="77777777" w:rsidTr="001E5C05">
        <w:tc>
          <w:tcPr>
            <w:tcW w:w="4536" w:type="dxa"/>
          </w:tcPr>
          <w:p w14:paraId="53C86E23" w14:textId="7F3524EE" w:rsidR="0022416E" w:rsidRPr="00A31657" w:rsidRDefault="0022416E" w:rsidP="001E5C05">
            <w:pPr>
              <w:pStyle w:val="TableText"/>
            </w:pPr>
            <w:r w:rsidRPr="00A31657">
              <w:t xml:space="preserve">Ferguson Australia </w:t>
            </w:r>
            <w:r>
              <w:t>Pty Ltd.</w:t>
            </w:r>
          </w:p>
        </w:tc>
        <w:tc>
          <w:tcPr>
            <w:tcW w:w="4534" w:type="dxa"/>
          </w:tcPr>
          <w:p w14:paraId="4B361825" w14:textId="728C2DB4" w:rsidR="0022416E" w:rsidRPr="00D94AF8" w:rsidRDefault="0022416E" w:rsidP="001E5C05">
            <w:pPr>
              <w:pStyle w:val="TableText"/>
              <w:rPr>
                <w:lang w:eastAsia="ja-JP"/>
              </w:rPr>
            </w:pPr>
            <w:r>
              <w:rPr>
                <w:lang w:eastAsia="ja-JP"/>
              </w:rPr>
              <w:t>Inspector General of Biosecurity*</w:t>
            </w:r>
          </w:p>
        </w:tc>
      </w:tr>
      <w:tr w:rsidR="0022416E" w:rsidRPr="00A31657" w14:paraId="238A5AB6" w14:textId="77777777" w:rsidTr="001E5C05">
        <w:tc>
          <w:tcPr>
            <w:tcW w:w="4536" w:type="dxa"/>
          </w:tcPr>
          <w:p w14:paraId="5E6BFFA3" w14:textId="2DC4CCDA" w:rsidR="0022416E" w:rsidRPr="00A31657" w:rsidRDefault="0022416E" w:rsidP="001E5C05">
            <w:pPr>
              <w:pStyle w:val="TableText"/>
            </w:pPr>
            <w:r w:rsidRPr="00A31657">
              <w:t xml:space="preserve">Fruit Growers Tasmania </w:t>
            </w:r>
            <w:r>
              <w:t>Inc.</w:t>
            </w:r>
          </w:p>
        </w:tc>
        <w:tc>
          <w:tcPr>
            <w:tcW w:w="4534" w:type="dxa"/>
          </w:tcPr>
          <w:p w14:paraId="703B070C" w14:textId="2E8012CD" w:rsidR="0022416E" w:rsidRPr="0022416E" w:rsidRDefault="0022416E" w:rsidP="001E5C05">
            <w:pPr>
              <w:pStyle w:val="TableText"/>
              <w:rPr>
                <w:lang w:eastAsia="ja-JP"/>
              </w:rPr>
            </w:pPr>
            <w:r w:rsidRPr="00A31657">
              <w:t>CSIRO</w:t>
            </w:r>
            <w:r w:rsidR="005253DB">
              <w:t>*</w:t>
            </w:r>
          </w:p>
        </w:tc>
      </w:tr>
      <w:tr w:rsidR="0022416E" w:rsidRPr="00A31657" w14:paraId="00C503D3" w14:textId="77777777" w:rsidTr="001E5C05">
        <w:tc>
          <w:tcPr>
            <w:tcW w:w="4536" w:type="dxa"/>
          </w:tcPr>
          <w:p w14:paraId="0DC6BBA2" w14:textId="2673761D" w:rsidR="0022416E" w:rsidRPr="00A31657" w:rsidRDefault="0022416E" w:rsidP="001E5C05">
            <w:pPr>
              <w:pStyle w:val="TableText"/>
            </w:pPr>
            <w:r w:rsidRPr="00A31657">
              <w:t xml:space="preserve">Fruit West Co-operative </w:t>
            </w:r>
            <w:r>
              <w:t>Ltd</w:t>
            </w:r>
          </w:p>
        </w:tc>
        <w:tc>
          <w:tcPr>
            <w:tcW w:w="4534" w:type="dxa"/>
          </w:tcPr>
          <w:p w14:paraId="1C18DC38" w14:textId="1D9028C3" w:rsidR="0022416E" w:rsidRPr="00D94AF8" w:rsidRDefault="0022416E" w:rsidP="001E5C05">
            <w:pPr>
              <w:pStyle w:val="TableText"/>
              <w:rPr>
                <w:lang w:eastAsia="ja-JP"/>
              </w:rPr>
            </w:pPr>
            <w:r w:rsidRPr="00D94AF8">
              <w:rPr>
                <w:i/>
                <w:lang w:eastAsia="ja-JP"/>
              </w:rPr>
              <w:t>New South Wales Government</w:t>
            </w:r>
          </w:p>
        </w:tc>
      </w:tr>
      <w:tr w:rsidR="0022416E" w:rsidRPr="00A31657" w14:paraId="43186A34" w14:textId="77777777" w:rsidTr="001E5C05">
        <w:tc>
          <w:tcPr>
            <w:tcW w:w="4536" w:type="dxa"/>
          </w:tcPr>
          <w:p w14:paraId="213060F7" w14:textId="72C07042" w:rsidR="0022416E" w:rsidRPr="00A31657" w:rsidRDefault="0022416E" w:rsidP="001E5C05">
            <w:pPr>
              <w:pStyle w:val="TableText"/>
            </w:pPr>
            <w:r w:rsidRPr="00A31657">
              <w:t>Grain Growers Limited</w:t>
            </w:r>
          </w:p>
        </w:tc>
        <w:tc>
          <w:tcPr>
            <w:tcW w:w="4534" w:type="dxa"/>
          </w:tcPr>
          <w:p w14:paraId="580496C2" w14:textId="2E4F7662" w:rsidR="0022416E" w:rsidRPr="00D94AF8" w:rsidRDefault="0022416E" w:rsidP="001E5C05">
            <w:pPr>
              <w:pStyle w:val="TableText"/>
              <w:rPr>
                <w:lang w:eastAsia="ja-JP"/>
              </w:rPr>
            </w:pPr>
            <w:r w:rsidRPr="00D94AF8">
              <w:rPr>
                <w:lang w:eastAsia="ja-JP"/>
              </w:rPr>
              <w:t>Department of Premier and Cabinet</w:t>
            </w:r>
          </w:p>
        </w:tc>
      </w:tr>
      <w:tr w:rsidR="0022416E" w:rsidRPr="00A31657" w14:paraId="2963E9EF" w14:textId="77777777" w:rsidTr="001E5C05">
        <w:tc>
          <w:tcPr>
            <w:tcW w:w="4536" w:type="dxa"/>
          </w:tcPr>
          <w:p w14:paraId="1AAF2742" w14:textId="0FF9A905" w:rsidR="0022416E" w:rsidRPr="00A31657" w:rsidRDefault="0022416E" w:rsidP="001E5C05">
            <w:pPr>
              <w:pStyle w:val="TableText"/>
            </w:pPr>
            <w:r w:rsidRPr="00A31657">
              <w:t xml:space="preserve">Grain Industry Association of Western Australia </w:t>
            </w:r>
            <w:r>
              <w:t>Inc.</w:t>
            </w:r>
          </w:p>
        </w:tc>
        <w:tc>
          <w:tcPr>
            <w:tcW w:w="4534" w:type="dxa"/>
          </w:tcPr>
          <w:p w14:paraId="4C81C4B3" w14:textId="196C5D71" w:rsidR="0022416E" w:rsidRPr="00D94AF8" w:rsidRDefault="0022416E" w:rsidP="001E5C05">
            <w:pPr>
              <w:pStyle w:val="TableText"/>
              <w:rPr>
                <w:lang w:eastAsia="ja-JP"/>
              </w:rPr>
            </w:pPr>
            <w:r w:rsidRPr="00D94AF8">
              <w:rPr>
                <w:lang w:eastAsia="ja-JP"/>
              </w:rPr>
              <w:t>Department of Primary Industries</w:t>
            </w:r>
          </w:p>
        </w:tc>
      </w:tr>
      <w:tr w:rsidR="0022416E" w:rsidRPr="00A31657" w14:paraId="7AD9F89E" w14:textId="77777777" w:rsidTr="001E5C05">
        <w:tc>
          <w:tcPr>
            <w:tcW w:w="4536" w:type="dxa"/>
          </w:tcPr>
          <w:p w14:paraId="791246AB" w14:textId="60EEB164" w:rsidR="0022416E" w:rsidRPr="00A31657" w:rsidRDefault="0022416E" w:rsidP="001E5C05">
            <w:pPr>
              <w:pStyle w:val="TableText"/>
            </w:pPr>
            <w:r w:rsidRPr="00A31657">
              <w:t>Grains Research and Development Corporation</w:t>
            </w:r>
          </w:p>
        </w:tc>
        <w:tc>
          <w:tcPr>
            <w:tcW w:w="4534" w:type="dxa"/>
          </w:tcPr>
          <w:p w14:paraId="4D2E0DF3" w14:textId="38BC9D07" w:rsidR="0022416E" w:rsidRPr="00D94AF8" w:rsidRDefault="0022416E" w:rsidP="00C47A9A">
            <w:pPr>
              <w:pStyle w:val="TableText"/>
              <w:rPr>
                <w:lang w:eastAsia="ja-JP"/>
              </w:rPr>
            </w:pPr>
            <w:r w:rsidRPr="00D94AF8">
              <w:rPr>
                <w:lang w:eastAsia="ja-JP"/>
              </w:rPr>
              <w:t>Office of Environment and Heritage</w:t>
            </w:r>
          </w:p>
        </w:tc>
      </w:tr>
      <w:tr w:rsidR="0022416E" w:rsidRPr="00A31657" w14:paraId="44FB42D8" w14:textId="77777777" w:rsidTr="001E5C05">
        <w:tc>
          <w:tcPr>
            <w:tcW w:w="4536" w:type="dxa"/>
          </w:tcPr>
          <w:p w14:paraId="22BBE974" w14:textId="7D038C82" w:rsidR="0022416E" w:rsidRPr="00A31657" w:rsidRDefault="0022416E" w:rsidP="001E5C05">
            <w:pPr>
              <w:pStyle w:val="TableText"/>
            </w:pPr>
            <w:r w:rsidRPr="00A31657">
              <w:t xml:space="preserve">Grains Industry Market Access Forum </w:t>
            </w:r>
            <w:r>
              <w:t>Ltd</w:t>
            </w:r>
          </w:p>
        </w:tc>
        <w:tc>
          <w:tcPr>
            <w:tcW w:w="4534" w:type="dxa"/>
          </w:tcPr>
          <w:p w14:paraId="1DF7C2DC" w14:textId="6F82C64E" w:rsidR="0022416E" w:rsidRPr="00D94AF8" w:rsidRDefault="0022416E" w:rsidP="00C47A9A">
            <w:pPr>
              <w:pStyle w:val="TableText"/>
              <w:rPr>
                <w:lang w:eastAsia="ja-JP"/>
              </w:rPr>
            </w:pPr>
            <w:r w:rsidRPr="00D94AF8">
              <w:rPr>
                <w:lang w:eastAsia="ja-JP"/>
              </w:rPr>
              <w:t>Natural Resources Commission*</w:t>
            </w:r>
          </w:p>
        </w:tc>
      </w:tr>
      <w:tr w:rsidR="0022416E" w:rsidRPr="00A31657" w14:paraId="4C0B90C3" w14:textId="77777777" w:rsidTr="001E5C05">
        <w:tc>
          <w:tcPr>
            <w:tcW w:w="4536" w:type="dxa"/>
          </w:tcPr>
          <w:p w14:paraId="1723C155" w14:textId="02176B4C" w:rsidR="0022416E" w:rsidRPr="00A31657" w:rsidRDefault="0022416E" w:rsidP="001E5C05">
            <w:pPr>
              <w:pStyle w:val="TableText"/>
            </w:pPr>
            <w:r w:rsidRPr="00A31657">
              <w:t>Growcom Australia</w:t>
            </w:r>
          </w:p>
        </w:tc>
        <w:tc>
          <w:tcPr>
            <w:tcW w:w="4534" w:type="dxa"/>
          </w:tcPr>
          <w:p w14:paraId="51BC9E23" w14:textId="6D8E4E7C" w:rsidR="0022416E" w:rsidRPr="00D94AF8" w:rsidRDefault="0022416E" w:rsidP="001E5C05">
            <w:pPr>
              <w:pStyle w:val="TableText"/>
              <w:rPr>
                <w:i/>
                <w:lang w:eastAsia="ja-JP"/>
              </w:rPr>
            </w:pPr>
            <w:r>
              <w:rPr>
                <w:lang w:eastAsia="ja-JP"/>
              </w:rPr>
              <w:t>New South Wales Treasury</w:t>
            </w:r>
          </w:p>
        </w:tc>
      </w:tr>
      <w:tr w:rsidR="0022416E" w:rsidRPr="00A31657" w14:paraId="65BFC5A5" w14:textId="77777777" w:rsidTr="001E5C05">
        <w:tc>
          <w:tcPr>
            <w:tcW w:w="4536" w:type="dxa"/>
          </w:tcPr>
          <w:p w14:paraId="72BD5FD4" w14:textId="4B710696" w:rsidR="0022416E" w:rsidRPr="00A31657" w:rsidRDefault="0022416E" w:rsidP="001E5C05">
            <w:pPr>
              <w:pStyle w:val="TableText"/>
            </w:pPr>
            <w:r w:rsidRPr="00A31657">
              <w:t xml:space="preserve">Hills Orchard Improvement Group </w:t>
            </w:r>
            <w:r>
              <w:t>Inc.</w:t>
            </w:r>
          </w:p>
        </w:tc>
        <w:tc>
          <w:tcPr>
            <w:tcW w:w="4534" w:type="dxa"/>
          </w:tcPr>
          <w:p w14:paraId="661243CC" w14:textId="6B6C2E84" w:rsidR="0022416E" w:rsidRPr="00D94AF8" w:rsidRDefault="0022416E" w:rsidP="001E5C05">
            <w:pPr>
              <w:pStyle w:val="TableText"/>
              <w:rPr>
                <w:b/>
                <w:i/>
                <w:lang w:eastAsia="ja-JP"/>
              </w:rPr>
            </w:pPr>
            <w:r w:rsidRPr="00D94AF8">
              <w:rPr>
                <w:i/>
                <w:lang w:eastAsia="ja-JP"/>
              </w:rPr>
              <w:t>Victorian Government</w:t>
            </w:r>
          </w:p>
        </w:tc>
      </w:tr>
      <w:tr w:rsidR="0022416E" w:rsidRPr="00A31657" w14:paraId="2C3E29A6" w14:textId="77777777" w:rsidTr="001E5C05">
        <w:tc>
          <w:tcPr>
            <w:tcW w:w="4536" w:type="dxa"/>
          </w:tcPr>
          <w:p w14:paraId="090E314C" w14:textId="5D05C360" w:rsidR="0022416E" w:rsidRPr="00A31657" w:rsidRDefault="0022416E" w:rsidP="001E5C05">
            <w:pPr>
              <w:pStyle w:val="TableText"/>
            </w:pPr>
            <w:r w:rsidRPr="00A31657">
              <w:t>HortEx</w:t>
            </w:r>
          </w:p>
        </w:tc>
        <w:tc>
          <w:tcPr>
            <w:tcW w:w="4534" w:type="dxa"/>
          </w:tcPr>
          <w:p w14:paraId="0085E8BC" w14:textId="5880D9A8" w:rsidR="0022416E" w:rsidRPr="00D94AF8" w:rsidRDefault="0022416E" w:rsidP="001E5C05">
            <w:pPr>
              <w:pStyle w:val="TableText"/>
              <w:rPr>
                <w:lang w:eastAsia="ja-JP"/>
              </w:rPr>
            </w:pPr>
            <w:r w:rsidRPr="00D94AF8">
              <w:rPr>
                <w:lang w:eastAsia="ja-JP"/>
              </w:rPr>
              <w:t>Department of Economic Development, Jobs, Transport and Resources</w:t>
            </w:r>
          </w:p>
        </w:tc>
      </w:tr>
      <w:tr w:rsidR="0022416E" w:rsidRPr="00A31657" w14:paraId="26D5C3A6" w14:textId="77777777" w:rsidTr="001E5C05">
        <w:tc>
          <w:tcPr>
            <w:tcW w:w="4536" w:type="dxa"/>
          </w:tcPr>
          <w:p w14:paraId="67D0855E" w14:textId="4A6BB75F" w:rsidR="0022416E" w:rsidRPr="00A31657" w:rsidRDefault="0022416E" w:rsidP="001E5C05">
            <w:pPr>
              <w:pStyle w:val="TableText"/>
            </w:pPr>
            <w:r w:rsidRPr="00A31657">
              <w:t xml:space="preserve">Humpty Doo Barramundi </w:t>
            </w:r>
            <w:r>
              <w:t>Pty Ltd</w:t>
            </w:r>
          </w:p>
        </w:tc>
        <w:tc>
          <w:tcPr>
            <w:tcW w:w="4534" w:type="dxa"/>
          </w:tcPr>
          <w:p w14:paraId="4599581A" w14:textId="25273ECF" w:rsidR="0022416E" w:rsidRPr="00D94AF8" w:rsidRDefault="0022416E" w:rsidP="001E5C05">
            <w:pPr>
              <w:pStyle w:val="TableText"/>
              <w:rPr>
                <w:lang w:eastAsia="ja-JP"/>
              </w:rPr>
            </w:pPr>
            <w:r w:rsidRPr="00D94AF8">
              <w:rPr>
                <w:lang w:eastAsia="ja-JP"/>
              </w:rPr>
              <w:t>Department of Environment, Land, Water and Planning</w:t>
            </w:r>
          </w:p>
        </w:tc>
      </w:tr>
      <w:tr w:rsidR="0022416E" w:rsidRPr="00A31657" w14:paraId="2CE589A2" w14:textId="77777777" w:rsidTr="001E5C05">
        <w:tc>
          <w:tcPr>
            <w:tcW w:w="4536" w:type="dxa"/>
          </w:tcPr>
          <w:p w14:paraId="71BF87DA" w14:textId="76A97DF3" w:rsidR="0022416E" w:rsidRPr="00A31657" w:rsidRDefault="0022416E" w:rsidP="001E5C05">
            <w:pPr>
              <w:pStyle w:val="TableText"/>
            </w:pPr>
            <w:r w:rsidRPr="00A31657">
              <w:t>HVP Plantations</w:t>
            </w:r>
          </w:p>
        </w:tc>
        <w:tc>
          <w:tcPr>
            <w:tcW w:w="4534" w:type="dxa"/>
          </w:tcPr>
          <w:p w14:paraId="5BCB9A26" w14:textId="62077550" w:rsidR="0022416E" w:rsidRPr="00D94AF8" w:rsidRDefault="0022416E" w:rsidP="001E5C05">
            <w:pPr>
              <w:pStyle w:val="TableText"/>
              <w:rPr>
                <w:lang w:eastAsia="ja-JP"/>
              </w:rPr>
            </w:pPr>
            <w:r w:rsidRPr="00D94AF8">
              <w:rPr>
                <w:lang w:eastAsia="ja-JP"/>
              </w:rPr>
              <w:t>Department of Premier and Cabinet</w:t>
            </w:r>
          </w:p>
        </w:tc>
      </w:tr>
      <w:tr w:rsidR="0022416E" w:rsidRPr="00A31657" w14:paraId="5B82B857" w14:textId="77777777" w:rsidTr="001E5C05">
        <w:tc>
          <w:tcPr>
            <w:tcW w:w="4536" w:type="dxa"/>
          </w:tcPr>
          <w:p w14:paraId="7CDDDFEB" w14:textId="61F41E60" w:rsidR="0022416E" w:rsidRPr="00A31657" w:rsidRDefault="0022416E" w:rsidP="001E5C05">
            <w:pPr>
              <w:pStyle w:val="TableText"/>
            </w:pPr>
            <w:r w:rsidRPr="00A31657">
              <w:t xml:space="preserve">Ingham’s </w:t>
            </w:r>
            <w:r>
              <w:t>Pty Ltd</w:t>
            </w:r>
          </w:p>
        </w:tc>
        <w:tc>
          <w:tcPr>
            <w:tcW w:w="4534" w:type="dxa"/>
          </w:tcPr>
          <w:p w14:paraId="66E432EE" w14:textId="6BB2D6DB" w:rsidR="0022416E" w:rsidRPr="00D94AF8" w:rsidRDefault="0022416E" w:rsidP="001E5C05">
            <w:pPr>
              <w:pStyle w:val="TableText"/>
              <w:rPr>
                <w:i/>
                <w:lang w:eastAsia="ja-JP"/>
              </w:rPr>
            </w:pPr>
            <w:r w:rsidRPr="00D94AF8">
              <w:rPr>
                <w:lang w:eastAsia="ja-JP"/>
              </w:rPr>
              <w:t>Department of Treasury and Finance</w:t>
            </w:r>
          </w:p>
        </w:tc>
      </w:tr>
      <w:tr w:rsidR="0022416E" w:rsidRPr="00A31657" w14:paraId="374FC647" w14:textId="77777777" w:rsidTr="001E5C05">
        <w:tc>
          <w:tcPr>
            <w:tcW w:w="4536" w:type="dxa"/>
          </w:tcPr>
          <w:p w14:paraId="40E6C051" w14:textId="0783CD17" w:rsidR="0022416E" w:rsidRPr="00A31657" w:rsidRDefault="0022416E" w:rsidP="001E5C05">
            <w:pPr>
              <w:pStyle w:val="TableText"/>
            </w:pPr>
            <w:r w:rsidRPr="00A31657">
              <w:t>Invasive Animals Cooperative Research Centre</w:t>
            </w:r>
          </w:p>
        </w:tc>
        <w:tc>
          <w:tcPr>
            <w:tcW w:w="4534" w:type="dxa"/>
          </w:tcPr>
          <w:p w14:paraId="6F6CADAD" w14:textId="0959BC4C" w:rsidR="0022416E" w:rsidRPr="00D94AF8" w:rsidRDefault="0022416E" w:rsidP="001E5C05">
            <w:pPr>
              <w:pStyle w:val="TableText"/>
              <w:rPr>
                <w:lang w:eastAsia="ja-JP"/>
              </w:rPr>
            </w:pPr>
            <w:r w:rsidRPr="00D94AF8">
              <w:rPr>
                <w:i/>
                <w:lang w:eastAsia="ja-JP"/>
              </w:rPr>
              <w:t>Queensland Government</w:t>
            </w:r>
          </w:p>
        </w:tc>
      </w:tr>
      <w:tr w:rsidR="0022416E" w:rsidRPr="00A31657" w14:paraId="7C9F063E" w14:textId="77777777" w:rsidTr="001E5C05">
        <w:tc>
          <w:tcPr>
            <w:tcW w:w="4536" w:type="dxa"/>
          </w:tcPr>
          <w:p w14:paraId="0A765229" w14:textId="7E9F1490" w:rsidR="0022416E" w:rsidRPr="00A31657" w:rsidRDefault="0022416E" w:rsidP="001E5C05">
            <w:pPr>
              <w:pStyle w:val="TableText"/>
            </w:pPr>
            <w:r w:rsidRPr="00A31657">
              <w:t>Invasive Species Council (also representing the Nature Conservation Council of NSW)</w:t>
            </w:r>
          </w:p>
        </w:tc>
        <w:tc>
          <w:tcPr>
            <w:tcW w:w="4534" w:type="dxa"/>
          </w:tcPr>
          <w:p w14:paraId="783AA37E" w14:textId="6207EE53" w:rsidR="0022416E" w:rsidRPr="00D94AF8" w:rsidRDefault="0022416E" w:rsidP="001E5C05">
            <w:pPr>
              <w:pStyle w:val="TableText"/>
              <w:rPr>
                <w:lang w:eastAsia="ja-JP"/>
              </w:rPr>
            </w:pPr>
            <w:r w:rsidRPr="00D94AF8">
              <w:rPr>
                <w:lang w:eastAsia="ja-JP"/>
              </w:rPr>
              <w:t>Department of Agriculture and Fisheries</w:t>
            </w:r>
          </w:p>
        </w:tc>
      </w:tr>
      <w:tr w:rsidR="0022416E" w:rsidRPr="00A31657" w14:paraId="149CFFA1" w14:textId="77777777" w:rsidTr="001E5C05">
        <w:tc>
          <w:tcPr>
            <w:tcW w:w="4536" w:type="dxa"/>
          </w:tcPr>
          <w:p w14:paraId="7BBF60E5" w14:textId="6113D48B" w:rsidR="0022416E" w:rsidRPr="00A31657" w:rsidRDefault="0022416E" w:rsidP="001E5C05">
            <w:pPr>
              <w:pStyle w:val="TableText"/>
            </w:pPr>
            <w:r w:rsidRPr="00A31657">
              <w:t xml:space="preserve">Livestock Biosecurity Network </w:t>
            </w:r>
            <w:r>
              <w:t xml:space="preserve">Pty </w:t>
            </w:r>
            <w:r w:rsidRPr="00661AA0">
              <w:t>Ltd</w:t>
            </w:r>
          </w:p>
        </w:tc>
        <w:tc>
          <w:tcPr>
            <w:tcW w:w="4534" w:type="dxa"/>
          </w:tcPr>
          <w:p w14:paraId="77F53271" w14:textId="1D52B4F8" w:rsidR="0022416E" w:rsidRPr="00D94AF8" w:rsidRDefault="0022416E" w:rsidP="001E5C05">
            <w:pPr>
              <w:pStyle w:val="TableText"/>
              <w:rPr>
                <w:lang w:eastAsia="ja-JP"/>
              </w:rPr>
            </w:pPr>
            <w:r w:rsidRPr="00D94AF8">
              <w:rPr>
                <w:lang w:eastAsia="ja-JP"/>
              </w:rPr>
              <w:t>Department of the Premier and Cabinet</w:t>
            </w:r>
          </w:p>
        </w:tc>
      </w:tr>
      <w:tr w:rsidR="0022416E" w:rsidRPr="00A31657" w14:paraId="5BDFC66A" w14:textId="77777777" w:rsidTr="001E5C05">
        <w:tc>
          <w:tcPr>
            <w:tcW w:w="4536" w:type="dxa"/>
          </w:tcPr>
          <w:p w14:paraId="66079096" w14:textId="01501B9D" w:rsidR="0022416E" w:rsidRPr="00A31657" w:rsidRDefault="0022416E" w:rsidP="001E5C05">
            <w:pPr>
              <w:pStyle w:val="TableText"/>
            </w:pPr>
            <w:r w:rsidRPr="00A31657">
              <w:t xml:space="preserve">Manbullo Mangoes </w:t>
            </w:r>
          </w:p>
        </w:tc>
        <w:tc>
          <w:tcPr>
            <w:tcW w:w="4534" w:type="dxa"/>
          </w:tcPr>
          <w:p w14:paraId="4B42C72C" w14:textId="44A7A6CA" w:rsidR="0022416E" w:rsidRPr="00D94AF8" w:rsidRDefault="0022416E" w:rsidP="001E5C05">
            <w:pPr>
              <w:pStyle w:val="TableText"/>
              <w:rPr>
                <w:i/>
                <w:lang w:eastAsia="ja-JP"/>
              </w:rPr>
            </w:pPr>
            <w:r w:rsidRPr="00D94AF8">
              <w:rPr>
                <w:lang w:eastAsia="ja-JP"/>
              </w:rPr>
              <w:t>Queensland Treasury</w:t>
            </w:r>
          </w:p>
        </w:tc>
      </w:tr>
      <w:tr w:rsidR="0022416E" w:rsidRPr="00A31657" w14:paraId="1921DDAE" w14:textId="77777777" w:rsidTr="001E5C05">
        <w:tc>
          <w:tcPr>
            <w:tcW w:w="4536" w:type="dxa"/>
          </w:tcPr>
          <w:p w14:paraId="32CBABC6" w14:textId="26C86EA3" w:rsidR="0022416E" w:rsidRPr="00A31657" w:rsidRDefault="0022416E" w:rsidP="001E5C05">
            <w:pPr>
              <w:pStyle w:val="TableText"/>
            </w:pPr>
            <w:r w:rsidRPr="00A31657">
              <w:t xml:space="preserve">McCain Foods (Aust.) </w:t>
            </w:r>
            <w:r>
              <w:t>Pty Ltd</w:t>
            </w:r>
          </w:p>
        </w:tc>
        <w:tc>
          <w:tcPr>
            <w:tcW w:w="4534" w:type="dxa"/>
          </w:tcPr>
          <w:p w14:paraId="4A89878C" w14:textId="65193171" w:rsidR="0022416E" w:rsidRPr="00D94AF8" w:rsidRDefault="0022416E" w:rsidP="001E5C05">
            <w:pPr>
              <w:pStyle w:val="TableText"/>
              <w:rPr>
                <w:lang w:eastAsia="ja-JP"/>
              </w:rPr>
            </w:pPr>
            <w:r w:rsidRPr="00D94AF8">
              <w:rPr>
                <w:i/>
                <w:lang w:eastAsia="ja-JP"/>
              </w:rPr>
              <w:t>South Australian Government</w:t>
            </w:r>
          </w:p>
        </w:tc>
      </w:tr>
      <w:tr w:rsidR="0022416E" w:rsidRPr="00A31657" w14:paraId="3616FC9F" w14:textId="77777777" w:rsidTr="001E5C05">
        <w:tc>
          <w:tcPr>
            <w:tcW w:w="4536" w:type="dxa"/>
          </w:tcPr>
          <w:p w14:paraId="43420B31" w14:textId="7E001C08" w:rsidR="0022416E" w:rsidRPr="00A31657" w:rsidRDefault="0022416E" w:rsidP="001E5C05">
            <w:pPr>
              <w:pStyle w:val="TableText"/>
            </w:pPr>
            <w:r w:rsidRPr="00A31657">
              <w:t xml:space="preserve">McLaren Vale Grape, Wine and Tourism Industry Association </w:t>
            </w:r>
            <w:r>
              <w:t>Inc.</w:t>
            </w:r>
          </w:p>
        </w:tc>
        <w:tc>
          <w:tcPr>
            <w:tcW w:w="4534" w:type="dxa"/>
          </w:tcPr>
          <w:p w14:paraId="57B42C5E" w14:textId="6B5FC995" w:rsidR="0022416E" w:rsidRPr="00D94AF8" w:rsidRDefault="0022416E" w:rsidP="001E5C05">
            <w:pPr>
              <w:pStyle w:val="TableText"/>
              <w:rPr>
                <w:lang w:eastAsia="ja-JP"/>
              </w:rPr>
            </w:pPr>
            <w:r w:rsidRPr="00D94AF8">
              <w:rPr>
                <w:lang w:eastAsia="ja-JP"/>
              </w:rPr>
              <w:t>Department of Environment, Water and Natural Resources</w:t>
            </w:r>
          </w:p>
        </w:tc>
      </w:tr>
      <w:tr w:rsidR="0022416E" w:rsidRPr="00A31657" w14:paraId="06B20C8F" w14:textId="77777777" w:rsidTr="001E5C05">
        <w:tc>
          <w:tcPr>
            <w:tcW w:w="4536" w:type="dxa"/>
          </w:tcPr>
          <w:p w14:paraId="2AE63DE0" w14:textId="70CA0FB6" w:rsidR="0022416E" w:rsidRPr="00A31657" w:rsidRDefault="0022416E" w:rsidP="001E5C05">
            <w:pPr>
              <w:pStyle w:val="TableText"/>
            </w:pPr>
            <w:r w:rsidRPr="00A31657">
              <w:t xml:space="preserve">Meat and Livestock Australia </w:t>
            </w:r>
            <w:r>
              <w:t>Ltd</w:t>
            </w:r>
          </w:p>
        </w:tc>
        <w:tc>
          <w:tcPr>
            <w:tcW w:w="4534" w:type="dxa"/>
          </w:tcPr>
          <w:p w14:paraId="5DE0733E" w14:textId="2ED0885B" w:rsidR="0022416E" w:rsidRPr="00D94AF8" w:rsidRDefault="0022416E" w:rsidP="001E5C05">
            <w:pPr>
              <w:pStyle w:val="TableText"/>
              <w:rPr>
                <w:lang w:eastAsia="ja-JP"/>
              </w:rPr>
            </w:pPr>
            <w:r w:rsidRPr="00D94AF8">
              <w:rPr>
                <w:lang w:eastAsia="ja-JP"/>
              </w:rPr>
              <w:t>Department of the Premier and Cabinet</w:t>
            </w:r>
          </w:p>
        </w:tc>
      </w:tr>
      <w:tr w:rsidR="0022416E" w:rsidRPr="00A31657" w14:paraId="063D463F" w14:textId="77777777" w:rsidTr="001E5C05">
        <w:tc>
          <w:tcPr>
            <w:tcW w:w="4536" w:type="dxa"/>
          </w:tcPr>
          <w:p w14:paraId="7798872A" w14:textId="5CD21366" w:rsidR="0022416E" w:rsidRPr="00A31657" w:rsidRDefault="0022416E" w:rsidP="001E5C05">
            <w:pPr>
              <w:pStyle w:val="TableText"/>
            </w:pPr>
            <w:r w:rsidRPr="00A31657">
              <w:t xml:space="preserve">Murray Goulburn Co-operative Co. </w:t>
            </w:r>
            <w:r>
              <w:t>Ltd</w:t>
            </w:r>
          </w:p>
        </w:tc>
        <w:tc>
          <w:tcPr>
            <w:tcW w:w="4534" w:type="dxa"/>
          </w:tcPr>
          <w:p w14:paraId="31863F75" w14:textId="0E7ED292" w:rsidR="0022416E" w:rsidRPr="00D94AF8" w:rsidRDefault="0022416E" w:rsidP="001E5C05">
            <w:pPr>
              <w:pStyle w:val="TableText"/>
              <w:rPr>
                <w:lang w:eastAsia="ja-JP"/>
              </w:rPr>
            </w:pPr>
            <w:r w:rsidRPr="00D94AF8">
              <w:rPr>
                <w:lang w:eastAsia="ja-JP"/>
              </w:rPr>
              <w:t>Department of Primary Industry and Regions</w:t>
            </w:r>
          </w:p>
        </w:tc>
      </w:tr>
      <w:tr w:rsidR="0022416E" w:rsidRPr="00A31657" w14:paraId="42A818D4" w14:textId="77777777" w:rsidTr="001E5C05">
        <w:tc>
          <w:tcPr>
            <w:tcW w:w="4536" w:type="dxa"/>
          </w:tcPr>
          <w:p w14:paraId="77BC9116" w14:textId="48D87770" w:rsidR="0022416E" w:rsidRPr="00A31657" w:rsidRDefault="0022416E" w:rsidP="001E5C05">
            <w:pPr>
              <w:pStyle w:val="TableText"/>
            </w:pPr>
            <w:r w:rsidRPr="00A31657">
              <w:t xml:space="preserve">National Farmers’ Federation </w:t>
            </w:r>
            <w:r>
              <w:t>Ltd</w:t>
            </w:r>
          </w:p>
        </w:tc>
        <w:tc>
          <w:tcPr>
            <w:tcW w:w="4534" w:type="dxa"/>
          </w:tcPr>
          <w:p w14:paraId="1816EDA9" w14:textId="479EB2A3" w:rsidR="0022416E" w:rsidRPr="00D94AF8" w:rsidRDefault="0022416E" w:rsidP="001E5C05">
            <w:pPr>
              <w:pStyle w:val="TableText"/>
              <w:rPr>
                <w:i/>
                <w:lang w:eastAsia="ja-JP"/>
              </w:rPr>
            </w:pPr>
            <w:r w:rsidRPr="00D94AF8">
              <w:rPr>
                <w:lang w:eastAsia="ja-JP"/>
              </w:rPr>
              <w:t>Department of Treasury and Finance</w:t>
            </w:r>
          </w:p>
        </w:tc>
      </w:tr>
      <w:tr w:rsidR="0022416E" w:rsidRPr="00A31657" w14:paraId="7F239FE4" w14:textId="77777777" w:rsidTr="001E5C05">
        <w:tc>
          <w:tcPr>
            <w:tcW w:w="4536" w:type="dxa"/>
          </w:tcPr>
          <w:p w14:paraId="45CD4BD7" w14:textId="27BE35D4" w:rsidR="0022416E" w:rsidRPr="00A31657" w:rsidRDefault="0022416E" w:rsidP="001E5C05">
            <w:pPr>
              <w:pStyle w:val="TableText"/>
            </w:pPr>
            <w:r>
              <w:t>Natural Resource Management Regions Australia</w:t>
            </w:r>
          </w:p>
        </w:tc>
        <w:tc>
          <w:tcPr>
            <w:tcW w:w="4534" w:type="dxa"/>
          </w:tcPr>
          <w:p w14:paraId="6FE3543D" w14:textId="31E2A65F" w:rsidR="0022416E" w:rsidRPr="00D94AF8" w:rsidRDefault="0022416E" w:rsidP="001E5C05">
            <w:pPr>
              <w:pStyle w:val="TableText"/>
              <w:rPr>
                <w:lang w:eastAsia="ja-JP"/>
              </w:rPr>
            </w:pPr>
            <w:r w:rsidRPr="00D94AF8">
              <w:rPr>
                <w:i/>
                <w:lang w:eastAsia="ja-JP"/>
              </w:rPr>
              <w:t>Western Australian Government</w:t>
            </w:r>
          </w:p>
        </w:tc>
      </w:tr>
      <w:tr w:rsidR="0022416E" w:rsidRPr="00A31657" w14:paraId="35EF7A28" w14:textId="77777777" w:rsidTr="001E5C05">
        <w:tc>
          <w:tcPr>
            <w:tcW w:w="4536" w:type="dxa"/>
          </w:tcPr>
          <w:p w14:paraId="14B9F839" w14:textId="44CE778F" w:rsidR="0022416E" w:rsidRPr="00A31657" w:rsidRDefault="0022416E" w:rsidP="001E5C05">
            <w:pPr>
              <w:pStyle w:val="TableText"/>
            </w:pPr>
            <w:r w:rsidRPr="00A31657">
              <w:t xml:space="preserve">North Queensland Bulk Ports Corporation </w:t>
            </w:r>
            <w:r>
              <w:t>Ltd</w:t>
            </w:r>
          </w:p>
        </w:tc>
        <w:tc>
          <w:tcPr>
            <w:tcW w:w="4534" w:type="dxa"/>
          </w:tcPr>
          <w:p w14:paraId="3D746911" w14:textId="537279F6" w:rsidR="0022416E" w:rsidRPr="00D94AF8" w:rsidRDefault="0022416E" w:rsidP="001E5C05">
            <w:pPr>
              <w:pStyle w:val="TableText"/>
              <w:rPr>
                <w:lang w:eastAsia="ja-JP"/>
              </w:rPr>
            </w:pPr>
            <w:r w:rsidRPr="00D94AF8">
              <w:rPr>
                <w:lang w:eastAsia="ja-JP"/>
              </w:rPr>
              <w:t>Department of Agriculture and Food</w:t>
            </w:r>
          </w:p>
        </w:tc>
      </w:tr>
      <w:tr w:rsidR="0022416E" w:rsidRPr="00A31657" w14:paraId="66AF950E" w14:textId="77777777" w:rsidTr="001E5C05">
        <w:tc>
          <w:tcPr>
            <w:tcW w:w="4536" w:type="dxa"/>
          </w:tcPr>
          <w:p w14:paraId="3F2E2739" w14:textId="4C52B7B5" w:rsidR="0022416E" w:rsidRPr="00A31657" w:rsidRDefault="0022416E" w:rsidP="001E5C05">
            <w:pPr>
              <w:pStyle w:val="TableText"/>
            </w:pPr>
            <w:r w:rsidRPr="00A31657">
              <w:t xml:space="preserve">Northern Territory Beekeepers Association </w:t>
            </w:r>
            <w:r>
              <w:t>Inc.</w:t>
            </w:r>
          </w:p>
        </w:tc>
        <w:tc>
          <w:tcPr>
            <w:tcW w:w="4534" w:type="dxa"/>
          </w:tcPr>
          <w:p w14:paraId="68A3959D" w14:textId="2C8CDE8A" w:rsidR="0022416E" w:rsidRPr="00D94AF8" w:rsidRDefault="0022416E" w:rsidP="001E5C05">
            <w:pPr>
              <w:pStyle w:val="TableText"/>
              <w:rPr>
                <w:lang w:eastAsia="ja-JP"/>
              </w:rPr>
            </w:pPr>
            <w:r w:rsidRPr="00D94AF8">
              <w:rPr>
                <w:lang w:eastAsia="ja-JP"/>
              </w:rPr>
              <w:t>Department of Environment Regulation</w:t>
            </w:r>
          </w:p>
        </w:tc>
      </w:tr>
      <w:tr w:rsidR="0022416E" w:rsidRPr="00A31657" w14:paraId="4D01F8F5" w14:textId="77777777" w:rsidTr="001E5C05">
        <w:tc>
          <w:tcPr>
            <w:tcW w:w="4536" w:type="dxa"/>
          </w:tcPr>
          <w:p w14:paraId="78F61EF0" w14:textId="6E4A0149" w:rsidR="0022416E" w:rsidRPr="00A31657" w:rsidRDefault="0022416E" w:rsidP="001E5C05">
            <w:pPr>
              <w:pStyle w:val="TableText"/>
            </w:pPr>
            <w:r w:rsidRPr="00A31657">
              <w:t xml:space="preserve">Northern Territory Cattlemen’s Association </w:t>
            </w:r>
            <w:r>
              <w:t>Inc.</w:t>
            </w:r>
          </w:p>
        </w:tc>
        <w:tc>
          <w:tcPr>
            <w:tcW w:w="4534" w:type="dxa"/>
          </w:tcPr>
          <w:p w14:paraId="150DC9C3" w14:textId="0AFEF13F" w:rsidR="0022416E" w:rsidRPr="00D94AF8" w:rsidRDefault="0022416E" w:rsidP="001E5C05">
            <w:pPr>
              <w:pStyle w:val="TableText"/>
              <w:rPr>
                <w:lang w:eastAsia="ja-JP"/>
              </w:rPr>
            </w:pPr>
            <w:r w:rsidRPr="00D94AF8">
              <w:rPr>
                <w:lang w:eastAsia="ja-JP"/>
              </w:rPr>
              <w:t>Department of Fisheries</w:t>
            </w:r>
          </w:p>
        </w:tc>
      </w:tr>
      <w:tr w:rsidR="0022416E" w:rsidRPr="00A31657" w14:paraId="5DE92EDD" w14:textId="77777777" w:rsidTr="001E5C05">
        <w:tc>
          <w:tcPr>
            <w:tcW w:w="4536" w:type="dxa"/>
          </w:tcPr>
          <w:p w14:paraId="5FB8B4E8" w14:textId="78419BBF" w:rsidR="0022416E" w:rsidRPr="00A31657" w:rsidRDefault="0022416E" w:rsidP="001E5C05">
            <w:pPr>
              <w:pStyle w:val="TableText"/>
            </w:pPr>
            <w:r w:rsidRPr="00A31657">
              <w:t xml:space="preserve">Northern Territory Farmers Association </w:t>
            </w:r>
            <w:r>
              <w:t>Inc.</w:t>
            </w:r>
          </w:p>
        </w:tc>
        <w:tc>
          <w:tcPr>
            <w:tcW w:w="4534" w:type="dxa"/>
          </w:tcPr>
          <w:p w14:paraId="4C010352" w14:textId="66A416CA" w:rsidR="0022416E" w:rsidRPr="00D94AF8" w:rsidRDefault="0022416E" w:rsidP="001E5C05">
            <w:pPr>
              <w:pStyle w:val="TableText"/>
              <w:rPr>
                <w:lang w:eastAsia="ja-JP"/>
              </w:rPr>
            </w:pPr>
            <w:r w:rsidRPr="00D94AF8">
              <w:rPr>
                <w:lang w:eastAsia="ja-JP"/>
              </w:rPr>
              <w:t>Department of Parks and Wildlife</w:t>
            </w:r>
          </w:p>
        </w:tc>
      </w:tr>
      <w:tr w:rsidR="0022416E" w:rsidRPr="00A31657" w14:paraId="3A6EF8E9" w14:textId="77777777" w:rsidTr="001E5C05">
        <w:tc>
          <w:tcPr>
            <w:tcW w:w="4536" w:type="dxa"/>
          </w:tcPr>
          <w:p w14:paraId="55B7B877" w14:textId="266F0CF2" w:rsidR="0022416E" w:rsidRPr="00A31657" w:rsidRDefault="0022416E" w:rsidP="001E5C05">
            <w:pPr>
              <w:pStyle w:val="TableText"/>
            </w:pPr>
            <w:r w:rsidRPr="00A31657">
              <w:t>Northern Territory Pastoral Land Board</w:t>
            </w:r>
          </w:p>
        </w:tc>
        <w:tc>
          <w:tcPr>
            <w:tcW w:w="4534" w:type="dxa"/>
          </w:tcPr>
          <w:p w14:paraId="042C8174" w14:textId="07558F66" w:rsidR="0022416E" w:rsidRPr="00D94AF8" w:rsidRDefault="0022416E" w:rsidP="001E5C05">
            <w:pPr>
              <w:pStyle w:val="TableText"/>
              <w:rPr>
                <w:lang w:eastAsia="ja-JP"/>
              </w:rPr>
            </w:pPr>
            <w:r w:rsidRPr="00D94AF8">
              <w:rPr>
                <w:lang w:eastAsia="ja-JP"/>
              </w:rPr>
              <w:t>Department of State Development</w:t>
            </w:r>
          </w:p>
        </w:tc>
      </w:tr>
      <w:tr w:rsidR="0022416E" w:rsidRPr="00A31657" w14:paraId="1D27B9B9" w14:textId="77777777" w:rsidTr="001E5C05">
        <w:tc>
          <w:tcPr>
            <w:tcW w:w="4536" w:type="dxa"/>
          </w:tcPr>
          <w:p w14:paraId="4E4FDE35" w14:textId="62C359A3" w:rsidR="0022416E" w:rsidRPr="00A31657" w:rsidRDefault="0022416E" w:rsidP="001E5C05">
            <w:pPr>
              <w:pStyle w:val="TableText"/>
            </w:pPr>
            <w:r w:rsidRPr="00A31657">
              <w:t>Nursery and Garden Industry Victoria</w:t>
            </w:r>
          </w:p>
        </w:tc>
        <w:tc>
          <w:tcPr>
            <w:tcW w:w="4534" w:type="dxa"/>
          </w:tcPr>
          <w:p w14:paraId="690C6FBE" w14:textId="37E1982F" w:rsidR="0022416E" w:rsidRPr="00D94AF8" w:rsidRDefault="0022416E" w:rsidP="001E5C05">
            <w:pPr>
              <w:pStyle w:val="TableText"/>
              <w:rPr>
                <w:lang w:eastAsia="ja-JP"/>
              </w:rPr>
            </w:pPr>
            <w:r w:rsidRPr="00D94AF8">
              <w:rPr>
                <w:lang w:eastAsia="ja-JP"/>
              </w:rPr>
              <w:t>Department of the Premier and Cabinet</w:t>
            </w:r>
          </w:p>
        </w:tc>
      </w:tr>
      <w:tr w:rsidR="0022416E" w:rsidRPr="00A31657" w14:paraId="5CAE26A6" w14:textId="77777777" w:rsidTr="001E5C05">
        <w:tc>
          <w:tcPr>
            <w:tcW w:w="4536" w:type="dxa"/>
          </w:tcPr>
          <w:p w14:paraId="180C9EB0" w14:textId="2F24C9A0" w:rsidR="0022416E" w:rsidRPr="00A31657" w:rsidRDefault="0022416E" w:rsidP="001E5C05">
            <w:pPr>
              <w:pStyle w:val="TableText"/>
            </w:pPr>
            <w:r w:rsidRPr="00A31657">
              <w:t>Nursery and Garden Industry Western Australia</w:t>
            </w:r>
          </w:p>
        </w:tc>
        <w:tc>
          <w:tcPr>
            <w:tcW w:w="4534" w:type="dxa"/>
          </w:tcPr>
          <w:p w14:paraId="37308D6C" w14:textId="3AC80C9C" w:rsidR="0022416E" w:rsidRPr="00D94AF8" w:rsidRDefault="0022416E" w:rsidP="001E5C05">
            <w:pPr>
              <w:pStyle w:val="TableText"/>
              <w:rPr>
                <w:lang w:eastAsia="ja-JP"/>
              </w:rPr>
            </w:pPr>
            <w:r w:rsidRPr="00D94AF8">
              <w:rPr>
                <w:lang w:eastAsia="ja-JP"/>
              </w:rPr>
              <w:t>Department of Treasury</w:t>
            </w:r>
          </w:p>
        </w:tc>
      </w:tr>
      <w:tr w:rsidR="0022416E" w:rsidRPr="00A31657" w14:paraId="6BC1B3C2" w14:textId="77777777" w:rsidTr="001E5C05">
        <w:tc>
          <w:tcPr>
            <w:tcW w:w="4536" w:type="dxa"/>
          </w:tcPr>
          <w:p w14:paraId="200D93E9" w14:textId="0F4B6E83" w:rsidR="0022416E" w:rsidRPr="00A31657" w:rsidRDefault="0022416E" w:rsidP="001E5C05">
            <w:pPr>
              <w:pStyle w:val="TableText"/>
            </w:pPr>
            <w:r w:rsidRPr="00A31657">
              <w:t xml:space="preserve">OneFortyOne Plantations </w:t>
            </w:r>
            <w:r>
              <w:t>Pty Ltd</w:t>
            </w:r>
          </w:p>
        </w:tc>
        <w:tc>
          <w:tcPr>
            <w:tcW w:w="4534" w:type="dxa"/>
          </w:tcPr>
          <w:p w14:paraId="43F010CF" w14:textId="255F9F6B" w:rsidR="0022416E" w:rsidRPr="00D94AF8" w:rsidRDefault="0022416E" w:rsidP="001E5C05">
            <w:pPr>
              <w:pStyle w:val="TableText"/>
              <w:rPr>
                <w:lang w:eastAsia="ja-JP"/>
              </w:rPr>
            </w:pPr>
            <w:r w:rsidRPr="00D94AF8">
              <w:rPr>
                <w:lang w:eastAsia="ja-JP"/>
              </w:rPr>
              <w:t>Forest Products Commission</w:t>
            </w:r>
          </w:p>
        </w:tc>
      </w:tr>
      <w:tr w:rsidR="0022416E" w:rsidRPr="00A31657" w14:paraId="4EBE1371" w14:textId="77777777" w:rsidTr="001E5C05">
        <w:tc>
          <w:tcPr>
            <w:tcW w:w="4536" w:type="dxa"/>
          </w:tcPr>
          <w:p w14:paraId="0119FC29" w14:textId="09AA3C85" w:rsidR="0022416E" w:rsidRPr="00A31657" w:rsidRDefault="0022416E" w:rsidP="001E5C05">
            <w:pPr>
              <w:pStyle w:val="TableText"/>
            </w:pPr>
            <w:r w:rsidRPr="00A31657">
              <w:t>Oysters Tasmania</w:t>
            </w:r>
          </w:p>
        </w:tc>
        <w:tc>
          <w:tcPr>
            <w:tcW w:w="4534" w:type="dxa"/>
          </w:tcPr>
          <w:p w14:paraId="5CEB6CE9" w14:textId="4ADAC024" w:rsidR="0022416E" w:rsidRPr="00D94AF8" w:rsidRDefault="0022416E" w:rsidP="001E5C05">
            <w:pPr>
              <w:pStyle w:val="TableText"/>
              <w:rPr>
                <w:i/>
                <w:lang w:eastAsia="ja-JP"/>
              </w:rPr>
            </w:pPr>
            <w:r w:rsidRPr="00D94AF8">
              <w:rPr>
                <w:lang w:eastAsia="ja-JP"/>
              </w:rPr>
              <w:t>Biosecurity Council of WA*</w:t>
            </w:r>
          </w:p>
        </w:tc>
      </w:tr>
      <w:tr w:rsidR="0022416E" w:rsidRPr="00A31657" w14:paraId="30F8AAAB" w14:textId="77777777" w:rsidTr="001E5C05">
        <w:tc>
          <w:tcPr>
            <w:tcW w:w="4536" w:type="dxa"/>
          </w:tcPr>
          <w:p w14:paraId="6CFCB176" w14:textId="57A44D9F" w:rsidR="0022416E" w:rsidRPr="00A31657" w:rsidRDefault="0022416E" w:rsidP="001E5C05">
            <w:pPr>
              <w:pStyle w:val="TableText"/>
            </w:pPr>
            <w:r w:rsidRPr="00A31657">
              <w:t xml:space="preserve">Parmalat Australia </w:t>
            </w:r>
            <w:r>
              <w:t>Pty Ltd</w:t>
            </w:r>
          </w:p>
        </w:tc>
        <w:tc>
          <w:tcPr>
            <w:tcW w:w="4534" w:type="dxa"/>
          </w:tcPr>
          <w:p w14:paraId="3530ECC9" w14:textId="2B51915F" w:rsidR="0022416E" w:rsidRPr="00D94AF8" w:rsidRDefault="0022416E" w:rsidP="001E5C05">
            <w:pPr>
              <w:pStyle w:val="TableText"/>
              <w:rPr>
                <w:lang w:eastAsia="ja-JP"/>
              </w:rPr>
            </w:pPr>
            <w:r w:rsidRPr="00D94AF8">
              <w:rPr>
                <w:i/>
                <w:lang w:eastAsia="ja-JP"/>
              </w:rPr>
              <w:t>Tasmanian Government</w:t>
            </w:r>
          </w:p>
        </w:tc>
      </w:tr>
      <w:tr w:rsidR="0022416E" w:rsidRPr="00A31657" w14:paraId="391E0852" w14:textId="77777777" w:rsidTr="001E5C05">
        <w:tc>
          <w:tcPr>
            <w:tcW w:w="4536" w:type="dxa"/>
          </w:tcPr>
          <w:p w14:paraId="4EB83F2E" w14:textId="7CEC465A" w:rsidR="0022416E" w:rsidRPr="00A31657" w:rsidRDefault="0022416E" w:rsidP="001E5C05">
            <w:pPr>
              <w:pStyle w:val="TableText"/>
            </w:pPr>
            <w:r w:rsidRPr="00A31657">
              <w:t xml:space="preserve">Consolidated Pastoral Company </w:t>
            </w:r>
            <w:r>
              <w:t>Pty Ltd</w:t>
            </w:r>
          </w:p>
        </w:tc>
        <w:tc>
          <w:tcPr>
            <w:tcW w:w="4534" w:type="dxa"/>
          </w:tcPr>
          <w:p w14:paraId="0D5CB87B" w14:textId="62DA2A8A" w:rsidR="0022416E" w:rsidRPr="00D94AF8" w:rsidRDefault="0022416E" w:rsidP="001E5C05">
            <w:pPr>
              <w:pStyle w:val="TableText"/>
              <w:rPr>
                <w:i/>
                <w:lang w:eastAsia="ja-JP"/>
              </w:rPr>
            </w:pPr>
            <w:r w:rsidRPr="00D94AF8">
              <w:rPr>
                <w:lang w:eastAsia="ja-JP"/>
              </w:rPr>
              <w:t>Department of Primary Industries, Parks, Water and Environment</w:t>
            </w:r>
          </w:p>
        </w:tc>
      </w:tr>
      <w:tr w:rsidR="0022416E" w:rsidRPr="00A31657" w14:paraId="6A555CB9" w14:textId="77777777" w:rsidTr="001E5C05">
        <w:tc>
          <w:tcPr>
            <w:tcW w:w="4536" w:type="dxa"/>
          </w:tcPr>
          <w:p w14:paraId="50321020" w14:textId="1DE673A7" w:rsidR="0022416E" w:rsidRPr="00A31657" w:rsidRDefault="0022416E" w:rsidP="001E5C05">
            <w:pPr>
              <w:pStyle w:val="TableText"/>
            </w:pPr>
            <w:r w:rsidRPr="00A31657">
              <w:t xml:space="preserve">Pearl Producers Association </w:t>
            </w:r>
            <w:r>
              <w:t>Inc.</w:t>
            </w:r>
          </w:p>
        </w:tc>
        <w:tc>
          <w:tcPr>
            <w:tcW w:w="4534" w:type="dxa"/>
          </w:tcPr>
          <w:p w14:paraId="2BA16967" w14:textId="766093FC" w:rsidR="0022416E" w:rsidRPr="00D94AF8" w:rsidRDefault="0022416E" w:rsidP="001E5C05">
            <w:pPr>
              <w:pStyle w:val="TableText"/>
              <w:rPr>
                <w:lang w:eastAsia="ja-JP"/>
              </w:rPr>
            </w:pPr>
            <w:r w:rsidRPr="00D94AF8">
              <w:rPr>
                <w:i/>
                <w:lang w:eastAsia="ja-JP"/>
              </w:rPr>
              <w:t>Northern Territory Government</w:t>
            </w:r>
          </w:p>
        </w:tc>
      </w:tr>
      <w:tr w:rsidR="0022416E" w:rsidRPr="00A31657" w14:paraId="1CA0A372" w14:textId="77777777" w:rsidTr="001E5C05">
        <w:tc>
          <w:tcPr>
            <w:tcW w:w="4536" w:type="dxa"/>
          </w:tcPr>
          <w:p w14:paraId="67D309E9" w14:textId="7F2B2CB7" w:rsidR="0022416E" w:rsidRPr="00A31657" w:rsidRDefault="0022416E" w:rsidP="001E5C05">
            <w:pPr>
              <w:pStyle w:val="TableText"/>
            </w:pPr>
            <w:r w:rsidRPr="00A31657">
              <w:t>Plant Biosecurity Cooperative Research Centre</w:t>
            </w:r>
          </w:p>
        </w:tc>
        <w:tc>
          <w:tcPr>
            <w:tcW w:w="4534" w:type="dxa"/>
          </w:tcPr>
          <w:p w14:paraId="26300E48" w14:textId="716B138C" w:rsidR="0022416E" w:rsidRPr="00D94AF8" w:rsidRDefault="0022416E" w:rsidP="001E5C05">
            <w:pPr>
              <w:pStyle w:val="TableText"/>
              <w:rPr>
                <w:lang w:eastAsia="ja-JP"/>
              </w:rPr>
            </w:pPr>
            <w:r w:rsidRPr="00D94AF8">
              <w:rPr>
                <w:lang w:eastAsia="ja-JP"/>
              </w:rPr>
              <w:t>Department of Primary Industry and Fisheries</w:t>
            </w:r>
          </w:p>
        </w:tc>
      </w:tr>
      <w:tr w:rsidR="0022416E" w:rsidRPr="00A31657" w14:paraId="5712C88C" w14:textId="77777777" w:rsidTr="001E5C05">
        <w:tc>
          <w:tcPr>
            <w:tcW w:w="4536" w:type="dxa"/>
          </w:tcPr>
          <w:p w14:paraId="59AB043C" w14:textId="06E0A07F" w:rsidR="0022416E" w:rsidRPr="00A31657" w:rsidRDefault="0022416E" w:rsidP="001E5C05">
            <w:pPr>
              <w:pStyle w:val="TableText"/>
            </w:pPr>
            <w:r w:rsidRPr="00A31657">
              <w:t xml:space="preserve">Plant Health Australia </w:t>
            </w:r>
            <w:r>
              <w:t>Ltd.</w:t>
            </w:r>
          </w:p>
        </w:tc>
        <w:tc>
          <w:tcPr>
            <w:tcW w:w="4534" w:type="dxa"/>
          </w:tcPr>
          <w:p w14:paraId="10CE5801" w14:textId="4455C484" w:rsidR="0022416E" w:rsidRPr="00D94AF8" w:rsidRDefault="0022416E" w:rsidP="001E5C05">
            <w:pPr>
              <w:pStyle w:val="TableText"/>
              <w:rPr>
                <w:lang w:eastAsia="ja-JP"/>
              </w:rPr>
            </w:pPr>
            <w:r w:rsidRPr="00D94AF8">
              <w:rPr>
                <w:lang w:eastAsia="ja-JP"/>
              </w:rPr>
              <w:t>Department of Land Resource Management</w:t>
            </w:r>
          </w:p>
        </w:tc>
      </w:tr>
      <w:tr w:rsidR="0022416E" w:rsidRPr="00A31657" w14:paraId="2CB973A8" w14:textId="77777777" w:rsidTr="001E5C05">
        <w:tc>
          <w:tcPr>
            <w:tcW w:w="4536" w:type="dxa"/>
          </w:tcPr>
          <w:p w14:paraId="06A486D1" w14:textId="4A496C6B" w:rsidR="0022416E" w:rsidRPr="00A31657" w:rsidRDefault="0022416E" w:rsidP="001E5C05">
            <w:pPr>
              <w:pStyle w:val="TableText"/>
            </w:pPr>
            <w:r w:rsidRPr="00A31657">
              <w:t xml:space="preserve">Pork South Australia </w:t>
            </w:r>
            <w:r>
              <w:t>Inc.</w:t>
            </w:r>
          </w:p>
        </w:tc>
        <w:tc>
          <w:tcPr>
            <w:tcW w:w="4534" w:type="dxa"/>
          </w:tcPr>
          <w:p w14:paraId="70D4BF3D" w14:textId="000E1FEB" w:rsidR="0022416E" w:rsidRPr="00D94AF8" w:rsidRDefault="0022416E" w:rsidP="001E5C05">
            <w:pPr>
              <w:pStyle w:val="TableText"/>
              <w:rPr>
                <w:i/>
                <w:lang w:eastAsia="ja-JP"/>
              </w:rPr>
            </w:pPr>
            <w:r w:rsidRPr="00D94AF8">
              <w:rPr>
                <w:lang w:eastAsia="ja-JP"/>
              </w:rPr>
              <w:t>Northern Australia Development Office</w:t>
            </w:r>
          </w:p>
        </w:tc>
      </w:tr>
      <w:tr w:rsidR="0022416E" w:rsidRPr="00A31657" w14:paraId="4C24FAA7" w14:textId="77777777" w:rsidTr="001E5C05">
        <w:tc>
          <w:tcPr>
            <w:tcW w:w="4536" w:type="dxa"/>
          </w:tcPr>
          <w:p w14:paraId="6196CE78" w14:textId="5C712852" w:rsidR="0022416E" w:rsidRPr="00A31657" w:rsidRDefault="0022416E" w:rsidP="001E5C05">
            <w:pPr>
              <w:pStyle w:val="TableText"/>
            </w:pPr>
            <w:r w:rsidRPr="00A31657">
              <w:t>Ports Australia</w:t>
            </w:r>
          </w:p>
        </w:tc>
        <w:tc>
          <w:tcPr>
            <w:tcW w:w="4534" w:type="dxa"/>
          </w:tcPr>
          <w:p w14:paraId="31CE2317" w14:textId="3033DC0D" w:rsidR="0022416E" w:rsidRPr="00D94AF8" w:rsidRDefault="0022416E" w:rsidP="001E5C05">
            <w:pPr>
              <w:pStyle w:val="TableText"/>
              <w:rPr>
                <w:lang w:eastAsia="ja-JP"/>
              </w:rPr>
            </w:pPr>
            <w:r w:rsidRPr="00D94AF8">
              <w:rPr>
                <w:i/>
                <w:lang w:eastAsia="ja-JP"/>
              </w:rPr>
              <w:t>Australian Capital Territory Government</w:t>
            </w:r>
          </w:p>
        </w:tc>
      </w:tr>
      <w:tr w:rsidR="0022416E" w:rsidRPr="00A31657" w14:paraId="3F9FA476" w14:textId="77777777" w:rsidTr="001E5C05">
        <w:tc>
          <w:tcPr>
            <w:tcW w:w="4536" w:type="dxa"/>
          </w:tcPr>
          <w:p w14:paraId="41B0B594" w14:textId="26BF06D1" w:rsidR="0022416E" w:rsidRPr="00A31657" w:rsidRDefault="0022416E" w:rsidP="001E5C05">
            <w:pPr>
              <w:pStyle w:val="TableText"/>
            </w:pPr>
            <w:r w:rsidRPr="009D642A">
              <w:rPr>
                <w:color w:val="FFFFFF" w:themeColor="background1"/>
              </w:rPr>
              <w:t>.</w:t>
            </w:r>
          </w:p>
        </w:tc>
        <w:tc>
          <w:tcPr>
            <w:tcW w:w="4534" w:type="dxa"/>
          </w:tcPr>
          <w:p w14:paraId="66926DA1" w14:textId="77777777" w:rsidR="0022416E" w:rsidRPr="00D94AF8" w:rsidRDefault="0022416E" w:rsidP="001E5C05">
            <w:pPr>
              <w:pStyle w:val="TableText"/>
              <w:rPr>
                <w:lang w:eastAsia="ja-JP"/>
              </w:rPr>
            </w:pPr>
            <w:r w:rsidRPr="00D94AF8">
              <w:rPr>
                <w:lang w:eastAsia="ja-JP"/>
              </w:rPr>
              <w:t>Territory and Municipal Services Directorate</w:t>
            </w:r>
          </w:p>
          <w:p w14:paraId="3332D199" w14:textId="1A84B92B" w:rsidR="0022416E" w:rsidRPr="00201684" w:rsidRDefault="0022416E" w:rsidP="001E5C05">
            <w:pPr>
              <w:pStyle w:val="TableText"/>
              <w:rPr>
                <w:i/>
                <w:lang w:eastAsia="ja-JP"/>
              </w:rPr>
            </w:pPr>
            <w:r w:rsidRPr="00D94AF8">
              <w:rPr>
                <w:lang w:eastAsia="ja-JP"/>
              </w:rPr>
              <w:t>(from 1 July 2016, Environment, Planning and Sustainable Development Directorate)</w:t>
            </w:r>
          </w:p>
        </w:tc>
      </w:tr>
      <w:tr w:rsidR="0022416E" w:rsidRPr="00A31657" w14:paraId="5FC56685" w14:textId="77777777" w:rsidTr="001E5C05">
        <w:tc>
          <w:tcPr>
            <w:tcW w:w="4536" w:type="dxa"/>
          </w:tcPr>
          <w:p w14:paraId="6A752073" w14:textId="6FC99290" w:rsidR="0022416E" w:rsidRPr="00A31657" w:rsidRDefault="0022416E" w:rsidP="001E5C05">
            <w:pPr>
              <w:pStyle w:val="TableText"/>
            </w:pPr>
          </w:p>
        </w:tc>
        <w:tc>
          <w:tcPr>
            <w:tcW w:w="4534" w:type="dxa"/>
          </w:tcPr>
          <w:p w14:paraId="2A6AD6F6" w14:textId="2144209D" w:rsidR="0022416E" w:rsidRPr="00D94AF8" w:rsidRDefault="0022416E" w:rsidP="001E5C05">
            <w:pPr>
              <w:pStyle w:val="TableText"/>
              <w:rPr>
                <w:lang w:eastAsia="ja-JP"/>
              </w:rPr>
            </w:pPr>
            <w:r w:rsidRPr="00201684">
              <w:rPr>
                <w:i/>
                <w:lang w:eastAsia="ja-JP"/>
              </w:rPr>
              <w:t>New Zealand Government</w:t>
            </w:r>
          </w:p>
        </w:tc>
      </w:tr>
      <w:tr w:rsidR="0022416E" w:rsidRPr="00A31657" w14:paraId="2D74FC34" w14:textId="77777777" w:rsidTr="001E5C05">
        <w:tc>
          <w:tcPr>
            <w:tcW w:w="4536" w:type="dxa"/>
          </w:tcPr>
          <w:p w14:paraId="6BA8D94D" w14:textId="77777777" w:rsidR="0022416E" w:rsidRPr="00A31657" w:rsidRDefault="0022416E" w:rsidP="001E5C05">
            <w:pPr>
              <w:pStyle w:val="TableText"/>
            </w:pPr>
          </w:p>
        </w:tc>
        <w:tc>
          <w:tcPr>
            <w:tcW w:w="4534" w:type="dxa"/>
          </w:tcPr>
          <w:p w14:paraId="47A559DB" w14:textId="7BFC21F7" w:rsidR="0022416E" w:rsidRDefault="0022416E" w:rsidP="001E5C05">
            <w:pPr>
              <w:pStyle w:val="TableText"/>
              <w:rPr>
                <w:lang w:eastAsia="ja-JP"/>
              </w:rPr>
            </w:pPr>
            <w:r>
              <w:rPr>
                <w:lang w:eastAsia="ja-JP"/>
              </w:rPr>
              <w:t>Ministry for Primary Industries</w:t>
            </w:r>
          </w:p>
        </w:tc>
      </w:tr>
    </w:tbl>
    <w:p w14:paraId="39F72969" w14:textId="45FB09B6" w:rsidR="00280A78" w:rsidRDefault="009F6823" w:rsidP="000A6F9C">
      <w:pPr>
        <w:pStyle w:val="FigureTableNoteSource"/>
        <w:rPr>
          <w:lang w:eastAsia="ja-JP"/>
        </w:rPr>
      </w:pPr>
      <w:r>
        <w:rPr>
          <w:lang w:eastAsia="ja-JP"/>
        </w:rPr>
        <w:t xml:space="preserve">Notes: </w:t>
      </w:r>
      <w:r w:rsidR="00280A78">
        <w:rPr>
          <w:lang w:eastAsia="ja-JP"/>
        </w:rPr>
        <w:t>*</w:t>
      </w:r>
      <w:r w:rsidR="00080652">
        <w:rPr>
          <w:lang w:eastAsia="ja-JP"/>
        </w:rPr>
        <w:t xml:space="preserve">Other </w:t>
      </w:r>
      <w:r w:rsidR="00280A78">
        <w:rPr>
          <w:lang w:eastAsia="ja-JP"/>
        </w:rPr>
        <w:t>government entity.</w:t>
      </w:r>
    </w:p>
    <w:p w14:paraId="43CDC0D3" w14:textId="3FE9AA56" w:rsidR="00993ED6" w:rsidRDefault="00993ED6" w:rsidP="00210276">
      <w:pPr>
        <w:pStyle w:val="Heading2"/>
        <w:numPr>
          <w:ilvl w:val="0"/>
          <w:numId w:val="0"/>
        </w:numPr>
        <w:ind w:left="709" w:hanging="709"/>
      </w:pPr>
      <w:bookmarkStart w:id="246" w:name="_Appendix_E:_Risk"/>
      <w:bookmarkStart w:id="247" w:name="_Appendix_D:_Risk"/>
      <w:bookmarkStart w:id="248" w:name="_Toc486236074"/>
      <w:bookmarkEnd w:id="246"/>
      <w:bookmarkEnd w:id="247"/>
      <w:r>
        <w:t xml:space="preserve">Appendix </w:t>
      </w:r>
      <w:r w:rsidR="00280A78">
        <w:t>D</w:t>
      </w:r>
      <w:r>
        <w:t xml:space="preserve"> R</w:t>
      </w:r>
      <w:r w:rsidR="00E96F29">
        <w:t>isk Return Resource Allocation m</w:t>
      </w:r>
      <w:r>
        <w:t>odel</w:t>
      </w:r>
      <w:bookmarkEnd w:id="248"/>
    </w:p>
    <w:p w14:paraId="476B4262" w14:textId="2DA173BB" w:rsidR="00993ED6" w:rsidRDefault="00993ED6" w:rsidP="00993ED6">
      <w:pPr>
        <w:rPr>
          <w:lang w:eastAsia="ja-JP"/>
        </w:rPr>
      </w:pPr>
      <w:r>
        <w:rPr>
          <w:lang w:eastAsia="ja-JP"/>
        </w:rPr>
        <w:t xml:space="preserve">The Risk Return Resource Allocation (RRRA) model was developed to provide advice to the Australian Government </w:t>
      </w:r>
      <w:r w:rsidR="007A03A0">
        <w:rPr>
          <w:lang w:eastAsia="ja-JP"/>
        </w:rPr>
        <w:t>agriculture d</w:t>
      </w:r>
      <w:r>
        <w:rPr>
          <w:lang w:eastAsia="ja-JP"/>
        </w:rPr>
        <w:t>epartment on the return, in terms of reduced risk, for its investment in controls to manage biosecurity risk and improved confidence that resources are allocated to achieve the greatest risk reduction.</w:t>
      </w:r>
    </w:p>
    <w:p w14:paraId="78DE7A5F" w14:textId="242CE010" w:rsidR="00993ED6" w:rsidRDefault="00993ED6" w:rsidP="00993ED6">
      <w:pPr>
        <w:rPr>
          <w:lang w:eastAsia="ja-JP"/>
        </w:rPr>
      </w:pPr>
      <w:r>
        <w:rPr>
          <w:lang w:eastAsia="ja-JP"/>
        </w:rPr>
        <w:t xml:space="preserve">The RRRA model is composed of </w:t>
      </w:r>
      <w:r w:rsidR="00307000">
        <w:rPr>
          <w:lang w:eastAsia="ja-JP"/>
        </w:rPr>
        <w:t>a collection of interacting sub</w:t>
      </w:r>
      <w:r w:rsidR="00BA680F">
        <w:rPr>
          <w:lang w:eastAsia="ja-JP"/>
        </w:rPr>
        <w:t>-</w:t>
      </w:r>
      <w:r>
        <w:rPr>
          <w:lang w:eastAsia="ja-JP"/>
        </w:rPr>
        <w:t>models. A model for each entry pathway is used to describe the means by which an organism can enter Australia and the effect of biosecurity controls in modifying entry likelihood. Post-entry models determine the probability that esta</w:t>
      </w:r>
      <w:r w:rsidR="00BA680F">
        <w:rPr>
          <w:lang w:eastAsia="ja-JP"/>
        </w:rPr>
        <w:t>blishment and spread will occur</w:t>
      </w:r>
      <w:r>
        <w:rPr>
          <w:lang w:eastAsia="ja-JP"/>
        </w:rPr>
        <w:t xml:space="preserve"> and the consequences for agriculture and other sectors. The model combines the frequency of entry, establishment and spread of each organism with the consequence to determine risk.</w:t>
      </w:r>
    </w:p>
    <w:p w14:paraId="0A098760" w14:textId="77777777" w:rsidR="00993ED6" w:rsidRDefault="00993ED6" w:rsidP="00993ED6">
      <w:pPr>
        <w:rPr>
          <w:lang w:eastAsia="ja-JP"/>
        </w:rPr>
      </w:pPr>
      <w:r>
        <w:rPr>
          <w:lang w:eastAsia="ja-JP"/>
        </w:rPr>
        <w:t>The model considers</w:t>
      </w:r>
      <w:r w:rsidR="003F22A8">
        <w:rPr>
          <w:lang w:eastAsia="ja-JP"/>
        </w:rPr>
        <w:t xml:space="preserve"> four types of</w:t>
      </w:r>
      <w:r>
        <w:rPr>
          <w:lang w:eastAsia="ja-JP"/>
        </w:rPr>
        <w:t xml:space="preserve"> departmental investment</w:t>
      </w:r>
      <w:r w:rsidR="003F22A8">
        <w:rPr>
          <w:lang w:eastAsia="ja-JP"/>
        </w:rPr>
        <w:t xml:space="preserve"> in</w:t>
      </w:r>
      <w:r>
        <w:rPr>
          <w:lang w:eastAsia="ja-JP"/>
        </w:rPr>
        <w:t xml:space="preserve"> biosecurity controls</w:t>
      </w:r>
      <w:r w:rsidR="003F22A8">
        <w:rPr>
          <w:lang w:eastAsia="ja-JP"/>
        </w:rPr>
        <w:t>:</w:t>
      </w:r>
    </w:p>
    <w:p w14:paraId="2A9B20E7" w14:textId="14F7AFAF" w:rsidR="00993ED6" w:rsidRDefault="00BA680F" w:rsidP="00993ED6">
      <w:pPr>
        <w:pStyle w:val="ListBullet"/>
        <w:rPr>
          <w:lang w:eastAsia="ja-JP"/>
        </w:rPr>
      </w:pPr>
      <w:r>
        <w:rPr>
          <w:lang w:eastAsia="ja-JP"/>
        </w:rPr>
        <w:t>P</w:t>
      </w:r>
      <w:r w:rsidR="00993ED6">
        <w:rPr>
          <w:lang w:eastAsia="ja-JP"/>
        </w:rPr>
        <w:t>olicy development</w:t>
      </w:r>
      <w:r w:rsidR="003F22A8">
        <w:rPr>
          <w:lang w:eastAsia="ja-JP"/>
        </w:rPr>
        <w:t>,</w:t>
      </w:r>
      <w:r w:rsidR="00993ED6">
        <w:rPr>
          <w:lang w:eastAsia="ja-JP"/>
        </w:rPr>
        <w:t xml:space="preserve"> intelligence</w:t>
      </w:r>
      <w:r w:rsidR="003F22A8">
        <w:rPr>
          <w:lang w:eastAsia="ja-JP"/>
        </w:rPr>
        <w:t xml:space="preserve"> and communication</w:t>
      </w:r>
      <w:r w:rsidR="00993ED6">
        <w:rPr>
          <w:lang w:eastAsia="ja-JP"/>
        </w:rPr>
        <w:t>: including import risk analyses, policy reviews, and intelligence monitoring</w:t>
      </w:r>
      <w:r w:rsidR="003F22A8">
        <w:rPr>
          <w:lang w:eastAsia="ja-JP"/>
        </w:rPr>
        <w:t xml:space="preserve"> and</w:t>
      </w:r>
      <w:r w:rsidR="00862086">
        <w:rPr>
          <w:lang w:eastAsia="ja-JP"/>
        </w:rPr>
        <w:t xml:space="preserve"> stakeholder engagement</w:t>
      </w:r>
      <w:r>
        <w:rPr>
          <w:lang w:eastAsia="ja-JP"/>
        </w:rPr>
        <w:t>.</w:t>
      </w:r>
    </w:p>
    <w:p w14:paraId="1C4A0C25" w14:textId="7156CF8C" w:rsidR="00993ED6" w:rsidRDefault="00BA680F" w:rsidP="00993ED6">
      <w:pPr>
        <w:pStyle w:val="ListBullet"/>
        <w:rPr>
          <w:lang w:eastAsia="ja-JP"/>
        </w:rPr>
      </w:pPr>
      <w:r>
        <w:rPr>
          <w:lang w:eastAsia="ja-JP"/>
        </w:rPr>
        <w:t>P</w:t>
      </w:r>
      <w:r w:rsidR="00993ED6">
        <w:rPr>
          <w:lang w:eastAsia="ja-JP"/>
        </w:rPr>
        <w:t>re-border processes: those activities required to meet import condition</w:t>
      </w:r>
      <w:r w:rsidR="00862086">
        <w:rPr>
          <w:lang w:eastAsia="ja-JP"/>
        </w:rPr>
        <w:t>s prior to arrival in Australia</w:t>
      </w:r>
      <w:r>
        <w:rPr>
          <w:lang w:eastAsia="ja-JP"/>
        </w:rPr>
        <w:t>.</w:t>
      </w:r>
    </w:p>
    <w:p w14:paraId="5FC0B331" w14:textId="76341C5D" w:rsidR="00993ED6" w:rsidRDefault="00BA680F" w:rsidP="00993ED6">
      <w:pPr>
        <w:pStyle w:val="ListBullet"/>
        <w:rPr>
          <w:lang w:eastAsia="ja-JP"/>
        </w:rPr>
      </w:pPr>
      <w:r>
        <w:rPr>
          <w:lang w:eastAsia="ja-JP"/>
        </w:rPr>
        <w:t>Clearance activities: at-</w:t>
      </w:r>
      <w:r w:rsidR="00993ED6">
        <w:rPr>
          <w:lang w:eastAsia="ja-JP"/>
        </w:rPr>
        <w:t>border activities to manage biosecurity risk</w:t>
      </w:r>
      <w:r>
        <w:rPr>
          <w:lang w:eastAsia="ja-JP"/>
        </w:rPr>
        <w:t>,</w:t>
      </w:r>
      <w:r w:rsidR="00993ED6">
        <w:rPr>
          <w:lang w:eastAsia="ja-JP"/>
        </w:rPr>
        <w:t xml:space="preserve"> including document assessment, inspection, treatment, destruction, e</w:t>
      </w:r>
      <w:r w:rsidR="00862086">
        <w:rPr>
          <w:lang w:eastAsia="ja-JP"/>
        </w:rPr>
        <w:t>xport and post-entry quarantine</w:t>
      </w:r>
      <w:r>
        <w:rPr>
          <w:lang w:eastAsia="ja-JP"/>
        </w:rPr>
        <w:t>.</w:t>
      </w:r>
    </w:p>
    <w:p w14:paraId="7EA75123" w14:textId="75251A53" w:rsidR="00993ED6" w:rsidRDefault="00BA680F" w:rsidP="00993ED6">
      <w:pPr>
        <w:pStyle w:val="ListBullet"/>
        <w:rPr>
          <w:lang w:eastAsia="ja-JP"/>
        </w:rPr>
      </w:pPr>
      <w:r>
        <w:rPr>
          <w:lang w:eastAsia="ja-JP"/>
        </w:rPr>
        <w:t>P</w:t>
      </w:r>
      <w:r w:rsidR="00993ED6">
        <w:rPr>
          <w:lang w:eastAsia="ja-JP"/>
        </w:rPr>
        <w:t>ost-border activities: including surveillance, preparedness and response functions.</w:t>
      </w:r>
    </w:p>
    <w:p w14:paraId="73E0B2F5" w14:textId="1BC14FD8" w:rsidR="00993ED6" w:rsidRDefault="003F22A8" w:rsidP="00993ED6">
      <w:pPr>
        <w:rPr>
          <w:lang w:eastAsia="ja-JP"/>
        </w:rPr>
      </w:pPr>
      <w:r>
        <w:rPr>
          <w:lang w:eastAsia="ja-JP"/>
        </w:rPr>
        <w:t xml:space="preserve">In the </w:t>
      </w:r>
      <w:r w:rsidR="00993ED6">
        <w:rPr>
          <w:lang w:eastAsia="ja-JP"/>
        </w:rPr>
        <w:t>RRRA</w:t>
      </w:r>
      <w:r>
        <w:rPr>
          <w:lang w:eastAsia="ja-JP"/>
        </w:rPr>
        <w:t xml:space="preserve"> model, an</w:t>
      </w:r>
      <w:r w:rsidR="00993ED6">
        <w:rPr>
          <w:lang w:eastAsia="ja-JP"/>
        </w:rPr>
        <w:t xml:space="preserve"> organism of biosecurity concern (organism) can represent groups of species, such as ‘broadacre beetles’ or ‘livestock bacteria’. It can also represent special case species that warrant direct consideration, such as foot</w:t>
      </w:r>
      <w:r w:rsidR="00933868">
        <w:rPr>
          <w:lang w:eastAsia="ja-JP"/>
        </w:rPr>
        <w:t>-</w:t>
      </w:r>
      <w:r w:rsidR="00993ED6">
        <w:rPr>
          <w:lang w:eastAsia="ja-JP"/>
        </w:rPr>
        <w:t>and</w:t>
      </w:r>
      <w:r w:rsidR="00933868">
        <w:rPr>
          <w:lang w:eastAsia="ja-JP"/>
        </w:rPr>
        <w:t>-</w:t>
      </w:r>
      <w:r w:rsidR="00993ED6">
        <w:rPr>
          <w:lang w:eastAsia="ja-JP"/>
        </w:rPr>
        <w:t xml:space="preserve">mouth </w:t>
      </w:r>
      <w:r w:rsidR="00993ED6" w:rsidRPr="00F62D55">
        <w:rPr>
          <w:lang w:eastAsia="ja-JP"/>
        </w:rPr>
        <w:t xml:space="preserve">disease or </w:t>
      </w:r>
      <w:r w:rsidR="00F62D55" w:rsidRPr="00F62D55">
        <w:rPr>
          <w:lang w:eastAsia="ja-JP"/>
        </w:rPr>
        <w:t>K</w:t>
      </w:r>
      <w:r w:rsidR="00993ED6" w:rsidRPr="00F62D55">
        <w:rPr>
          <w:lang w:eastAsia="ja-JP"/>
        </w:rPr>
        <w:t>hapra beetle.</w:t>
      </w:r>
      <w:r w:rsidR="00993ED6">
        <w:rPr>
          <w:lang w:eastAsia="ja-JP"/>
        </w:rPr>
        <w:t xml:space="preserve"> Every organism that could enter or emerge in Australia via one or more pathways and have some probability of establishing, spreading and generating consequenc</w:t>
      </w:r>
      <w:r w:rsidR="004E7FA2">
        <w:rPr>
          <w:lang w:eastAsia="ja-JP"/>
        </w:rPr>
        <w:t>es is represented in the model.</w:t>
      </w:r>
    </w:p>
    <w:p w14:paraId="0E3E5BF7" w14:textId="77777777" w:rsidR="00993ED6" w:rsidRPr="00993ED6" w:rsidRDefault="00993ED6" w:rsidP="00993ED6">
      <w:pPr>
        <w:rPr>
          <w:lang w:eastAsia="ja-JP"/>
        </w:rPr>
      </w:pPr>
      <w:r>
        <w:rPr>
          <w:lang w:eastAsia="ja-JP"/>
        </w:rPr>
        <w:t>All possible consequences are considered within the RRRA model, including for agricultural industries, domesticated and companion animals, environment, infrastructure and produced goods, human health and social impacts.</w:t>
      </w:r>
    </w:p>
    <w:p w14:paraId="095AC90F" w14:textId="023875DE" w:rsidR="0049641D" w:rsidRDefault="0049641D" w:rsidP="00210276">
      <w:pPr>
        <w:pStyle w:val="Heading2"/>
        <w:numPr>
          <w:ilvl w:val="0"/>
          <w:numId w:val="0"/>
        </w:numPr>
        <w:ind w:left="709" w:hanging="709"/>
      </w:pPr>
      <w:bookmarkStart w:id="249" w:name="_Appendix_F:_Biosecurity"/>
      <w:bookmarkStart w:id="250" w:name="_Toc486236075"/>
      <w:bookmarkEnd w:id="249"/>
      <w:r>
        <w:t xml:space="preserve">Appendix </w:t>
      </w:r>
      <w:r w:rsidR="00280A78">
        <w:t>E</w:t>
      </w:r>
      <w:r>
        <w:t xml:space="preserve"> Biosecurity performance frameworks: national government examples</w:t>
      </w:r>
      <w:bookmarkEnd w:id="250"/>
    </w:p>
    <w:p w14:paraId="7ADFEC02" w14:textId="61836CE3" w:rsidR="00FE613D" w:rsidRPr="000E675E" w:rsidRDefault="000E675E" w:rsidP="000E675E">
      <w:pPr>
        <w:pStyle w:val="Caption"/>
      </w:pPr>
      <w:r>
        <w:t>Table E</w:t>
      </w:r>
      <w:fldSimple w:instr=" SEQ Table_E \* ARABIC ">
        <w:r w:rsidR="009F6923">
          <w:rPr>
            <w:noProof/>
          </w:rPr>
          <w:t>1</w:t>
        </w:r>
      </w:fldSimple>
      <w:r>
        <w:t xml:space="preserve"> </w:t>
      </w:r>
      <w:r w:rsidR="00FE613D" w:rsidRPr="000E675E">
        <w:t>Australian Government (Department of Agriculture and Water Resources)</w:t>
      </w:r>
    </w:p>
    <w:tbl>
      <w:tblPr>
        <w:tblStyle w:val="TableGrid"/>
        <w:tblW w:w="96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811"/>
      </w:tblGrid>
      <w:tr w:rsidR="00FE613D" w:rsidRPr="0049641D" w14:paraId="0A719848" w14:textId="77777777" w:rsidTr="009065B8">
        <w:tc>
          <w:tcPr>
            <w:tcW w:w="3828" w:type="dxa"/>
          </w:tcPr>
          <w:p w14:paraId="7B6E0554" w14:textId="7AC0DDFF" w:rsidR="00FE613D" w:rsidRPr="0049641D" w:rsidRDefault="00FE613D" w:rsidP="00891B32">
            <w:pPr>
              <w:pStyle w:val="TableText"/>
              <w:rPr>
                <w:lang w:eastAsia="ja-JP"/>
              </w:rPr>
            </w:pPr>
            <w:r w:rsidRPr="0049641D">
              <w:rPr>
                <w:lang w:eastAsia="ja-JP"/>
              </w:rPr>
              <w:t>Strategic o</w:t>
            </w:r>
            <w:r w:rsidR="00862086">
              <w:rPr>
                <w:lang w:eastAsia="ja-JP"/>
              </w:rPr>
              <w:t>bjectives (biosecurity related)</w:t>
            </w:r>
          </w:p>
        </w:tc>
        <w:tc>
          <w:tcPr>
            <w:tcW w:w="5811" w:type="dxa"/>
          </w:tcPr>
          <w:p w14:paraId="46CF6A6A" w14:textId="77777777" w:rsidR="00FE613D" w:rsidRDefault="00FE613D" w:rsidP="008823D1">
            <w:pPr>
              <w:pStyle w:val="TableText"/>
              <w:rPr>
                <w:lang w:eastAsia="ja-JP"/>
              </w:rPr>
            </w:pPr>
            <w:r w:rsidRPr="0049641D">
              <w:rPr>
                <w:lang w:eastAsia="ja-JP"/>
              </w:rPr>
              <w:t>Managing biosecurity and imported food risk</w:t>
            </w:r>
          </w:p>
          <w:p w14:paraId="1E324AF0" w14:textId="77777777" w:rsidR="00FE613D" w:rsidRPr="0049641D" w:rsidRDefault="00FE613D" w:rsidP="00DC435D">
            <w:pPr>
              <w:pStyle w:val="TableText"/>
              <w:rPr>
                <w:lang w:eastAsia="ja-JP"/>
              </w:rPr>
            </w:pPr>
            <w:r w:rsidRPr="0049641D">
              <w:rPr>
                <w:lang w:eastAsia="ja-JP"/>
              </w:rPr>
              <w:t>Expanding agricultural, fisheries and forestry exports (</w:t>
            </w:r>
            <w:r w:rsidR="00DC435D">
              <w:rPr>
                <w:lang w:eastAsia="ja-JP"/>
              </w:rPr>
              <w:t>Note:</w:t>
            </w:r>
            <w:r w:rsidRPr="0049641D">
              <w:rPr>
                <w:lang w:eastAsia="ja-JP"/>
              </w:rPr>
              <w:t xml:space="preserve"> certification only elements details below)</w:t>
            </w:r>
          </w:p>
        </w:tc>
      </w:tr>
      <w:tr w:rsidR="00FE613D" w:rsidRPr="0049641D" w14:paraId="073E88E4" w14:textId="77777777" w:rsidTr="009065B8">
        <w:tc>
          <w:tcPr>
            <w:tcW w:w="3828" w:type="dxa"/>
            <w:tcBorders>
              <w:bottom w:val="single" w:sz="4" w:space="0" w:color="auto"/>
            </w:tcBorders>
          </w:tcPr>
          <w:p w14:paraId="42EBB362" w14:textId="0549A07C" w:rsidR="00FE613D" w:rsidRPr="0049641D" w:rsidRDefault="00862086" w:rsidP="00891B32">
            <w:pPr>
              <w:pStyle w:val="TableText"/>
              <w:rPr>
                <w:lang w:eastAsia="ja-JP"/>
              </w:rPr>
            </w:pPr>
            <w:r>
              <w:rPr>
                <w:lang w:eastAsia="ja-JP"/>
              </w:rPr>
              <w:t>Outcomes expectations</w:t>
            </w:r>
          </w:p>
        </w:tc>
        <w:tc>
          <w:tcPr>
            <w:tcW w:w="5811" w:type="dxa"/>
            <w:tcBorders>
              <w:bottom w:val="single" w:sz="4" w:space="0" w:color="auto"/>
            </w:tcBorders>
          </w:tcPr>
          <w:p w14:paraId="674D9D67" w14:textId="77777777" w:rsidR="00FE613D" w:rsidRDefault="00FE613D" w:rsidP="008823D1">
            <w:pPr>
              <w:pStyle w:val="TableText"/>
              <w:rPr>
                <w:lang w:eastAsia="ja-JP"/>
              </w:rPr>
            </w:pPr>
            <w:r w:rsidRPr="0049641D">
              <w:rPr>
                <w:lang w:eastAsia="ja-JP"/>
              </w:rPr>
              <w:t>Use evidence-based risk management to ensure the safe movement into and out of Australia of people, animals, plants, food and cargo</w:t>
            </w:r>
          </w:p>
          <w:p w14:paraId="279C5A5A" w14:textId="77777777" w:rsidR="00FE613D" w:rsidRDefault="00FE613D" w:rsidP="008823D1">
            <w:pPr>
              <w:pStyle w:val="TableText"/>
              <w:rPr>
                <w:lang w:eastAsia="ja-JP"/>
              </w:rPr>
            </w:pPr>
            <w:r w:rsidRPr="0049641D">
              <w:rPr>
                <w:lang w:eastAsia="ja-JP"/>
              </w:rPr>
              <w:t>Coordinate emergency responses to exotic pest and disease incursions</w:t>
            </w:r>
          </w:p>
          <w:p w14:paraId="3442F1AF" w14:textId="77777777" w:rsidR="00FE613D" w:rsidRPr="0049641D" w:rsidRDefault="00FE613D" w:rsidP="008823D1">
            <w:pPr>
              <w:pStyle w:val="TableText"/>
              <w:rPr>
                <w:lang w:eastAsia="ja-JP"/>
              </w:rPr>
            </w:pPr>
            <w:r w:rsidRPr="0049641D">
              <w:rPr>
                <w:lang w:eastAsia="ja-JP"/>
              </w:rPr>
              <w:t>Provide certification of exports to meet importing country requirements</w:t>
            </w:r>
          </w:p>
        </w:tc>
      </w:tr>
      <w:tr w:rsidR="00FE613D" w:rsidRPr="0049641D" w14:paraId="4DF7C15F" w14:textId="77777777" w:rsidTr="009065B8">
        <w:trPr>
          <w:tblHeader/>
        </w:trPr>
        <w:tc>
          <w:tcPr>
            <w:tcW w:w="3828" w:type="dxa"/>
            <w:tcBorders>
              <w:top w:val="single" w:sz="4" w:space="0" w:color="auto"/>
              <w:bottom w:val="single" w:sz="4" w:space="0" w:color="auto"/>
            </w:tcBorders>
          </w:tcPr>
          <w:p w14:paraId="4126E06F" w14:textId="6114E25C" w:rsidR="00FE613D" w:rsidRPr="0049641D" w:rsidRDefault="00977B40" w:rsidP="008823D1">
            <w:pPr>
              <w:pStyle w:val="TableHeading"/>
              <w:rPr>
                <w:lang w:eastAsia="ja-JP"/>
              </w:rPr>
            </w:pPr>
            <w:r>
              <w:rPr>
                <w:lang w:eastAsia="ja-JP"/>
              </w:rPr>
              <w:t>Performance measures</w:t>
            </w:r>
          </w:p>
        </w:tc>
        <w:tc>
          <w:tcPr>
            <w:tcW w:w="5811" w:type="dxa"/>
            <w:tcBorders>
              <w:top w:val="single" w:sz="4" w:space="0" w:color="auto"/>
              <w:bottom w:val="single" w:sz="4" w:space="0" w:color="auto"/>
            </w:tcBorders>
          </w:tcPr>
          <w:p w14:paraId="0B7CCE01" w14:textId="77777777" w:rsidR="00FE613D" w:rsidRPr="0049641D" w:rsidRDefault="00FE613D" w:rsidP="008823D1">
            <w:pPr>
              <w:pStyle w:val="TableHeading"/>
              <w:rPr>
                <w:lang w:eastAsia="ja-JP"/>
              </w:rPr>
            </w:pPr>
            <w:r w:rsidRPr="0049641D">
              <w:rPr>
                <w:lang w:eastAsia="ja-JP"/>
              </w:rPr>
              <w:t>Targets</w:t>
            </w:r>
          </w:p>
        </w:tc>
      </w:tr>
      <w:tr w:rsidR="00FE613D" w:rsidRPr="0049641D" w14:paraId="3966CB28" w14:textId="77777777" w:rsidTr="009065B8">
        <w:tc>
          <w:tcPr>
            <w:tcW w:w="3828" w:type="dxa"/>
            <w:tcBorders>
              <w:top w:val="single" w:sz="4" w:space="0" w:color="auto"/>
            </w:tcBorders>
          </w:tcPr>
          <w:p w14:paraId="34C23E84" w14:textId="54117F63" w:rsidR="00FE613D" w:rsidRPr="00891B32" w:rsidRDefault="00FE613D" w:rsidP="008823D1">
            <w:pPr>
              <w:pStyle w:val="TableText"/>
              <w:rPr>
                <w:lang w:eastAsia="ja-JP"/>
              </w:rPr>
            </w:pPr>
            <w:r w:rsidRPr="00891B32">
              <w:rPr>
                <w:lang w:eastAsia="ja-JP"/>
              </w:rPr>
              <w:t>Australia maintains a favourable pest and disease status (a)</w:t>
            </w:r>
          </w:p>
        </w:tc>
        <w:tc>
          <w:tcPr>
            <w:tcW w:w="5811" w:type="dxa"/>
            <w:tcBorders>
              <w:top w:val="single" w:sz="4" w:space="0" w:color="auto"/>
            </w:tcBorders>
          </w:tcPr>
          <w:p w14:paraId="1AE5221A" w14:textId="77777777" w:rsidR="00FE613D" w:rsidRPr="00891B32" w:rsidRDefault="00FE613D" w:rsidP="008823D1">
            <w:pPr>
              <w:pStyle w:val="TableText"/>
              <w:rPr>
                <w:lang w:eastAsia="ja-JP"/>
              </w:rPr>
            </w:pPr>
            <w:r w:rsidRPr="00891B32">
              <w:rPr>
                <w:lang w:eastAsia="ja-JP"/>
              </w:rPr>
              <w:t>Qualitative assessment that the nature and impact of animal and plant biosecurity incursions has not significantly harmed Australia’s favourable pest and disease status (b)</w:t>
            </w:r>
          </w:p>
          <w:p w14:paraId="6359F23F" w14:textId="77777777" w:rsidR="00FE613D" w:rsidRPr="00891B32" w:rsidRDefault="00FE613D" w:rsidP="008823D1">
            <w:pPr>
              <w:pStyle w:val="TableText"/>
              <w:rPr>
                <w:lang w:eastAsia="ja-JP"/>
              </w:rPr>
            </w:pPr>
            <w:r w:rsidRPr="00891B32">
              <w:rPr>
                <w:lang w:eastAsia="ja-JP"/>
              </w:rPr>
              <w:t>Pest and disease eradication is funded throughout the year based on national priorities</w:t>
            </w:r>
          </w:p>
          <w:p w14:paraId="0CAF3A93" w14:textId="3E671869" w:rsidR="00FE613D" w:rsidRPr="00891B32" w:rsidRDefault="00FE613D" w:rsidP="008823D1">
            <w:pPr>
              <w:pStyle w:val="TableText"/>
              <w:rPr>
                <w:lang w:eastAsia="ja-JP"/>
              </w:rPr>
            </w:pPr>
            <w:r w:rsidRPr="00891B32">
              <w:rPr>
                <w:lang w:eastAsia="ja-JP"/>
              </w:rPr>
              <w:t>The Intergovernmental</w:t>
            </w:r>
            <w:r w:rsidR="00615B8C" w:rsidRPr="00891B32">
              <w:rPr>
                <w:lang w:eastAsia="ja-JP"/>
              </w:rPr>
              <w:t xml:space="preserve"> </w:t>
            </w:r>
            <w:r w:rsidRPr="00891B32">
              <w:rPr>
                <w:lang w:eastAsia="ja-JP"/>
              </w:rPr>
              <w:t>Agreement on Biosecurity is found to be effective in managing the national biosecurity system</w:t>
            </w:r>
          </w:p>
        </w:tc>
      </w:tr>
      <w:tr w:rsidR="00FE613D" w:rsidRPr="0049641D" w14:paraId="60BADA75" w14:textId="77777777" w:rsidTr="009065B8">
        <w:tc>
          <w:tcPr>
            <w:tcW w:w="3828" w:type="dxa"/>
          </w:tcPr>
          <w:p w14:paraId="378C8863" w14:textId="77777777" w:rsidR="00FE613D" w:rsidRPr="00891B32" w:rsidRDefault="00FE613D" w:rsidP="008823D1">
            <w:pPr>
              <w:pStyle w:val="TableText"/>
              <w:rPr>
                <w:lang w:eastAsia="ja-JP"/>
              </w:rPr>
            </w:pPr>
            <w:r w:rsidRPr="00891B32">
              <w:rPr>
                <w:lang w:eastAsia="ja-JP"/>
              </w:rPr>
              <w:t>Export certification meets importing country requirements (a)</w:t>
            </w:r>
          </w:p>
        </w:tc>
        <w:tc>
          <w:tcPr>
            <w:tcW w:w="5811" w:type="dxa"/>
          </w:tcPr>
          <w:p w14:paraId="2559030D" w14:textId="77777777" w:rsidR="00FE613D" w:rsidRPr="00891B32" w:rsidRDefault="00FE613D" w:rsidP="008823D1">
            <w:pPr>
              <w:pStyle w:val="TableText"/>
              <w:rPr>
                <w:lang w:eastAsia="ja-JP"/>
              </w:rPr>
            </w:pPr>
            <w:r w:rsidRPr="00891B32">
              <w:rPr>
                <w:lang w:eastAsia="ja-JP"/>
              </w:rPr>
              <w:t>Less than 1% of consignments are rejected as a result of export certification failure</w:t>
            </w:r>
          </w:p>
          <w:p w14:paraId="62D6CF54" w14:textId="77777777" w:rsidR="00FE613D" w:rsidRPr="00891B32" w:rsidRDefault="00FE613D" w:rsidP="008823D1">
            <w:pPr>
              <w:pStyle w:val="TableText"/>
              <w:rPr>
                <w:lang w:eastAsia="ja-JP"/>
              </w:rPr>
            </w:pPr>
            <w:r w:rsidRPr="00891B32">
              <w:rPr>
                <w:lang w:eastAsia="ja-JP"/>
              </w:rPr>
              <w:t>No markets are lost as a consequence of failed departmental certification services</w:t>
            </w:r>
          </w:p>
          <w:p w14:paraId="65DCBFE6" w14:textId="77777777" w:rsidR="00FE613D" w:rsidRPr="00891B32" w:rsidRDefault="00FE613D" w:rsidP="008823D1">
            <w:pPr>
              <w:pStyle w:val="TableText"/>
              <w:rPr>
                <w:lang w:eastAsia="ja-JP"/>
              </w:rPr>
            </w:pPr>
            <w:r w:rsidRPr="00891B32">
              <w:rPr>
                <w:lang w:eastAsia="ja-JP"/>
              </w:rPr>
              <w:t>Less than 5% of quota allocations are rejected because of quota certification failures</w:t>
            </w:r>
          </w:p>
        </w:tc>
      </w:tr>
      <w:tr w:rsidR="00FE613D" w:rsidRPr="0049641D" w14:paraId="618850DF" w14:textId="77777777" w:rsidTr="009065B8">
        <w:tc>
          <w:tcPr>
            <w:tcW w:w="3828" w:type="dxa"/>
          </w:tcPr>
          <w:p w14:paraId="7B5B96AA" w14:textId="4A676DD6" w:rsidR="00FE613D" w:rsidRPr="00891B32" w:rsidRDefault="00FE613D" w:rsidP="008823D1">
            <w:pPr>
              <w:pStyle w:val="TableText"/>
              <w:rPr>
                <w:lang w:eastAsia="ja-JP"/>
              </w:rPr>
            </w:pPr>
            <w:r w:rsidRPr="00891B32">
              <w:rPr>
                <w:lang w:eastAsia="ja-JP"/>
              </w:rPr>
              <w:t>The effectiveness and efficiency of biosecurity and food interventions on import pathways improves (c)</w:t>
            </w:r>
          </w:p>
        </w:tc>
        <w:tc>
          <w:tcPr>
            <w:tcW w:w="5811" w:type="dxa"/>
          </w:tcPr>
          <w:p w14:paraId="03AFE1A3" w14:textId="77777777" w:rsidR="00FE613D" w:rsidRPr="00891B32" w:rsidRDefault="00FE613D" w:rsidP="008823D1">
            <w:pPr>
              <w:pStyle w:val="TableText"/>
              <w:rPr>
                <w:lang w:eastAsia="ja-JP"/>
              </w:rPr>
            </w:pPr>
            <w:r w:rsidRPr="00891B32">
              <w:rPr>
                <w:lang w:eastAsia="ja-JP"/>
              </w:rPr>
              <w:t>The post-intervention compliance rate for passengers and mail is maintained or improved</w:t>
            </w:r>
          </w:p>
          <w:p w14:paraId="0D6FD0A8" w14:textId="77777777" w:rsidR="00FE613D" w:rsidRPr="00891B32" w:rsidRDefault="00FE613D" w:rsidP="008823D1">
            <w:pPr>
              <w:pStyle w:val="TableText"/>
              <w:rPr>
                <w:lang w:eastAsia="ja-JP"/>
              </w:rPr>
            </w:pPr>
            <w:r w:rsidRPr="00891B32">
              <w:rPr>
                <w:lang w:eastAsia="ja-JP"/>
              </w:rPr>
              <w:t>Interventions on low-risk pathways are reduced (d)</w:t>
            </w:r>
          </w:p>
          <w:p w14:paraId="15A4777A" w14:textId="77777777" w:rsidR="00FE613D" w:rsidRPr="00891B32" w:rsidRDefault="00FE613D" w:rsidP="008823D1">
            <w:pPr>
              <w:pStyle w:val="TableText"/>
              <w:rPr>
                <w:lang w:eastAsia="ja-JP"/>
              </w:rPr>
            </w:pPr>
            <w:r w:rsidRPr="00891B32">
              <w:rPr>
                <w:lang w:eastAsia="ja-JP"/>
              </w:rPr>
              <w:t>The compliance rate for all food inspected is maintained or improved</w:t>
            </w:r>
          </w:p>
        </w:tc>
      </w:tr>
      <w:tr w:rsidR="00FE613D" w:rsidRPr="0049641D" w14:paraId="5E86B425" w14:textId="77777777" w:rsidTr="009065B8">
        <w:tc>
          <w:tcPr>
            <w:tcW w:w="3828" w:type="dxa"/>
          </w:tcPr>
          <w:p w14:paraId="459354C7" w14:textId="77777777" w:rsidR="00FE613D" w:rsidRPr="00891B32" w:rsidRDefault="00FE613D" w:rsidP="008823D1">
            <w:pPr>
              <w:pStyle w:val="TableText"/>
              <w:rPr>
                <w:lang w:eastAsia="ja-JP"/>
              </w:rPr>
            </w:pPr>
            <w:r w:rsidRPr="00891B32">
              <w:rPr>
                <w:lang w:eastAsia="ja-JP"/>
              </w:rPr>
              <w:t>Responses to biosecurity and imported food incidents improves</w:t>
            </w:r>
          </w:p>
        </w:tc>
        <w:tc>
          <w:tcPr>
            <w:tcW w:w="5811" w:type="dxa"/>
          </w:tcPr>
          <w:p w14:paraId="402820FF" w14:textId="77777777" w:rsidR="00FE613D" w:rsidRPr="00891B32" w:rsidRDefault="00FE613D" w:rsidP="008823D1">
            <w:pPr>
              <w:pStyle w:val="TableText"/>
              <w:rPr>
                <w:lang w:eastAsia="ja-JP"/>
              </w:rPr>
            </w:pPr>
            <w:r w:rsidRPr="00891B32">
              <w:rPr>
                <w:lang w:eastAsia="ja-JP"/>
              </w:rPr>
              <w:t>The department assesses that responses to biosecurity and imported food incidents have improved</w:t>
            </w:r>
          </w:p>
        </w:tc>
      </w:tr>
      <w:tr w:rsidR="00FE613D" w:rsidRPr="0049641D" w14:paraId="7E5A711E" w14:textId="77777777" w:rsidTr="009065B8">
        <w:tc>
          <w:tcPr>
            <w:tcW w:w="3828" w:type="dxa"/>
          </w:tcPr>
          <w:p w14:paraId="70B9E3A7" w14:textId="2D0F98D8" w:rsidR="00FE613D" w:rsidRPr="00891B32" w:rsidRDefault="00FE613D" w:rsidP="008823D1">
            <w:pPr>
              <w:pStyle w:val="TableText"/>
              <w:rPr>
                <w:lang w:eastAsia="ja-JP"/>
              </w:rPr>
            </w:pPr>
            <w:r w:rsidRPr="00891B32">
              <w:rPr>
                <w:lang w:eastAsia="ja-JP"/>
              </w:rPr>
              <w:t>Risk assessments for imported goods use science-based risk analysis, drawing on the best available sc</w:t>
            </w:r>
            <w:r w:rsidR="00862086" w:rsidRPr="00891B32">
              <w:rPr>
                <w:lang w:eastAsia="ja-JP"/>
              </w:rPr>
              <w:t>ientific information and advice</w:t>
            </w:r>
          </w:p>
        </w:tc>
        <w:tc>
          <w:tcPr>
            <w:tcW w:w="5811" w:type="dxa"/>
          </w:tcPr>
          <w:p w14:paraId="36D75812" w14:textId="4892B291" w:rsidR="00FE613D" w:rsidRPr="00891B32" w:rsidRDefault="00FE613D" w:rsidP="00862086">
            <w:pPr>
              <w:pStyle w:val="TableText"/>
              <w:rPr>
                <w:lang w:eastAsia="ja-JP"/>
              </w:rPr>
            </w:pPr>
            <w:r w:rsidRPr="00891B32">
              <w:rPr>
                <w:lang w:eastAsia="ja-JP"/>
              </w:rPr>
              <w:t>100% of import risk assessments are conducted in accordance with regulations and the best available science and advice</w:t>
            </w:r>
          </w:p>
        </w:tc>
      </w:tr>
      <w:tr w:rsidR="00FE613D" w:rsidRPr="0049641D" w14:paraId="1AB60599" w14:textId="77777777" w:rsidTr="009065B8">
        <w:tc>
          <w:tcPr>
            <w:tcW w:w="3828" w:type="dxa"/>
          </w:tcPr>
          <w:p w14:paraId="5350CC35" w14:textId="19D4DACD" w:rsidR="00FE613D" w:rsidRPr="00891B32" w:rsidRDefault="00FE613D" w:rsidP="004E7FA2">
            <w:pPr>
              <w:pStyle w:val="TableText"/>
              <w:rPr>
                <w:lang w:eastAsia="ja-JP"/>
              </w:rPr>
            </w:pPr>
            <w:r w:rsidRPr="00891B32">
              <w:rPr>
                <w:lang w:eastAsia="ja-JP"/>
              </w:rPr>
              <w:t>The ability of governments, industry and the community to quickly and effectively respond to exotic pest and disease incursions improves</w:t>
            </w:r>
          </w:p>
        </w:tc>
        <w:tc>
          <w:tcPr>
            <w:tcW w:w="5811" w:type="dxa"/>
          </w:tcPr>
          <w:p w14:paraId="5DB6F554" w14:textId="77777777" w:rsidR="00FE613D" w:rsidRDefault="00FE613D" w:rsidP="008823D1">
            <w:pPr>
              <w:pStyle w:val="TableText"/>
              <w:rPr>
                <w:lang w:eastAsia="ja-JP"/>
              </w:rPr>
            </w:pPr>
            <w:r w:rsidRPr="00952304">
              <w:rPr>
                <w:lang w:eastAsia="ja-JP"/>
              </w:rPr>
              <w:t>Responses to pest and disease incursions and outbreaks are managed according to relevant frameworks</w:t>
            </w:r>
          </w:p>
          <w:p w14:paraId="4EEE7CD1" w14:textId="77777777" w:rsidR="00FE613D" w:rsidRDefault="00FE613D" w:rsidP="008823D1">
            <w:pPr>
              <w:pStyle w:val="TableText"/>
              <w:rPr>
                <w:lang w:eastAsia="ja-JP"/>
              </w:rPr>
            </w:pPr>
            <w:r w:rsidRPr="00952304">
              <w:rPr>
                <w:lang w:eastAsia="ja-JP"/>
              </w:rPr>
              <w:t>Requests for rapid response in the event of a significant exotic pest or disease outbreak are responded to immediately</w:t>
            </w:r>
          </w:p>
          <w:p w14:paraId="2E374DF2" w14:textId="77777777" w:rsidR="00FE613D" w:rsidRPr="0049641D" w:rsidRDefault="00FE613D" w:rsidP="008823D1">
            <w:pPr>
              <w:pStyle w:val="TableText"/>
              <w:rPr>
                <w:lang w:eastAsia="ja-JP"/>
              </w:rPr>
            </w:pPr>
            <w:r w:rsidRPr="0049641D">
              <w:rPr>
                <w:lang w:eastAsia="ja-JP"/>
              </w:rPr>
              <w:t>100% of priority emergency plans (AUSVETPLAN, AQUAVETPLAN, EMPPLAN and PLANTPLAN) reflect contemporary science of emergency responses to plant and animal pests and diseases</w:t>
            </w:r>
          </w:p>
        </w:tc>
      </w:tr>
      <w:tr w:rsidR="00FE613D" w:rsidRPr="0049641D" w14:paraId="7751B6EF" w14:textId="77777777" w:rsidTr="009065B8">
        <w:tc>
          <w:tcPr>
            <w:tcW w:w="3828" w:type="dxa"/>
          </w:tcPr>
          <w:p w14:paraId="54017966" w14:textId="00E0664E" w:rsidR="00FE613D" w:rsidRPr="0049641D" w:rsidRDefault="00FE613D" w:rsidP="008823D1">
            <w:pPr>
              <w:pStyle w:val="TableText"/>
              <w:rPr>
                <w:lang w:eastAsia="ja-JP"/>
              </w:rPr>
            </w:pPr>
            <w:r w:rsidRPr="0049641D">
              <w:rPr>
                <w:lang w:eastAsia="ja-JP"/>
              </w:rPr>
              <w:t>Public awarenes</w:t>
            </w:r>
            <w:r w:rsidR="00862086">
              <w:rPr>
                <w:lang w:eastAsia="ja-JP"/>
              </w:rPr>
              <w:t>s of biosecurity risks improves</w:t>
            </w:r>
          </w:p>
        </w:tc>
        <w:tc>
          <w:tcPr>
            <w:tcW w:w="5811" w:type="dxa"/>
          </w:tcPr>
          <w:p w14:paraId="579B2E72" w14:textId="77777777" w:rsidR="00FE613D" w:rsidRPr="0049641D" w:rsidRDefault="00FE613D" w:rsidP="008823D1">
            <w:pPr>
              <w:pStyle w:val="TableText"/>
              <w:rPr>
                <w:lang w:eastAsia="ja-JP"/>
              </w:rPr>
            </w:pPr>
            <w:r w:rsidRPr="00952304">
              <w:rPr>
                <w:lang w:eastAsia="ja-JP"/>
              </w:rPr>
              <w:t>The number of followers on and the total reach of the Australian Biosecurity Facebook page is maintained or increased</w:t>
            </w:r>
          </w:p>
        </w:tc>
      </w:tr>
    </w:tbl>
    <w:p w14:paraId="3CECBEA1" w14:textId="0E2A4852" w:rsidR="00FE613D" w:rsidRDefault="00457E6D" w:rsidP="001F2B0B">
      <w:pPr>
        <w:pStyle w:val="FigureTableNoteSource"/>
        <w:rPr>
          <w:lang w:eastAsia="ja-JP"/>
        </w:rPr>
      </w:pPr>
      <w:r>
        <w:rPr>
          <w:lang w:eastAsia="ja-JP"/>
        </w:rPr>
        <w:t>N</w:t>
      </w:r>
      <w:r w:rsidR="00C26950" w:rsidRPr="00C26950">
        <w:rPr>
          <w:lang w:eastAsia="ja-JP"/>
        </w:rPr>
        <w:t>otes</w:t>
      </w:r>
      <w:r w:rsidR="00C26950">
        <w:rPr>
          <w:lang w:eastAsia="ja-JP"/>
        </w:rPr>
        <w:t>:</w:t>
      </w:r>
      <w:r w:rsidR="00C26950" w:rsidRPr="00C26950">
        <w:rPr>
          <w:lang w:eastAsia="ja-JP"/>
        </w:rPr>
        <w:t xml:space="preserve"> </w:t>
      </w:r>
      <w:r w:rsidR="00FE613D" w:rsidRPr="00C26950">
        <w:rPr>
          <w:lang w:eastAsia="ja-JP"/>
        </w:rPr>
        <w:t>a</w:t>
      </w:r>
      <w:r>
        <w:rPr>
          <w:lang w:eastAsia="ja-JP"/>
        </w:rPr>
        <w:t>.</w:t>
      </w:r>
      <w:r w:rsidR="00C26950">
        <w:rPr>
          <w:lang w:eastAsia="ja-JP"/>
        </w:rPr>
        <w:t xml:space="preserve"> </w:t>
      </w:r>
      <w:r w:rsidR="00FE613D">
        <w:rPr>
          <w:lang w:eastAsia="ja-JP"/>
        </w:rPr>
        <w:t>Performance measure and targets published in the Portfolio Budget Statements 2016–17</w:t>
      </w:r>
      <w:r>
        <w:rPr>
          <w:lang w:eastAsia="ja-JP"/>
        </w:rPr>
        <w:t xml:space="preserve">; </w:t>
      </w:r>
      <w:r w:rsidR="00FE613D" w:rsidRPr="00C26950">
        <w:rPr>
          <w:lang w:eastAsia="ja-JP"/>
        </w:rPr>
        <w:t>b</w:t>
      </w:r>
      <w:r>
        <w:rPr>
          <w:lang w:eastAsia="ja-JP"/>
        </w:rPr>
        <w:t>.</w:t>
      </w:r>
      <w:r w:rsidR="00C26950">
        <w:rPr>
          <w:lang w:eastAsia="ja-JP"/>
        </w:rPr>
        <w:t xml:space="preserve"> </w:t>
      </w:r>
      <w:r w:rsidR="00FE613D">
        <w:rPr>
          <w:lang w:eastAsia="ja-JP"/>
        </w:rPr>
        <w:t>Assessment based on information including OIE notifications, plant incursions and market access issues directly related to biosecurity</w:t>
      </w:r>
      <w:r>
        <w:rPr>
          <w:lang w:eastAsia="ja-JP"/>
        </w:rPr>
        <w:t xml:space="preserve">; </w:t>
      </w:r>
      <w:r w:rsidR="00C26950">
        <w:rPr>
          <w:lang w:eastAsia="ja-JP"/>
        </w:rPr>
        <w:t>c</w:t>
      </w:r>
      <w:r>
        <w:rPr>
          <w:lang w:eastAsia="ja-JP"/>
        </w:rPr>
        <w:t>.</w:t>
      </w:r>
      <w:r w:rsidR="00C26950">
        <w:rPr>
          <w:lang w:eastAsia="ja-JP"/>
        </w:rPr>
        <w:t> </w:t>
      </w:r>
      <w:r w:rsidR="00FE613D">
        <w:rPr>
          <w:lang w:eastAsia="ja-JP"/>
        </w:rPr>
        <w:t>Performance measures for post-compliance rates for cargo will be developed</w:t>
      </w:r>
      <w:r>
        <w:rPr>
          <w:lang w:eastAsia="ja-JP"/>
        </w:rPr>
        <w:t>;</w:t>
      </w:r>
      <w:r w:rsidR="00C26950">
        <w:rPr>
          <w:lang w:eastAsia="ja-JP"/>
        </w:rPr>
        <w:t xml:space="preserve"> d</w:t>
      </w:r>
      <w:r>
        <w:rPr>
          <w:lang w:eastAsia="ja-JP"/>
        </w:rPr>
        <w:t>.</w:t>
      </w:r>
      <w:r w:rsidR="00C26950">
        <w:rPr>
          <w:lang w:eastAsia="ja-JP"/>
        </w:rPr>
        <w:t xml:space="preserve"> </w:t>
      </w:r>
      <w:r w:rsidR="00FE613D">
        <w:rPr>
          <w:lang w:eastAsia="ja-JP"/>
        </w:rPr>
        <w:t>For imported plant products only</w:t>
      </w:r>
      <w:r>
        <w:rPr>
          <w:lang w:eastAsia="ja-JP"/>
        </w:rPr>
        <w:t>.</w:t>
      </w:r>
    </w:p>
    <w:p w14:paraId="4BC39964" w14:textId="5D27E0FC" w:rsidR="0015243A" w:rsidRPr="0015243A" w:rsidRDefault="0015243A" w:rsidP="0015243A">
      <w:pPr>
        <w:pStyle w:val="FigureTableNoteSource"/>
        <w:rPr>
          <w:lang w:eastAsia="ja-JP"/>
        </w:rPr>
      </w:pPr>
      <w:r>
        <w:rPr>
          <w:lang w:eastAsia="ja-JP"/>
        </w:rPr>
        <w:t xml:space="preserve">Source: </w:t>
      </w:r>
      <w:hyperlink w:anchor="DAWR_2016" w:history="1">
        <w:r w:rsidRPr="00426D2C">
          <w:rPr>
            <w:rStyle w:val="Hyperlink"/>
          </w:rPr>
          <w:t>DAWR 2016</w:t>
        </w:r>
      </w:hyperlink>
      <w:r>
        <w:t xml:space="preserve">; </w:t>
      </w:r>
      <w:hyperlink w:anchor="DAWR_2016d" w:history="1">
        <w:r w:rsidRPr="00426D2C">
          <w:rPr>
            <w:rStyle w:val="Hyperlink"/>
          </w:rPr>
          <w:t>DAWR 2016</w:t>
        </w:r>
        <w:r w:rsidR="009177F0">
          <w:rPr>
            <w:rStyle w:val="Hyperlink"/>
          </w:rPr>
          <w:t>e</w:t>
        </w:r>
      </w:hyperlink>
      <w:r w:rsidR="00457E6D">
        <w:rPr>
          <w:lang w:eastAsia="ja-JP"/>
        </w:rPr>
        <w:t>.</w:t>
      </w:r>
    </w:p>
    <w:p w14:paraId="5438CEC8" w14:textId="4B7B2055" w:rsidR="00FE613D" w:rsidRPr="000E675E" w:rsidRDefault="000E675E" w:rsidP="000E675E">
      <w:pPr>
        <w:pStyle w:val="Caption"/>
      </w:pPr>
      <w:r>
        <w:t>Table E</w:t>
      </w:r>
      <w:fldSimple w:instr=" SEQ Table_E \* ARABIC ">
        <w:r w:rsidR="009F6923">
          <w:rPr>
            <w:noProof/>
          </w:rPr>
          <w:t>2</w:t>
        </w:r>
      </w:fldSimple>
      <w:r w:rsidR="00FE613D" w:rsidRPr="00FE613D">
        <w:rPr>
          <w:rStyle w:val="Strong"/>
        </w:rPr>
        <w:t xml:space="preserve"> </w:t>
      </w:r>
      <w:r w:rsidR="00FE613D" w:rsidRPr="000E675E">
        <w:t>New Zealand Government (Ministry for Primary Industries)</w:t>
      </w:r>
    </w:p>
    <w:tbl>
      <w:tblPr>
        <w:tblStyle w:val="TableGrid"/>
        <w:tblW w:w="9219" w:type="dxa"/>
        <w:tblInd w:w="-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9"/>
        <w:gridCol w:w="5670"/>
      </w:tblGrid>
      <w:tr w:rsidR="00026AE9" w14:paraId="04ACAD4D" w14:textId="77777777" w:rsidTr="009065B8">
        <w:tc>
          <w:tcPr>
            <w:tcW w:w="3549" w:type="dxa"/>
          </w:tcPr>
          <w:p w14:paraId="6B99BB77" w14:textId="7BDDF876" w:rsidR="00026AE9" w:rsidRDefault="0030335A" w:rsidP="003839F6">
            <w:pPr>
              <w:pStyle w:val="TableText"/>
              <w:rPr>
                <w:rStyle w:val="Strong"/>
              </w:rPr>
            </w:pPr>
            <w:r>
              <w:rPr>
                <w:lang w:eastAsia="ja-JP"/>
              </w:rPr>
              <w:t>Long-</w:t>
            </w:r>
            <w:r w:rsidR="00026AE9" w:rsidRPr="00FE613D">
              <w:rPr>
                <w:lang w:eastAsia="ja-JP"/>
              </w:rPr>
              <w:t>term ou</w:t>
            </w:r>
            <w:r w:rsidR="00026AE9">
              <w:rPr>
                <w:lang w:eastAsia="ja-JP"/>
              </w:rPr>
              <w:t>tcome</w:t>
            </w:r>
          </w:p>
        </w:tc>
        <w:tc>
          <w:tcPr>
            <w:tcW w:w="5670" w:type="dxa"/>
          </w:tcPr>
          <w:p w14:paraId="03B9A99D" w14:textId="34093A2D" w:rsidR="00026AE9" w:rsidRDefault="00026AE9" w:rsidP="009E4DCD">
            <w:pPr>
              <w:pStyle w:val="TableText"/>
              <w:rPr>
                <w:rStyle w:val="Strong"/>
              </w:rPr>
            </w:pPr>
            <w:r w:rsidRPr="00FE613D">
              <w:rPr>
                <w:lang w:eastAsia="ja-JP"/>
              </w:rPr>
              <w:t>Protect from biological risk</w:t>
            </w:r>
          </w:p>
        </w:tc>
      </w:tr>
      <w:tr w:rsidR="00026AE9" w14:paraId="45FD568B" w14:textId="77777777" w:rsidTr="009065B8">
        <w:tc>
          <w:tcPr>
            <w:tcW w:w="3549" w:type="dxa"/>
          </w:tcPr>
          <w:p w14:paraId="6F811E77" w14:textId="2BCB5815" w:rsidR="00026AE9" w:rsidRDefault="0030335A" w:rsidP="003839F6">
            <w:pPr>
              <w:pStyle w:val="TableText"/>
              <w:rPr>
                <w:rStyle w:val="Strong"/>
              </w:rPr>
            </w:pPr>
            <w:r>
              <w:rPr>
                <w:lang w:eastAsia="ja-JP"/>
              </w:rPr>
              <w:t>Intermediate outcomes</w:t>
            </w:r>
          </w:p>
        </w:tc>
        <w:tc>
          <w:tcPr>
            <w:tcW w:w="5670" w:type="dxa"/>
          </w:tcPr>
          <w:p w14:paraId="477A9D9C" w14:textId="540906E4" w:rsidR="00026AE9" w:rsidRDefault="00026AE9" w:rsidP="009E4DCD">
            <w:pPr>
              <w:pStyle w:val="TableText"/>
              <w:rPr>
                <w:rStyle w:val="Strong"/>
              </w:rPr>
            </w:pPr>
            <w:r w:rsidRPr="00FE613D">
              <w:rPr>
                <w:lang w:eastAsia="ja-JP"/>
              </w:rPr>
              <w:t>The primary sector is protected from biological risks through the effective operation of the biosecurity and food safety systems.</w:t>
            </w:r>
          </w:p>
        </w:tc>
      </w:tr>
      <w:tr w:rsidR="00026AE9" w14:paraId="1F8E78AA" w14:textId="77777777" w:rsidTr="009065B8">
        <w:tc>
          <w:tcPr>
            <w:tcW w:w="3549" w:type="dxa"/>
          </w:tcPr>
          <w:p w14:paraId="22EDE96A" w14:textId="77634B0D" w:rsidR="00026AE9" w:rsidRDefault="0030335A" w:rsidP="003839F6">
            <w:pPr>
              <w:pStyle w:val="TableText"/>
              <w:rPr>
                <w:rStyle w:val="Strong"/>
              </w:rPr>
            </w:pPr>
            <w:r>
              <w:rPr>
                <w:lang w:eastAsia="ja-JP"/>
              </w:rPr>
              <w:t>Impacts</w:t>
            </w:r>
          </w:p>
        </w:tc>
        <w:tc>
          <w:tcPr>
            <w:tcW w:w="5670" w:type="dxa"/>
          </w:tcPr>
          <w:p w14:paraId="457CCCF7" w14:textId="77777777" w:rsidR="00026AE9" w:rsidRDefault="00026AE9" w:rsidP="009E4DCD">
            <w:pPr>
              <w:pStyle w:val="TableText"/>
              <w:rPr>
                <w:lang w:eastAsia="ja-JP"/>
              </w:rPr>
            </w:pPr>
            <w:r w:rsidRPr="00FE613D">
              <w:rPr>
                <w:lang w:eastAsia="ja-JP"/>
              </w:rPr>
              <w:t>Protecting New Zealand‘s competitive advantage of a pest-free environment</w:t>
            </w:r>
          </w:p>
          <w:p w14:paraId="5FCFFBF7" w14:textId="77777777" w:rsidR="00026AE9" w:rsidRDefault="00026AE9" w:rsidP="009E4DCD">
            <w:pPr>
              <w:pStyle w:val="TableText"/>
              <w:rPr>
                <w:lang w:eastAsia="ja-JP"/>
              </w:rPr>
            </w:pPr>
            <w:r w:rsidRPr="00FE613D">
              <w:rPr>
                <w:lang w:eastAsia="ja-JP"/>
              </w:rPr>
              <w:t>Better preparing New Zealand to respond to pest and disease incursions</w:t>
            </w:r>
          </w:p>
          <w:p w14:paraId="1C2055F6" w14:textId="49022392" w:rsidR="00026AE9" w:rsidRDefault="00026AE9" w:rsidP="009E4DCD">
            <w:pPr>
              <w:pStyle w:val="TableText"/>
              <w:rPr>
                <w:rStyle w:val="Strong"/>
              </w:rPr>
            </w:pPr>
            <w:r w:rsidRPr="00FE613D">
              <w:rPr>
                <w:lang w:eastAsia="ja-JP"/>
              </w:rPr>
              <w:t>Increasing voluntary and assisted compliance</w:t>
            </w:r>
          </w:p>
        </w:tc>
      </w:tr>
      <w:tr w:rsidR="00026AE9" w14:paraId="5E0EB745" w14:textId="77777777" w:rsidTr="009065B8">
        <w:tc>
          <w:tcPr>
            <w:tcW w:w="3549" w:type="dxa"/>
            <w:tcBorders>
              <w:bottom w:val="single" w:sz="4" w:space="0" w:color="auto"/>
            </w:tcBorders>
          </w:tcPr>
          <w:p w14:paraId="37B7D15F" w14:textId="27358A67" w:rsidR="00026AE9" w:rsidRDefault="0030335A" w:rsidP="003839F6">
            <w:pPr>
              <w:pStyle w:val="TableText"/>
              <w:rPr>
                <w:rStyle w:val="Strong"/>
              </w:rPr>
            </w:pPr>
            <w:r>
              <w:rPr>
                <w:lang w:eastAsia="ja-JP"/>
              </w:rPr>
              <w:t>Progress indicators</w:t>
            </w:r>
          </w:p>
        </w:tc>
        <w:tc>
          <w:tcPr>
            <w:tcW w:w="5670" w:type="dxa"/>
            <w:tcBorders>
              <w:bottom w:val="single" w:sz="4" w:space="0" w:color="auto"/>
            </w:tcBorders>
          </w:tcPr>
          <w:p w14:paraId="5A58D2C1" w14:textId="77777777" w:rsidR="00026AE9" w:rsidRDefault="00026AE9" w:rsidP="009E4DCD">
            <w:pPr>
              <w:pStyle w:val="TableText"/>
              <w:rPr>
                <w:lang w:eastAsia="ja-JP"/>
              </w:rPr>
            </w:pPr>
            <w:r w:rsidRPr="00FE613D">
              <w:rPr>
                <w:lang w:eastAsia="ja-JP"/>
              </w:rPr>
              <w:t>Market access is maintained and opportunities enhanced, with trading partners having confidence in New Zealand’s biosecurity system</w:t>
            </w:r>
          </w:p>
          <w:p w14:paraId="1C9A0DEF" w14:textId="77777777" w:rsidR="00026AE9" w:rsidRDefault="00026AE9" w:rsidP="009E4DCD">
            <w:pPr>
              <w:pStyle w:val="TableText"/>
              <w:rPr>
                <w:lang w:eastAsia="ja-JP"/>
              </w:rPr>
            </w:pPr>
            <w:r w:rsidRPr="00FE613D">
              <w:rPr>
                <w:lang w:eastAsia="ja-JP"/>
              </w:rPr>
              <w:t>Health of the biosecurity system is improving</w:t>
            </w:r>
          </w:p>
          <w:p w14:paraId="5D1538CE" w14:textId="77777777" w:rsidR="00026AE9" w:rsidRDefault="00026AE9" w:rsidP="009E4DCD">
            <w:pPr>
              <w:pStyle w:val="TableText"/>
              <w:rPr>
                <w:lang w:eastAsia="ja-JP"/>
              </w:rPr>
            </w:pPr>
            <w:r w:rsidRPr="00FE613D">
              <w:rPr>
                <w:lang w:eastAsia="ja-JP"/>
              </w:rPr>
              <w:t>Number of response plans completed or reviewed</w:t>
            </w:r>
          </w:p>
          <w:p w14:paraId="12310C68" w14:textId="77777777" w:rsidR="00026AE9" w:rsidRDefault="00026AE9" w:rsidP="009E4DCD">
            <w:pPr>
              <w:pStyle w:val="TableText"/>
              <w:rPr>
                <w:lang w:eastAsia="ja-JP"/>
              </w:rPr>
            </w:pPr>
            <w:r w:rsidRPr="00FE613D">
              <w:rPr>
                <w:lang w:eastAsia="ja-JP"/>
              </w:rPr>
              <w:t>Completion of exercise testing readiness for an incursion</w:t>
            </w:r>
          </w:p>
          <w:p w14:paraId="7EB5B5E3" w14:textId="77777777" w:rsidR="00026AE9" w:rsidRDefault="00026AE9" w:rsidP="009E4DCD">
            <w:pPr>
              <w:pStyle w:val="TableText"/>
              <w:rPr>
                <w:lang w:eastAsia="ja-JP"/>
              </w:rPr>
            </w:pPr>
            <w:r w:rsidRPr="00FE613D">
              <w:rPr>
                <w:lang w:eastAsia="ja-JP"/>
              </w:rPr>
              <w:t>Adoption of previous recommendations that lead to faster, more effective responses</w:t>
            </w:r>
          </w:p>
          <w:p w14:paraId="21E80B85" w14:textId="1C0FC9F1" w:rsidR="00026AE9" w:rsidRDefault="00026AE9" w:rsidP="009E4DCD">
            <w:pPr>
              <w:pStyle w:val="TableText"/>
              <w:rPr>
                <w:rStyle w:val="Strong"/>
              </w:rPr>
            </w:pPr>
            <w:r w:rsidRPr="00FE613D">
              <w:rPr>
                <w:lang w:eastAsia="ja-JP"/>
              </w:rPr>
              <w:t>Compliance rates with biosecurity requirements increasing</w:t>
            </w:r>
          </w:p>
        </w:tc>
      </w:tr>
      <w:tr w:rsidR="00026AE9" w14:paraId="02D3F479" w14:textId="77777777" w:rsidTr="009065B8">
        <w:tc>
          <w:tcPr>
            <w:tcW w:w="3549" w:type="dxa"/>
            <w:tcBorders>
              <w:top w:val="single" w:sz="4" w:space="0" w:color="auto"/>
              <w:bottom w:val="single" w:sz="4" w:space="0" w:color="auto"/>
            </w:tcBorders>
          </w:tcPr>
          <w:p w14:paraId="7599B69E" w14:textId="624B6B97" w:rsidR="00026AE9" w:rsidRDefault="0030335A" w:rsidP="009E4DCD">
            <w:pPr>
              <w:pStyle w:val="TableHeading"/>
              <w:rPr>
                <w:rStyle w:val="Strong"/>
              </w:rPr>
            </w:pPr>
            <w:r>
              <w:rPr>
                <w:lang w:eastAsia="ja-JP"/>
              </w:rPr>
              <w:t>Appropriation</w:t>
            </w:r>
          </w:p>
        </w:tc>
        <w:tc>
          <w:tcPr>
            <w:tcW w:w="5670" w:type="dxa"/>
            <w:tcBorders>
              <w:top w:val="single" w:sz="4" w:space="0" w:color="auto"/>
              <w:bottom w:val="single" w:sz="4" w:space="0" w:color="auto"/>
            </w:tcBorders>
          </w:tcPr>
          <w:p w14:paraId="24FFC276" w14:textId="4FB5C690" w:rsidR="00026AE9" w:rsidRDefault="00026AE9" w:rsidP="009E4DCD">
            <w:pPr>
              <w:pStyle w:val="TableHeading"/>
              <w:rPr>
                <w:rStyle w:val="Strong"/>
              </w:rPr>
            </w:pPr>
            <w:r w:rsidRPr="00FE613D">
              <w:rPr>
                <w:lang w:eastAsia="ja-JP"/>
              </w:rPr>
              <w:t>Service performance measure</w:t>
            </w:r>
          </w:p>
        </w:tc>
      </w:tr>
      <w:tr w:rsidR="00026AE9" w14:paraId="4AFA419D" w14:textId="77777777" w:rsidTr="009065B8">
        <w:tc>
          <w:tcPr>
            <w:tcW w:w="3549" w:type="dxa"/>
            <w:tcBorders>
              <w:top w:val="single" w:sz="4" w:space="0" w:color="auto"/>
            </w:tcBorders>
          </w:tcPr>
          <w:p w14:paraId="18568400" w14:textId="00988665" w:rsidR="00026AE9" w:rsidRDefault="00026AE9" w:rsidP="009E4DCD">
            <w:pPr>
              <w:pStyle w:val="TableText"/>
              <w:rPr>
                <w:rStyle w:val="Strong"/>
              </w:rPr>
            </w:pPr>
            <w:r w:rsidRPr="00FE613D">
              <w:rPr>
                <w:lang w:eastAsia="ja-JP"/>
              </w:rPr>
              <w:t>Biosecurity incursion response and long-term pest management</w:t>
            </w:r>
          </w:p>
        </w:tc>
        <w:tc>
          <w:tcPr>
            <w:tcW w:w="5670" w:type="dxa"/>
            <w:tcBorders>
              <w:top w:val="single" w:sz="4" w:space="0" w:color="auto"/>
            </w:tcBorders>
          </w:tcPr>
          <w:p w14:paraId="766873D4" w14:textId="567938AE" w:rsidR="00026AE9" w:rsidRDefault="00026AE9" w:rsidP="009E4DCD">
            <w:pPr>
              <w:pStyle w:val="TableText"/>
              <w:rPr>
                <w:lang w:eastAsia="ja-JP"/>
              </w:rPr>
            </w:pPr>
            <w:r w:rsidRPr="00FE613D">
              <w:rPr>
                <w:lang w:eastAsia="ja-JP"/>
              </w:rPr>
              <w:t xml:space="preserve">Number of </w:t>
            </w:r>
            <w:r w:rsidR="00544BBF">
              <w:rPr>
                <w:lang w:eastAsia="ja-JP"/>
              </w:rPr>
              <w:t>industry sign-up for Government–</w:t>
            </w:r>
            <w:r w:rsidRPr="00FE613D">
              <w:rPr>
                <w:lang w:eastAsia="ja-JP"/>
              </w:rPr>
              <w:t>Industry Agreement deeds</w:t>
            </w:r>
          </w:p>
          <w:p w14:paraId="4A12B6C3" w14:textId="2030937D" w:rsidR="00026AE9" w:rsidRDefault="00026AE9" w:rsidP="009E4DCD">
            <w:pPr>
              <w:pStyle w:val="TableText"/>
              <w:rPr>
                <w:rStyle w:val="Strong"/>
              </w:rPr>
            </w:pPr>
            <w:r w:rsidRPr="002039D0">
              <w:rPr>
                <w:lang w:eastAsia="ja-JP"/>
              </w:rPr>
              <w:t>Percentage of key stakeholders are satisfied with major biosecurity responses</w:t>
            </w:r>
          </w:p>
        </w:tc>
      </w:tr>
      <w:tr w:rsidR="00026AE9" w14:paraId="73E0ECE5" w14:textId="77777777" w:rsidTr="009065B8">
        <w:tc>
          <w:tcPr>
            <w:tcW w:w="3549" w:type="dxa"/>
          </w:tcPr>
          <w:p w14:paraId="7DB3F7A7" w14:textId="3601365D" w:rsidR="00026AE9" w:rsidRDefault="00026AE9" w:rsidP="009E4DCD">
            <w:pPr>
              <w:pStyle w:val="TableText"/>
              <w:rPr>
                <w:rStyle w:val="Strong"/>
              </w:rPr>
            </w:pPr>
            <w:r w:rsidRPr="002039D0">
              <w:rPr>
                <w:lang w:eastAsia="ja-JP"/>
              </w:rPr>
              <w:t>Border biosecurity monitoring and clearance</w:t>
            </w:r>
          </w:p>
        </w:tc>
        <w:tc>
          <w:tcPr>
            <w:tcW w:w="5670" w:type="dxa"/>
          </w:tcPr>
          <w:p w14:paraId="678F5E2E" w14:textId="77777777" w:rsidR="00026AE9" w:rsidRDefault="00026AE9" w:rsidP="009E4DCD">
            <w:pPr>
              <w:pStyle w:val="TableText"/>
              <w:rPr>
                <w:lang w:eastAsia="ja-JP"/>
              </w:rPr>
            </w:pPr>
            <w:r w:rsidRPr="002039D0">
              <w:rPr>
                <w:lang w:eastAsia="ja-JP"/>
              </w:rPr>
              <w:t>Percentage of international air passengers that comply with biosecurity requirements by the time they leave the airport</w:t>
            </w:r>
          </w:p>
          <w:p w14:paraId="021D0719" w14:textId="77777777" w:rsidR="00026AE9" w:rsidRDefault="00026AE9" w:rsidP="009E4DCD">
            <w:pPr>
              <w:pStyle w:val="TableText"/>
              <w:rPr>
                <w:lang w:eastAsia="ja-JP"/>
              </w:rPr>
            </w:pPr>
            <w:r w:rsidRPr="002039D0">
              <w:rPr>
                <w:lang w:eastAsia="ja-JP"/>
              </w:rPr>
              <w:t>Percentage of international mail that complies with biosecurity requirements by the time it leaves the International Mail Centre</w:t>
            </w:r>
          </w:p>
          <w:p w14:paraId="2EA5EB47" w14:textId="038053E4" w:rsidR="00026AE9" w:rsidRDefault="00026AE9" w:rsidP="009E4DCD">
            <w:pPr>
              <w:pStyle w:val="TableText"/>
              <w:rPr>
                <w:lang w:eastAsia="ja-JP"/>
              </w:rPr>
            </w:pPr>
            <w:r w:rsidRPr="002039D0">
              <w:rPr>
                <w:lang w:eastAsia="ja-JP"/>
              </w:rPr>
              <w:t>Percentage of import clearance processes completed within agreed time</w:t>
            </w:r>
            <w:r w:rsidR="00544BBF">
              <w:rPr>
                <w:lang w:eastAsia="ja-JP"/>
              </w:rPr>
              <w:t xml:space="preserve"> </w:t>
            </w:r>
            <w:r w:rsidRPr="002039D0">
              <w:rPr>
                <w:lang w:eastAsia="ja-JP"/>
              </w:rPr>
              <w:t>frames</w:t>
            </w:r>
          </w:p>
          <w:p w14:paraId="2E3FC82E" w14:textId="77777777" w:rsidR="00026AE9" w:rsidRDefault="00026AE9" w:rsidP="009E4DCD">
            <w:pPr>
              <w:pStyle w:val="TableText"/>
              <w:rPr>
                <w:lang w:eastAsia="ja-JP"/>
              </w:rPr>
            </w:pPr>
            <w:r w:rsidRPr="002039D0">
              <w:rPr>
                <w:lang w:eastAsia="ja-JP"/>
              </w:rPr>
              <w:t>Number of identified and mitigated biosecurity risks resulting from targeted evaluations of imported goods</w:t>
            </w:r>
          </w:p>
          <w:p w14:paraId="7C30B6C7" w14:textId="6FC29666" w:rsidR="00026AE9" w:rsidRDefault="00026AE9" w:rsidP="009E4DCD">
            <w:pPr>
              <w:pStyle w:val="TableText"/>
              <w:rPr>
                <w:rStyle w:val="Strong"/>
              </w:rPr>
            </w:pPr>
            <w:r w:rsidRPr="002039D0">
              <w:rPr>
                <w:lang w:eastAsia="ja-JP"/>
              </w:rPr>
              <w:t>Percentage of costs-recovered external stakeholders rate overall service as 4 out of 5 or higher</w:t>
            </w:r>
          </w:p>
        </w:tc>
      </w:tr>
      <w:tr w:rsidR="00026AE9" w14:paraId="521C661C" w14:textId="77777777" w:rsidTr="009065B8">
        <w:tc>
          <w:tcPr>
            <w:tcW w:w="3549" w:type="dxa"/>
          </w:tcPr>
          <w:p w14:paraId="16ED1018" w14:textId="31E4AE3A" w:rsidR="00026AE9" w:rsidRDefault="00026AE9" w:rsidP="009E4DCD">
            <w:pPr>
              <w:pStyle w:val="TableText"/>
              <w:rPr>
                <w:rStyle w:val="Strong"/>
              </w:rPr>
            </w:pPr>
            <w:r w:rsidRPr="002039D0">
              <w:rPr>
                <w:lang w:eastAsia="ja-JP"/>
              </w:rPr>
              <w:t>Border biosecurity systems development and maintenance</w:t>
            </w:r>
            <w:r w:rsidRPr="00FE613D">
              <w:rPr>
                <w:lang w:eastAsia="ja-JP"/>
              </w:rPr>
              <w:t xml:space="preserve"> </w:t>
            </w:r>
          </w:p>
        </w:tc>
        <w:tc>
          <w:tcPr>
            <w:tcW w:w="5670" w:type="dxa"/>
          </w:tcPr>
          <w:p w14:paraId="2CFCBF1D" w14:textId="1C9BB00E" w:rsidR="00026AE9" w:rsidRDefault="00026AE9" w:rsidP="009E4DCD">
            <w:pPr>
              <w:pStyle w:val="TableText"/>
              <w:rPr>
                <w:lang w:eastAsia="ja-JP"/>
              </w:rPr>
            </w:pPr>
            <w:r w:rsidRPr="002039D0">
              <w:rPr>
                <w:lang w:eastAsia="ja-JP"/>
              </w:rPr>
              <w:t>Percentage of OIE</w:t>
            </w:r>
            <w:r w:rsidR="00121920">
              <w:rPr>
                <w:lang w:eastAsia="ja-JP"/>
              </w:rPr>
              <w:t xml:space="preserve"> </w:t>
            </w:r>
            <w:r w:rsidRPr="002039D0">
              <w:rPr>
                <w:lang w:eastAsia="ja-JP"/>
              </w:rPr>
              <w:t>and IPPC standards that are accepted by New Zealand</w:t>
            </w:r>
          </w:p>
          <w:p w14:paraId="773C7F6B" w14:textId="77777777" w:rsidR="00026AE9" w:rsidRDefault="00026AE9" w:rsidP="009E4DCD">
            <w:pPr>
              <w:pStyle w:val="TableText"/>
              <w:rPr>
                <w:lang w:eastAsia="ja-JP"/>
              </w:rPr>
            </w:pPr>
            <w:r w:rsidRPr="002039D0">
              <w:rPr>
                <w:lang w:eastAsia="ja-JP"/>
              </w:rPr>
              <w:t>Percentage of certificates issued that meet biosecurity technical requirements of importing countries are specified by overseas competent authorities</w:t>
            </w:r>
          </w:p>
          <w:p w14:paraId="1F8F28C9" w14:textId="66F11B70" w:rsidR="00026AE9" w:rsidRDefault="00026AE9" w:rsidP="009E4DCD">
            <w:pPr>
              <w:pStyle w:val="TableText"/>
              <w:rPr>
                <w:rStyle w:val="Strong"/>
              </w:rPr>
            </w:pPr>
            <w:r w:rsidRPr="002039D0">
              <w:rPr>
                <w:lang w:eastAsia="ja-JP"/>
              </w:rPr>
              <w:t>Percentage of milestones met for the Sanitary and Phytosanitary Standards Market Access Programme, as agreed with key meat, dairy, seafood and horticulture sector stakeholders</w:t>
            </w:r>
          </w:p>
        </w:tc>
      </w:tr>
      <w:tr w:rsidR="00026AE9" w14:paraId="4CDC88BC" w14:textId="77777777" w:rsidTr="009065B8">
        <w:tc>
          <w:tcPr>
            <w:tcW w:w="3549" w:type="dxa"/>
          </w:tcPr>
          <w:p w14:paraId="0D13CCDA" w14:textId="12312278" w:rsidR="00026AE9" w:rsidRPr="002039D0" w:rsidRDefault="00026AE9" w:rsidP="009E4DCD">
            <w:pPr>
              <w:pStyle w:val="TableText"/>
              <w:rPr>
                <w:lang w:eastAsia="ja-JP"/>
              </w:rPr>
            </w:pPr>
            <w:r w:rsidRPr="002039D0">
              <w:rPr>
                <w:lang w:eastAsia="ja-JP"/>
              </w:rPr>
              <w:t>Domestic biosecurity surveillance</w:t>
            </w:r>
          </w:p>
        </w:tc>
        <w:tc>
          <w:tcPr>
            <w:tcW w:w="5670" w:type="dxa"/>
          </w:tcPr>
          <w:p w14:paraId="0204046E" w14:textId="77777777" w:rsidR="00026AE9" w:rsidRDefault="00026AE9" w:rsidP="009E4DCD">
            <w:pPr>
              <w:pStyle w:val="TableText"/>
              <w:rPr>
                <w:lang w:eastAsia="ja-JP"/>
              </w:rPr>
            </w:pPr>
            <w:r w:rsidRPr="002039D0">
              <w:rPr>
                <w:lang w:eastAsia="ja-JP"/>
              </w:rPr>
              <w:t>ISO 17025 accreditation maintained for all laboratory processing, testing and reporting</w:t>
            </w:r>
          </w:p>
          <w:p w14:paraId="6F2AA83B" w14:textId="77777777" w:rsidR="00026AE9" w:rsidRDefault="00026AE9" w:rsidP="009E4DCD">
            <w:pPr>
              <w:pStyle w:val="TableText"/>
              <w:rPr>
                <w:lang w:eastAsia="ja-JP"/>
              </w:rPr>
            </w:pPr>
            <w:r w:rsidRPr="002039D0">
              <w:rPr>
                <w:lang w:eastAsia="ja-JP"/>
              </w:rPr>
              <w:t>Percentage of incursion investigations reach an outcome decision within specified timeframes</w:t>
            </w:r>
          </w:p>
          <w:p w14:paraId="5284C916" w14:textId="77777777" w:rsidR="00026AE9" w:rsidRDefault="00026AE9" w:rsidP="009E4DCD">
            <w:pPr>
              <w:pStyle w:val="TableText"/>
              <w:rPr>
                <w:lang w:eastAsia="ja-JP"/>
              </w:rPr>
            </w:pPr>
            <w:r w:rsidRPr="002039D0">
              <w:rPr>
                <w:lang w:eastAsia="ja-JP"/>
              </w:rPr>
              <w:t>With any suspected high risk or serious pest or disease notification, the investigation commences within 24 hours of notification</w:t>
            </w:r>
          </w:p>
          <w:p w14:paraId="4B231FE4" w14:textId="77777777" w:rsidR="00026AE9" w:rsidRDefault="00026AE9" w:rsidP="009E4DCD">
            <w:pPr>
              <w:pStyle w:val="TableText"/>
              <w:rPr>
                <w:lang w:eastAsia="ja-JP"/>
              </w:rPr>
            </w:pPr>
            <w:r w:rsidRPr="002039D0">
              <w:rPr>
                <w:lang w:eastAsia="ja-JP"/>
              </w:rPr>
              <w:t>No export markets are closed due to the standard of MPI's active surveillance programs</w:t>
            </w:r>
          </w:p>
          <w:p w14:paraId="4BA67B7F" w14:textId="1D8B51EF" w:rsidR="00026AE9" w:rsidRPr="002039D0" w:rsidRDefault="00026AE9" w:rsidP="009E4DCD">
            <w:pPr>
              <w:pStyle w:val="TableText"/>
              <w:rPr>
                <w:lang w:eastAsia="ja-JP"/>
              </w:rPr>
            </w:pPr>
            <w:r w:rsidRPr="002039D0">
              <w:rPr>
                <w:lang w:eastAsia="ja-JP"/>
              </w:rPr>
              <w:t>Specifically targeted pests or diseases are detected early enough to enable effective risk management interventions</w:t>
            </w:r>
          </w:p>
        </w:tc>
      </w:tr>
    </w:tbl>
    <w:p w14:paraId="1C99D636" w14:textId="31E28A33" w:rsidR="00FE613D" w:rsidRDefault="00121920" w:rsidP="00581596">
      <w:pPr>
        <w:pStyle w:val="FigureTableNoteSource"/>
        <w:rPr>
          <w:lang w:eastAsia="ja-JP"/>
        </w:rPr>
      </w:pPr>
      <w:r>
        <w:rPr>
          <w:lang w:eastAsia="ja-JP"/>
        </w:rPr>
        <w:t>I</w:t>
      </w:r>
      <w:r w:rsidR="007B705C">
        <w:rPr>
          <w:lang w:eastAsia="ja-JP"/>
        </w:rPr>
        <w:t>PPC</w:t>
      </w:r>
      <w:r w:rsidR="00544BBF">
        <w:rPr>
          <w:lang w:eastAsia="ja-JP"/>
        </w:rPr>
        <w:t>:</w:t>
      </w:r>
      <w:r>
        <w:rPr>
          <w:lang w:eastAsia="ja-JP"/>
        </w:rPr>
        <w:t xml:space="preserve"> </w:t>
      </w:r>
      <w:r w:rsidR="00FE613D">
        <w:rPr>
          <w:lang w:eastAsia="ja-JP"/>
        </w:rPr>
        <w:t>International Plant Protection Convention</w:t>
      </w:r>
      <w:r w:rsidR="00544BBF">
        <w:rPr>
          <w:lang w:eastAsia="ja-JP"/>
        </w:rPr>
        <w:t>; OIE: World Organi</w:t>
      </w:r>
      <w:r w:rsidR="00065BED">
        <w:rPr>
          <w:lang w:eastAsia="ja-JP"/>
        </w:rPr>
        <w:t>s</w:t>
      </w:r>
      <w:r w:rsidR="00544BBF">
        <w:rPr>
          <w:lang w:eastAsia="ja-JP"/>
        </w:rPr>
        <w:t>ation for Animal Health.</w:t>
      </w:r>
    </w:p>
    <w:p w14:paraId="361C1E37" w14:textId="244C9D14" w:rsidR="0015243A" w:rsidRPr="0015243A" w:rsidRDefault="0015243A" w:rsidP="0015243A">
      <w:pPr>
        <w:pStyle w:val="FigureTableNoteSource"/>
        <w:rPr>
          <w:lang w:eastAsia="ja-JP"/>
        </w:rPr>
      </w:pPr>
      <w:r>
        <w:rPr>
          <w:lang w:eastAsia="ja-JP"/>
        </w:rPr>
        <w:t xml:space="preserve">Source: </w:t>
      </w:r>
      <w:hyperlink w:anchor="NZ_MPI_2015" w:history="1">
        <w:r w:rsidRPr="00DA1F72">
          <w:rPr>
            <w:rStyle w:val="Hyperlink"/>
            <w:lang w:eastAsia="ja-JP"/>
          </w:rPr>
          <w:t>NZ MPI 2015</w:t>
        </w:r>
      </w:hyperlink>
      <w:r>
        <w:rPr>
          <w:lang w:eastAsia="ja-JP"/>
        </w:rPr>
        <w:t xml:space="preserve">; </w:t>
      </w:r>
      <w:hyperlink w:anchor="NZ_MPI_2016a" w:history="1">
        <w:r w:rsidRPr="00DA1F72">
          <w:rPr>
            <w:rStyle w:val="Hyperlink"/>
            <w:lang w:eastAsia="ja-JP"/>
          </w:rPr>
          <w:t>NZ MPI 2016</w:t>
        </w:r>
        <w:r w:rsidR="00DA1F72" w:rsidRPr="00DA1F72">
          <w:rPr>
            <w:rStyle w:val="Hyperlink"/>
            <w:lang w:eastAsia="ja-JP"/>
          </w:rPr>
          <w:t>a</w:t>
        </w:r>
      </w:hyperlink>
      <w:r w:rsidR="00544BBF">
        <w:rPr>
          <w:lang w:eastAsia="ja-JP"/>
        </w:rPr>
        <w:t>.</w:t>
      </w:r>
    </w:p>
    <w:p w14:paraId="5581C4DC" w14:textId="4B0E8A35" w:rsidR="00A2083D" w:rsidRDefault="00A2083D" w:rsidP="00963034">
      <w:pPr>
        <w:pStyle w:val="Heading2"/>
        <w:numPr>
          <w:ilvl w:val="0"/>
          <w:numId w:val="0"/>
        </w:numPr>
        <w:ind w:left="709" w:hanging="709"/>
      </w:pPr>
      <w:bookmarkStart w:id="251" w:name="_Appendix_G:_Submissions"/>
      <w:bookmarkStart w:id="252" w:name="_Appendix_F:_National"/>
      <w:bookmarkStart w:id="253" w:name="_Appendix_F:_Comparing"/>
      <w:bookmarkStart w:id="254" w:name="_Toc486236076"/>
      <w:bookmarkEnd w:id="251"/>
      <w:bookmarkEnd w:id="252"/>
      <w:bookmarkEnd w:id="253"/>
      <w:r>
        <w:t xml:space="preserve">Appendix </w:t>
      </w:r>
      <w:r w:rsidR="00280A78">
        <w:t>F</w:t>
      </w:r>
      <w:r>
        <w:t xml:space="preserve"> </w:t>
      </w:r>
      <w:r w:rsidR="00BC245E">
        <w:t>Comparing industry and environmental preparedness</w:t>
      </w:r>
      <w:bookmarkEnd w:id="254"/>
    </w:p>
    <w:p w14:paraId="7BC4BA5E" w14:textId="652D0CDE" w:rsidR="007A03A0" w:rsidRPr="000E675E" w:rsidRDefault="000E675E" w:rsidP="000E675E">
      <w:pPr>
        <w:pStyle w:val="Caption"/>
      </w:pPr>
      <w:r>
        <w:t>Table F</w:t>
      </w:r>
      <w:fldSimple w:instr=" SEQ Table_F \* ARABIC ">
        <w:r w:rsidR="009F6923">
          <w:rPr>
            <w:noProof/>
          </w:rPr>
          <w:t>1</w:t>
        </w:r>
      </w:fldSimple>
      <w:r>
        <w:rPr>
          <w:b w:val="0"/>
          <w:sz w:val="20"/>
          <w:szCs w:val="20"/>
          <w:lang w:eastAsia="ja-JP"/>
        </w:rPr>
        <w:t xml:space="preserve"> </w:t>
      </w:r>
      <w:r w:rsidR="007A03A0" w:rsidRPr="000E675E">
        <w:t xml:space="preserve">Invasive Species Council (sub. DP50) </w:t>
      </w:r>
      <w:r w:rsidR="0061657F">
        <w:t>c</w:t>
      </w:r>
      <w:r w:rsidR="007A03A0" w:rsidRPr="000E675E">
        <w:t>omparing industry and environmental preparedness (2015)</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Comparison of indusrty and environemntal preparedness, provided by the Invasive Species Council "/>
      </w:tblPr>
      <w:tblGrid>
        <w:gridCol w:w="1985"/>
        <w:gridCol w:w="3827"/>
        <w:gridCol w:w="3248"/>
      </w:tblGrid>
      <w:tr w:rsidR="00DD29D6" w14:paraId="396AB511" w14:textId="77777777" w:rsidTr="00AA1818">
        <w:trPr>
          <w:tblHeader/>
        </w:trPr>
        <w:tc>
          <w:tcPr>
            <w:tcW w:w="1985" w:type="dxa"/>
            <w:tcBorders>
              <w:top w:val="single" w:sz="4" w:space="0" w:color="auto"/>
              <w:bottom w:val="nil"/>
            </w:tcBorders>
          </w:tcPr>
          <w:p w14:paraId="4000C722" w14:textId="77777777" w:rsidR="00DD29D6" w:rsidRDefault="00DD29D6" w:rsidP="00ED11A2">
            <w:pPr>
              <w:pStyle w:val="TableHeading"/>
            </w:pPr>
            <w:r>
              <w:t>Measure</w:t>
            </w:r>
          </w:p>
        </w:tc>
        <w:tc>
          <w:tcPr>
            <w:tcW w:w="3827" w:type="dxa"/>
            <w:tcBorders>
              <w:top w:val="single" w:sz="4" w:space="0" w:color="auto"/>
              <w:bottom w:val="nil"/>
            </w:tcBorders>
          </w:tcPr>
          <w:p w14:paraId="78E43AA4" w14:textId="77777777" w:rsidR="00DD29D6" w:rsidRDefault="00DD29D6" w:rsidP="00ED11A2">
            <w:pPr>
              <w:pStyle w:val="TableHeading"/>
            </w:pPr>
            <w:r>
              <w:t>Agricultural biosecurity</w:t>
            </w:r>
          </w:p>
        </w:tc>
        <w:tc>
          <w:tcPr>
            <w:tcW w:w="3248" w:type="dxa"/>
            <w:tcBorders>
              <w:top w:val="single" w:sz="4" w:space="0" w:color="auto"/>
              <w:bottom w:val="nil"/>
            </w:tcBorders>
          </w:tcPr>
          <w:p w14:paraId="66AA96DE" w14:textId="77777777" w:rsidR="00DD29D6" w:rsidRDefault="00DD29D6" w:rsidP="00ED11A2">
            <w:pPr>
              <w:pStyle w:val="TableHeading"/>
            </w:pPr>
            <w:r>
              <w:t>Environmental biosecurity</w:t>
            </w:r>
          </w:p>
        </w:tc>
      </w:tr>
      <w:tr w:rsidR="00DD29D6" w14:paraId="69884CC7" w14:textId="77777777" w:rsidTr="00AA1818">
        <w:tc>
          <w:tcPr>
            <w:tcW w:w="1985" w:type="dxa"/>
            <w:tcBorders>
              <w:top w:val="nil"/>
              <w:bottom w:val="nil"/>
            </w:tcBorders>
          </w:tcPr>
          <w:p w14:paraId="4DB10EAA" w14:textId="77777777" w:rsidR="00DD29D6" w:rsidRPr="004B3ED7" w:rsidRDefault="00DD29D6" w:rsidP="004B3ED7">
            <w:pPr>
              <w:pStyle w:val="TableText"/>
              <w:rPr>
                <w:b/>
              </w:rPr>
            </w:pPr>
            <w:r w:rsidRPr="004B3ED7">
              <w:rPr>
                <w:b/>
              </w:rPr>
              <w:t>Contingency planning</w:t>
            </w:r>
          </w:p>
        </w:tc>
        <w:tc>
          <w:tcPr>
            <w:tcW w:w="3827" w:type="dxa"/>
            <w:tcBorders>
              <w:top w:val="nil"/>
              <w:bottom w:val="nil"/>
            </w:tcBorders>
          </w:tcPr>
          <w:p w14:paraId="1C8C6029" w14:textId="1F1D01BC" w:rsidR="00DD29D6" w:rsidRPr="004B3ED7" w:rsidRDefault="004B3ED7" w:rsidP="00ED11A2">
            <w:pPr>
              <w:rPr>
                <w:color w:val="FFFFFF" w:themeColor="background1"/>
              </w:rPr>
            </w:pPr>
            <w:r w:rsidRPr="004B3ED7">
              <w:rPr>
                <w:color w:val="FFFFFF" w:themeColor="background1"/>
              </w:rPr>
              <w:t>.</w:t>
            </w:r>
          </w:p>
        </w:tc>
        <w:tc>
          <w:tcPr>
            <w:tcW w:w="3248" w:type="dxa"/>
            <w:tcBorders>
              <w:top w:val="nil"/>
              <w:bottom w:val="nil"/>
            </w:tcBorders>
          </w:tcPr>
          <w:p w14:paraId="5051B48C" w14:textId="6EA7CA85" w:rsidR="00DD29D6" w:rsidRPr="0061657F" w:rsidRDefault="004B3ED7" w:rsidP="00ED11A2">
            <w:pPr>
              <w:rPr>
                <w:color w:val="FFFFFF" w:themeColor="background1"/>
              </w:rPr>
            </w:pPr>
            <w:r w:rsidRPr="0061657F">
              <w:rPr>
                <w:color w:val="FFFFFF" w:themeColor="background1"/>
              </w:rPr>
              <w:t>.</w:t>
            </w:r>
          </w:p>
        </w:tc>
      </w:tr>
      <w:tr w:rsidR="00DD29D6" w14:paraId="158D3512" w14:textId="77777777" w:rsidTr="00AA1818">
        <w:tc>
          <w:tcPr>
            <w:tcW w:w="1985" w:type="dxa"/>
            <w:tcBorders>
              <w:top w:val="nil"/>
            </w:tcBorders>
          </w:tcPr>
          <w:p w14:paraId="2CF65A0B" w14:textId="77777777" w:rsidR="00DD29D6" w:rsidRPr="00DB09D5" w:rsidRDefault="00DD29D6" w:rsidP="00ED11A2">
            <w:pPr>
              <w:pStyle w:val="TableText"/>
              <w:rPr>
                <w:sz w:val="16"/>
                <w:szCs w:val="16"/>
              </w:rPr>
            </w:pPr>
            <w:r w:rsidRPr="00DB09D5">
              <w:rPr>
                <w:sz w:val="16"/>
                <w:szCs w:val="16"/>
              </w:rPr>
              <w:t>Institutions</w:t>
            </w:r>
          </w:p>
        </w:tc>
        <w:tc>
          <w:tcPr>
            <w:tcW w:w="3827" w:type="dxa"/>
            <w:tcBorders>
              <w:top w:val="nil"/>
            </w:tcBorders>
          </w:tcPr>
          <w:p w14:paraId="01E9131E" w14:textId="77777777" w:rsidR="00DD29D6" w:rsidRPr="00DB09D5" w:rsidRDefault="00DD29D6" w:rsidP="00ED11A2">
            <w:pPr>
              <w:pStyle w:val="TableText"/>
              <w:rPr>
                <w:sz w:val="16"/>
                <w:szCs w:val="16"/>
              </w:rPr>
            </w:pPr>
            <w:r w:rsidRPr="00DB09D5">
              <w:rPr>
                <w:sz w:val="16"/>
                <w:szCs w:val="16"/>
              </w:rPr>
              <w:t>Plant Health Australia</w:t>
            </w:r>
          </w:p>
          <w:p w14:paraId="658F2570" w14:textId="77777777" w:rsidR="00DD29D6" w:rsidRPr="00DB09D5" w:rsidRDefault="00DD29D6" w:rsidP="00ED11A2">
            <w:pPr>
              <w:pStyle w:val="TableText"/>
              <w:rPr>
                <w:sz w:val="16"/>
                <w:szCs w:val="16"/>
              </w:rPr>
            </w:pPr>
            <w:r w:rsidRPr="00DB09D5">
              <w:rPr>
                <w:sz w:val="16"/>
                <w:szCs w:val="16"/>
              </w:rPr>
              <w:t>Animal Health Australia</w:t>
            </w:r>
          </w:p>
          <w:p w14:paraId="3F9C14BA" w14:textId="77777777" w:rsidR="00DD29D6" w:rsidRPr="00DB09D5" w:rsidRDefault="00DD29D6" w:rsidP="00ED11A2">
            <w:pPr>
              <w:pStyle w:val="TableText"/>
              <w:rPr>
                <w:sz w:val="16"/>
                <w:szCs w:val="16"/>
              </w:rPr>
            </w:pPr>
            <w:r w:rsidRPr="00DB09D5">
              <w:rPr>
                <w:sz w:val="16"/>
                <w:szCs w:val="16"/>
              </w:rPr>
              <w:t>Wildlife Health Australia</w:t>
            </w:r>
          </w:p>
        </w:tc>
        <w:tc>
          <w:tcPr>
            <w:tcW w:w="3248" w:type="dxa"/>
            <w:tcBorders>
              <w:top w:val="nil"/>
            </w:tcBorders>
          </w:tcPr>
          <w:p w14:paraId="61D408A6" w14:textId="77777777" w:rsidR="00DD29D6" w:rsidRPr="00DB09D5" w:rsidRDefault="00DD29D6" w:rsidP="00ED11A2">
            <w:pPr>
              <w:pStyle w:val="TableText"/>
              <w:rPr>
                <w:sz w:val="16"/>
                <w:szCs w:val="16"/>
              </w:rPr>
            </w:pPr>
            <w:r w:rsidRPr="00DB09D5">
              <w:rPr>
                <w:sz w:val="16"/>
                <w:szCs w:val="16"/>
              </w:rPr>
              <w:t>Government implements NEBRA</w:t>
            </w:r>
          </w:p>
          <w:p w14:paraId="1E5CA36B" w14:textId="77777777" w:rsidR="00DD29D6" w:rsidRPr="00DB09D5" w:rsidRDefault="00DD29D6" w:rsidP="00ED11A2">
            <w:pPr>
              <w:pStyle w:val="TableText"/>
              <w:rPr>
                <w:sz w:val="16"/>
                <w:szCs w:val="16"/>
              </w:rPr>
            </w:pPr>
            <w:r w:rsidRPr="00DB09D5">
              <w:rPr>
                <w:sz w:val="16"/>
                <w:szCs w:val="16"/>
              </w:rPr>
              <w:t>Obligations</w:t>
            </w:r>
          </w:p>
          <w:p w14:paraId="62F614EA" w14:textId="77777777" w:rsidR="00DD29D6" w:rsidRPr="00DB09D5" w:rsidRDefault="00DD29D6" w:rsidP="00ED11A2">
            <w:pPr>
              <w:pStyle w:val="TableText"/>
              <w:rPr>
                <w:sz w:val="16"/>
                <w:szCs w:val="16"/>
              </w:rPr>
            </w:pPr>
            <w:r w:rsidRPr="00DB09D5">
              <w:rPr>
                <w:sz w:val="16"/>
                <w:szCs w:val="16"/>
              </w:rPr>
              <w:t>Few tangible outputs</w:t>
            </w:r>
          </w:p>
        </w:tc>
      </w:tr>
      <w:tr w:rsidR="00DD29D6" w14:paraId="4C36B08F" w14:textId="77777777" w:rsidTr="0061657F">
        <w:tc>
          <w:tcPr>
            <w:tcW w:w="1985" w:type="dxa"/>
          </w:tcPr>
          <w:p w14:paraId="6539A1C5" w14:textId="77777777" w:rsidR="00DD29D6" w:rsidRPr="00DB09D5" w:rsidRDefault="00DD29D6" w:rsidP="00ED11A2">
            <w:pPr>
              <w:pStyle w:val="TableText"/>
              <w:rPr>
                <w:sz w:val="16"/>
                <w:szCs w:val="16"/>
              </w:rPr>
            </w:pPr>
            <w:r w:rsidRPr="00DB09D5">
              <w:rPr>
                <w:sz w:val="16"/>
                <w:szCs w:val="16"/>
              </w:rPr>
              <w:t>Funds</w:t>
            </w:r>
          </w:p>
        </w:tc>
        <w:tc>
          <w:tcPr>
            <w:tcW w:w="3827" w:type="dxa"/>
          </w:tcPr>
          <w:p w14:paraId="6EFFDF2D" w14:textId="77777777" w:rsidR="00DD29D6" w:rsidRPr="00DB09D5" w:rsidRDefault="00DD29D6" w:rsidP="00ED11A2">
            <w:pPr>
              <w:pStyle w:val="TableText"/>
              <w:rPr>
                <w:sz w:val="16"/>
                <w:szCs w:val="16"/>
              </w:rPr>
            </w:pPr>
            <w:r w:rsidRPr="00DB09D5">
              <w:rPr>
                <w:sz w:val="16"/>
                <w:szCs w:val="16"/>
              </w:rPr>
              <w:t>$20M over 5 years to PHA, AHA</w:t>
            </w:r>
          </w:p>
        </w:tc>
        <w:tc>
          <w:tcPr>
            <w:tcW w:w="3248" w:type="dxa"/>
          </w:tcPr>
          <w:p w14:paraId="6921AEAA" w14:textId="77777777" w:rsidR="00DD29D6" w:rsidRPr="00DB09D5" w:rsidRDefault="00DD29D6" w:rsidP="00ED11A2">
            <w:pPr>
              <w:pStyle w:val="TableText"/>
              <w:rPr>
                <w:sz w:val="16"/>
                <w:szCs w:val="16"/>
              </w:rPr>
            </w:pPr>
            <w:r w:rsidRPr="00DB09D5">
              <w:rPr>
                <w:sz w:val="16"/>
                <w:szCs w:val="16"/>
              </w:rPr>
              <w:t>Minimal</w:t>
            </w:r>
          </w:p>
        </w:tc>
      </w:tr>
      <w:tr w:rsidR="00DD29D6" w14:paraId="188CAB7D" w14:textId="77777777" w:rsidTr="0061657F">
        <w:tc>
          <w:tcPr>
            <w:tcW w:w="1985" w:type="dxa"/>
          </w:tcPr>
          <w:p w14:paraId="69204101" w14:textId="77777777" w:rsidR="00DD29D6" w:rsidRPr="00DB09D5" w:rsidRDefault="00DD29D6" w:rsidP="00ED11A2">
            <w:pPr>
              <w:pStyle w:val="TableText"/>
              <w:rPr>
                <w:sz w:val="16"/>
                <w:szCs w:val="16"/>
              </w:rPr>
            </w:pPr>
            <w:r w:rsidRPr="00DB09D5">
              <w:rPr>
                <w:sz w:val="16"/>
                <w:szCs w:val="16"/>
              </w:rPr>
              <w:t>Contingency plans</w:t>
            </w:r>
          </w:p>
        </w:tc>
        <w:tc>
          <w:tcPr>
            <w:tcW w:w="3827" w:type="dxa"/>
          </w:tcPr>
          <w:p w14:paraId="156AA227" w14:textId="77777777" w:rsidR="00DD29D6" w:rsidRPr="00DB09D5" w:rsidRDefault="00DD29D6" w:rsidP="00ED11A2">
            <w:pPr>
              <w:pStyle w:val="TableText"/>
              <w:rPr>
                <w:sz w:val="16"/>
                <w:szCs w:val="16"/>
              </w:rPr>
            </w:pPr>
            <w:r w:rsidRPr="00DB09D5">
              <w:rPr>
                <w:sz w:val="16"/>
                <w:szCs w:val="16"/>
              </w:rPr>
              <w:t>90 industry plans</w:t>
            </w:r>
          </w:p>
        </w:tc>
        <w:tc>
          <w:tcPr>
            <w:tcW w:w="3248" w:type="dxa"/>
          </w:tcPr>
          <w:p w14:paraId="36DB5D07" w14:textId="77777777" w:rsidR="00DD29D6" w:rsidRPr="00DB09D5" w:rsidRDefault="00DD29D6" w:rsidP="00ED11A2">
            <w:pPr>
              <w:pStyle w:val="TableText"/>
              <w:rPr>
                <w:sz w:val="16"/>
                <w:szCs w:val="16"/>
              </w:rPr>
            </w:pPr>
            <w:r w:rsidRPr="00DB09D5">
              <w:rPr>
                <w:sz w:val="16"/>
                <w:szCs w:val="16"/>
              </w:rPr>
              <w:t>2 tramp ant plans, 1 myrtle rust plan</w:t>
            </w:r>
          </w:p>
        </w:tc>
      </w:tr>
      <w:tr w:rsidR="000E44B5" w14:paraId="41989A51" w14:textId="77777777" w:rsidTr="0061657F">
        <w:tc>
          <w:tcPr>
            <w:tcW w:w="1985" w:type="dxa"/>
          </w:tcPr>
          <w:p w14:paraId="22E61209" w14:textId="0EF96B13" w:rsidR="000E44B5" w:rsidRPr="004B3ED7" w:rsidRDefault="000E44B5" w:rsidP="004B3ED7">
            <w:pPr>
              <w:pStyle w:val="TableText"/>
              <w:rPr>
                <w:b/>
              </w:rPr>
            </w:pPr>
            <w:r w:rsidRPr="004B3ED7">
              <w:rPr>
                <w:b/>
              </w:rPr>
              <w:t>Risks identified</w:t>
            </w:r>
          </w:p>
        </w:tc>
        <w:tc>
          <w:tcPr>
            <w:tcW w:w="3827" w:type="dxa"/>
          </w:tcPr>
          <w:p w14:paraId="6F4EAAF9" w14:textId="28077663" w:rsidR="000E44B5" w:rsidRPr="004B3ED7" w:rsidRDefault="004B3ED7" w:rsidP="00ED11A2">
            <w:pPr>
              <w:pStyle w:val="TableText"/>
              <w:rPr>
                <w:color w:val="FFFFFF" w:themeColor="background1"/>
              </w:rPr>
            </w:pPr>
            <w:r w:rsidRPr="004B3ED7">
              <w:rPr>
                <w:color w:val="FFFFFF" w:themeColor="background1"/>
              </w:rPr>
              <w:t>.</w:t>
            </w:r>
          </w:p>
        </w:tc>
        <w:tc>
          <w:tcPr>
            <w:tcW w:w="3248" w:type="dxa"/>
          </w:tcPr>
          <w:p w14:paraId="38020C24" w14:textId="6BECBB4A" w:rsidR="000E44B5" w:rsidRPr="004B3ED7" w:rsidRDefault="004B3ED7" w:rsidP="00ED11A2">
            <w:pPr>
              <w:pStyle w:val="TableText"/>
              <w:rPr>
                <w:color w:val="FFFFFF" w:themeColor="background1"/>
              </w:rPr>
            </w:pPr>
            <w:r w:rsidRPr="004B3ED7">
              <w:rPr>
                <w:color w:val="FFFFFF" w:themeColor="background1"/>
              </w:rPr>
              <w:t>.</w:t>
            </w:r>
          </w:p>
        </w:tc>
      </w:tr>
      <w:tr w:rsidR="00DD29D6" w14:paraId="76B31391" w14:textId="77777777" w:rsidTr="0061657F">
        <w:tc>
          <w:tcPr>
            <w:tcW w:w="1985" w:type="dxa"/>
          </w:tcPr>
          <w:p w14:paraId="4A3CB399" w14:textId="77777777" w:rsidR="00DD29D6" w:rsidRPr="00DB09D5" w:rsidRDefault="00DD29D6" w:rsidP="00ED11A2">
            <w:pPr>
              <w:pStyle w:val="TableText"/>
              <w:rPr>
                <w:sz w:val="16"/>
                <w:szCs w:val="16"/>
              </w:rPr>
            </w:pPr>
            <w:r w:rsidRPr="00DB09D5">
              <w:rPr>
                <w:sz w:val="16"/>
                <w:szCs w:val="16"/>
              </w:rPr>
              <w:t>Vertebrate pests</w:t>
            </w:r>
          </w:p>
        </w:tc>
        <w:tc>
          <w:tcPr>
            <w:tcW w:w="3827" w:type="dxa"/>
          </w:tcPr>
          <w:p w14:paraId="15C2C0C9" w14:textId="77777777" w:rsidR="00DD29D6" w:rsidRPr="00DB09D5" w:rsidRDefault="00DD29D6" w:rsidP="00ED11A2">
            <w:pPr>
              <w:pStyle w:val="TableText"/>
              <w:rPr>
                <w:sz w:val="16"/>
                <w:szCs w:val="16"/>
              </w:rPr>
            </w:pPr>
            <w:r w:rsidRPr="00DB09D5">
              <w:rPr>
                <w:sz w:val="16"/>
                <w:szCs w:val="16"/>
              </w:rPr>
              <w:t>159 mammal, bird, reptile and amphibian species rated extreme threat</w:t>
            </w:r>
          </w:p>
        </w:tc>
        <w:tc>
          <w:tcPr>
            <w:tcW w:w="3248" w:type="dxa"/>
          </w:tcPr>
          <w:p w14:paraId="6B6AAE71" w14:textId="3475186A" w:rsidR="00DD29D6" w:rsidRPr="00DB09D5" w:rsidRDefault="004B3ED7" w:rsidP="00ED11A2">
            <w:pPr>
              <w:pStyle w:val="TableText"/>
              <w:rPr>
                <w:sz w:val="16"/>
                <w:szCs w:val="16"/>
              </w:rPr>
            </w:pPr>
            <w:r w:rsidRPr="004B3ED7">
              <w:rPr>
                <w:color w:val="FFFFFF" w:themeColor="background1"/>
                <w:sz w:val="16"/>
                <w:szCs w:val="16"/>
              </w:rPr>
              <w:t>.</w:t>
            </w:r>
          </w:p>
        </w:tc>
      </w:tr>
      <w:tr w:rsidR="00DD29D6" w14:paraId="527F0EC6" w14:textId="77777777" w:rsidTr="0061657F">
        <w:tc>
          <w:tcPr>
            <w:tcW w:w="1985" w:type="dxa"/>
          </w:tcPr>
          <w:p w14:paraId="4F029EE1" w14:textId="2F4F4F4D" w:rsidR="00DD29D6" w:rsidRPr="00DB09D5" w:rsidRDefault="00DD29D6" w:rsidP="000E44B5">
            <w:pPr>
              <w:pStyle w:val="TableText"/>
              <w:rPr>
                <w:sz w:val="16"/>
                <w:szCs w:val="16"/>
              </w:rPr>
            </w:pPr>
            <w:r w:rsidRPr="00DB09D5">
              <w:rPr>
                <w:sz w:val="16"/>
                <w:szCs w:val="16"/>
              </w:rPr>
              <w:t xml:space="preserve">Animal </w:t>
            </w:r>
          </w:p>
        </w:tc>
        <w:tc>
          <w:tcPr>
            <w:tcW w:w="3827" w:type="dxa"/>
          </w:tcPr>
          <w:p w14:paraId="32960BA9" w14:textId="77777777" w:rsidR="00DD29D6" w:rsidRPr="00DB09D5" w:rsidRDefault="00DD29D6" w:rsidP="00ED11A2">
            <w:pPr>
              <w:pStyle w:val="TableText"/>
              <w:rPr>
                <w:sz w:val="16"/>
                <w:szCs w:val="16"/>
              </w:rPr>
            </w:pPr>
            <w:r w:rsidRPr="00DB09D5">
              <w:rPr>
                <w:sz w:val="16"/>
                <w:szCs w:val="16"/>
              </w:rPr>
              <w:t>65 animal diseases</w:t>
            </w:r>
          </w:p>
        </w:tc>
        <w:tc>
          <w:tcPr>
            <w:tcW w:w="3248" w:type="dxa"/>
          </w:tcPr>
          <w:p w14:paraId="414A17C7" w14:textId="77777777" w:rsidR="00DD29D6" w:rsidRPr="00DB09D5" w:rsidRDefault="00DD29D6" w:rsidP="00ED11A2">
            <w:pPr>
              <w:pStyle w:val="TableText"/>
              <w:rPr>
                <w:sz w:val="16"/>
                <w:szCs w:val="16"/>
              </w:rPr>
            </w:pPr>
            <w:r w:rsidRPr="00DB09D5">
              <w:rPr>
                <w:sz w:val="16"/>
                <w:szCs w:val="16"/>
              </w:rPr>
              <w:t>None identified</w:t>
            </w:r>
          </w:p>
        </w:tc>
      </w:tr>
      <w:tr w:rsidR="00DD29D6" w14:paraId="5F407EF6" w14:textId="77777777" w:rsidTr="0061657F">
        <w:tc>
          <w:tcPr>
            <w:tcW w:w="1985" w:type="dxa"/>
          </w:tcPr>
          <w:p w14:paraId="6F66A7D4" w14:textId="26653651" w:rsidR="00DD29D6" w:rsidRPr="00DB09D5" w:rsidRDefault="00DD29D6" w:rsidP="000E44B5">
            <w:pPr>
              <w:pStyle w:val="TableText"/>
              <w:rPr>
                <w:sz w:val="16"/>
                <w:szCs w:val="16"/>
              </w:rPr>
            </w:pPr>
            <w:r w:rsidRPr="00DB09D5">
              <w:rPr>
                <w:sz w:val="16"/>
                <w:szCs w:val="16"/>
              </w:rPr>
              <w:t xml:space="preserve">Plant </w:t>
            </w:r>
          </w:p>
        </w:tc>
        <w:tc>
          <w:tcPr>
            <w:tcW w:w="3827" w:type="dxa"/>
          </w:tcPr>
          <w:p w14:paraId="5041716B" w14:textId="77777777" w:rsidR="00DD29D6" w:rsidRPr="00DB09D5" w:rsidRDefault="00DD29D6" w:rsidP="00ED11A2">
            <w:pPr>
              <w:pStyle w:val="TableText"/>
              <w:rPr>
                <w:sz w:val="16"/>
                <w:szCs w:val="16"/>
              </w:rPr>
            </w:pPr>
            <w:r w:rsidRPr="00DB09D5">
              <w:rPr>
                <w:sz w:val="16"/>
                <w:szCs w:val="16"/>
              </w:rPr>
              <w:t>348 priority plant pests</w:t>
            </w:r>
          </w:p>
        </w:tc>
        <w:tc>
          <w:tcPr>
            <w:tcW w:w="3248" w:type="dxa"/>
          </w:tcPr>
          <w:p w14:paraId="79A8E405" w14:textId="77777777" w:rsidR="00DD29D6" w:rsidRPr="00DB09D5" w:rsidRDefault="00DD29D6" w:rsidP="00ED11A2">
            <w:pPr>
              <w:pStyle w:val="TableText"/>
              <w:rPr>
                <w:sz w:val="16"/>
                <w:szCs w:val="16"/>
              </w:rPr>
            </w:pPr>
            <w:r w:rsidRPr="00DB09D5">
              <w:rPr>
                <w:sz w:val="16"/>
                <w:szCs w:val="16"/>
              </w:rPr>
              <w:t>None identified</w:t>
            </w:r>
          </w:p>
        </w:tc>
      </w:tr>
      <w:tr w:rsidR="00DD29D6" w14:paraId="1AC76380" w14:textId="77777777" w:rsidTr="0061657F">
        <w:tc>
          <w:tcPr>
            <w:tcW w:w="1985" w:type="dxa"/>
          </w:tcPr>
          <w:p w14:paraId="485399FA" w14:textId="0B3658A0" w:rsidR="00DD29D6" w:rsidRPr="00DB09D5" w:rsidRDefault="00DD29D6" w:rsidP="004B3ED7">
            <w:pPr>
              <w:pStyle w:val="TableText"/>
              <w:rPr>
                <w:sz w:val="16"/>
                <w:szCs w:val="16"/>
              </w:rPr>
            </w:pPr>
            <w:r w:rsidRPr="00DB09D5">
              <w:rPr>
                <w:sz w:val="16"/>
                <w:szCs w:val="16"/>
              </w:rPr>
              <w:t>Marine</w:t>
            </w:r>
          </w:p>
        </w:tc>
        <w:tc>
          <w:tcPr>
            <w:tcW w:w="3827" w:type="dxa"/>
          </w:tcPr>
          <w:p w14:paraId="4A46FA44" w14:textId="77777777" w:rsidR="00DD29D6" w:rsidRPr="00DB09D5" w:rsidRDefault="00DD29D6" w:rsidP="00ED11A2">
            <w:pPr>
              <w:pStyle w:val="TableText"/>
              <w:rPr>
                <w:sz w:val="16"/>
                <w:szCs w:val="16"/>
              </w:rPr>
            </w:pPr>
            <w:r w:rsidRPr="00DB09D5">
              <w:rPr>
                <w:sz w:val="16"/>
                <w:szCs w:val="16"/>
              </w:rPr>
              <w:t>23 priority species, 35 on trigger list</w:t>
            </w:r>
          </w:p>
        </w:tc>
        <w:tc>
          <w:tcPr>
            <w:tcW w:w="3248" w:type="dxa"/>
          </w:tcPr>
          <w:p w14:paraId="1FFBD281" w14:textId="39A870AE" w:rsidR="00DD29D6" w:rsidRPr="00DB09D5" w:rsidRDefault="004B3ED7" w:rsidP="00ED11A2">
            <w:pPr>
              <w:pStyle w:val="TableText"/>
              <w:rPr>
                <w:sz w:val="16"/>
                <w:szCs w:val="16"/>
              </w:rPr>
            </w:pPr>
            <w:r w:rsidRPr="004B3ED7">
              <w:rPr>
                <w:color w:val="FFFFFF" w:themeColor="background1"/>
                <w:sz w:val="16"/>
                <w:szCs w:val="16"/>
              </w:rPr>
              <w:t>.</w:t>
            </w:r>
          </w:p>
        </w:tc>
      </w:tr>
      <w:tr w:rsidR="00DD29D6" w14:paraId="3B75EFF8" w14:textId="77777777" w:rsidTr="0061657F">
        <w:tc>
          <w:tcPr>
            <w:tcW w:w="1985" w:type="dxa"/>
          </w:tcPr>
          <w:p w14:paraId="6E40E7A9" w14:textId="77777777" w:rsidR="00DD29D6" w:rsidRPr="00DB09D5" w:rsidRDefault="00DD29D6" w:rsidP="00ED11A2">
            <w:pPr>
              <w:pStyle w:val="TableText"/>
              <w:rPr>
                <w:sz w:val="16"/>
                <w:szCs w:val="16"/>
              </w:rPr>
            </w:pPr>
            <w:r w:rsidRPr="00DB09D5">
              <w:rPr>
                <w:sz w:val="16"/>
                <w:szCs w:val="16"/>
              </w:rPr>
              <w:t>Invasive plants</w:t>
            </w:r>
          </w:p>
        </w:tc>
        <w:tc>
          <w:tcPr>
            <w:tcW w:w="3827" w:type="dxa"/>
          </w:tcPr>
          <w:p w14:paraId="4B042725" w14:textId="77777777" w:rsidR="00DD29D6" w:rsidRPr="00DB09D5" w:rsidRDefault="00DD29D6" w:rsidP="00ED11A2">
            <w:pPr>
              <w:pStyle w:val="TableText"/>
              <w:rPr>
                <w:sz w:val="16"/>
                <w:szCs w:val="16"/>
              </w:rPr>
            </w:pPr>
            <w:r w:rsidRPr="00DB09D5">
              <w:rPr>
                <w:sz w:val="16"/>
                <w:szCs w:val="16"/>
              </w:rPr>
              <w:t>None</w:t>
            </w:r>
          </w:p>
        </w:tc>
        <w:tc>
          <w:tcPr>
            <w:tcW w:w="3248" w:type="dxa"/>
          </w:tcPr>
          <w:p w14:paraId="795E8DE1" w14:textId="263E3CBA" w:rsidR="00DD29D6" w:rsidRPr="00DB09D5" w:rsidRDefault="004B3ED7" w:rsidP="00EC4174">
            <w:pPr>
              <w:pStyle w:val="TableText"/>
              <w:rPr>
                <w:sz w:val="16"/>
                <w:szCs w:val="16"/>
              </w:rPr>
            </w:pPr>
            <w:r>
              <w:rPr>
                <w:sz w:val="16"/>
                <w:szCs w:val="16"/>
              </w:rPr>
              <w:t>None</w:t>
            </w:r>
          </w:p>
        </w:tc>
      </w:tr>
      <w:tr w:rsidR="000E44B5" w14:paraId="73BDDB5A" w14:textId="77777777" w:rsidTr="0061657F">
        <w:tc>
          <w:tcPr>
            <w:tcW w:w="1985" w:type="dxa"/>
          </w:tcPr>
          <w:p w14:paraId="1DF81AE2" w14:textId="617BD365" w:rsidR="000E44B5" w:rsidRPr="004B3ED7" w:rsidRDefault="000E44B5" w:rsidP="004B3ED7">
            <w:pPr>
              <w:pStyle w:val="TableText"/>
              <w:rPr>
                <w:b/>
              </w:rPr>
            </w:pPr>
            <w:r w:rsidRPr="004B3ED7">
              <w:rPr>
                <w:b/>
              </w:rPr>
              <w:t>Strategies</w:t>
            </w:r>
          </w:p>
        </w:tc>
        <w:tc>
          <w:tcPr>
            <w:tcW w:w="3827" w:type="dxa"/>
          </w:tcPr>
          <w:p w14:paraId="522C18A2" w14:textId="2B0E6AA1" w:rsidR="000E44B5" w:rsidRDefault="004B3ED7" w:rsidP="00ED11A2">
            <w:pPr>
              <w:pStyle w:val="TableText"/>
            </w:pPr>
            <w:r w:rsidRPr="004B3ED7">
              <w:rPr>
                <w:color w:val="FFFFFF" w:themeColor="background1"/>
              </w:rPr>
              <w:t>.</w:t>
            </w:r>
          </w:p>
        </w:tc>
        <w:tc>
          <w:tcPr>
            <w:tcW w:w="3248" w:type="dxa"/>
          </w:tcPr>
          <w:p w14:paraId="00B9D21A" w14:textId="6697083C" w:rsidR="000E44B5" w:rsidRDefault="004B3ED7" w:rsidP="00ED11A2">
            <w:pPr>
              <w:pStyle w:val="TableText"/>
            </w:pPr>
            <w:r w:rsidRPr="004B3ED7">
              <w:rPr>
                <w:color w:val="FFFFFF" w:themeColor="background1"/>
              </w:rPr>
              <w:t>.</w:t>
            </w:r>
          </w:p>
        </w:tc>
      </w:tr>
      <w:tr w:rsidR="00DD29D6" w14:paraId="1CD5BEAD" w14:textId="77777777" w:rsidTr="0061657F">
        <w:tc>
          <w:tcPr>
            <w:tcW w:w="1985" w:type="dxa"/>
          </w:tcPr>
          <w:p w14:paraId="5B5E28F1" w14:textId="77777777" w:rsidR="00DD29D6" w:rsidRPr="00DB09D5" w:rsidRDefault="00DD29D6" w:rsidP="00ED11A2">
            <w:pPr>
              <w:pStyle w:val="TableText"/>
              <w:rPr>
                <w:sz w:val="16"/>
                <w:szCs w:val="16"/>
              </w:rPr>
            </w:pPr>
            <w:r w:rsidRPr="00DB09D5">
              <w:rPr>
                <w:sz w:val="16"/>
                <w:szCs w:val="16"/>
              </w:rPr>
              <w:t>Biosecurity strategy</w:t>
            </w:r>
          </w:p>
        </w:tc>
        <w:tc>
          <w:tcPr>
            <w:tcW w:w="3827" w:type="dxa"/>
          </w:tcPr>
          <w:p w14:paraId="46558D7A" w14:textId="77777777" w:rsidR="00DD29D6" w:rsidRPr="00DB09D5" w:rsidRDefault="00DD29D6" w:rsidP="00ED11A2">
            <w:pPr>
              <w:pStyle w:val="TableText"/>
              <w:rPr>
                <w:sz w:val="16"/>
                <w:szCs w:val="16"/>
              </w:rPr>
            </w:pPr>
            <w:r w:rsidRPr="00DB09D5">
              <w:rPr>
                <w:sz w:val="16"/>
                <w:szCs w:val="16"/>
              </w:rPr>
              <w:t>National plant biosecurity strategy</w:t>
            </w:r>
          </w:p>
          <w:p w14:paraId="5B2158AF" w14:textId="77777777" w:rsidR="00DD29D6" w:rsidRPr="00DB09D5" w:rsidRDefault="00DD29D6" w:rsidP="00ED11A2">
            <w:pPr>
              <w:pStyle w:val="TableText"/>
              <w:rPr>
                <w:sz w:val="16"/>
                <w:szCs w:val="16"/>
              </w:rPr>
            </w:pPr>
            <w:r w:rsidRPr="00DB09D5">
              <w:rPr>
                <w:sz w:val="16"/>
                <w:szCs w:val="16"/>
              </w:rPr>
              <w:t xml:space="preserve">Animal Health Australia strategic plan </w:t>
            </w:r>
          </w:p>
        </w:tc>
        <w:tc>
          <w:tcPr>
            <w:tcW w:w="3248" w:type="dxa"/>
          </w:tcPr>
          <w:p w14:paraId="295429D6" w14:textId="77777777" w:rsidR="00DD29D6" w:rsidRPr="00DB09D5" w:rsidRDefault="00DD29D6" w:rsidP="00ED11A2">
            <w:pPr>
              <w:pStyle w:val="TableText"/>
              <w:rPr>
                <w:sz w:val="16"/>
                <w:szCs w:val="16"/>
              </w:rPr>
            </w:pPr>
            <w:r w:rsidRPr="00DB09D5">
              <w:rPr>
                <w:sz w:val="16"/>
                <w:szCs w:val="16"/>
              </w:rPr>
              <w:t>No equivalent</w:t>
            </w:r>
          </w:p>
        </w:tc>
      </w:tr>
      <w:tr w:rsidR="00DD29D6" w14:paraId="1749044F" w14:textId="77777777" w:rsidTr="0061657F">
        <w:tc>
          <w:tcPr>
            <w:tcW w:w="1985" w:type="dxa"/>
          </w:tcPr>
          <w:p w14:paraId="4F00B4B6" w14:textId="77777777" w:rsidR="00DD29D6" w:rsidRPr="00DB09D5" w:rsidRDefault="00DD29D6" w:rsidP="00ED11A2">
            <w:pPr>
              <w:pStyle w:val="TableText"/>
              <w:rPr>
                <w:sz w:val="16"/>
                <w:szCs w:val="16"/>
              </w:rPr>
            </w:pPr>
            <w:r w:rsidRPr="00DB09D5">
              <w:rPr>
                <w:sz w:val="16"/>
                <w:szCs w:val="16"/>
              </w:rPr>
              <w:t>Diagnostic strategy</w:t>
            </w:r>
          </w:p>
        </w:tc>
        <w:tc>
          <w:tcPr>
            <w:tcW w:w="3827" w:type="dxa"/>
          </w:tcPr>
          <w:p w14:paraId="692176FE" w14:textId="77777777" w:rsidR="00DD29D6" w:rsidRPr="00DB09D5" w:rsidRDefault="00DD29D6" w:rsidP="00ED11A2">
            <w:pPr>
              <w:pStyle w:val="TableText"/>
              <w:rPr>
                <w:sz w:val="16"/>
                <w:szCs w:val="16"/>
              </w:rPr>
            </w:pPr>
            <w:r w:rsidRPr="00DB09D5">
              <w:rPr>
                <w:sz w:val="16"/>
                <w:szCs w:val="16"/>
              </w:rPr>
              <w:t>National plant biosecurity diagnostic strategy</w:t>
            </w:r>
          </w:p>
          <w:p w14:paraId="43DED60D" w14:textId="77777777" w:rsidR="00DD29D6" w:rsidRPr="00DB09D5" w:rsidRDefault="00DD29D6" w:rsidP="00ED11A2">
            <w:pPr>
              <w:pStyle w:val="TableText"/>
              <w:rPr>
                <w:sz w:val="16"/>
                <w:szCs w:val="16"/>
              </w:rPr>
            </w:pPr>
            <w:r w:rsidRPr="00DB09D5">
              <w:rPr>
                <w:sz w:val="16"/>
                <w:szCs w:val="16"/>
              </w:rPr>
              <w:t>National animal health data standards</w:t>
            </w:r>
          </w:p>
        </w:tc>
        <w:tc>
          <w:tcPr>
            <w:tcW w:w="3248" w:type="dxa"/>
          </w:tcPr>
          <w:p w14:paraId="56C67A27" w14:textId="77777777" w:rsidR="00DD29D6" w:rsidRPr="00DB09D5" w:rsidRDefault="00DD29D6" w:rsidP="00ED11A2">
            <w:pPr>
              <w:pStyle w:val="TableText"/>
              <w:rPr>
                <w:sz w:val="16"/>
                <w:szCs w:val="16"/>
              </w:rPr>
            </w:pPr>
            <w:r w:rsidRPr="00DB09D5">
              <w:rPr>
                <w:sz w:val="16"/>
                <w:szCs w:val="16"/>
              </w:rPr>
              <w:t>No equivalent</w:t>
            </w:r>
          </w:p>
        </w:tc>
      </w:tr>
      <w:tr w:rsidR="00DD29D6" w14:paraId="4A68D343" w14:textId="77777777" w:rsidTr="0061657F">
        <w:tc>
          <w:tcPr>
            <w:tcW w:w="1985" w:type="dxa"/>
          </w:tcPr>
          <w:p w14:paraId="673711E1" w14:textId="77777777" w:rsidR="00DD29D6" w:rsidRPr="00DB09D5" w:rsidRDefault="00DD29D6" w:rsidP="00ED11A2">
            <w:pPr>
              <w:pStyle w:val="TableText"/>
              <w:rPr>
                <w:sz w:val="16"/>
                <w:szCs w:val="16"/>
              </w:rPr>
            </w:pPr>
            <w:r w:rsidRPr="00DB09D5">
              <w:rPr>
                <w:sz w:val="16"/>
                <w:szCs w:val="16"/>
              </w:rPr>
              <w:t>Surveillance strategy</w:t>
            </w:r>
          </w:p>
        </w:tc>
        <w:tc>
          <w:tcPr>
            <w:tcW w:w="3827" w:type="dxa"/>
          </w:tcPr>
          <w:p w14:paraId="46B5D402" w14:textId="77777777" w:rsidR="00DD29D6" w:rsidRPr="00DB09D5" w:rsidRDefault="00DD29D6" w:rsidP="00ED11A2">
            <w:pPr>
              <w:pStyle w:val="TableText"/>
              <w:rPr>
                <w:sz w:val="16"/>
                <w:szCs w:val="16"/>
              </w:rPr>
            </w:pPr>
            <w:r w:rsidRPr="00DB09D5">
              <w:rPr>
                <w:sz w:val="16"/>
                <w:szCs w:val="16"/>
              </w:rPr>
              <w:t>National plant biosecurity surveillance strategy</w:t>
            </w:r>
          </w:p>
          <w:p w14:paraId="48932073" w14:textId="77777777" w:rsidR="00DD29D6" w:rsidRPr="00DB09D5" w:rsidRDefault="00DD29D6" w:rsidP="00ED11A2">
            <w:pPr>
              <w:pStyle w:val="TableText"/>
              <w:rPr>
                <w:sz w:val="16"/>
                <w:szCs w:val="16"/>
              </w:rPr>
            </w:pPr>
            <w:r w:rsidRPr="00DB09D5">
              <w:rPr>
                <w:sz w:val="16"/>
                <w:szCs w:val="16"/>
              </w:rPr>
              <w:t>National animal health information standards</w:t>
            </w:r>
          </w:p>
          <w:p w14:paraId="4F50BFCE" w14:textId="77777777" w:rsidR="00DD29D6" w:rsidRPr="00DB09D5" w:rsidRDefault="00DD29D6" w:rsidP="00ED11A2">
            <w:pPr>
              <w:pStyle w:val="TableText"/>
              <w:rPr>
                <w:sz w:val="16"/>
                <w:szCs w:val="16"/>
              </w:rPr>
            </w:pPr>
            <w:r w:rsidRPr="00DB09D5">
              <w:rPr>
                <w:sz w:val="16"/>
                <w:szCs w:val="16"/>
              </w:rPr>
              <w:t>National sentinel hive program</w:t>
            </w:r>
          </w:p>
          <w:p w14:paraId="67DB2E7B" w14:textId="77777777" w:rsidR="00DD29D6" w:rsidRPr="00DB09D5" w:rsidRDefault="00DD29D6" w:rsidP="00ED11A2">
            <w:pPr>
              <w:pStyle w:val="TableText"/>
              <w:rPr>
                <w:sz w:val="16"/>
                <w:szCs w:val="16"/>
              </w:rPr>
            </w:pPr>
            <w:r w:rsidRPr="00DB09D5">
              <w:rPr>
                <w:sz w:val="16"/>
                <w:szCs w:val="16"/>
              </w:rPr>
              <w:t>National significant disease investigation program</w:t>
            </w:r>
          </w:p>
        </w:tc>
        <w:tc>
          <w:tcPr>
            <w:tcW w:w="3248" w:type="dxa"/>
          </w:tcPr>
          <w:p w14:paraId="5E930D0F" w14:textId="77777777" w:rsidR="00DD29D6" w:rsidRPr="00DB09D5" w:rsidRDefault="00DD29D6" w:rsidP="00ED11A2">
            <w:pPr>
              <w:pStyle w:val="TableText"/>
              <w:rPr>
                <w:sz w:val="16"/>
                <w:szCs w:val="16"/>
              </w:rPr>
            </w:pPr>
            <w:r w:rsidRPr="00DB09D5">
              <w:rPr>
                <w:sz w:val="16"/>
                <w:szCs w:val="16"/>
              </w:rPr>
              <w:t>No equivalent</w:t>
            </w:r>
          </w:p>
        </w:tc>
      </w:tr>
      <w:tr w:rsidR="00DD29D6" w14:paraId="2052614C" w14:textId="77777777" w:rsidTr="0061657F">
        <w:tc>
          <w:tcPr>
            <w:tcW w:w="1985" w:type="dxa"/>
          </w:tcPr>
          <w:p w14:paraId="327D90E0" w14:textId="77777777" w:rsidR="00DD29D6" w:rsidRPr="00DB09D5" w:rsidRDefault="00DD29D6" w:rsidP="00ED11A2">
            <w:pPr>
              <w:pStyle w:val="TableText"/>
              <w:rPr>
                <w:sz w:val="16"/>
                <w:szCs w:val="16"/>
              </w:rPr>
            </w:pPr>
            <w:r w:rsidRPr="00DB09D5">
              <w:rPr>
                <w:sz w:val="16"/>
                <w:szCs w:val="16"/>
              </w:rPr>
              <w:t>RD&amp;E strategy</w:t>
            </w:r>
          </w:p>
        </w:tc>
        <w:tc>
          <w:tcPr>
            <w:tcW w:w="3827" w:type="dxa"/>
          </w:tcPr>
          <w:p w14:paraId="162BAB8F" w14:textId="77777777" w:rsidR="00DD29D6" w:rsidRPr="00DB09D5" w:rsidRDefault="00DD29D6" w:rsidP="00ED11A2">
            <w:pPr>
              <w:pStyle w:val="TableText"/>
              <w:rPr>
                <w:sz w:val="16"/>
                <w:szCs w:val="16"/>
              </w:rPr>
            </w:pPr>
            <w:r w:rsidRPr="00DB09D5">
              <w:rPr>
                <w:sz w:val="16"/>
                <w:szCs w:val="16"/>
              </w:rPr>
              <w:t>National plant biosecurity RD&amp;E</w:t>
            </w:r>
          </w:p>
          <w:p w14:paraId="246139AF" w14:textId="77777777" w:rsidR="00DD29D6" w:rsidRPr="00DB09D5" w:rsidRDefault="00DD29D6" w:rsidP="00ED11A2">
            <w:pPr>
              <w:pStyle w:val="TableText"/>
              <w:rPr>
                <w:sz w:val="16"/>
                <w:szCs w:val="16"/>
              </w:rPr>
            </w:pPr>
            <w:r w:rsidRPr="00DB09D5">
              <w:rPr>
                <w:sz w:val="16"/>
                <w:szCs w:val="16"/>
              </w:rPr>
              <w:t>National Animal Biosecurity RD&amp;E strategy</w:t>
            </w:r>
          </w:p>
        </w:tc>
        <w:tc>
          <w:tcPr>
            <w:tcW w:w="3248" w:type="dxa"/>
          </w:tcPr>
          <w:p w14:paraId="40EEB2E9" w14:textId="77777777" w:rsidR="00DD29D6" w:rsidRPr="00DB09D5" w:rsidRDefault="00DD29D6" w:rsidP="00ED11A2">
            <w:pPr>
              <w:pStyle w:val="TableText"/>
              <w:rPr>
                <w:sz w:val="16"/>
                <w:szCs w:val="16"/>
              </w:rPr>
            </w:pPr>
            <w:r w:rsidRPr="00DB09D5">
              <w:rPr>
                <w:sz w:val="16"/>
                <w:szCs w:val="16"/>
              </w:rPr>
              <w:t>Draft national environment and community RD&amp;E strategy</w:t>
            </w:r>
          </w:p>
        </w:tc>
      </w:tr>
      <w:tr w:rsidR="000E44B5" w14:paraId="59822D21" w14:textId="77777777" w:rsidTr="0061657F">
        <w:tc>
          <w:tcPr>
            <w:tcW w:w="1985" w:type="dxa"/>
          </w:tcPr>
          <w:p w14:paraId="0473BD87" w14:textId="64E50130" w:rsidR="000E44B5" w:rsidRPr="004B3ED7" w:rsidRDefault="000E44B5" w:rsidP="0061657F">
            <w:pPr>
              <w:pStyle w:val="TableText"/>
              <w:rPr>
                <w:b/>
              </w:rPr>
            </w:pPr>
            <w:r w:rsidRPr="004B3ED7">
              <w:rPr>
                <w:b/>
              </w:rPr>
              <w:t xml:space="preserve">Plans </w:t>
            </w:r>
            <w:r w:rsidR="0061657F">
              <w:rPr>
                <w:b/>
              </w:rPr>
              <w:t>and</w:t>
            </w:r>
            <w:r w:rsidRPr="004B3ED7">
              <w:rPr>
                <w:b/>
              </w:rPr>
              <w:t xml:space="preserve"> Protocols</w:t>
            </w:r>
          </w:p>
        </w:tc>
        <w:tc>
          <w:tcPr>
            <w:tcW w:w="3827" w:type="dxa"/>
          </w:tcPr>
          <w:p w14:paraId="673A9E7C" w14:textId="60F8D075" w:rsidR="000E44B5" w:rsidRDefault="004B3ED7" w:rsidP="00ED11A2">
            <w:pPr>
              <w:pStyle w:val="TableText"/>
            </w:pPr>
            <w:r w:rsidRPr="004B3ED7">
              <w:rPr>
                <w:color w:val="FFFFFF" w:themeColor="background1"/>
              </w:rPr>
              <w:t>.</w:t>
            </w:r>
          </w:p>
        </w:tc>
        <w:tc>
          <w:tcPr>
            <w:tcW w:w="3248" w:type="dxa"/>
          </w:tcPr>
          <w:p w14:paraId="4EDEEEF6" w14:textId="684CA90D" w:rsidR="000E44B5" w:rsidRDefault="004B3ED7" w:rsidP="00ED11A2">
            <w:pPr>
              <w:pStyle w:val="TableText"/>
            </w:pPr>
            <w:r w:rsidRPr="004B3ED7">
              <w:rPr>
                <w:color w:val="FFFFFF" w:themeColor="background1"/>
              </w:rPr>
              <w:t>.</w:t>
            </w:r>
          </w:p>
        </w:tc>
      </w:tr>
      <w:tr w:rsidR="00DD29D6" w14:paraId="7FD02AEA" w14:textId="77777777" w:rsidTr="0061657F">
        <w:tc>
          <w:tcPr>
            <w:tcW w:w="1985" w:type="dxa"/>
          </w:tcPr>
          <w:p w14:paraId="20C94E58" w14:textId="77777777" w:rsidR="00DD29D6" w:rsidRPr="00DB09D5" w:rsidRDefault="00DD29D6" w:rsidP="00ED11A2">
            <w:pPr>
              <w:pStyle w:val="TableText"/>
              <w:rPr>
                <w:sz w:val="16"/>
                <w:szCs w:val="16"/>
              </w:rPr>
            </w:pPr>
            <w:r w:rsidRPr="00DB09D5">
              <w:rPr>
                <w:sz w:val="16"/>
                <w:szCs w:val="16"/>
              </w:rPr>
              <w:t>Biosecurity plans</w:t>
            </w:r>
          </w:p>
        </w:tc>
        <w:tc>
          <w:tcPr>
            <w:tcW w:w="3827" w:type="dxa"/>
          </w:tcPr>
          <w:p w14:paraId="65CF570A" w14:textId="77777777" w:rsidR="00DD29D6" w:rsidRPr="00DB09D5" w:rsidRDefault="00DD29D6" w:rsidP="00ED11A2">
            <w:pPr>
              <w:pStyle w:val="TableText"/>
              <w:rPr>
                <w:sz w:val="16"/>
                <w:szCs w:val="16"/>
              </w:rPr>
            </w:pPr>
            <w:r w:rsidRPr="00DB09D5">
              <w:rPr>
                <w:sz w:val="16"/>
                <w:szCs w:val="16"/>
              </w:rPr>
              <w:t>17 plant industry biosecurity plans</w:t>
            </w:r>
          </w:p>
          <w:p w14:paraId="5E4B0900" w14:textId="77777777" w:rsidR="00DD29D6" w:rsidRPr="00DB09D5" w:rsidRDefault="00DD29D6" w:rsidP="00ED11A2">
            <w:pPr>
              <w:pStyle w:val="TableText"/>
              <w:rPr>
                <w:sz w:val="16"/>
                <w:szCs w:val="16"/>
              </w:rPr>
            </w:pPr>
            <w:r w:rsidRPr="00DB09D5">
              <w:rPr>
                <w:sz w:val="16"/>
                <w:szCs w:val="16"/>
              </w:rPr>
              <w:t>30 animal disease strategies</w:t>
            </w:r>
          </w:p>
        </w:tc>
        <w:tc>
          <w:tcPr>
            <w:tcW w:w="3248" w:type="dxa"/>
          </w:tcPr>
          <w:p w14:paraId="7FA53431" w14:textId="77777777" w:rsidR="00DD29D6" w:rsidRPr="00DB09D5" w:rsidRDefault="00DD29D6" w:rsidP="00ED11A2">
            <w:pPr>
              <w:pStyle w:val="TableText"/>
              <w:rPr>
                <w:sz w:val="16"/>
                <w:szCs w:val="16"/>
              </w:rPr>
            </w:pPr>
            <w:r w:rsidRPr="00DB09D5">
              <w:rPr>
                <w:sz w:val="16"/>
                <w:szCs w:val="16"/>
              </w:rPr>
              <w:t>No equivalent</w:t>
            </w:r>
          </w:p>
        </w:tc>
      </w:tr>
      <w:tr w:rsidR="00DD29D6" w14:paraId="646F7C6C" w14:textId="77777777" w:rsidTr="0061657F">
        <w:tc>
          <w:tcPr>
            <w:tcW w:w="1985" w:type="dxa"/>
          </w:tcPr>
          <w:p w14:paraId="700B6198" w14:textId="77777777" w:rsidR="00DD29D6" w:rsidRPr="00DB09D5" w:rsidRDefault="00DD29D6" w:rsidP="00ED11A2">
            <w:pPr>
              <w:pStyle w:val="TableText"/>
              <w:rPr>
                <w:sz w:val="16"/>
                <w:szCs w:val="16"/>
              </w:rPr>
            </w:pPr>
            <w:r w:rsidRPr="00DB09D5">
              <w:rPr>
                <w:sz w:val="16"/>
                <w:szCs w:val="16"/>
              </w:rPr>
              <w:t>Diagnostic protocols</w:t>
            </w:r>
          </w:p>
        </w:tc>
        <w:tc>
          <w:tcPr>
            <w:tcW w:w="3827" w:type="dxa"/>
          </w:tcPr>
          <w:p w14:paraId="7FABF788" w14:textId="77777777" w:rsidR="00DD29D6" w:rsidRPr="00DB09D5" w:rsidRDefault="00DD29D6" w:rsidP="00ED11A2">
            <w:pPr>
              <w:pStyle w:val="TableText"/>
              <w:rPr>
                <w:sz w:val="16"/>
                <w:szCs w:val="16"/>
              </w:rPr>
            </w:pPr>
            <w:r w:rsidRPr="00DB09D5">
              <w:rPr>
                <w:sz w:val="16"/>
                <w:szCs w:val="16"/>
              </w:rPr>
              <w:t>127 national diagnostic protocols</w:t>
            </w:r>
          </w:p>
        </w:tc>
        <w:tc>
          <w:tcPr>
            <w:tcW w:w="3248" w:type="dxa"/>
          </w:tcPr>
          <w:p w14:paraId="03440B3B" w14:textId="77777777" w:rsidR="00DD29D6" w:rsidRPr="00DB09D5" w:rsidRDefault="00DD29D6" w:rsidP="00ED11A2">
            <w:pPr>
              <w:pStyle w:val="TableText"/>
              <w:rPr>
                <w:sz w:val="16"/>
                <w:szCs w:val="16"/>
              </w:rPr>
            </w:pPr>
            <w:r w:rsidRPr="00DB09D5">
              <w:rPr>
                <w:sz w:val="16"/>
                <w:szCs w:val="16"/>
              </w:rPr>
              <w:t>No equivalent (1 for myrtle rust relevant)</w:t>
            </w:r>
          </w:p>
        </w:tc>
      </w:tr>
      <w:tr w:rsidR="00DD29D6" w14:paraId="33E3C0AC" w14:textId="77777777" w:rsidTr="0061657F">
        <w:tc>
          <w:tcPr>
            <w:tcW w:w="1985" w:type="dxa"/>
          </w:tcPr>
          <w:p w14:paraId="24051899" w14:textId="77777777" w:rsidR="00DD29D6" w:rsidRPr="00DB09D5" w:rsidRDefault="00DD29D6" w:rsidP="00ED11A2">
            <w:pPr>
              <w:pStyle w:val="TableText"/>
              <w:rPr>
                <w:sz w:val="16"/>
                <w:szCs w:val="16"/>
              </w:rPr>
            </w:pPr>
            <w:r w:rsidRPr="00DB09D5">
              <w:rPr>
                <w:sz w:val="16"/>
                <w:szCs w:val="16"/>
              </w:rPr>
              <w:t>Biosecurity manuals</w:t>
            </w:r>
          </w:p>
        </w:tc>
        <w:tc>
          <w:tcPr>
            <w:tcW w:w="3827" w:type="dxa"/>
          </w:tcPr>
          <w:p w14:paraId="728D7C7F" w14:textId="77777777" w:rsidR="00DD29D6" w:rsidRPr="00DB09D5" w:rsidRDefault="00DD29D6" w:rsidP="00ED11A2">
            <w:pPr>
              <w:pStyle w:val="TableText"/>
              <w:rPr>
                <w:sz w:val="16"/>
                <w:szCs w:val="16"/>
              </w:rPr>
            </w:pPr>
            <w:r w:rsidRPr="00DB09D5">
              <w:rPr>
                <w:sz w:val="16"/>
                <w:szCs w:val="16"/>
              </w:rPr>
              <w:t>17 industry-specific biosecurity manuals</w:t>
            </w:r>
          </w:p>
          <w:p w14:paraId="38EE08F3" w14:textId="77777777" w:rsidR="00DD29D6" w:rsidRPr="00DB09D5" w:rsidRDefault="00DD29D6" w:rsidP="00ED11A2">
            <w:pPr>
              <w:pStyle w:val="TableText"/>
              <w:rPr>
                <w:sz w:val="16"/>
                <w:szCs w:val="16"/>
              </w:rPr>
            </w:pPr>
            <w:r w:rsidRPr="00DB09D5">
              <w:rPr>
                <w:sz w:val="16"/>
                <w:szCs w:val="16"/>
              </w:rPr>
              <w:t>15 livestock industry manuals</w:t>
            </w:r>
          </w:p>
        </w:tc>
        <w:tc>
          <w:tcPr>
            <w:tcW w:w="3248" w:type="dxa"/>
          </w:tcPr>
          <w:p w14:paraId="1EDA3303" w14:textId="77777777" w:rsidR="00DD29D6" w:rsidRPr="00DB09D5" w:rsidRDefault="00DD29D6" w:rsidP="00ED11A2">
            <w:pPr>
              <w:pStyle w:val="TableText"/>
              <w:rPr>
                <w:sz w:val="16"/>
                <w:szCs w:val="16"/>
              </w:rPr>
            </w:pPr>
            <w:r w:rsidRPr="00DB09D5">
              <w:rPr>
                <w:sz w:val="16"/>
                <w:szCs w:val="16"/>
              </w:rPr>
              <w:t>No equivalent</w:t>
            </w:r>
          </w:p>
        </w:tc>
      </w:tr>
      <w:tr w:rsidR="00DD29D6" w14:paraId="0204C564" w14:textId="77777777" w:rsidTr="0061657F">
        <w:tc>
          <w:tcPr>
            <w:tcW w:w="1985" w:type="dxa"/>
          </w:tcPr>
          <w:p w14:paraId="4363645F" w14:textId="77777777" w:rsidR="00DD29D6" w:rsidRPr="00DB09D5" w:rsidRDefault="00DD29D6" w:rsidP="00ED11A2">
            <w:pPr>
              <w:pStyle w:val="TableText"/>
              <w:rPr>
                <w:sz w:val="16"/>
                <w:szCs w:val="16"/>
              </w:rPr>
            </w:pPr>
            <w:r w:rsidRPr="00DB09D5">
              <w:rPr>
                <w:sz w:val="16"/>
                <w:szCs w:val="16"/>
              </w:rPr>
              <w:t>Emergency response agreement</w:t>
            </w:r>
          </w:p>
        </w:tc>
        <w:tc>
          <w:tcPr>
            <w:tcW w:w="3827" w:type="dxa"/>
          </w:tcPr>
          <w:p w14:paraId="570E5AD7" w14:textId="77777777" w:rsidR="00DD29D6" w:rsidRPr="00DB09D5" w:rsidRDefault="00DD29D6" w:rsidP="00ED11A2">
            <w:pPr>
              <w:pStyle w:val="TableText"/>
              <w:rPr>
                <w:sz w:val="16"/>
                <w:szCs w:val="16"/>
              </w:rPr>
            </w:pPr>
            <w:r w:rsidRPr="00DB09D5">
              <w:rPr>
                <w:sz w:val="16"/>
                <w:szCs w:val="16"/>
              </w:rPr>
              <w:t>80 plant diseases</w:t>
            </w:r>
          </w:p>
          <w:p w14:paraId="5CBFCB23" w14:textId="77777777" w:rsidR="00DD29D6" w:rsidRPr="00DB09D5" w:rsidRDefault="00DD29D6" w:rsidP="00ED11A2">
            <w:pPr>
              <w:pStyle w:val="TableText"/>
              <w:rPr>
                <w:sz w:val="16"/>
                <w:szCs w:val="16"/>
              </w:rPr>
            </w:pPr>
            <w:r w:rsidRPr="00DB09D5">
              <w:rPr>
                <w:sz w:val="16"/>
                <w:szCs w:val="16"/>
              </w:rPr>
              <w:t>65 animal diseases</w:t>
            </w:r>
          </w:p>
        </w:tc>
        <w:tc>
          <w:tcPr>
            <w:tcW w:w="3248" w:type="dxa"/>
          </w:tcPr>
          <w:p w14:paraId="44E0E02C" w14:textId="77777777" w:rsidR="00DD29D6" w:rsidRPr="00DB09D5" w:rsidRDefault="00DD29D6" w:rsidP="00ED11A2">
            <w:pPr>
              <w:pStyle w:val="TableText"/>
              <w:rPr>
                <w:sz w:val="16"/>
                <w:szCs w:val="16"/>
              </w:rPr>
            </w:pPr>
            <w:r w:rsidRPr="00DB09D5">
              <w:rPr>
                <w:sz w:val="16"/>
                <w:szCs w:val="16"/>
              </w:rPr>
              <w:t>Response decided on national significance and other criteria</w:t>
            </w:r>
          </w:p>
        </w:tc>
      </w:tr>
      <w:tr w:rsidR="000E44B5" w14:paraId="02C28FED" w14:textId="77777777" w:rsidTr="0061657F">
        <w:tc>
          <w:tcPr>
            <w:tcW w:w="1985" w:type="dxa"/>
          </w:tcPr>
          <w:p w14:paraId="044B5371" w14:textId="59E0CC1D" w:rsidR="000E44B5" w:rsidRPr="000E44B5" w:rsidRDefault="000E44B5" w:rsidP="00ED11A2">
            <w:pPr>
              <w:pStyle w:val="TableText"/>
              <w:rPr>
                <w:b/>
              </w:rPr>
            </w:pPr>
            <w:r w:rsidRPr="000E44B5">
              <w:rPr>
                <w:b/>
              </w:rPr>
              <w:t>Stakeholders</w:t>
            </w:r>
          </w:p>
        </w:tc>
        <w:tc>
          <w:tcPr>
            <w:tcW w:w="3827" w:type="dxa"/>
          </w:tcPr>
          <w:p w14:paraId="58CCD524" w14:textId="2F8F750C" w:rsidR="000E44B5" w:rsidRDefault="004B3ED7" w:rsidP="00ED11A2">
            <w:pPr>
              <w:pStyle w:val="TableText"/>
            </w:pPr>
            <w:r w:rsidRPr="004B3ED7">
              <w:rPr>
                <w:color w:val="FFFFFF" w:themeColor="background1"/>
              </w:rPr>
              <w:t>.</w:t>
            </w:r>
          </w:p>
        </w:tc>
        <w:tc>
          <w:tcPr>
            <w:tcW w:w="3248" w:type="dxa"/>
          </w:tcPr>
          <w:p w14:paraId="45199DAB" w14:textId="7D66B333" w:rsidR="000E44B5" w:rsidRDefault="004B3ED7" w:rsidP="00ED11A2">
            <w:pPr>
              <w:pStyle w:val="TableText"/>
            </w:pPr>
            <w:r w:rsidRPr="004B3ED7">
              <w:rPr>
                <w:color w:val="FFFFFF" w:themeColor="background1"/>
              </w:rPr>
              <w:t>.</w:t>
            </w:r>
          </w:p>
        </w:tc>
      </w:tr>
      <w:tr w:rsidR="00DD29D6" w14:paraId="434A769F" w14:textId="77777777" w:rsidTr="0061657F">
        <w:tc>
          <w:tcPr>
            <w:tcW w:w="1985" w:type="dxa"/>
          </w:tcPr>
          <w:p w14:paraId="34AC5218" w14:textId="77777777" w:rsidR="00DD29D6" w:rsidRPr="00DB09D5" w:rsidRDefault="00DD29D6" w:rsidP="00ED11A2">
            <w:pPr>
              <w:pStyle w:val="TableText"/>
              <w:rPr>
                <w:sz w:val="16"/>
                <w:szCs w:val="16"/>
              </w:rPr>
            </w:pPr>
            <w:r w:rsidRPr="00DB09D5">
              <w:rPr>
                <w:sz w:val="16"/>
                <w:szCs w:val="16"/>
              </w:rPr>
              <w:t>Consultative committees</w:t>
            </w:r>
          </w:p>
        </w:tc>
        <w:tc>
          <w:tcPr>
            <w:tcW w:w="3827" w:type="dxa"/>
          </w:tcPr>
          <w:p w14:paraId="51D63D9B" w14:textId="77777777" w:rsidR="00DD29D6" w:rsidRPr="00DB09D5" w:rsidRDefault="00DD29D6" w:rsidP="00ED11A2">
            <w:pPr>
              <w:pStyle w:val="TableText"/>
              <w:rPr>
                <w:sz w:val="16"/>
                <w:szCs w:val="16"/>
              </w:rPr>
            </w:pPr>
            <w:r w:rsidRPr="00DB09D5">
              <w:rPr>
                <w:sz w:val="16"/>
                <w:szCs w:val="16"/>
              </w:rPr>
              <w:t xml:space="preserve">14 industry-specific committees </w:t>
            </w:r>
          </w:p>
        </w:tc>
        <w:tc>
          <w:tcPr>
            <w:tcW w:w="3248" w:type="dxa"/>
          </w:tcPr>
          <w:p w14:paraId="230649D0" w14:textId="77777777" w:rsidR="00DD29D6" w:rsidRPr="00DB09D5" w:rsidRDefault="00DD29D6" w:rsidP="00ED11A2">
            <w:pPr>
              <w:pStyle w:val="TableText"/>
              <w:rPr>
                <w:sz w:val="16"/>
                <w:szCs w:val="16"/>
              </w:rPr>
            </w:pPr>
            <w:r w:rsidRPr="00DB09D5">
              <w:rPr>
                <w:sz w:val="16"/>
                <w:szCs w:val="16"/>
              </w:rPr>
              <w:t>No formal structure</w:t>
            </w:r>
          </w:p>
        </w:tc>
      </w:tr>
      <w:tr w:rsidR="00DD29D6" w14:paraId="6060A45F" w14:textId="77777777" w:rsidTr="0061657F">
        <w:tc>
          <w:tcPr>
            <w:tcW w:w="1985" w:type="dxa"/>
          </w:tcPr>
          <w:p w14:paraId="1AB5853C" w14:textId="77777777" w:rsidR="00DD29D6" w:rsidRPr="00DB09D5" w:rsidRDefault="00DD29D6" w:rsidP="00ED11A2">
            <w:pPr>
              <w:pStyle w:val="TableText"/>
              <w:rPr>
                <w:sz w:val="16"/>
                <w:szCs w:val="16"/>
              </w:rPr>
            </w:pPr>
            <w:r w:rsidRPr="00DB09D5">
              <w:rPr>
                <w:sz w:val="16"/>
                <w:szCs w:val="16"/>
              </w:rPr>
              <w:t>Incursion responses</w:t>
            </w:r>
          </w:p>
        </w:tc>
        <w:tc>
          <w:tcPr>
            <w:tcW w:w="3827" w:type="dxa"/>
          </w:tcPr>
          <w:p w14:paraId="40C50F9C" w14:textId="77777777" w:rsidR="00DD29D6" w:rsidRPr="00DB09D5" w:rsidRDefault="00DD29D6" w:rsidP="00ED11A2">
            <w:pPr>
              <w:pStyle w:val="TableText"/>
              <w:rPr>
                <w:sz w:val="16"/>
                <w:szCs w:val="16"/>
              </w:rPr>
            </w:pPr>
            <w:r w:rsidRPr="00DB09D5">
              <w:rPr>
                <w:sz w:val="16"/>
                <w:szCs w:val="16"/>
              </w:rPr>
              <w:t xml:space="preserve">Industry stakeholder participation </w:t>
            </w:r>
          </w:p>
        </w:tc>
        <w:tc>
          <w:tcPr>
            <w:tcW w:w="3248" w:type="dxa"/>
          </w:tcPr>
          <w:p w14:paraId="62F4B214" w14:textId="77777777" w:rsidR="00DD29D6" w:rsidRPr="00DB09D5" w:rsidRDefault="00DD29D6" w:rsidP="00ED11A2">
            <w:pPr>
              <w:pStyle w:val="TableText"/>
              <w:rPr>
                <w:sz w:val="16"/>
                <w:szCs w:val="16"/>
              </w:rPr>
            </w:pPr>
            <w:r w:rsidRPr="00DB09D5">
              <w:rPr>
                <w:sz w:val="16"/>
                <w:szCs w:val="16"/>
              </w:rPr>
              <w:t>No community involvement</w:t>
            </w:r>
          </w:p>
        </w:tc>
      </w:tr>
      <w:tr w:rsidR="00DD29D6" w14:paraId="1BB79C73" w14:textId="77777777" w:rsidTr="0061657F">
        <w:tc>
          <w:tcPr>
            <w:tcW w:w="1985" w:type="dxa"/>
          </w:tcPr>
          <w:p w14:paraId="768EBB0F" w14:textId="77777777" w:rsidR="00DD29D6" w:rsidRPr="00DB09D5" w:rsidRDefault="00DD29D6" w:rsidP="00ED11A2">
            <w:pPr>
              <w:pStyle w:val="TableText"/>
              <w:rPr>
                <w:sz w:val="16"/>
                <w:szCs w:val="16"/>
              </w:rPr>
            </w:pPr>
            <w:r w:rsidRPr="00DB09D5">
              <w:rPr>
                <w:sz w:val="16"/>
                <w:szCs w:val="16"/>
              </w:rPr>
              <w:t>Contingency planning</w:t>
            </w:r>
          </w:p>
        </w:tc>
        <w:tc>
          <w:tcPr>
            <w:tcW w:w="3827" w:type="dxa"/>
          </w:tcPr>
          <w:p w14:paraId="5CAB1387" w14:textId="77777777" w:rsidR="00DD29D6" w:rsidRPr="00DB09D5" w:rsidRDefault="00DD29D6" w:rsidP="00ED11A2">
            <w:pPr>
              <w:pStyle w:val="TableText"/>
              <w:rPr>
                <w:sz w:val="16"/>
                <w:szCs w:val="16"/>
              </w:rPr>
            </w:pPr>
            <w:r w:rsidRPr="00DB09D5">
              <w:rPr>
                <w:sz w:val="16"/>
                <w:szCs w:val="16"/>
              </w:rPr>
              <w:t>Industry membership of Plant Health Australia, Animal Health Australia</w:t>
            </w:r>
          </w:p>
        </w:tc>
        <w:tc>
          <w:tcPr>
            <w:tcW w:w="3248" w:type="dxa"/>
          </w:tcPr>
          <w:p w14:paraId="2A18FD3B" w14:textId="77777777" w:rsidR="00DD29D6" w:rsidRPr="00DB09D5" w:rsidRDefault="00DD29D6" w:rsidP="00ED11A2">
            <w:pPr>
              <w:pStyle w:val="TableText"/>
              <w:rPr>
                <w:sz w:val="16"/>
                <w:szCs w:val="16"/>
              </w:rPr>
            </w:pPr>
            <w:r w:rsidRPr="00DB09D5">
              <w:rPr>
                <w:sz w:val="16"/>
                <w:szCs w:val="16"/>
              </w:rPr>
              <w:t>No community involvement</w:t>
            </w:r>
          </w:p>
        </w:tc>
      </w:tr>
    </w:tbl>
    <w:p w14:paraId="6DF99D59" w14:textId="7128B37A" w:rsidR="00DD29D6" w:rsidRPr="00317654" w:rsidRDefault="0061657F" w:rsidP="00DD29D6">
      <w:pPr>
        <w:pStyle w:val="FigureTableNoteSource"/>
      </w:pPr>
      <w:r>
        <w:t>Note: t</w:t>
      </w:r>
      <w:r w:rsidR="00DD29D6" w:rsidRPr="00317654">
        <w:t xml:space="preserve">he </w:t>
      </w:r>
      <w:r w:rsidR="00E32EE9">
        <w:t>p</w:t>
      </w:r>
      <w:r w:rsidR="00DD29D6" w:rsidRPr="00317654">
        <w:t>anel has not verified the</w:t>
      </w:r>
      <w:r w:rsidR="00DD29D6">
        <w:t xml:space="preserve"> table elements</w:t>
      </w:r>
      <w:r w:rsidR="00DD29D6" w:rsidRPr="00317654">
        <w:t>.</w:t>
      </w:r>
    </w:p>
    <w:p w14:paraId="6E6A14D2" w14:textId="40434ECF" w:rsidR="0003507A" w:rsidRDefault="0003507A" w:rsidP="00210276">
      <w:pPr>
        <w:pStyle w:val="Heading2"/>
        <w:numPr>
          <w:ilvl w:val="0"/>
          <w:numId w:val="0"/>
        </w:numPr>
        <w:ind w:left="709" w:hanging="709"/>
      </w:pPr>
      <w:bookmarkStart w:id="255" w:name="_Appendix_H:_Submissions"/>
      <w:bookmarkStart w:id="256" w:name="_Toc486236077"/>
      <w:bookmarkEnd w:id="255"/>
      <w:r>
        <w:t>Glossary</w:t>
      </w:r>
      <w:bookmarkEnd w:id="237"/>
      <w:bookmarkEnd w:id="25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71"/>
      </w:tblGrid>
      <w:tr w:rsidR="006C2AB1" w:rsidRPr="000A3EDA" w14:paraId="28057932" w14:textId="77777777" w:rsidTr="00AA1818">
        <w:trPr>
          <w:tblHeader/>
        </w:trPr>
        <w:tc>
          <w:tcPr>
            <w:tcW w:w="2689" w:type="dxa"/>
            <w:tcBorders>
              <w:top w:val="single" w:sz="4" w:space="0" w:color="auto"/>
              <w:bottom w:val="nil"/>
            </w:tcBorders>
          </w:tcPr>
          <w:p w14:paraId="7BFBE411" w14:textId="060471CC" w:rsidR="006C2AB1" w:rsidRPr="000A3EDA" w:rsidRDefault="006C2AB1" w:rsidP="006C2AB1">
            <w:pPr>
              <w:pStyle w:val="TableHeading"/>
              <w:rPr>
                <w:lang w:eastAsia="ja-JP"/>
              </w:rPr>
            </w:pPr>
            <w:r>
              <w:rPr>
                <w:lang w:eastAsia="ja-JP"/>
              </w:rPr>
              <w:t>Term</w:t>
            </w:r>
          </w:p>
        </w:tc>
        <w:tc>
          <w:tcPr>
            <w:tcW w:w="6371" w:type="dxa"/>
            <w:tcBorders>
              <w:top w:val="single" w:sz="4" w:space="0" w:color="auto"/>
              <w:bottom w:val="nil"/>
            </w:tcBorders>
          </w:tcPr>
          <w:p w14:paraId="09694EEC" w14:textId="15A0D266" w:rsidR="006C2AB1" w:rsidRPr="000A3EDA" w:rsidRDefault="006C2AB1" w:rsidP="006C2AB1">
            <w:pPr>
              <w:pStyle w:val="TableHeading"/>
              <w:rPr>
                <w:lang w:eastAsia="ja-JP"/>
              </w:rPr>
            </w:pPr>
            <w:r>
              <w:rPr>
                <w:lang w:eastAsia="ja-JP"/>
              </w:rPr>
              <w:t>Meaning</w:t>
            </w:r>
          </w:p>
        </w:tc>
      </w:tr>
      <w:tr w:rsidR="000A3EDA" w:rsidRPr="000A3EDA" w14:paraId="4D66891C" w14:textId="77777777" w:rsidTr="00AA1818">
        <w:tc>
          <w:tcPr>
            <w:tcW w:w="2689" w:type="dxa"/>
            <w:tcBorders>
              <w:top w:val="nil"/>
              <w:bottom w:val="nil"/>
            </w:tcBorders>
          </w:tcPr>
          <w:p w14:paraId="76ADA184" w14:textId="6C76C74A" w:rsidR="000A3EDA" w:rsidRPr="000A3EDA" w:rsidRDefault="000A3EDA" w:rsidP="00A257CF">
            <w:pPr>
              <w:pStyle w:val="TableText"/>
              <w:rPr>
                <w:lang w:eastAsia="ja-JP"/>
              </w:rPr>
            </w:pPr>
            <w:r w:rsidRPr="000A3EDA">
              <w:rPr>
                <w:lang w:eastAsia="ja-JP"/>
              </w:rPr>
              <w:t>Appropr</w:t>
            </w:r>
            <w:r w:rsidR="00DF395A">
              <w:rPr>
                <w:lang w:eastAsia="ja-JP"/>
              </w:rPr>
              <w:t>iate Level of Protection (ALOP)</w:t>
            </w:r>
          </w:p>
        </w:tc>
        <w:tc>
          <w:tcPr>
            <w:tcW w:w="6371" w:type="dxa"/>
            <w:tcBorders>
              <w:top w:val="nil"/>
              <w:bottom w:val="nil"/>
            </w:tcBorders>
          </w:tcPr>
          <w:p w14:paraId="7E1A2E13" w14:textId="07A0AF07" w:rsidR="000A3EDA" w:rsidRPr="000A3EDA" w:rsidRDefault="0061657F" w:rsidP="00A257CF">
            <w:pPr>
              <w:pStyle w:val="TableText"/>
              <w:rPr>
                <w:lang w:eastAsia="ja-JP"/>
              </w:rPr>
            </w:pPr>
            <w:r>
              <w:rPr>
                <w:lang w:eastAsia="ja-JP"/>
              </w:rPr>
              <w:t>T</w:t>
            </w:r>
            <w:r w:rsidR="000A3EDA" w:rsidRPr="000A3EDA">
              <w:rPr>
                <w:lang w:eastAsia="ja-JP"/>
              </w:rPr>
              <w:t>he level of protection deemed appropriate by a country establishing a sanitary or phytosanitary measure to protect human, animal or plant life or health within its territory (Source: IGAB). The ALOP for Australia is a high level of sanitary and phytosanitary protection aimed at managing and reducing biosecurity risks to a v</w:t>
            </w:r>
            <w:r w:rsidR="00DF395A">
              <w:rPr>
                <w:lang w:eastAsia="ja-JP"/>
              </w:rPr>
              <w:t>ery low level, but not to zero.</w:t>
            </w:r>
          </w:p>
        </w:tc>
      </w:tr>
      <w:tr w:rsidR="000A3EDA" w:rsidRPr="000A3EDA" w14:paraId="16A978F3" w14:textId="77777777" w:rsidTr="00AA1818">
        <w:tc>
          <w:tcPr>
            <w:tcW w:w="2689" w:type="dxa"/>
            <w:tcBorders>
              <w:top w:val="nil"/>
            </w:tcBorders>
          </w:tcPr>
          <w:p w14:paraId="71A6DAE6" w14:textId="77777777" w:rsidR="000A3EDA" w:rsidRPr="000A3EDA" w:rsidRDefault="000A3EDA" w:rsidP="00A257CF">
            <w:pPr>
              <w:pStyle w:val="TableText"/>
              <w:rPr>
                <w:lang w:eastAsia="ja-JP"/>
              </w:rPr>
            </w:pPr>
            <w:r w:rsidRPr="000A3EDA">
              <w:rPr>
                <w:lang w:eastAsia="ja-JP"/>
              </w:rPr>
              <w:t>Biosecurity</w:t>
            </w:r>
          </w:p>
        </w:tc>
        <w:tc>
          <w:tcPr>
            <w:tcW w:w="6371" w:type="dxa"/>
            <w:tcBorders>
              <w:top w:val="nil"/>
            </w:tcBorders>
          </w:tcPr>
          <w:p w14:paraId="2928A0B1" w14:textId="0D725C21" w:rsidR="000A3EDA" w:rsidRPr="000A3EDA" w:rsidRDefault="0061657F" w:rsidP="00A257CF">
            <w:pPr>
              <w:pStyle w:val="TableText"/>
              <w:rPr>
                <w:lang w:eastAsia="ja-JP"/>
              </w:rPr>
            </w:pPr>
            <w:r>
              <w:rPr>
                <w:lang w:eastAsia="ja-JP"/>
              </w:rPr>
              <w:t>T</w:t>
            </w:r>
            <w:r w:rsidR="000A3EDA" w:rsidRPr="000A3EDA">
              <w:rPr>
                <w:lang w:eastAsia="ja-JP"/>
              </w:rPr>
              <w:t xml:space="preserve">he management of risks </w:t>
            </w:r>
            <w:r>
              <w:rPr>
                <w:lang w:eastAsia="ja-JP"/>
              </w:rPr>
              <w:t>to the economy, the environment</w:t>
            </w:r>
            <w:r w:rsidR="000A3EDA" w:rsidRPr="000A3EDA">
              <w:rPr>
                <w:lang w:eastAsia="ja-JP"/>
              </w:rPr>
              <w:t xml:space="preserve"> and the broader community, of pests and diseases entering, emerging, establishing or spreading (Source: IGAB).</w:t>
            </w:r>
          </w:p>
        </w:tc>
      </w:tr>
      <w:tr w:rsidR="00A257CF" w:rsidRPr="000A3EDA" w14:paraId="44A6C8EA" w14:textId="77777777" w:rsidTr="00BB2761">
        <w:tc>
          <w:tcPr>
            <w:tcW w:w="2689" w:type="dxa"/>
          </w:tcPr>
          <w:p w14:paraId="7E91C329" w14:textId="77777777" w:rsidR="00A257CF" w:rsidRPr="000A3EDA" w:rsidRDefault="00A257CF" w:rsidP="00A257CF">
            <w:pPr>
              <w:pStyle w:val="TableText"/>
              <w:rPr>
                <w:lang w:eastAsia="ja-JP"/>
              </w:rPr>
            </w:pPr>
            <w:r w:rsidRPr="00A257CF">
              <w:rPr>
                <w:lang w:eastAsia="ja-JP"/>
              </w:rPr>
              <w:t>Biosecurity risks</w:t>
            </w:r>
          </w:p>
        </w:tc>
        <w:tc>
          <w:tcPr>
            <w:tcW w:w="6371" w:type="dxa"/>
          </w:tcPr>
          <w:p w14:paraId="38F907A3" w14:textId="4330E4D4" w:rsidR="00A257CF" w:rsidRPr="000A3EDA" w:rsidRDefault="00BD211F" w:rsidP="00A257CF">
            <w:pPr>
              <w:pStyle w:val="TableText"/>
              <w:rPr>
                <w:lang w:eastAsia="ja-JP"/>
              </w:rPr>
            </w:pPr>
            <w:r>
              <w:rPr>
                <w:lang w:eastAsia="ja-JP"/>
              </w:rPr>
              <w:t>T</w:t>
            </w:r>
            <w:r w:rsidR="00A257CF" w:rsidRPr="00A257CF">
              <w:rPr>
                <w:lang w:eastAsia="ja-JP"/>
              </w:rPr>
              <w:t>he potential of a disease or pest entering, emerging, establishing</w:t>
            </w:r>
            <w:r>
              <w:rPr>
                <w:lang w:eastAsia="ja-JP"/>
              </w:rPr>
              <w:t xml:space="preserve"> or spreading in Australia; and</w:t>
            </w:r>
            <w:r w:rsidR="00A257CF" w:rsidRPr="00A257CF">
              <w:rPr>
                <w:lang w:eastAsia="ja-JP"/>
              </w:rPr>
              <w:t xml:space="preserve"> the disease or pest causing harm to the environment, or economic or community activities (Source: IGAB).</w:t>
            </w:r>
          </w:p>
        </w:tc>
      </w:tr>
      <w:tr w:rsidR="000A3EDA" w:rsidRPr="000A3EDA" w14:paraId="38B60D23" w14:textId="77777777" w:rsidTr="00BB2761">
        <w:tc>
          <w:tcPr>
            <w:tcW w:w="2689" w:type="dxa"/>
          </w:tcPr>
          <w:p w14:paraId="4D768489" w14:textId="23C8604A" w:rsidR="000A3EDA" w:rsidRPr="000A3EDA" w:rsidRDefault="00A257CF" w:rsidP="00DF395A">
            <w:pPr>
              <w:pStyle w:val="TableText"/>
              <w:rPr>
                <w:lang w:eastAsia="ja-JP"/>
              </w:rPr>
            </w:pPr>
            <w:r w:rsidRPr="00A257CF">
              <w:rPr>
                <w:lang w:eastAsia="ja-JP"/>
              </w:rPr>
              <w:t>Disease</w:t>
            </w:r>
          </w:p>
        </w:tc>
        <w:tc>
          <w:tcPr>
            <w:tcW w:w="6371" w:type="dxa"/>
          </w:tcPr>
          <w:p w14:paraId="56C75934" w14:textId="034B85E4" w:rsidR="000A3EDA" w:rsidRPr="000A3EDA" w:rsidRDefault="0061657F" w:rsidP="00A257CF">
            <w:pPr>
              <w:pStyle w:val="TableText"/>
              <w:rPr>
                <w:lang w:eastAsia="ja-JP"/>
              </w:rPr>
            </w:pPr>
            <w:r>
              <w:rPr>
                <w:lang w:eastAsia="ja-JP"/>
              </w:rPr>
              <w:t>T</w:t>
            </w:r>
            <w:r w:rsidR="000A3EDA" w:rsidRPr="000A3EDA">
              <w:rPr>
                <w:lang w:eastAsia="ja-JP"/>
              </w:rPr>
              <w:t>he presence of a pathogenic agent in a host and/or the clinical manifestation of infection that has had an impact (that is, significant negative consequences) or poses a likely threat of an impact. It includes microorganisms, disease agents, infectious agents and parasites (Source: IGAB).</w:t>
            </w:r>
          </w:p>
        </w:tc>
      </w:tr>
      <w:tr w:rsidR="000A3EDA" w:rsidRPr="000A3EDA" w14:paraId="0C2B58C6" w14:textId="77777777" w:rsidTr="00BB2761">
        <w:tc>
          <w:tcPr>
            <w:tcW w:w="2689" w:type="dxa"/>
          </w:tcPr>
          <w:p w14:paraId="3B22CB1C" w14:textId="2466C0A5" w:rsidR="000A3EDA" w:rsidRPr="000A3EDA" w:rsidRDefault="00DF395A" w:rsidP="00A257CF">
            <w:pPr>
              <w:pStyle w:val="TableText"/>
              <w:rPr>
                <w:lang w:eastAsia="ja-JP"/>
              </w:rPr>
            </w:pPr>
            <w:r>
              <w:rPr>
                <w:lang w:eastAsia="ja-JP"/>
              </w:rPr>
              <w:t>Established pest or disease</w:t>
            </w:r>
          </w:p>
        </w:tc>
        <w:tc>
          <w:tcPr>
            <w:tcW w:w="6371" w:type="dxa"/>
          </w:tcPr>
          <w:p w14:paraId="40D6D161" w14:textId="0219BA51" w:rsidR="000A3EDA" w:rsidRPr="000A3EDA" w:rsidRDefault="0061657F" w:rsidP="00A257CF">
            <w:pPr>
              <w:pStyle w:val="TableText"/>
              <w:rPr>
                <w:lang w:eastAsia="ja-JP"/>
              </w:rPr>
            </w:pPr>
            <w:r>
              <w:rPr>
                <w:lang w:eastAsia="ja-JP"/>
              </w:rPr>
              <w:t>A</w:t>
            </w:r>
            <w:r w:rsidR="00A257CF" w:rsidRPr="00A257CF">
              <w:rPr>
                <w:lang w:eastAsia="ja-JP"/>
              </w:rPr>
              <w:t xml:space="preserve"> pest or disease that is perpetuated, for the foreseeable future, within any area and where it is not feasible (economically and/or technically) to eradicate the pest or disease (Source: IGAB).</w:t>
            </w:r>
          </w:p>
        </w:tc>
      </w:tr>
      <w:tr w:rsidR="00A257CF" w:rsidRPr="000A3EDA" w14:paraId="58A5C396" w14:textId="77777777" w:rsidTr="00BB2761">
        <w:tc>
          <w:tcPr>
            <w:tcW w:w="2689" w:type="dxa"/>
          </w:tcPr>
          <w:p w14:paraId="75F951EF" w14:textId="77777777" w:rsidR="00A257CF" w:rsidRPr="000A3EDA" w:rsidRDefault="00A257CF" w:rsidP="00A257CF">
            <w:pPr>
              <w:pStyle w:val="TableText"/>
              <w:rPr>
                <w:lang w:eastAsia="ja-JP"/>
              </w:rPr>
            </w:pPr>
            <w:r w:rsidRPr="00A257CF">
              <w:rPr>
                <w:lang w:eastAsia="ja-JP"/>
              </w:rPr>
              <w:t>Exotic pest and disease</w:t>
            </w:r>
          </w:p>
        </w:tc>
        <w:tc>
          <w:tcPr>
            <w:tcW w:w="6371" w:type="dxa"/>
          </w:tcPr>
          <w:p w14:paraId="78C92BE4" w14:textId="1062C3AA" w:rsidR="00A257CF" w:rsidRPr="000A3EDA" w:rsidRDefault="00BD211F" w:rsidP="00A257CF">
            <w:pPr>
              <w:pStyle w:val="TableText"/>
              <w:rPr>
                <w:lang w:eastAsia="ja-JP"/>
              </w:rPr>
            </w:pPr>
            <w:r>
              <w:rPr>
                <w:lang w:eastAsia="ja-JP"/>
              </w:rPr>
              <w:t>P</w:t>
            </w:r>
            <w:r w:rsidR="00A257CF" w:rsidRPr="00A257CF">
              <w:rPr>
                <w:lang w:eastAsia="ja-JP"/>
              </w:rPr>
              <w:t>ests and diseases affecting plants or animals (potentially human beings) that do not normally occur in a particular country (Source: adapted from the IGAB).</w:t>
            </w:r>
          </w:p>
        </w:tc>
      </w:tr>
      <w:tr w:rsidR="000A3EDA" w:rsidRPr="000A3EDA" w14:paraId="4E7BE635" w14:textId="77777777" w:rsidTr="00BB2761">
        <w:tc>
          <w:tcPr>
            <w:tcW w:w="2689" w:type="dxa"/>
          </w:tcPr>
          <w:p w14:paraId="6A4D31C6" w14:textId="385B5C02" w:rsidR="000A3EDA" w:rsidRPr="000A3EDA" w:rsidRDefault="00DF395A" w:rsidP="00A257CF">
            <w:pPr>
              <w:pStyle w:val="TableText"/>
              <w:rPr>
                <w:lang w:eastAsia="ja-JP"/>
              </w:rPr>
            </w:pPr>
            <w:r>
              <w:rPr>
                <w:lang w:eastAsia="ja-JP"/>
              </w:rPr>
              <w:t>Incursion</w:t>
            </w:r>
          </w:p>
        </w:tc>
        <w:tc>
          <w:tcPr>
            <w:tcW w:w="6371" w:type="dxa"/>
          </w:tcPr>
          <w:p w14:paraId="2E7B626E" w14:textId="4D65BB10" w:rsidR="000A3EDA" w:rsidRPr="000A3EDA" w:rsidRDefault="00BD211F" w:rsidP="00BD211F">
            <w:pPr>
              <w:pStyle w:val="TableText"/>
              <w:rPr>
                <w:lang w:eastAsia="ja-JP"/>
              </w:rPr>
            </w:pPr>
            <w:r>
              <w:rPr>
                <w:lang w:eastAsia="ja-JP"/>
              </w:rPr>
              <w:t>A</w:t>
            </w:r>
            <w:r w:rsidR="00A257CF" w:rsidRPr="00A257CF">
              <w:rPr>
                <w:lang w:eastAsia="ja-JP"/>
              </w:rPr>
              <w:t xml:space="preserve">n isolated population of a pest or disease recently detected in an area, not known to be established but expected to survive for the immediate future (Source: adapted from the International Standards on Phytosanitary Measures </w:t>
            </w:r>
            <w:r w:rsidR="003B1A0F">
              <w:rPr>
                <w:lang w:eastAsia="ja-JP"/>
              </w:rPr>
              <w:t>5—</w:t>
            </w:r>
            <w:r w:rsidR="00A257CF" w:rsidRPr="00A257CF">
              <w:rPr>
                <w:lang w:eastAsia="ja-JP"/>
              </w:rPr>
              <w:t>Glossary of terms).</w:t>
            </w:r>
          </w:p>
        </w:tc>
      </w:tr>
      <w:tr w:rsidR="00A257CF" w:rsidRPr="000A3EDA" w14:paraId="4DBFF8A7" w14:textId="77777777" w:rsidTr="00BB2761">
        <w:tc>
          <w:tcPr>
            <w:tcW w:w="2689" w:type="dxa"/>
          </w:tcPr>
          <w:p w14:paraId="023B6DB4" w14:textId="77777777" w:rsidR="00A257CF" w:rsidRPr="000A3EDA" w:rsidRDefault="00A257CF" w:rsidP="00A257CF">
            <w:pPr>
              <w:pStyle w:val="TableText"/>
              <w:rPr>
                <w:lang w:eastAsia="ja-JP"/>
              </w:rPr>
            </w:pPr>
            <w:r w:rsidRPr="00A257CF">
              <w:rPr>
                <w:lang w:eastAsia="ja-JP"/>
              </w:rPr>
              <w:t>Intergovernmental Agreement on Biosecurity (IGAB)</w:t>
            </w:r>
          </w:p>
        </w:tc>
        <w:tc>
          <w:tcPr>
            <w:tcW w:w="6371" w:type="dxa"/>
          </w:tcPr>
          <w:p w14:paraId="3CEC3BD4" w14:textId="6157021D" w:rsidR="00A257CF" w:rsidRPr="000A3EDA" w:rsidRDefault="00BD211F" w:rsidP="00A257CF">
            <w:pPr>
              <w:pStyle w:val="TableText"/>
              <w:rPr>
                <w:lang w:eastAsia="ja-JP"/>
              </w:rPr>
            </w:pPr>
            <w:r>
              <w:rPr>
                <w:lang w:eastAsia="ja-JP"/>
              </w:rPr>
              <w:t>A</w:t>
            </w:r>
            <w:r w:rsidR="00A257CF" w:rsidRPr="00A257CF">
              <w:rPr>
                <w:lang w:eastAsia="ja-JP"/>
              </w:rPr>
              <w:t xml:space="preserve">n agreement between the Commonwealth and </w:t>
            </w:r>
            <w:r>
              <w:rPr>
                <w:lang w:eastAsia="ja-JP"/>
              </w:rPr>
              <w:t>state and territory governments</w:t>
            </w:r>
            <w:r w:rsidR="00A257CF" w:rsidRPr="00A257CF">
              <w:rPr>
                <w:lang w:eastAsia="ja-JP"/>
              </w:rPr>
              <w:t xml:space="preserve"> except Tasmania. The agreement aims to strengthen the working partnerships between governments, improve the national biosecurity system and minimise the impact of pests and diseases on Australia’s economy, environment and the community.</w:t>
            </w:r>
          </w:p>
        </w:tc>
      </w:tr>
      <w:tr w:rsidR="000A3EDA" w:rsidRPr="000A3EDA" w14:paraId="2E55EBEE" w14:textId="77777777" w:rsidTr="00BB2761">
        <w:tc>
          <w:tcPr>
            <w:tcW w:w="2689" w:type="dxa"/>
          </w:tcPr>
          <w:p w14:paraId="58B2F7D5" w14:textId="77777777" w:rsidR="000A3EDA" w:rsidRPr="000A3EDA" w:rsidRDefault="000A3EDA" w:rsidP="00A257CF">
            <w:pPr>
              <w:pStyle w:val="TableText"/>
              <w:rPr>
                <w:lang w:eastAsia="ja-JP"/>
              </w:rPr>
            </w:pPr>
            <w:r w:rsidRPr="000A3EDA">
              <w:rPr>
                <w:lang w:eastAsia="ja-JP"/>
              </w:rPr>
              <w:t>National biosecurity system</w:t>
            </w:r>
            <w:r w:rsidRPr="000A3EDA">
              <w:rPr>
                <w:lang w:eastAsia="ja-JP"/>
              </w:rPr>
              <w:tab/>
            </w:r>
          </w:p>
        </w:tc>
        <w:tc>
          <w:tcPr>
            <w:tcW w:w="6371" w:type="dxa"/>
          </w:tcPr>
          <w:p w14:paraId="64DA860F" w14:textId="77777777" w:rsidR="000A3EDA" w:rsidRPr="000A3EDA" w:rsidRDefault="00A257CF" w:rsidP="00A257CF">
            <w:pPr>
              <w:pStyle w:val="TableText"/>
              <w:rPr>
                <w:lang w:eastAsia="ja-JP"/>
              </w:rPr>
            </w:pPr>
            <w:r w:rsidRPr="00A257CF">
              <w:rPr>
                <w:lang w:eastAsia="ja-JP"/>
              </w:rPr>
              <w:t>Australia’s biosecurity system encompasses and fully integrates import and export activities, services and functions—into, within, and from Australia—and covers the spectrum of pest and disease threats to Australia’s environment, production and people.</w:t>
            </w:r>
          </w:p>
        </w:tc>
      </w:tr>
      <w:tr w:rsidR="00A257CF" w:rsidRPr="000A3EDA" w14:paraId="484F2333" w14:textId="77777777" w:rsidTr="00BB2761">
        <w:tc>
          <w:tcPr>
            <w:tcW w:w="2689" w:type="dxa"/>
          </w:tcPr>
          <w:p w14:paraId="3148D451" w14:textId="77777777" w:rsidR="00A257CF" w:rsidRPr="000A3EDA" w:rsidRDefault="00A257CF" w:rsidP="00A257CF">
            <w:pPr>
              <w:pStyle w:val="TableText"/>
              <w:rPr>
                <w:lang w:eastAsia="ja-JP"/>
              </w:rPr>
            </w:pPr>
            <w:r w:rsidRPr="00A257CF">
              <w:rPr>
                <w:lang w:eastAsia="ja-JP"/>
              </w:rPr>
              <w:t>Participants</w:t>
            </w:r>
          </w:p>
        </w:tc>
        <w:tc>
          <w:tcPr>
            <w:tcW w:w="6371" w:type="dxa"/>
          </w:tcPr>
          <w:p w14:paraId="5205EC82" w14:textId="19DE702B" w:rsidR="00A257CF" w:rsidRPr="000A3EDA" w:rsidRDefault="00BD211F" w:rsidP="00CB4F84">
            <w:pPr>
              <w:pStyle w:val="TableText"/>
              <w:rPr>
                <w:lang w:eastAsia="ja-JP"/>
              </w:rPr>
            </w:pPr>
            <w:r>
              <w:rPr>
                <w:lang w:eastAsia="ja-JP"/>
              </w:rPr>
              <w:t>S</w:t>
            </w:r>
            <w:r w:rsidR="00A257CF" w:rsidRPr="00A257CF">
              <w:rPr>
                <w:lang w:eastAsia="ja-JP"/>
              </w:rPr>
              <w:t>takeholders that in some way, and to varying degrees, interact with</w:t>
            </w:r>
            <w:r>
              <w:rPr>
                <w:lang w:eastAsia="ja-JP"/>
              </w:rPr>
              <w:t xml:space="preserve"> Australia’s biosecurity system,</w:t>
            </w:r>
            <w:r w:rsidR="00A257CF" w:rsidRPr="00A257CF">
              <w:rPr>
                <w:lang w:eastAsia="ja-JP"/>
              </w:rPr>
              <w:t xml:space="preserve"> including individuals, businesses, sectors and industries, other organisations and governments.</w:t>
            </w:r>
          </w:p>
        </w:tc>
      </w:tr>
      <w:tr w:rsidR="000A3EDA" w:rsidRPr="000A3EDA" w14:paraId="0034AA02" w14:textId="77777777" w:rsidTr="00BB2761">
        <w:tc>
          <w:tcPr>
            <w:tcW w:w="2689" w:type="dxa"/>
          </w:tcPr>
          <w:p w14:paraId="1F062B8E" w14:textId="47D32609" w:rsidR="000A3EDA" w:rsidRPr="000A3EDA" w:rsidRDefault="00DF395A" w:rsidP="00A257CF">
            <w:pPr>
              <w:pStyle w:val="TableText"/>
              <w:rPr>
                <w:lang w:eastAsia="ja-JP"/>
              </w:rPr>
            </w:pPr>
            <w:r>
              <w:rPr>
                <w:lang w:eastAsia="ja-JP"/>
              </w:rPr>
              <w:t>Pest</w:t>
            </w:r>
          </w:p>
        </w:tc>
        <w:tc>
          <w:tcPr>
            <w:tcW w:w="6371" w:type="dxa"/>
          </w:tcPr>
          <w:p w14:paraId="4AC199C3" w14:textId="22F3DB9E" w:rsidR="000A3EDA" w:rsidRPr="000A3EDA" w:rsidRDefault="00BD211F" w:rsidP="00BD211F">
            <w:pPr>
              <w:pStyle w:val="TableText"/>
              <w:rPr>
                <w:lang w:eastAsia="ja-JP"/>
              </w:rPr>
            </w:pPr>
            <w:r>
              <w:rPr>
                <w:lang w:eastAsia="ja-JP"/>
              </w:rPr>
              <w:t>A</w:t>
            </w:r>
            <w:r w:rsidR="00A257CF" w:rsidRPr="00A257CF">
              <w:rPr>
                <w:lang w:eastAsia="ja-JP"/>
              </w:rPr>
              <w:t>ny species, strain or biotype of the Kingdoms Animalia (excluding human beings), Plantae, Fungi, Monera or Protista that has had an impact (that is, a sig</w:t>
            </w:r>
            <w:r>
              <w:rPr>
                <w:lang w:eastAsia="ja-JP"/>
              </w:rPr>
              <w:t>nificant negative consequences) or poses a likely threat of</w:t>
            </w:r>
            <w:r w:rsidR="00A257CF" w:rsidRPr="00A257CF">
              <w:rPr>
                <w:lang w:eastAsia="ja-JP"/>
              </w:rPr>
              <w:t xml:space="preserve"> having an impact (Source: IGAB).</w:t>
            </w:r>
          </w:p>
        </w:tc>
      </w:tr>
      <w:tr w:rsidR="00A257CF" w:rsidRPr="000A3EDA" w14:paraId="672A315C" w14:textId="77777777" w:rsidTr="00BB2761">
        <w:tc>
          <w:tcPr>
            <w:tcW w:w="2689" w:type="dxa"/>
          </w:tcPr>
          <w:p w14:paraId="7F6AABDF" w14:textId="77777777" w:rsidR="00A257CF" w:rsidRPr="000A3EDA" w:rsidRDefault="00A257CF" w:rsidP="00A257CF">
            <w:pPr>
              <w:pStyle w:val="TableText"/>
              <w:rPr>
                <w:lang w:eastAsia="ja-JP"/>
              </w:rPr>
            </w:pPr>
            <w:r w:rsidRPr="00A257CF">
              <w:rPr>
                <w:lang w:eastAsia="ja-JP"/>
              </w:rPr>
              <w:t>Shared responsibility</w:t>
            </w:r>
          </w:p>
        </w:tc>
        <w:tc>
          <w:tcPr>
            <w:tcW w:w="6371" w:type="dxa"/>
          </w:tcPr>
          <w:p w14:paraId="3A507D1B" w14:textId="3F159BAA" w:rsidR="00A257CF" w:rsidRDefault="00BD211F" w:rsidP="00A257CF">
            <w:pPr>
              <w:pStyle w:val="TableText"/>
              <w:rPr>
                <w:lang w:eastAsia="ja-JP"/>
              </w:rPr>
            </w:pPr>
            <w:r>
              <w:rPr>
                <w:lang w:eastAsia="ja-JP"/>
              </w:rPr>
              <w:t>A</w:t>
            </w:r>
            <w:r w:rsidR="00A257CF" w:rsidRPr="00A257CF">
              <w:rPr>
                <w:lang w:eastAsia="ja-JP"/>
              </w:rPr>
              <w:t xml:space="preserve"> core concept underpinning the national biosecurity system whereby all stakeholders—including Australian governments, industry and the broader community—have important roles and responsibilities in the management of biosecurity risks in Australia. Definition proposed by this </w:t>
            </w:r>
            <w:r>
              <w:rPr>
                <w:lang w:eastAsia="ja-JP"/>
              </w:rPr>
              <w:t>r</w:t>
            </w:r>
            <w:r w:rsidR="00A257CF" w:rsidRPr="00A257CF">
              <w:rPr>
                <w:lang w:eastAsia="ja-JP"/>
              </w:rPr>
              <w:t>eview:</w:t>
            </w:r>
          </w:p>
          <w:p w14:paraId="3CDC36AC" w14:textId="7E4ABB93" w:rsidR="00A257CF" w:rsidRPr="000A3EDA" w:rsidRDefault="00A257CF" w:rsidP="004C4B46">
            <w:pPr>
              <w:pStyle w:val="TableText"/>
              <w:rPr>
                <w:lang w:eastAsia="ja-JP"/>
              </w:rPr>
            </w:pPr>
            <w:r w:rsidRPr="00A257CF">
              <w:rPr>
                <w:lang w:eastAsia="ja-JP"/>
              </w:rPr>
              <w:t>Shared responsibility means everyone takes responsibility for biosecurity matters under their control. Everyone has an obligation to take action to protect Australia from pests and diseases.</w:t>
            </w:r>
          </w:p>
        </w:tc>
      </w:tr>
    </w:tbl>
    <w:p w14:paraId="58B47E32" w14:textId="77777777" w:rsidR="0003507A" w:rsidRDefault="0003507A" w:rsidP="00210276">
      <w:pPr>
        <w:pStyle w:val="Heading2"/>
        <w:numPr>
          <w:ilvl w:val="0"/>
          <w:numId w:val="0"/>
        </w:numPr>
        <w:ind w:left="709" w:hanging="709"/>
      </w:pPr>
      <w:bookmarkStart w:id="257" w:name="_References"/>
      <w:bookmarkStart w:id="258" w:name="Cope_et_al_2016"/>
      <w:bookmarkStart w:id="259" w:name="_Toc430782162"/>
      <w:bookmarkStart w:id="260" w:name="_Toc486236078"/>
      <w:bookmarkEnd w:id="257"/>
      <w:bookmarkEnd w:id="258"/>
      <w:r w:rsidRPr="00210276">
        <w:t>References</w:t>
      </w:r>
      <w:bookmarkEnd w:id="259"/>
      <w:bookmarkEnd w:id="260"/>
    </w:p>
    <w:p w14:paraId="40F8B2D7" w14:textId="53AD681F" w:rsidR="000F4F66" w:rsidRDefault="000F4F66" w:rsidP="0002641C">
      <w:bookmarkStart w:id="261" w:name="ABARES_2016"/>
      <w:r>
        <w:t xml:space="preserve">ABARES 2013, </w:t>
      </w:r>
      <w:r w:rsidRPr="000F4F66">
        <w:rPr>
          <w:i/>
        </w:rPr>
        <w:t>Potential social</w:t>
      </w:r>
      <w:r w:rsidR="00374387">
        <w:rPr>
          <w:i/>
        </w:rPr>
        <w:t>–</w:t>
      </w:r>
      <w:r w:rsidRPr="000F4F66">
        <w:rPr>
          <w:i/>
        </w:rPr>
        <w:t>economic impacts of an outbreak of foot-and-mouth disease in Australia</w:t>
      </w:r>
      <w:r>
        <w:t xml:space="preserve">, Research Report 13.11, </w:t>
      </w:r>
      <w:r w:rsidRPr="0097023D">
        <w:t>Australian Bureau of Agricultural and Resource Economics and Sciences, Canberra.</w:t>
      </w:r>
      <w:bookmarkStart w:id="262" w:name="ABARES_2013"/>
      <w:bookmarkEnd w:id="262"/>
    </w:p>
    <w:p w14:paraId="1F5A33F6" w14:textId="5898E05C" w:rsidR="000E6C2C" w:rsidRPr="0015243A" w:rsidRDefault="000E6C2C" w:rsidP="0002641C">
      <w:r w:rsidRPr="0097023D">
        <w:t>ABARES 201</w:t>
      </w:r>
      <w:r w:rsidR="0097023D" w:rsidRPr="0097023D">
        <w:t>7</w:t>
      </w:r>
      <w:bookmarkEnd w:id="261"/>
      <w:r w:rsidRPr="0097023D">
        <w:t xml:space="preserve">, </w:t>
      </w:r>
      <w:r w:rsidRPr="0097023D">
        <w:rPr>
          <w:i/>
        </w:rPr>
        <w:t xml:space="preserve">Agricultural </w:t>
      </w:r>
      <w:r w:rsidR="00EA267A">
        <w:rPr>
          <w:i/>
        </w:rPr>
        <w:t>c</w:t>
      </w:r>
      <w:r w:rsidRPr="0097023D">
        <w:rPr>
          <w:i/>
        </w:rPr>
        <w:t>ommodities:</w:t>
      </w:r>
      <w:r w:rsidR="0097023D">
        <w:rPr>
          <w:i/>
        </w:rPr>
        <w:t xml:space="preserve"> </w:t>
      </w:r>
      <w:r w:rsidR="0097023D" w:rsidRPr="0097023D">
        <w:rPr>
          <w:i/>
        </w:rPr>
        <w:t>March</w:t>
      </w:r>
      <w:r w:rsidRPr="0097023D">
        <w:rPr>
          <w:i/>
        </w:rPr>
        <w:t xml:space="preserve"> quarter</w:t>
      </w:r>
      <w:r w:rsidRPr="0097023D">
        <w:t xml:space="preserve"> </w:t>
      </w:r>
      <w:r w:rsidRPr="0097023D">
        <w:rPr>
          <w:i/>
        </w:rPr>
        <w:t>201</w:t>
      </w:r>
      <w:r w:rsidR="0097023D" w:rsidRPr="0097023D">
        <w:rPr>
          <w:i/>
        </w:rPr>
        <w:t>7</w:t>
      </w:r>
      <w:r w:rsidR="008C299E" w:rsidRPr="0097023D">
        <w:t>,</w:t>
      </w:r>
      <w:r w:rsidRPr="0097023D">
        <w:t xml:space="preserve"> Australian Bureau of Agricultural and Resource Economics and Sciences, Canberra.</w:t>
      </w:r>
    </w:p>
    <w:p w14:paraId="492BE979" w14:textId="7874D4E3" w:rsidR="00F104FD" w:rsidRPr="00F104FD" w:rsidRDefault="00F104FD" w:rsidP="0002641C">
      <w:bookmarkStart w:id="263" w:name="Antony_et_al_2009"/>
      <w:bookmarkStart w:id="264" w:name="Joint_submission"/>
      <w:bookmarkStart w:id="265" w:name="Beale_et_al_2008"/>
      <w:r>
        <w:t xml:space="preserve">ABS 2017, </w:t>
      </w:r>
      <w:r w:rsidRPr="00F104FD">
        <w:rPr>
          <w:i/>
        </w:rPr>
        <w:t xml:space="preserve">Australian </w:t>
      </w:r>
      <w:r w:rsidR="00EA267A">
        <w:rPr>
          <w:i/>
        </w:rPr>
        <w:t>environmental–e</w:t>
      </w:r>
      <w:r w:rsidRPr="00F104FD">
        <w:rPr>
          <w:i/>
        </w:rPr>
        <w:t xml:space="preserve">conomics </w:t>
      </w:r>
      <w:r w:rsidR="00EA267A">
        <w:rPr>
          <w:i/>
        </w:rPr>
        <w:t>a</w:t>
      </w:r>
      <w:r w:rsidRPr="00F104FD">
        <w:rPr>
          <w:i/>
        </w:rPr>
        <w:t>ccounts, 2017</w:t>
      </w:r>
      <w:r>
        <w:t>, Cat</w:t>
      </w:r>
      <w:r w:rsidR="00DA1F72">
        <w:t>. No.</w:t>
      </w:r>
      <w:r>
        <w:t xml:space="preserve"> 4655.0, Australian Bureau of Statistics, Canberra</w:t>
      </w:r>
      <w:bookmarkStart w:id="266" w:name="ABS_2017"/>
      <w:bookmarkEnd w:id="266"/>
      <w:r w:rsidR="00322DDE">
        <w:t>.</w:t>
      </w:r>
    </w:p>
    <w:p w14:paraId="707DB2F8" w14:textId="3030F494" w:rsidR="00452959" w:rsidRPr="0015243A" w:rsidRDefault="00452959" w:rsidP="0002641C">
      <w:r w:rsidRPr="0015243A">
        <w:t>Antony</w:t>
      </w:r>
      <w:bookmarkEnd w:id="263"/>
      <w:r w:rsidRPr="0015243A">
        <w:t>, G, Scanlan, J, Francis, A, Kloessing, K &amp; Nguyen, Y 2009</w:t>
      </w:r>
      <w:r w:rsidR="008C299E" w:rsidRPr="0015243A">
        <w:t xml:space="preserve">, </w:t>
      </w:r>
      <w:r w:rsidR="0007154D" w:rsidRPr="0015243A">
        <w:rPr>
          <w:i/>
        </w:rPr>
        <w:t>Revised benefits and costs of eradicating the red imported fire ant</w:t>
      </w:r>
      <w:r w:rsidR="0007154D" w:rsidRPr="0015243A">
        <w:t>, paper presented at 53rd Australian Agricultural and Resource Economics Society conf</w:t>
      </w:r>
      <w:r w:rsidR="002954AA">
        <w:t>erence, Cairns, 10–13 February.</w:t>
      </w:r>
    </w:p>
    <w:p w14:paraId="62881824" w14:textId="77777777" w:rsidR="000E6C2C" w:rsidRPr="0015243A" w:rsidRDefault="000E6C2C" w:rsidP="0002641C">
      <w:bookmarkStart w:id="267" w:name="Australian_Government_2014"/>
      <w:r w:rsidRPr="0015243A">
        <w:t>Australian Government 2014</w:t>
      </w:r>
      <w:bookmarkEnd w:id="267"/>
      <w:r w:rsidRPr="0015243A">
        <w:t xml:space="preserve">, </w:t>
      </w:r>
      <w:r w:rsidRPr="0015243A">
        <w:rPr>
          <w:i/>
        </w:rPr>
        <w:t>Joint submission</w:t>
      </w:r>
      <w:bookmarkEnd w:id="264"/>
      <w:r w:rsidRPr="0015243A">
        <w:rPr>
          <w:i/>
        </w:rPr>
        <w:t xml:space="preserve"> from the Department of Agriculture and Department of the Environment to the Standing Committee on Environment and Communications References Committee inquiry into environmental biosecurity</w:t>
      </w:r>
      <w:r w:rsidRPr="0015243A">
        <w:t>, August 2014, Canberra.</w:t>
      </w:r>
    </w:p>
    <w:p w14:paraId="42BD0AE0" w14:textId="1F26B178" w:rsidR="00C171D3" w:rsidRDefault="00CE71BB" w:rsidP="0002641C">
      <w:r>
        <w:t>A</w:t>
      </w:r>
      <w:r w:rsidR="00C171D3">
        <w:t xml:space="preserve">WI 2016, </w:t>
      </w:r>
      <w:r w:rsidR="009D4ECC" w:rsidRPr="009D4ECC">
        <w:rPr>
          <w:i/>
        </w:rPr>
        <w:t xml:space="preserve">Annual </w:t>
      </w:r>
      <w:r w:rsidR="00F552A7">
        <w:rPr>
          <w:i/>
        </w:rPr>
        <w:t>r</w:t>
      </w:r>
      <w:r w:rsidR="009D4ECC" w:rsidRPr="009D4ECC">
        <w:rPr>
          <w:i/>
        </w:rPr>
        <w:t>eport 2015–16</w:t>
      </w:r>
      <w:r w:rsidR="009D4ECC">
        <w:t xml:space="preserve">, </w:t>
      </w:r>
      <w:r w:rsidR="00C171D3">
        <w:t>Australian Wool Innovation Limited</w:t>
      </w:r>
      <w:r w:rsidR="009D4ECC">
        <w:t>, Sydney.</w:t>
      </w:r>
      <w:bookmarkStart w:id="268" w:name="AWI_2016"/>
      <w:bookmarkEnd w:id="268"/>
    </w:p>
    <w:p w14:paraId="1A130AA0" w14:textId="2DADDB97" w:rsidR="0002641C" w:rsidRPr="0015243A" w:rsidRDefault="0002641C" w:rsidP="0002641C">
      <w:r w:rsidRPr="0015243A">
        <w:t>Beale, R, Fairbrother, J, Inglis, A &amp; Trebeck, D 2008</w:t>
      </w:r>
      <w:bookmarkEnd w:id="265"/>
      <w:r w:rsidRPr="0015243A">
        <w:t xml:space="preserve">, </w:t>
      </w:r>
      <w:r w:rsidRPr="0015243A">
        <w:rPr>
          <w:i/>
        </w:rPr>
        <w:t>One biosecurity: a working partnership. The independent review of Australia’s quarantine and biosecurity arrangements</w:t>
      </w:r>
      <w:r w:rsidRPr="0015243A">
        <w:t xml:space="preserve">, Quarantine and Biosecurity </w:t>
      </w:r>
      <w:r w:rsidR="00EA267A">
        <w:t>r</w:t>
      </w:r>
      <w:r w:rsidRPr="0015243A">
        <w:t xml:space="preserve">eview </w:t>
      </w:r>
      <w:r w:rsidR="00EA267A">
        <w:t>p</w:t>
      </w:r>
      <w:r w:rsidRPr="0015243A">
        <w:t>anel report to the A</w:t>
      </w:r>
      <w:r w:rsidR="000E6C2C" w:rsidRPr="0015243A">
        <w:t>ustralian Government, Canberra.</w:t>
      </w:r>
    </w:p>
    <w:p w14:paraId="34491D3F" w14:textId="60D4E88F" w:rsidR="00F01EF1" w:rsidRDefault="00F01EF1" w:rsidP="0002641C">
      <w:bookmarkStart w:id="269" w:name="Brooks_2015"/>
      <w:r>
        <w:t xml:space="preserve">BITRE 2014, </w:t>
      </w:r>
      <w:r w:rsidRPr="00F01EF1">
        <w:rPr>
          <w:i/>
        </w:rPr>
        <w:t>Containerised and non-containerised trade through Australian ports to 2032–33</w:t>
      </w:r>
      <w:r>
        <w:t xml:space="preserve">, Research Report 138, </w:t>
      </w:r>
      <w:r w:rsidR="008205D9">
        <w:t>Bureau of Infrastructure, Transport and Regional Economics, Department of Infrastructure and Regional Development, Canberra.</w:t>
      </w:r>
      <w:bookmarkStart w:id="270" w:name="BITRE_2014"/>
      <w:bookmarkEnd w:id="270"/>
    </w:p>
    <w:p w14:paraId="678B6507" w14:textId="77777777" w:rsidR="0002641C" w:rsidRPr="0015243A" w:rsidRDefault="0002641C" w:rsidP="0002641C">
      <w:r w:rsidRPr="0015243A">
        <w:t>Brooks, R, Glanville, R &amp; Kompas, T 2015</w:t>
      </w:r>
      <w:bookmarkEnd w:id="269"/>
      <w:r w:rsidRPr="0015243A">
        <w:t xml:space="preserve">, </w:t>
      </w:r>
      <w:r w:rsidRPr="0015243A">
        <w:rPr>
          <w:i/>
        </w:rPr>
        <w:t>Queensland biosecurity capability review, final report to the Queensland Government</w:t>
      </w:r>
      <w:r w:rsidR="00FA79A9" w:rsidRPr="0015243A">
        <w:t>, Brisbane</w:t>
      </w:r>
      <w:r w:rsidRPr="0015243A">
        <w:t>.</w:t>
      </w:r>
    </w:p>
    <w:p w14:paraId="69AFB3A1" w14:textId="64D079EE" w:rsidR="00FA79A9" w:rsidRPr="0015243A" w:rsidRDefault="00FA79A9" w:rsidP="00FA79A9">
      <w:bookmarkStart w:id="271" w:name="Buete_et_al_2013"/>
      <w:bookmarkStart w:id="272" w:name="COAG_1997"/>
      <w:r w:rsidRPr="0015243A">
        <w:t>Buetre</w:t>
      </w:r>
      <w:bookmarkEnd w:id="271"/>
      <w:r w:rsidRPr="0015243A">
        <w:t xml:space="preserve">, B, Wicks, S, Kruger, H, Millist, N, Yainshet, A, Garner, G, Duncan, A, Abdalla, A, Trestrail, C, Hatt, M, Thompson, LJ &amp; Symes, M 2013, </w:t>
      </w:r>
      <w:r w:rsidRPr="0015243A">
        <w:rPr>
          <w:i/>
        </w:rPr>
        <w:t>Potential socio-economic impacts of an outbreak of foot-and-mouth disease in Australia</w:t>
      </w:r>
      <w:r w:rsidRPr="0015243A">
        <w:t>, ABARES research report, Canberra.</w:t>
      </w:r>
    </w:p>
    <w:p w14:paraId="5B325E04" w14:textId="77F2E2EE" w:rsidR="00897EDA" w:rsidRDefault="00897EDA" w:rsidP="00FA79A9">
      <w:bookmarkStart w:id="273" w:name="Chapman_2016"/>
      <w:r>
        <w:t>Callinan</w:t>
      </w:r>
      <w:r w:rsidR="003547D0">
        <w:t>, I</w:t>
      </w:r>
      <w:r>
        <w:t xml:space="preserve"> 2008, </w:t>
      </w:r>
      <w:r w:rsidRPr="00897EDA">
        <w:rPr>
          <w:i/>
        </w:rPr>
        <w:t>Equine influenza, the August 2007 outbreak in Australia</w:t>
      </w:r>
      <w:r>
        <w:t>, Report of the equine influenza inquiry</w:t>
      </w:r>
      <w:r w:rsidR="009D4ECC">
        <w:t>, Canberra</w:t>
      </w:r>
      <w:r>
        <w:t>.</w:t>
      </w:r>
      <w:bookmarkStart w:id="274" w:name="Callinan_2008"/>
      <w:bookmarkEnd w:id="274"/>
    </w:p>
    <w:p w14:paraId="4A514C67" w14:textId="762D0079" w:rsidR="0091040E" w:rsidRPr="0015243A" w:rsidRDefault="0091040E" w:rsidP="00FA79A9">
      <w:pPr>
        <w:rPr>
          <w:i/>
        </w:rPr>
      </w:pPr>
      <w:r w:rsidRPr="0015243A">
        <w:t>Chapman,</w:t>
      </w:r>
      <w:bookmarkEnd w:id="273"/>
      <w:r w:rsidRPr="0015243A">
        <w:t xml:space="preserve"> T 2016, ‘</w:t>
      </w:r>
      <w:r w:rsidRPr="0015243A">
        <w:rPr>
          <w:i/>
        </w:rPr>
        <w:t>Where there is export opportunity there is always a biosecurity risk</w:t>
      </w:r>
      <w:r w:rsidR="00371CE8">
        <w:rPr>
          <w:i/>
        </w:rPr>
        <w:t xml:space="preserve"> </w:t>
      </w:r>
      <w:r w:rsidRPr="0015243A">
        <w:rPr>
          <w:i/>
        </w:rPr>
        <w:t>…</w:t>
      </w:r>
      <w:r w:rsidR="00371CE8">
        <w:rPr>
          <w:i/>
        </w:rPr>
        <w:t xml:space="preserve"> </w:t>
      </w:r>
      <w:r w:rsidRPr="0015243A">
        <w:rPr>
          <w:i/>
        </w:rPr>
        <w:t>is Australian horticulture ready for both?</w:t>
      </w:r>
      <w:r w:rsidRPr="0015243A">
        <w:t>’ Farm Policy Journal, vol.</w:t>
      </w:r>
      <w:r w:rsidR="00F104FD">
        <w:t xml:space="preserve"> </w:t>
      </w:r>
      <w:r w:rsidRPr="0015243A">
        <w:t>13</w:t>
      </w:r>
      <w:r w:rsidR="00F104FD">
        <w:t xml:space="preserve"> </w:t>
      </w:r>
      <w:r w:rsidRPr="0015243A">
        <w:t>(3), Spring 2016, pp. 23–31.</w:t>
      </w:r>
    </w:p>
    <w:p w14:paraId="528CB2E1" w14:textId="7CD4189D" w:rsidR="00E129C5" w:rsidRDefault="00E129C5" w:rsidP="00FA79A9">
      <w:r w:rsidRPr="00E129C5">
        <w:t xml:space="preserve">CLIA 2017, </w:t>
      </w:r>
      <w:r w:rsidRPr="00E129C5">
        <w:rPr>
          <w:i/>
        </w:rPr>
        <w:t>Cruis</w:t>
      </w:r>
      <w:r w:rsidR="00E61317">
        <w:rPr>
          <w:i/>
        </w:rPr>
        <w:t>e industry source market report—</w:t>
      </w:r>
      <w:r w:rsidRPr="00E129C5">
        <w:rPr>
          <w:i/>
        </w:rPr>
        <w:t>Ocean Cruise passengers: Australia 2016</w:t>
      </w:r>
      <w:r w:rsidRPr="00E129C5">
        <w:t>, Cruise Lines International Association (Australasia), North Sydney.</w:t>
      </w:r>
      <w:bookmarkStart w:id="275" w:name="CLIA_2017"/>
      <w:bookmarkEnd w:id="275"/>
    </w:p>
    <w:p w14:paraId="148B0B85" w14:textId="73A383B0" w:rsidR="00FA79A9" w:rsidRPr="0015243A" w:rsidRDefault="00FA79A9" w:rsidP="00FA79A9">
      <w:r w:rsidRPr="0015243A">
        <w:t xml:space="preserve">COAG 1997, </w:t>
      </w:r>
      <w:r w:rsidRPr="0015243A">
        <w:rPr>
          <w:i/>
        </w:rPr>
        <w:t xml:space="preserve">Heads of agreement on Commonwealth and </w:t>
      </w:r>
      <w:r w:rsidR="00EA267A">
        <w:rPr>
          <w:i/>
        </w:rPr>
        <w:t>s</w:t>
      </w:r>
      <w:r w:rsidRPr="0015243A">
        <w:rPr>
          <w:i/>
        </w:rPr>
        <w:t xml:space="preserve">tate roles and responsibilities for the </w:t>
      </w:r>
      <w:r w:rsidR="00EA267A">
        <w:rPr>
          <w:i/>
        </w:rPr>
        <w:t>e</w:t>
      </w:r>
      <w:r w:rsidRPr="0015243A">
        <w:rPr>
          <w:i/>
        </w:rPr>
        <w:t>nvironment</w:t>
      </w:r>
      <w:r w:rsidRPr="0015243A">
        <w:t>, Council of Australian Governments, Canberra.</w:t>
      </w:r>
    </w:p>
    <w:p w14:paraId="1C3124AB" w14:textId="178EE089" w:rsidR="00AC45B5" w:rsidRDefault="00AC45B5" w:rsidP="00FA79A9">
      <w:bookmarkStart w:id="276" w:name="Commonwealth_of_Australia_2015"/>
      <w:r>
        <w:t xml:space="preserve">COAG 2011, </w:t>
      </w:r>
      <w:r w:rsidRPr="00EA267A">
        <w:rPr>
          <w:i/>
        </w:rPr>
        <w:t>National Strategy for Disaster Resilience</w:t>
      </w:r>
      <w:r>
        <w:t>, Council of Australian Governments, Canberra.</w:t>
      </w:r>
      <w:bookmarkStart w:id="277" w:name="COAG_2011"/>
      <w:bookmarkEnd w:id="277"/>
    </w:p>
    <w:p w14:paraId="6635E411" w14:textId="3F6F9AEC" w:rsidR="003503EE" w:rsidRDefault="003503EE" w:rsidP="00FA79A9">
      <w:r>
        <w:t xml:space="preserve">Colmar Brunton 2017, </w:t>
      </w:r>
      <w:r w:rsidRPr="00F552A7">
        <w:rPr>
          <w:i/>
        </w:rPr>
        <w:t>Biosecurity attitudinal research</w:t>
      </w:r>
      <w:r>
        <w:t>, a research report prepared for the N</w:t>
      </w:r>
      <w:r w:rsidR="00F552A7">
        <w:t xml:space="preserve">ew </w:t>
      </w:r>
      <w:r>
        <w:t>S</w:t>
      </w:r>
      <w:r w:rsidR="00F552A7">
        <w:t xml:space="preserve">outh </w:t>
      </w:r>
      <w:r>
        <w:t>W</w:t>
      </w:r>
      <w:r w:rsidR="00F552A7">
        <w:t>ales</w:t>
      </w:r>
      <w:r>
        <w:t xml:space="preserve"> Department of Primary Industries, Sydney.</w:t>
      </w:r>
    </w:p>
    <w:p w14:paraId="4E07DCF5" w14:textId="77777777" w:rsidR="00FA79A9" w:rsidRPr="0015243A" w:rsidRDefault="00FA79A9" w:rsidP="00FA79A9">
      <w:r w:rsidRPr="0015243A">
        <w:t>Commonwealth of Australia 2015</w:t>
      </w:r>
      <w:bookmarkEnd w:id="276"/>
      <w:r w:rsidRPr="0015243A">
        <w:t xml:space="preserve">, </w:t>
      </w:r>
      <w:r w:rsidRPr="0015243A">
        <w:rPr>
          <w:i/>
        </w:rPr>
        <w:t>Environmental biosecurity</w:t>
      </w:r>
      <w:r w:rsidRPr="0015243A">
        <w:t>, report of the Environment and Communications References Committee, Parliament House, Canberra.</w:t>
      </w:r>
    </w:p>
    <w:p w14:paraId="1EB47DD2" w14:textId="77777777" w:rsidR="00FA79A9" w:rsidRPr="0015243A" w:rsidRDefault="00FA79A9" w:rsidP="00FA79A9">
      <w:bookmarkStart w:id="278" w:name="Commonwealth_of_Australia_2015a"/>
      <w:r w:rsidRPr="0015243A">
        <w:t>Commonwealth of Australia 2015a</w:t>
      </w:r>
      <w:bookmarkEnd w:id="278"/>
      <w:r w:rsidRPr="0015243A">
        <w:t xml:space="preserve">, </w:t>
      </w:r>
      <w:r w:rsidRPr="0015243A">
        <w:rPr>
          <w:i/>
        </w:rPr>
        <w:t>Industry structures and systems governing the imposition and disbursement of marketing and research and development (R&amp;D) levies in the agriculture sector</w:t>
      </w:r>
      <w:r w:rsidRPr="0015243A">
        <w:t>, report of the Rural and Regional Affairs and Transport References Committee, Parliament House, Canberra.</w:t>
      </w:r>
    </w:p>
    <w:p w14:paraId="0D4B9A76" w14:textId="62FFAA00" w:rsidR="0002641C" w:rsidRPr="0015243A" w:rsidRDefault="0002641C" w:rsidP="0002641C">
      <w:bookmarkStart w:id="279" w:name="Commonwealth_of_Australia_2016"/>
      <w:bookmarkEnd w:id="272"/>
      <w:r w:rsidRPr="0015243A">
        <w:t>Commonwealth of Australia 2016</w:t>
      </w:r>
      <w:bookmarkEnd w:id="279"/>
      <w:r w:rsidRPr="0015243A">
        <w:t xml:space="preserve">, </w:t>
      </w:r>
      <w:r w:rsidR="00E61317">
        <w:rPr>
          <w:i/>
        </w:rPr>
        <w:t>Smart farming—</w:t>
      </w:r>
      <w:r w:rsidRPr="0015243A">
        <w:rPr>
          <w:i/>
        </w:rPr>
        <w:t>inquiry into agricultural innovation</w:t>
      </w:r>
      <w:r w:rsidRPr="0015243A">
        <w:t>, report of the House of Representatives Standing Committee on Agriculture and Industry, Parliament House, Canberra.</w:t>
      </w:r>
    </w:p>
    <w:p w14:paraId="54B3452D" w14:textId="77777777" w:rsidR="001B5BDD" w:rsidRPr="001B5BDD" w:rsidRDefault="001B5BDD" w:rsidP="001B5BDD">
      <w:bookmarkStart w:id="280" w:name="CSIRO_2014"/>
      <w:r w:rsidRPr="001B5BDD">
        <w:t xml:space="preserve">Cope, R, Ross, J, Wittmann, T, Prowse T &amp; Cassey, P 2016, </w:t>
      </w:r>
      <w:r w:rsidRPr="001B5BDD">
        <w:rPr>
          <w:i/>
        </w:rPr>
        <w:t>Integrative analysis of the physical transport network into Australia,</w:t>
      </w:r>
      <w:r w:rsidRPr="001B5BDD">
        <w:t xml:space="preserve"> PLOSONE.</w:t>
      </w:r>
    </w:p>
    <w:p w14:paraId="28716B0C" w14:textId="77777777" w:rsidR="0002641C" w:rsidRPr="0015243A" w:rsidRDefault="0002641C" w:rsidP="0002641C">
      <w:r w:rsidRPr="0015243A">
        <w:t>CSIRO 2014</w:t>
      </w:r>
      <w:bookmarkEnd w:id="280"/>
      <w:r w:rsidRPr="0015243A">
        <w:t xml:space="preserve">, </w:t>
      </w:r>
      <w:r w:rsidRPr="0015243A">
        <w:rPr>
          <w:i/>
        </w:rPr>
        <w:t>Australia’s biosecurity future: preparing for future biological challenges</w:t>
      </w:r>
      <w:r w:rsidRPr="0015243A">
        <w:t>, Commonwealth Scientific and Industrial Research Organisation, Canberra.</w:t>
      </w:r>
    </w:p>
    <w:p w14:paraId="507CADCF" w14:textId="34A464A3" w:rsidR="00C23E0A" w:rsidRDefault="00C23E0A" w:rsidP="00FA79A9">
      <w:bookmarkStart w:id="281" w:name="Department_of_Agriculture"/>
      <w:bookmarkStart w:id="282" w:name="DAWR_2015"/>
      <w:r>
        <w:t>CSIRO 2017</w:t>
      </w:r>
      <w:bookmarkStart w:id="283" w:name="CSIRO_2017"/>
      <w:bookmarkEnd w:id="283"/>
      <w:r>
        <w:t xml:space="preserve">, </w:t>
      </w:r>
      <w:r w:rsidRPr="00E46CA6">
        <w:rPr>
          <w:i/>
        </w:rPr>
        <w:t>Roadmaps to support technology driven innovation in biosecurity operations</w:t>
      </w:r>
      <w:r w:rsidR="00E46CA6">
        <w:t xml:space="preserve">, </w:t>
      </w:r>
      <w:r w:rsidR="00F552A7">
        <w:t>r</w:t>
      </w:r>
      <w:r w:rsidR="00910478">
        <w:t>eport to the Australian Government Dep</w:t>
      </w:r>
      <w:r w:rsidR="00DA1F72">
        <w:t>a</w:t>
      </w:r>
      <w:r w:rsidR="00910478">
        <w:t>rtment of Agriculture and Water Resources</w:t>
      </w:r>
      <w:r w:rsidR="00DA1F72">
        <w:t xml:space="preserve">, </w:t>
      </w:r>
      <w:r w:rsidR="00E46CA6">
        <w:t>Commonwealth Scientific and Industrial Research Organisation, Canberra.</w:t>
      </w:r>
    </w:p>
    <w:p w14:paraId="2643F385" w14:textId="3358D3E8" w:rsidR="00877029" w:rsidRDefault="00877029" w:rsidP="00FA79A9">
      <w:r w:rsidRPr="00877029">
        <w:t>D’hondt, B, Vand</w:t>
      </w:r>
      <w:bookmarkStart w:id="284" w:name="Dhondt_et_al_2015"/>
      <w:bookmarkStart w:id="285" w:name="Pheloung_et_al_2015"/>
      <w:bookmarkEnd w:id="284"/>
      <w:bookmarkEnd w:id="285"/>
      <w:r w:rsidRPr="00877029">
        <w:t>erhoeven, S, Roelandt, S, Mayer, F, Versteirt, V, Adriaens, T, Ducheyne, E, San Martin, G, Grégoire, JC, Stiers, I, Quoilin, S, Cigar, J, Heughebaert, A &amp; Branquart, E 2015, ‘</w:t>
      </w:r>
      <w:r w:rsidRPr="00877029">
        <w:rPr>
          <w:i/>
        </w:rPr>
        <w:t>Harmonia</w:t>
      </w:r>
      <w:r w:rsidRPr="00877029">
        <w:rPr>
          <w:i/>
          <w:vertAlign w:val="superscript"/>
        </w:rPr>
        <w:t>+</w:t>
      </w:r>
      <w:r w:rsidRPr="00877029">
        <w:rPr>
          <w:i/>
        </w:rPr>
        <w:t xml:space="preserve"> and Pandora</w:t>
      </w:r>
      <w:r w:rsidRPr="00877029">
        <w:rPr>
          <w:i/>
          <w:vertAlign w:val="superscript"/>
        </w:rPr>
        <w:t>+</w:t>
      </w:r>
      <w:r w:rsidRPr="00877029">
        <w:rPr>
          <w:i/>
        </w:rPr>
        <w:t>: risk screening tools for potentially invasive plants, animals and their pathogens</w:t>
      </w:r>
      <w:r w:rsidRPr="00877029">
        <w:t>’, Biological Invasions, vol. 17(6), pp. 1896–1883.</w:t>
      </w:r>
    </w:p>
    <w:p w14:paraId="22247E75" w14:textId="77777777" w:rsidR="00FA79A9" w:rsidRPr="0015243A" w:rsidRDefault="00FA79A9" w:rsidP="00FA79A9">
      <w:r w:rsidRPr="0015243A">
        <w:t>DAWR 2015,</w:t>
      </w:r>
      <w:bookmarkEnd w:id="281"/>
      <w:r w:rsidRPr="0015243A">
        <w:t xml:space="preserve"> </w:t>
      </w:r>
      <w:bookmarkEnd w:id="282"/>
      <w:r w:rsidRPr="0015243A">
        <w:rPr>
          <w:i/>
        </w:rPr>
        <w:t>Review of national marine pest biosecurity</w:t>
      </w:r>
      <w:r w:rsidRPr="0015243A">
        <w:t>, Australian Government Department of Agriculture and Water Resources, Canberra.</w:t>
      </w:r>
    </w:p>
    <w:p w14:paraId="18653FF5" w14:textId="63B99008" w:rsidR="005956CE" w:rsidRDefault="005956CE" w:rsidP="00FA79A9">
      <w:bookmarkStart w:id="286" w:name="DAWR_2016"/>
      <w:bookmarkStart w:id="287" w:name="DAWR_2016a"/>
      <w:r>
        <w:t xml:space="preserve">DAWR 2015a, </w:t>
      </w:r>
      <w:r w:rsidRPr="005956CE">
        <w:rPr>
          <w:i/>
        </w:rPr>
        <w:t>Cost recovery implementation statement biosecurity 2015–16</w:t>
      </w:r>
      <w:r>
        <w:t xml:space="preserve">, </w:t>
      </w:r>
      <w:r w:rsidRPr="0015243A">
        <w:t>Australian Government Department of Agriculture and Water Resources, Canberra.</w:t>
      </w:r>
    </w:p>
    <w:p w14:paraId="6D1412D6" w14:textId="643ECEBC" w:rsidR="00FA79A9" w:rsidRPr="0015243A" w:rsidRDefault="00FA79A9" w:rsidP="00FA79A9">
      <w:r w:rsidRPr="0015243A">
        <w:t>DAWR 2016</w:t>
      </w:r>
      <w:bookmarkEnd w:id="286"/>
      <w:bookmarkEnd w:id="287"/>
      <w:r w:rsidRPr="0015243A">
        <w:t xml:space="preserve">, </w:t>
      </w:r>
      <w:r w:rsidRPr="0015243A">
        <w:rPr>
          <w:i/>
        </w:rPr>
        <w:t xml:space="preserve">Annual </w:t>
      </w:r>
      <w:r w:rsidR="00FD6C1B">
        <w:rPr>
          <w:i/>
        </w:rPr>
        <w:t>r</w:t>
      </w:r>
      <w:r w:rsidRPr="0015243A">
        <w:rPr>
          <w:i/>
        </w:rPr>
        <w:t>eport 2015–16</w:t>
      </w:r>
      <w:r w:rsidRPr="0015243A">
        <w:t>, Australian G</w:t>
      </w:r>
      <w:bookmarkStart w:id="288" w:name="DAWR_2015a"/>
      <w:bookmarkEnd w:id="288"/>
      <w:r w:rsidRPr="0015243A">
        <w:t>overnment Department of Agriculture and Water Resources, Canberra.</w:t>
      </w:r>
    </w:p>
    <w:p w14:paraId="7D859FAC" w14:textId="3CE82E89" w:rsidR="00AA5343" w:rsidRDefault="00AA5343" w:rsidP="00AA5343">
      <w:bookmarkStart w:id="289" w:name="DAWR_2016b"/>
      <w:bookmarkStart w:id="290" w:name="DEWHA_2008"/>
      <w:r>
        <w:t xml:space="preserve">DAWR 2016a, </w:t>
      </w:r>
      <w:r w:rsidRPr="006E1439">
        <w:rPr>
          <w:i/>
        </w:rPr>
        <w:t>International Strategy 2016–2019</w:t>
      </w:r>
      <w:r>
        <w:t>, Australian Government Department of Agriculture and Water Resources, Canberra</w:t>
      </w:r>
      <w:bookmarkStart w:id="291" w:name="DAWR_2016c"/>
      <w:bookmarkEnd w:id="291"/>
      <w:r w:rsidR="00322DDE">
        <w:t>.</w:t>
      </w:r>
    </w:p>
    <w:p w14:paraId="36238EC2" w14:textId="585A5492" w:rsidR="00FA79A9" w:rsidRPr="0015243A" w:rsidRDefault="00FA79A9" w:rsidP="00FA79A9">
      <w:r w:rsidRPr="0015243A">
        <w:t>DAWR 2016</w:t>
      </w:r>
      <w:r w:rsidR="00AA5343">
        <w:t>b</w:t>
      </w:r>
      <w:bookmarkEnd w:id="289"/>
      <w:bookmarkEnd w:id="290"/>
      <w:r w:rsidRPr="0015243A">
        <w:t xml:space="preserve">, </w:t>
      </w:r>
      <w:r w:rsidRPr="0015243A">
        <w:rPr>
          <w:i/>
        </w:rPr>
        <w:t>Agricultural Export Regulation Review—Discussion Paper</w:t>
      </w:r>
      <w:r w:rsidRPr="0015243A">
        <w:t>, Australian Government Department of Agriculture and Water Resources, Canberra.</w:t>
      </w:r>
    </w:p>
    <w:p w14:paraId="09322EBC" w14:textId="7D6C4035" w:rsidR="00426D2C" w:rsidRDefault="00426D2C" w:rsidP="0002641C">
      <w:r>
        <w:t xml:space="preserve">DAWR 2016c, </w:t>
      </w:r>
      <w:r w:rsidRPr="00426D2C">
        <w:rPr>
          <w:i/>
        </w:rPr>
        <w:t>National Environment and Community Biosecurity RD&amp;E Strategy 2016 to 2019</w:t>
      </w:r>
      <w:r>
        <w:t>, Department of Agriculture and Water Resources, Canberra.</w:t>
      </w:r>
      <w:bookmarkStart w:id="292" w:name="DAWR_2016d"/>
      <w:bookmarkEnd w:id="292"/>
    </w:p>
    <w:p w14:paraId="52FB119C" w14:textId="7FBD8591" w:rsidR="009177F0" w:rsidRDefault="009177F0" w:rsidP="0002641C">
      <w:r>
        <w:t xml:space="preserve">DAWR 2016d, </w:t>
      </w:r>
      <w:r w:rsidRPr="009177F0">
        <w:rPr>
          <w:i/>
        </w:rPr>
        <w:t>Portfolio Budget Statements 2016–17, Budget Related Paper No. 11</w:t>
      </w:r>
      <w:r>
        <w:t xml:space="preserve">, Agriculture and Water Resources Portfolio, </w:t>
      </w:r>
      <w:r w:rsidRPr="0015243A">
        <w:t>Australian Government Department of Agriculture and Water Resources, Canberra.</w:t>
      </w:r>
      <w:bookmarkStart w:id="293" w:name="DAWR_2016e"/>
      <w:bookmarkEnd w:id="293"/>
    </w:p>
    <w:p w14:paraId="0D287B6D" w14:textId="538C0DDA" w:rsidR="0002641C" w:rsidRPr="0015243A" w:rsidRDefault="00FA79A9" w:rsidP="0002641C">
      <w:r w:rsidRPr="0015243A">
        <w:t>DAWR</w:t>
      </w:r>
      <w:r w:rsidR="0002641C" w:rsidRPr="0015243A">
        <w:t xml:space="preserve"> 2016</w:t>
      </w:r>
      <w:r w:rsidR="009177F0">
        <w:t>e</w:t>
      </w:r>
      <w:r w:rsidR="0002641C" w:rsidRPr="0015243A">
        <w:t xml:space="preserve">, </w:t>
      </w:r>
      <w:r w:rsidR="00A84FDD">
        <w:rPr>
          <w:i/>
        </w:rPr>
        <w:t>Corporate Plan 2016–</w:t>
      </w:r>
      <w:r w:rsidR="0002641C" w:rsidRPr="0015243A">
        <w:rPr>
          <w:i/>
        </w:rPr>
        <w:t>17</w:t>
      </w:r>
      <w:r w:rsidR="0002641C" w:rsidRPr="0015243A">
        <w:t xml:space="preserve">, </w:t>
      </w:r>
      <w:r w:rsidRPr="0015243A">
        <w:t xml:space="preserve">Australian Government Department of </w:t>
      </w:r>
      <w:r w:rsidR="009604D6" w:rsidRPr="0015243A">
        <w:t>Agriculture</w:t>
      </w:r>
      <w:r w:rsidRPr="0015243A">
        <w:t xml:space="preserve"> and Water Resources, Canberra.</w:t>
      </w:r>
    </w:p>
    <w:p w14:paraId="295394FC" w14:textId="73496AF1" w:rsidR="00AB62FA" w:rsidRDefault="00AB62FA" w:rsidP="0002641C">
      <w:bookmarkStart w:id="294" w:name="DIRD_2014"/>
      <w:bookmarkStart w:id="295" w:name="Department_of_Infrastructure"/>
      <w:r>
        <w:t xml:space="preserve">DIBP 2017, </w:t>
      </w:r>
      <w:r w:rsidR="00EF0214">
        <w:rPr>
          <w:i/>
        </w:rPr>
        <w:t>Oversea</w:t>
      </w:r>
      <w:r w:rsidRPr="00A019A3">
        <w:rPr>
          <w:i/>
        </w:rPr>
        <w:t>s arrivals and departures for 1 July 2015 to 30 June 2016</w:t>
      </w:r>
      <w:r>
        <w:t>, Australian Government Department of Imm</w:t>
      </w:r>
      <w:r w:rsidR="00304D19">
        <w:t>igration and Border Protection.</w:t>
      </w:r>
    </w:p>
    <w:p w14:paraId="6513BAFE" w14:textId="7EBCC9D3" w:rsidR="0002641C" w:rsidRPr="0015243A" w:rsidRDefault="009604D6" w:rsidP="0002641C">
      <w:r w:rsidRPr="0015243A">
        <w:t>DIRD 2014</w:t>
      </w:r>
      <w:bookmarkEnd w:id="294"/>
      <w:r w:rsidRPr="0015243A">
        <w:t>,</w:t>
      </w:r>
      <w:bookmarkEnd w:id="295"/>
      <w:r w:rsidRPr="0015243A">
        <w:t xml:space="preserve"> </w:t>
      </w:r>
      <w:r w:rsidRPr="0015243A">
        <w:rPr>
          <w:i/>
        </w:rPr>
        <w:t xml:space="preserve">Transport </w:t>
      </w:r>
      <w:r w:rsidR="00304D19">
        <w:rPr>
          <w:i/>
        </w:rPr>
        <w:t>s</w:t>
      </w:r>
      <w:r w:rsidRPr="0015243A">
        <w:rPr>
          <w:i/>
        </w:rPr>
        <w:t xml:space="preserve">ecurity </w:t>
      </w:r>
      <w:r w:rsidR="00304D19">
        <w:rPr>
          <w:i/>
        </w:rPr>
        <w:t>o</w:t>
      </w:r>
      <w:r w:rsidRPr="0015243A">
        <w:rPr>
          <w:i/>
        </w:rPr>
        <w:t>utlook to 2025</w:t>
      </w:r>
      <w:r w:rsidRPr="0015243A">
        <w:t>, Australian Government Department of Infrastructu</w:t>
      </w:r>
      <w:bookmarkStart w:id="296" w:name="DIRD_2016"/>
      <w:bookmarkEnd w:id="296"/>
      <w:r w:rsidRPr="0015243A">
        <w:t>re and Regional Development, Canberra.</w:t>
      </w:r>
    </w:p>
    <w:p w14:paraId="02B2ACB7" w14:textId="499A7C77" w:rsidR="007C5F15" w:rsidRPr="00821D94" w:rsidRDefault="007C5F15" w:rsidP="00821D94">
      <w:bookmarkStart w:id="297" w:name="Grafton_2015"/>
      <w:r w:rsidRPr="00821D94">
        <w:t>DIRD 2016, Trends—</w:t>
      </w:r>
      <w:r w:rsidRPr="00821D94">
        <w:rPr>
          <w:i/>
        </w:rPr>
        <w:t xml:space="preserve">Transport and Australia’s </w:t>
      </w:r>
      <w:r w:rsidR="00304D19">
        <w:rPr>
          <w:i/>
        </w:rPr>
        <w:t>d</w:t>
      </w:r>
      <w:r w:rsidRPr="00821D94">
        <w:rPr>
          <w:i/>
        </w:rPr>
        <w:t xml:space="preserve">evelopment to 2040 and </w:t>
      </w:r>
      <w:r w:rsidR="00304D19">
        <w:rPr>
          <w:i/>
        </w:rPr>
        <w:t>b</w:t>
      </w:r>
      <w:r w:rsidRPr="00821D94">
        <w:rPr>
          <w:i/>
        </w:rPr>
        <w:t>eyond</w:t>
      </w:r>
      <w:r w:rsidRPr="00821D94">
        <w:t>, Australian Government Department of Infrastructure and Regional Development, Canberra.</w:t>
      </w:r>
    </w:p>
    <w:p w14:paraId="5D2B0425" w14:textId="77777777" w:rsidR="00AA166E" w:rsidRPr="00821D94" w:rsidRDefault="00AA166E" w:rsidP="00821D94">
      <w:r w:rsidRPr="00821D94">
        <w:t>East, IJ 2009, ‘</w:t>
      </w:r>
      <w:r w:rsidRPr="00821D94">
        <w:rPr>
          <w:i/>
        </w:rPr>
        <w:t>The role of land use patterns in limiting the spread of equine influenza in Queensland during the 2007 epidemic’</w:t>
      </w:r>
      <w:r w:rsidRPr="00821D94">
        <w:t>, Trans</w:t>
      </w:r>
      <w:bookmarkStart w:id="298" w:name="GRDC_2016"/>
      <w:bookmarkEnd w:id="298"/>
      <w:r w:rsidRPr="00821D94">
        <w:t xml:space="preserve">boundary and Emerging Diseases, 56(8), pp. 292–302. </w:t>
      </w:r>
    </w:p>
    <w:p w14:paraId="4C98DC31" w14:textId="64487903" w:rsidR="002F474E" w:rsidRDefault="002F474E" w:rsidP="00F77FCC">
      <w:bookmarkStart w:id="299" w:name="East_2009"/>
      <w:bookmarkEnd w:id="299"/>
      <w:r>
        <w:t xml:space="preserve">Finance 2014, </w:t>
      </w:r>
      <w:r w:rsidRPr="00E909C1">
        <w:t xml:space="preserve">Resource </w:t>
      </w:r>
      <w:r w:rsidR="00845DAC">
        <w:t>management g</w:t>
      </w:r>
      <w:r w:rsidRPr="00E909C1">
        <w:t>uide No. 3</w:t>
      </w:r>
      <w:r>
        <w:t>04:</w:t>
      </w:r>
      <w:r w:rsidRPr="00E909C1">
        <w:t xml:space="preserve"> </w:t>
      </w:r>
      <w:r>
        <w:t xml:space="preserve">Australian Government </w:t>
      </w:r>
      <w:r w:rsidR="00845DAC">
        <w:t>c</w:t>
      </w:r>
      <w:r>
        <w:t xml:space="preserve">ost </w:t>
      </w:r>
      <w:r w:rsidR="00845DAC">
        <w:t>r</w:t>
      </w:r>
      <w:r>
        <w:t xml:space="preserve">ecovery </w:t>
      </w:r>
      <w:r w:rsidR="00845DAC">
        <w:t>g</w:t>
      </w:r>
      <w:r>
        <w:t>uidelines</w:t>
      </w:r>
      <w:r w:rsidRPr="00E909C1">
        <w:t>, Australian Government Department of Finance, Canberra</w:t>
      </w:r>
      <w:r>
        <w:t>.</w:t>
      </w:r>
    </w:p>
    <w:p w14:paraId="40E30791" w14:textId="1BC9072B" w:rsidR="002F474E" w:rsidRDefault="002F474E" w:rsidP="002F474E">
      <w:r w:rsidRPr="00E909C1">
        <w:t xml:space="preserve">Finance 2015, Resource </w:t>
      </w:r>
      <w:r w:rsidR="00845DAC">
        <w:t>m</w:t>
      </w:r>
      <w:r w:rsidRPr="00E909C1">
        <w:t xml:space="preserve">anagement </w:t>
      </w:r>
      <w:r w:rsidR="00845DAC">
        <w:t>g</w:t>
      </w:r>
      <w:r w:rsidRPr="00E909C1">
        <w:t>uide No. 131: Developing good performance information, Australian Government Department of Finance, Canberra</w:t>
      </w:r>
      <w:r>
        <w:t>.</w:t>
      </w:r>
      <w:bookmarkStart w:id="300" w:name="Finance_2015"/>
      <w:bookmarkStart w:id="301" w:name="Finance_2014"/>
      <w:bookmarkEnd w:id="300"/>
      <w:bookmarkEnd w:id="301"/>
    </w:p>
    <w:p w14:paraId="0BC8F6A9" w14:textId="18DFFE78" w:rsidR="00F77FCC" w:rsidRPr="0015243A" w:rsidRDefault="00F77FCC" w:rsidP="00F77FCC">
      <w:r w:rsidRPr="0015243A">
        <w:t>Grafton</w:t>
      </w:r>
      <w:bookmarkEnd w:id="297"/>
      <w:r w:rsidRPr="0015243A">
        <w:t xml:space="preserve">, Q, Mullen, J &amp; Williams, J 2015, </w:t>
      </w:r>
      <w:r w:rsidRPr="0015243A">
        <w:rPr>
          <w:i/>
        </w:rPr>
        <w:t xml:space="preserve">Australia’s </w:t>
      </w:r>
      <w:r w:rsidR="00845DAC">
        <w:rPr>
          <w:i/>
        </w:rPr>
        <w:t>a</w:t>
      </w:r>
      <w:r w:rsidRPr="0015243A">
        <w:rPr>
          <w:i/>
        </w:rPr>
        <w:t xml:space="preserve">gricultural </w:t>
      </w:r>
      <w:r w:rsidR="00845DAC">
        <w:rPr>
          <w:i/>
        </w:rPr>
        <w:t>f</w:t>
      </w:r>
      <w:r w:rsidRPr="0015243A">
        <w:rPr>
          <w:i/>
        </w:rPr>
        <w:t xml:space="preserve">uture: </w:t>
      </w:r>
      <w:r w:rsidR="00845DAC">
        <w:rPr>
          <w:i/>
        </w:rPr>
        <w:t>r</w:t>
      </w:r>
      <w:r w:rsidRPr="0015243A">
        <w:rPr>
          <w:i/>
        </w:rPr>
        <w:t xml:space="preserve">eturns, </w:t>
      </w:r>
      <w:r w:rsidR="00845DAC">
        <w:rPr>
          <w:i/>
        </w:rPr>
        <w:t>r</w:t>
      </w:r>
      <w:r w:rsidRPr="0015243A">
        <w:rPr>
          <w:i/>
        </w:rPr>
        <w:t>esources, and Risks</w:t>
      </w:r>
      <w:r w:rsidRPr="0015243A">
        <w:t>, final report for the Australian Council of Learned Academics, Melbourne.</w:t>
      </w:r>
    </w:p>
    <w:p w14:paraId="38FB8D93" w14:textId="0201A26E" w:rsidR="006E1439" w:rsidRDefault="006E1439" w:rsidP="00F77FCC">
      <w:bookmarkStart w:id="302" w:name="Haikowicz_Eady_2015"/>
      <w:r w:rsidRPr="006E1439">
        <w:t xml:space="preserve">GRDC 2016, </w:t>
      </w:r>
      <w:r w:rsidRPr="006E1439">
        <w:rPr>
          <w:i/>
        </w:rPr>
        <w:t xml:space="preserve">Annual </w:t>
      </w:r>
      <w:r w:rsidR="00845DAC">
        <w:rPr>
          <w:i/>
        </w:rPr>
        <w:t>r</w:t>
      </w:r>
      <w:r w:rsidRPr="006E1439">
        <w:rPr>
          <w:i/>
        </w:rPr>
        <w:t>eport 2015–16</w:t>
      </w:r>
      <w:r w:rsidRPr="006E1439">
        <w:t>, Grains Research and Development Corporation, Canbe</w:t>
      </w:r>
      <w:r w:rsidR="00845DAC">
        <w:t>rra</w:t>
      </w:r>
      <w:r w:rsidRPr="006E1439">
        <w:t>.</w:t>
      </w:r>
    </w:p>
    <w:p w14:paraId="44B41769" w14:textId="4448B4E4" w:rsidR="00F77FCC" w:rsidRPr="0015243A" w:rsidRDefault="00F77FCC" w:rsidP="00F77FCC">
      <w:r w:rsidRPr="0015243A">
        <w:t>Hajkowicz</w:t>
      </w:r>
      <w:bookmarkEnd w:id="302"/>
      <w:r w:rsidRPr="0015243A">
        <w:t xml:space="preserve">, S &amp; Eady, S 2015, </w:t>
      </w:r>
      <w:r w:rsidRPr="0015243A">
        <w:rPr>
          <w:i/>
        </w:rPr>
        <w:t xml:space="preserve">Rural </w:t>
      </w:r>
      <w:r w:rsidR="00845DAC">
        <w:rPr>
          <w:i/>
        </w:rPr>
        <w:t>industry f</w:t>
      </w:r>
      <w:r w:rsidRPr="0015243A">
        <w:rPr>
          <w:i/>
        </w:rPr>
        <w:t xml:space="preserve">utures: </w:t>
      </w:r>
      <w:r w:rsidR="00845DAC">
        <w:rPr>
          <w:i/>
        </w:rPr>
        <w:t>M</w:t>
      </w:r>
      <w:r w:rsidRPr="0015243A">
        <w:rPr>
          <w:i/>
        </w:rPr>
        <w:t>egatrends impacting Australian agriculture over the coming twenty years</w:t>
      </w:r>
      <w:r w:rsidRPr="0015243A">
        <w:t>, report prepared for the Rural Industries Research and Development Corporation, Canberra.</w:t>
      </w:r>
    </w:p>
    <w:p w14:paraId="402708F4" w14:textId="3099086E" w:rsidR="00CE0516" w:rsidRDefault="00CE0516" w:rsidP="00E8574D">
      <w:bookmarkStart w:id="303" w:name="Handmer_ONeill_2016"/>
      <w:r>
        <w:t xml:space="preserve">Hallman, G 2017, </w:t>
      </w:r>
      <w:r w:rsidR="00845DAC">
        <w:t>‘</w:t>
      </w:r>
      <w:r w:rsidRPr="00800861">
        <w:rPr>
          <w:i/>
        </w:rPr>
        <w:t>Process control in phytosanitary irradiation of fresh fruits and vegetables as a mo</w:t>
      </w:r>
      <w:r w:rsidR="00800861" w:rsidRPr="00800861">
        <w:rPr>
          <w:i/>
        </w:rPr>
        <w:t>d</w:t>
      </w:r>
      <w:r w:rsidRPr="00800861">
        <w:rPr>
          <w:i/>
        </w:rPr>
        <w:t>el</w:t>
      </w:r>
      <w:r w:rsidR="00800861" w:rsidRPr="00800861">
        <w:rPr>
          <w:i/>
        </w:rPr>
        <w:t xml:space="preserve"> for other phytosanitary treatment processes</w:t>
      </w:r>
      <w:r w:rsidR="00845DAC">
        <w:t>’</w:t>
      </w:r>
      <w:r w:rsidR="00800861">
        <w:t>, Food C</w:t>
      </w:r>
      <w:bookmarkStart w:id="304" w:name="Hallman_2017"/>
      <w:bookmarkEnd w:id="304"/>
      <w:r w:rsidR="00800861">
        <w:t>ontrol, vol. 72, Part B, pp. 372</w:t>
      </w:r>
      <w:r w:rsidR="00845DAC">
        <w:t>–</w:t>
      </w:r>
      <w:r w:rsidR="00800861">
        <w:t>377.</w:t>
      </w:r>
    </w:p>
    <w:p w14:paraId="58846F73" w14:textId="6A7FB718" w:rsidR="00EC00FD" w:rsidRPr="0015243A" w:rsidRDefault="00EC00FD" w:rsidP="00E8574D">
      <w:r w:rsidRPr="0015243A">
        <w:t>Handmer</w:t>
      </w:r>
      <w:bookmarkEnd w:id="303"/>
      <w:r w:rsidRPr="0015243A">
        <w:t>, J &amp; O’Neill, S 2016, ‘</w:t>
      </w:r>
      <w:r w:rsidRPr="0015243A">
        <w:rPr>
          <w:i/>
        </w:rPr>
        <w:t>Examining bushfire policy in action: preparedness and behaviour in the 2009 Black Saturday fires’,</w:t>
      </w:r>
      <w:r w:rsidRPr="0015243A">
        <w:t xml:space="preserve"> Environmental Science and Policy, vol. 63, pp. 55–62.</w:t>
      </w:r>
    </w:p>
    <w:p w14:paraId="40F99D88" w14:textId="3F27F86E" w:rsidR="00E8574D" w:rsidRPr="0015243A" w:rsidRDefault="00E8574D" w:rsidP="00E8574D">
      <w:bookmarkStart w:id="305" w:name="Hawke_2009"/>
      <w:r w:rsidRPr="0015243A">
        <w:t>Hawke, A 2009</w:t>
      </w:r>
      <w:bookmarkEnd w:id="305"/>
      <w:r w:rsidRPr="0015243A">
        <w:t xml:space="preserve">, </w:t>
      </w:r>
      <w:r w:rsidRPr="0015243A">
        <w:rPr>
          <w:i/>
        </w:rPr>
        <w:t>The Australian Environment Act:</w:t>
      </w:r>
      <w:r w:rsidRPr="0015243A">
        <w:t xml:space="preserve"> </w:t>
      </w:r>
      <w:r w:rsidRPr="0015243A">
        <w:rPr>
          <w:i/>
        </w:rPr>
        <w:t>Report of the Independent Review of the Environment Protection and Biodiversity Conservation Act 1999</w:t>
      </w:r>
      <w:r w:rsidRPr="0015243A">
        <w:t xml:space="preserve">, </w:t>
      </w:r>
      <w:r w:rsidR="00845DAC">
        <w:t>final r</w:t>
      </w:r>
      <w:r w:rsidRPr="0015243A">
        <w:t>eport to the Australian Government, Canberra.</w:t>
      </w:r>
    </w:p>
    <w:p w14:paraId="431D3C87" w14:textId="031C6DD0" w:rsidR="00E8574D" w:rsidRPr="0015243A" w:rsidRDefault="00E8574D" w:rsidP="00E8574D">
      <w:bookmarkStart w:id="306" w:name="Higgins_et_al_2016"/>
      <w:bookmarkStart w:id="307" w:name="Hunt_et_al_2014"/>
      <w:r w:rsidRPr="0015243A">
        <w:t>Higgins</w:t>
      </w:r>
      <w:bookmarkEnd w:id="306"/>
      <w:bookmarkEnd w:id="307"/>
      <w:r w:rsidRPr="0015243A">
        <w:t>, V, Bryant, M, Hernández-Jover, M, McShane, C &amp; Rast, L 2016, ‘</w:t>
      </w:r>
      <w:r w:rsidRPr="0015243A">
        <w:rPr>
          <w:i/>
        </w:rPr>
        <w:t>Harmonising devolved responsibility for biosecurity governance: The challenge of competing institutional logics’</w:t>
      </w:r>
      <w:r w:rsidRPr="0015243A">
        <w:t xml:space="preserve">, Environment and Planning A, vol. </w:t>
      </w:r>
      <w:r w:rsidR="006E1439">
        <w:t>48</w:t>
      </w:r>
      <w:r w:rsidRPr="0015243A">
        <w:t>(</w:t>
      </w:r>
      <w:r w:rsidR="006E1439">
        <w:t>6</w:t>
      </w:r>
      <w:r w:rsidRPr="0015243A">
        <w:t>), pp. 1</w:t>
      </w:r>
      <w:r w:rsidR="006E1439">
        <w:t>133</w:t>
      </w:r>
      <w:r w:rsidRPr="0015243A">
        <w:t>–1</w:t>
      </w:r>
      <w:r w:rsidR="006E1439">
        <w:t>151</w:t>
      </w:r>
      <w:r w:rsidRPr="0015243A">
        <w:t>.</w:t>
      </w:r>
    </w:p>
    <w:p w14:paraId="53A7E3E1" w14:textId="77777777" w:rsidR="0002641C" w:rsidRPr="0015243A" w:rsidRDefault="00E8574D" w:rsidP="00E8574D">
      <w:r w:rsidRPr="0015243A">
        <w:t>Hunt, W, Birch, C, Vanclay, F &amp; Coutts, J 2014, ‘</w:t>
      </w:r>
      <w:r w:rsidRPr="0015243A">
        <w:rPr>
          <w:i/>
        </w:rPr>
        <w:t>Recommendations arising from an analysis of changes to the Australian agricultural research, development and extension system</w:t>
      </w:r>
      <w:r w:rsidRPr="0015243A">
        <w:t>’, Food Policy, vol. 44, pp. 129–141.</w:t>
      </w:r>
    </w:p>
    <w:p w14:paraId="6ADE0A99" w14:textId="2C7DE9B1" w:rsidR="0002641C" w:rsidRPr="0015243A" w:rsidRDefault="00E8574D" w:rsidP="0002641C">
      <w:bookmarkStart w:id="308" w:name="Hutchison_et_al_2012"/>
      <w:r w:rsidRPr="0015243A">
        <w:t>Hutchison</w:t>
      </w:r>
      <w:bookmarkEnd w:id="308"/>
      <w:r w:rsidRPr="0015243A">
        <w:t xml:space="preserve">, M, Sarac, Z &amp; Norris, A 2012, </w:t>
      </w:r>
      <w:r w:rsidRPr="0015243A">
        <w:rPr>
          <w:i/>
        </w:rPr>
        <w:t>The potential for Mozambique tilapia Oreochromis m</w:t>
      </w:r>
      <w:r w:rsidR="00845DAC">
        <w:rPr>
          <w:i/>
        </w:rPr>
        <w:t>ossambicus to invade the Murray–</w:t>
      </w:r>
      <w:r w:rsidRPr="0015243A">
        <w:rPr>
          <w:i/>
        </w:rPr>
        <w:t>Darling Basin and the likely impacts: a review of existing information</w:t>
      </w:r>
      <w:r w:rsidRPr="0015243A">
        <w:t>, report to t</w:t>
      </w:r>
      <w:r w:rsidR="00845DAC">
        <w:t>he Australian Government Murray–</w:t>
      </w:r>
      <w:r w:rsidRPr="0015243A">
        <w:t>Darling Basin Authority, Canberra.</w:t>
      </w:r>
    </w:p>
    <w:p w14:paraId="015C3D77" w14:textId="35597AE7" w:rsidR="00350E73" w:rsidRPr="0015243A" w:rsidRDefault="00350E73" w:rsidP="0002641C">
      <w:bookmarkStart w:id="309" w:name="IPART_2013"/>
      <w:bookmarkStart w:id="310" w:name="Keogh_2016"/>
      <w:r w:rsidRPr="0015243A">
        <w:t>IPART 2013</w:t>
      </w:r>
      <w:bookmarkEnd w:id="309"/>
      <w:r w:rsidRPr="0015243A">
        <w:t xml:space="preserve">, </w:t>
      </w:r>
      <w:r w:rsidRPr="0015243A">
        <w:rPr>
          <w:i/>
        </w:rPr>
        <w:t>Review of funding framework for Local Land Services NSW: Other industries—Draft report</w:t>
      </w:r>
      <w:r w:rsidRPr="0015243A">
        <w:t>, Independent Pricing and Regulatory Tribunal</w:t>
      </w:r>
      <w:r w:rsidR="009846F3" w:rsidRPr="0015243A">
        <w:t xml:space="preserve"> of New South Wales</w:t>
      </w:r>
      <w:r w:rsidR="002954AA">
        <w:t>, Sydney.</w:t>
      </w:r>
    </w:p>
    <w:p w14:paraId="5B9B4B6F" w14:textId="1E69C1CF" w:rsidR="00F01EF1" w:rsidRDefault="00F01EF1" w:rsidP="0002641C">
      <w:bookmarkStart w:id="311" w:name="McLennan_2014"/>
      <w:r>
        <w:t xml:space="preserve">Joyce, B 2016, </w:t>
      </w:r>
      <w:r w:rsidRPr="00F01EF1">
        <w:rPr>
          <w:i/>
        </w:rPr>
        <w:t>Red imported fire ant eradication</w:t>
      </w:r>
      <w:r>
        <w:t>, media release, Deputy Prime Minister, Minister for Agriculture and Water Resources, Canberra.</w:t>
      </w:r>
      <w:bookmarkStart w:id="312" w:name="Joyce_2016"/>
      <w:bookmarkEnd w:id="312"/>
    </w:p>
    <w:p w14:paraId="31AAAEA2" w14:textId="77777777" w:rsidR="001B5BDD" w:rsidRPr="001B5BDD" w:rsidRDefault="001B5BDD" w:rsidP="001B5BDD">
      <w:r w:rsidRPr="001B5BDD">
        <w:t>Jurdak, R, Elfes, A, Kusy, B, Tews, A, Hu, W, Hernandez, E, Kottege, N &amp; Sikka, P 2015, ‘</w:t>
      </w:r>
      <w:r w:rsidRPr="001B5BDD">
        <w:rPr>
          <w:i/>
        </w:rPr>
        <w:t>Autonomous surveillance for biosecurity</w:t>
      </w:r>
      <w:r w:rsidRPr="001B5BDD">
        <w:t>’, Trends in Biotechnology, vol. 33, pp. 201–207.</w:t>
      </w:r>
      <w:bookmarkStart w:id="313" w:name="Jurdak_et_al_2015"/>
      <w:bookmarkEnd w:id="313"/>
    </w:p>
    <w:p w14:paraId="634983F2" w14:textId="01485318" w:rsidR="0002641C" w:rsidRPr="001B5BDD" w:rsidRDefault="0002641C" w:rsidP="0002641C">
      <w:r w:rsidRPr="001B5BDD">
        <w:t xml:space="preserve">Keogh, </w:t>
      </w:r>
      <w:bookmarkEnd w:id="311"/>
      <w:r w:rsidRPr="001B5BDD">
        <w:t>M &amp; Goucher, G 2016</w:t>
      </w:r>
      <w:bookmarkEnd w:id="310"/>
      <w:r w:rsidRPr="001B5BDD">
        <w:t xml:space="preserve">, </w:t>
      </w:r>
      <w:r w:rsidRPr="001B5BDD">
        <w:rPr>
          <w:i/>
        </w:rPr>
        <w:t>A sustainable and nationally coordinated plant biosecurity RD&amp;E system for Australia,</w:t>
      </w:r>
      <w:r w:rsidRPr="001B5BDD">
        <w:t xml:space="preserve"> research report prepared for the Plant Biosecurity Cooperative Research Centre, </w:t>
      </w:r>
      <w:r w:rsidR="008C299E" w:rsidRPr="001B5BDD">
        <w:t>Canberra</w:t>
      </w:r>
      <w:r w:rsidRPr="001B5BDD">
        <w:t>.</w:t>
      </w:r>
    </w:p>
    <w:p w14:paraId="737862F4" w14:textId="77777777" w:rsidR="001B5BDD" w:rsidRPr="001B5BDD" w:rsidRDefault="001B5BDD" w:rsidP="001B5BDD">
      <w:bookmarkStart w:id="314" w:name="Lindgren_2011"/>
      <w:bookmarkStart w:id="315" w:name="Mathews_2011"/>
      <w:bookmarkEnd w:id="314"/>
      <w:r w:rsidRPr="001B5BDD">
        <w:t>Kim, B, Park, C, Moon, Y, Sung, B, Ren, Y, Wylie, S &amp; Lee, B 2016, ‘</w:t>
      </w:r>
      <w:r w:rsidRPr="001B5BDD">
        <w:rPr>
          <w:i/>
        </w:rPr>
        <w:t>Quarantine treatments of imported nursery plants and exported cut flowers by phosphine gas (PH3) as methyl bromide alternative</w:t>
      </w:r>
      <w:r w:rsidRPr="001B5BDD">
        <w:t>’, Journal of Economic Entomology, vol.109 (6), pp. 2334–2340.</w:t>
      </w:r>
      <w:bookmarkStart w:id="316" w:name="Kim_et_al_2016"/>
      <w:bookmarkEnd w:id="316"/>
    </w:p>
    <w:p w14:paraId="6C791782" w14:textId="77777777" w:rsidR="001B5BDD" w:rsidRPr="001B5BDD" w:rsidRDefault="001B5BDD" w:rsidP="001B5BDD">
      <w:r w:rsidRPr="001B5BDD">
        <w:t>Li, Z, Yang, C, Jin, B, Yu, M, Liu, K, Sun, M &amp; Zhan, M 2015, ‘</w:t>
      </w:r>
      <w:r w:rsidRPr="001B5BDD">
        <w:rPr>
          <w:i/>
        </w:rPr>
        <w:t>Enabling big geoscience data analytics with a cloud-based MapReduce-enabled and service-oriented workflow framework</w:t>
      </w:r>
      <w:r w:rsidRPr="001B5BDD">
        <w:t>’, PLOSONE.</w:t>
      </w:r>
    </w:p>
    <w:p w14:paraId="7C87D394" w14:textId="77777777" w:rsidR="001B5BDD" w:rsidRPr="001B5BDD" w:rsidRDefault="001B5BDD" w:rsidP="001B5BDD">
      <w:r w:rsidRPr="001B5BDD">
        <w:t>Lindgren, CJ 2011, ‘</w:t>
      </w:r>
      <w:r w:rsidRPr="001B5BDD">
        <w:rPr>
          <w:i/>
        </w:rPr>
        <w:t>Biosecurity policy and the use of geospatial predictive tools to address invasive plants: updating the risk analysis toolbox</w:t>
      </w:r>
      <w:r w:rsidRPr="001B5BDD">
        <w:t>’, Risk Analysis, 32(1), pp. 9–15.</w:t>
      </w:r>
    </w:p>
    <w:p w14:paraId="5A6DC41C" w14:textId="08216881" w:rsidR="00A54F7E" w:rsidRPr="001B5BDD" w:rsidRDefault="00A54F7E" w:rsidP="00F817BF">
      <w:r w:rsidRPr="001B5BDD">
        <w:t xml:space="preserve">LLS 2016, </w:t>
      </w:r>
      <w:r w:rsidRPr="001B5BDD">
        <w:rPr>
          <w:i/>
        </w:rPr>
        <w:t xml:space="preserve">Annual </w:t>
      </w:r>
      <w:r w:rsidR="004A4E8A" w:rsidRPr="001B5BDD">
        <w:rPr>
          <w:i/>
        </w:rPr>
        <w:t>r</w:t>
      </w:r>
      <w:r w:rsidRPr="001B5BDD">
        <w:rPr>
          <w:i/>
        </w:rPr>
        <w:t>eport 2015–16</w:t>
      </w:r>
      <w:r w:rsidRPr="001B5BDD">
        <w:t>, NSW Government Local Land Services 2015–16</w:t>
      </w:r>
      <w:r w:rsidR="006327D7" w:rsidRPr="001B5BDD">
        <w:t>.</w:t>
      </w:r>
    </w:p>
    <w:p w14:paraId="39F9BDCF" w14:textId="77777777" w:rsidR="001B5BDD" w:rsidRPr="001B5BDD" w:rsidRDefault="001B5BDD" w:rsidP="001B5BDD">
      <w:bookmarkStart w:id="317" w:name="LLS_2016"/>
      <w:bookmarkEnd w:id="317"/>
      <w:r w:rsidRPr="001B5BDD">
        <w:t xml:space="preserve">Magee, B, Parkes, J, Adamson, D, Hyne, N, Langford, D, HoltKamp, R &amp; Lawson, S 2016, </w:t>
      </w:r>
      <w:r w:rsidRPr="001B5BDD">
        <w:rPr>
          <w:i/>
        </w:rPr>
        <w:t xml:space="preserve">Report of the independent review panel, </w:t>
      </w:r>
      <w:r w:rsidRPr="001B5BDD">
        <w:t>Independent Review of the National Red Imported Fire Ant Eradication Program, Canberra.</w:t>
      </w:r>
    </w:p>
    <w:p w14:paraId="1657B834" w14:textId="01E56379" w:rsidR="00E8574D" w:rsidRDefault="00E8574D" w:rsidP="00F817BF">
      <w:r w:rsidRPr="0015243A">
        <w:t xml:space="preserve">Matthews, K 2011, </w:t>
      </w:r>
      <w:r w:rsidRPr="00F817BF">
        <w:rPr>
          <w:i/>
        </w:rPr>
        <w:t>A review of Australia’s preparedness for the threat of foot-and-mouth disease</w:t>
      </w:r>
      <w:r w:rsidRPr="0015243A">
        <w:t>, report to the Australian Government Department of Agriculture, Fisheries and Forestry, Canberra.</w:t>
      </w:r>
    </w:p>
    <w:p w14:paraId="3E425BD6" w14:textId="55F2D2F7" w:rsidR="00E8574D" w:rsidRPr="0015243A" w:rsidRDefault="00E8574D" w:rsidP="00E8574D">
      <w:r w:rsidRPr="0015243A">
        <w:t xml:space="preserve">McLennan, B &amp; Handmer, J 2014, </w:t>
      </w:r>
      <w:r w:rsidRPr="00F817BF">
        <w:rPr>
          <w:i/>
        </w:rPr>
        <w:t>Sharing responsibility in Australian disaster management</w:t>
      </w:r>
      <w:r w:rsidRPr="0015243A">
        <w:t>, final report for the sharing responsibility project prepared for the Bushf</w:t>
      </w:r>
      <w:r w:rsidR="008C299E" w:rsidRPr="0015243A">
        <w:t>ire Cooperative Research Centre, Melbourne.</w:t>
      </w:r>
    </w:p>
    <w:p w14:paraId="39313E74" w14:textId="40A6DCE0" w:rsidR="00EB44A7" w:rsidRDefault="00EB44A7" w:rsidP="0002641C">
      <w:bookmarkStart w:id="318" w:name="Mohanty_et_al_2016"/>
      <w:bookmarkStart w:id="319" w:name="Miles_2015"/>
      <w:bookmarkEnd w:id="315"/>
      <w:r w:rsidRPr="00EB44A7">
        <w:t xml:space="preserve">Mercer, R, Hyam, L &amp; McLean, F 2016, </w:t>
      </w:r>
      <w:r w:rsidRPr="00EB44A7">
        <w:rPr>
          <w:i/>
        </w:rPr>
        <w:t>Social attitudes and understanding of biosecurity to support market access and plant health surveillance</w:t>
      </w:r>
      <w:r w:rsidRPr="00EB44A7">
        <w:t>, report prepared for the Australian Government Department of Agriculture and Water Resources, Instinct and Reason Pty Ltd, Sydney.</w:t>
      </w:r>
      <w:bookmarkStart w:id="320" w:name="Mercer_et_al_2016"/>
      <w:bookmarkEnd w:id="320"/>
    </w:p>
    <w:p w14:paraId="12C9FC62" w14:textId="71332B7A" w:rsidR="0002641C" w:rsidRPr="0015243A" w:rsidRDefault="0002641C" w:rsidP="0002641C">
      <w:r w:rsidRPr="0015243A">
        <w:t>Miles</w:t>
      </w:r>
      <w:bookmarkEnd w:id="318"/>
      <w:r w:rsidRPr="0015243A">
        <w:t>, D 2015</w:t>
      </w:r>
      <w:bookmarkEnd w:id="319"/>
      <w:r w:rsidRPr="0015243A">
        <w:t xml:space="preserve">, </w:t>
      </w:r>
      <w:r w:rsidRPr="0015243A">
        <w:rPr>
          <w:i/>
        </w:rPr>
        <w:t xml:space="preserve">Growing through </w:t>
      </w:r>
      <w:r w:rsidR="0093637E">
        <w:rPr>
          <w:i/>
        </w:rPr>
        <w:t>i</w:t>
      </w:r>
      <w:r w:rsidRPr="0015243A">
        <w:rPr>
          <w:i/>
        </w:rPr>
        <w:t xml:space="preserve">nnovation and </w:t>
      </w:r>
      <w:r w:rsidR="0093637E">
        <w:rPr>
          <w:i/>
        </w:rPr>
        <w:t>c</w:t>
      </w:r>
      <w:r w:rsidRPr="0015243A">
        <w:rPr>
          <w:i/>
        </w:rPr>
        <w:t xml:space="preserve">ollaboration. A </w:t>
      </w:r>
      <w:r w:rsidR="0093637E">
        <w:rPr>
          <w:i/>
        </w:rPr>
        <w:t>r</w:t>
      </w:r>
      <w:r w:rsidRPr="0015243A">
        <w:rPr>
          <w:i/>
        </w:rPr>
        <w:t>eview of the Cooperative Research Centres Programme</w:t>
      </w:r>
      <w:r w:rsidRPr="0015243A">
        <w:t>, report to the Australian Government, Canberra.</w:t>
      </w:r>
    </w:p>
    <w:p w14:paraId="0AD9E9D5" w14:textId="77777777" w:rsidR="001B5BDD" w:rsidRPr="001B5BDD" w:rsidRDefault="001B5BDD" w:rsidP="001B5BDD">
      <w:bookmarkStart w:id="321" w:name="Nairn_et_al_1996"/>
      <w:r w:rsidRPr="001B5BDD">
        <w:t>Mohanty, S, Hughes, D &amp; Salathé, M 2016, ‘</w:t>
      </w:r>
      <w:r w:rsidRPr="001B5BDD">
        <w:rPr>
          <w:i/>
        </w:rPr>
        <w:t>Using deep learning for image-based plant disease detection</w:t>
      </w:r>
      <w:r w:rsidRPr="001B5BDD">
        <w:t>’, Frontiers in Plant Science, vol. 7, Article 1419.</w:t>
      </w:r>
    </w:p>
    <w:p w14:paraId="64EC3CA9" w14:textId="77777777" w:rsidR="001B5BDD" w:rsidRPr="001B5BDD" w:rsidRDefault="001B5BDD" w:rsidP="001B5BDD">
      <w:r w:rsidRPr="001B5BDD">
        <w:t>Mumford, R, Macarthur, R &amp; Boonham, N 2016, ‘</w:t>
      </w:r>
      <w:r w:rsidRPr="001B5BDD">
        <w:rPr>
          <w:i/>
        </w:rPr>
        <w:t>The role and challenges of new diagnostic technology in plant biosecurity</w:t>
      </w:r>
      <w:r w:rsidRPr="001B5BDD">
        <w:t>’, Food Security, vol. 8(1), pp.103–109.</w:t>
      </w:r>
      <w:bookmarkStart w:id="322" w:name="Mumford_et_al_2016"/>
      <w:bookmarkEnd w:id="322"/>
    </w:p>
    <w:p w14:paraId="692F3A3C" w14:textId="73E83F4E" w:rsidR="0016100F" w:rsidRPr="0015243A" w:rsidRDefault="0016100F" w:rsidP="0016100F">
      <w:r w:rsidRPr="0015243A">
        <w:t xml:space="preserve">Nairn, ME, Allen, PG, Inglis, AR &amp; Tanner, C 1996, </w:t>
      </w:r>
      <w:r w:rsidRPr="0015243A">
        <w:rPr>
          <w:i/>
        </w:rPr>
        <w:t xml:space="preserve">Australian </w:t>
      </w:r>
      <w:r w:rsidR="0093637E">
        <w:rPr>
          <w:i/>
        </w:rPr>
        <w:t>q</w:t>
      </w:r>
      <w:r w:rsidRPr="0015243A">
        <w:rPr>
          <w:i/>
        </w:rPr>
        <w:t xml:space="preserve">uarantine: </w:t>
      </w:r>
      <w:r w:rsidR="0093637E">
        <w:rPr>
          <w:i/>
        </w:rPr>
        <w:t>A</w:t>
      </w:r>
      <w:r w:rsidRPr="0015243A">
        <w:rPr>
          <w:i/>
        </w:rPr>
        <w:t xml:space="preserve"> shared responsibility</w:t>
      </w:r>
      <w:r w:rsidRPr="0015243A">
        <w:t>, Department of Primary Industries and Energy, Canberra.</w:t>
      </w:r>
    </w:p>
    <w:p w14:paraId="4D3D0498" w14:textId="013D431A" w:rsidR="00877029" w:rsidRDefault="00877029" w:rsidP="0016100F">
      <w:bookmarkStart w:id="323" w:name="NRC_2016"/>
      <w:r w:rsidRPr="00877029">
        <w:t>Nentwig, W, Bacher, S, Pyšek, P, Vilà, M &amp; Kumschick, S 2016, ‘</w:t>
      </w:r>
      <w:r w:rsidRPr="00877029">
        <w:rPr>
          <w:i/>
        </w:rPr>
        <w:t>The generic impact scoring system (GISS): a standardized tool to quantify the impacts of alien species</w:t>
      </w:r>
      <w:r w:rsidRPr="00877029">
        <w:t>’, Environmental Monitoring and Assessment, 188(5), Article 315, pp. 1–13.</w:t>
      </w:r>
    </w:p>
    <w:p w14:paraId="53DA0D60" w14:textId="666A67D8" w:rsidR="0016100F" w:rsidRPr="0015243A" w:rsidRDefault="0016100F" w:rsidP="0016100F">
      <w:r w:rsidRPr="0015243A">
        <w:t xml:space="preserve">NRC 2016, </w:t>
      </w:r>
      <w:bookmarkEnd w:id="323"/>
      <w:r w:rsidRPr="0015243A">
        <w:rPr>
          <w:i/>
        </w:rPr>
        <w:t xml:space="preserve">Shared </w:t>
      </w:r>
      <w:r w:rsidR="0093637E">
        <w:rPr>
          <w:i/>
        </w:rPr>
        <w:t>p</w:t>
      </w:r>
      <w:r w:rsidRPr="0015243A">
        <w:rPr>
          <w:i/>
        </w:rPr>
        <w:t xml:space="preserve">roblem, </w:t>
      </w:r>
      <w:r w:rsidR="0093637E">
        <w:rPr>
          <w:i/>
        </w:rPr>
        <w:t>s</w:t>
      </w:r>
      <w:r w:rsidRPr="0015243A">
        <w:rPr>
          <w:i/>
        </w:rPr>
        <w:t xml:space="preserve">hared </w:t>
      </w:r>
      <w:r w:rsidR="0093637E">
        <w:rPr>
          <w:i/>
        </w:rPr>
        <w:t>s</w:t>
      </w:r>
      <w:r w:rsidRPr="0015243A">
        <w:rPr>
          <w:i/>
        </w:rPr>
        <w:t>olutions: Pest Animal Management Review</w:t>
      </w:r>
      <w:r w:rsidRPr="0015243A">
        <w:t xml:space="preserve">, </w:t>
      </w:r>
      <w:r w:rsidR="0093637E">
        <w:t>d</w:t>
      </w:r>
      <w:r w:rsidRPr="0015243A">
        <w:t xml:space="preserve">raft </w:t>
      </w:r>
      <w:r w:rsidR="0093637E">
        <w:t>r</w:t>
      </w:r>
      <w:r w:rsidRPr="0015243A">
        <w:t>eport March 2016, NSW Government Natural Resources Commission, Sydney.</w:t>
      </w:r>
    </w:p>
    <w:p w14:paraId="72F4E658" w14:textId="77777777" w:rsidR="00C71142" w:rsidRPr="00C71142" w:rsidRDefault="00C71142" w:rsidP="00C71142">
      <w:bookmarkStart w:id="324" w:name="NZ_MPI_2015"/>
      <w:bookmarkEnd w:id="321"/>
      <w:r w:rsidRPr="00C71142">
        <w:t xml:space="preserve">NRIR 2016, </w:t>
      </w:r>
      <w:r w:rsidRPr="00C71142">
        <w:rPr>
          <w:i/>
          <w:iCs/>
        </w:rPr>
        <w:t>2016 National Research Infrastructure Roadmap</w:t>
      </w:r>
      <w:r w:rsidRPr="00C71142">
        <w:t>, Australian Government, Canberra.</w:t>
      </w:r>
    </w:p>
    <w:p w14:paraId="21B4F4B2" w14:textId="04F276C4" w:rsidR="0015243A" w:rsidRPr="0015243A" w:rsidRDefault="0015243A" w:rsidP="0015243A">
      <w:bookmarkStart w:id="325" w:name="NRIR_2016"/>
      <w:bookmarkEnd w:id="325"/>
      <w:r w:rsidRPr="0015243A">
        <w:t>NZ MPI 2015</w:t>
      </w:r>
      <w:r w:rsidR="006A6062">
        <w:t xml:space="preserve">, </w:t>
      </w:r>
      <w:bookmarkEnd w:id="324"/>
      <w:r w:rsidR="006A6062">
        <w:rPr>
          <w:i/>
        </w:rPr>
        <w:t xml:space="preserve">Strategic </w:t>
      </w:r>
      <w:r w:rsidR="0093637E">
        <w:rPr>
          <w:i/>
        </w:rPr>
        <w:t>i</w:t>
      </w:r>
      <w:r w:rsidR="006A6062">
        <w:rPr>
          <w:i/>
        </w:rPr>
        <w:t>ntentions 2015–</w:t>
      </w:r>
      <w:r w:rsidR="006A6062" w:rsidRPr="006A6062">
        <w:t>2020</w:t>
      </w:r>
      <w:r w:rsidR="006A6062">
        <w:t xml:space="preserve">, </w:t>
      </w:r>
      <w:r w:rsidRPr="006A6062">
        <w:t>New</w:t>
      </w:r>
      <w:r w:rsidRPr="0015243A">
        <w:t xml:space="preserve"> Zealand </w:t>
      </w:r>
      <w:r w:rsidR="006A6062">
        <w:t xml:space="preserve">Government </w:t>
      </w:r>
      <w:r w:rsidRPr="0015243A">
        <w:t>Minist</w:t>
      </w:r>
      <w:r w:rsidR="006A6062">
        <w:t xml:space="preserve">ry for Primary Industries, </w:t>
      </w:r>
      <w:r w:rsidRPr="0015243A">
        <w:t>Wellington.</w:t>
      </w:r>
    </w:p>
    <w:p w14:paraId="437EE099" w14:textId="67930DBD" w:rsidR="00EA1E5B" w:rsidRPr="0015243A" w:rsidRDefault="00EA1E5B" w:rsidP="0016100F">
      <w:bookmarkStart w:id="326" w:name="NZ_MPI_2016"/>
      <w:r w:rsidRPr="0015243A">
        <w:t>NZ MPI 2016</w:t>
      </w:r>
      <w:bookmarkEnd w:id="326"/>
      <w:r w:rsidRPr="0015243A">
        <w:t xml:space="preserve">, </w:t>
      </w:r>
      <w:r w:rsidRPr="0015243A">
        <w:rPr>
          <w:i/>
        </w:rPr>
        <w:t xml:space="preserve">Situation and </w:t>
      </w:r>
      <w:r w:rsidR="0093637E">
        <w:rPr>
          <w:i/>
        </w:rPr>
        <w:t>o</w:t>
      </w:r>
      <w:r w:rsidRPr="0015243A">
        <w:rPr>
          <w:i/>
        </w:rPr>
        <w:t xml:space="preserve">utlook for </w:t>
      </w:r>
      <w:r w:rsidR="0093637E">
        <w:rPr>
          <w:i/>
        </w:rPr>
        <w:t>p</w:t>
      </w:r>
      <w:r w:rsidRPr="0015243A">
        <w:rPr>
          <w:i/>
        </w:rPr>
        <w:t xml:space="preserve">rimary </w:t>
      </w:r>
      <w:r w:rsidR="0093637E">
        <w:rPr>
          <w:i/>
        </w:rPr>
        <w:t>i</w:t>
      </w:r>
      <w:r w:rsidRPr="0015243A">
        <w:rPr>
          <w:i/>
        </w:rPr>
        <w:t>ndustries 2016</w:t>
      </w:r>
      <w:r w:rsidRPr="0015243A">
        <w:t>, New Zealand Government Ministry for Primary Industries, Wellington</w:t>
      </w:r>
      <w:r w:rsidR="00134239" w:rsidRPr="0015243A">
        <w:t>.</w:t>
      </w:r>
    </w:p>
    <w:p w14:paraId="128094A8" w14:textId="2F4E8746" w:rsidR="0002641C" w:rsidRPr="0015243A" w:rsidRDefault="0015243A" w:rsidP="0016100F">
      <w:bookmarkStart w:id="327" w:name="NZ_MPI_2016a"/>
      <w:r w:rsidRPr="0015243A">
        <w:t>NZ MPI 2016a</w:t>
      </w:r>
      <w:bookmarkEnd w:id="327"/>
      <w:r w:rsidR="003D2B0D">
        <w:t>,</w:t>
      </w:r>
      <w:r w:rsidRPr="0015243A">
        <w:t xml:space="preserve"> </w:t>
      </w:r>
      <w:r w:rsidR="003D2B0D">
        <w:rPr>
          <w:i/>
        </w:rPr>
        <w:t xml:space="preserve">Annual </w:t>
      </w:r>
      <w:r w:rsidR="0093637E">
        <w:rPr>
          <w:i/>
        </w:rPr>
        <w:t>r</w:t>
      </w:r>
      <w:r w:rsidR="003D2B0D">
        <w:rPr>
          <w:i/>
        </w:rPr>
        <w:t>eport 2015–</w:t>
      </w:r>
      <w:r w:rsidR="003D2B0D" w:rsidRPr="003D2B0D">
        <w:t>2016</w:t>
      </w:r>
      <w:r w:rsidR="003D2B0D">
        <w:t xml:space="preserve">, </w:t>
      </w:r>
      <w:r w:rsidR="0016100F" w:rsidRPr="003D2B0D">
        <w:t>New</w:t>
      </w:r>
      <w:r w:rsidR="0016100F" w:rsidRPr="0015243A">
        <w:t xml:space="preserve"> Zealand </w:t>
      </w:r>
      <w:r w:rsidR="003D2B0D">
        <w:t xml:space="preserve">Government </w:t>
      </w:r>
      <w:r w:rsidR="0016100F" w:rsidRPr="0015243A">
        <w:t>Minist</w:t>
      </w:r>
      <w:r w:rsidR="003D2B0D">
        <w:t>ry for Primary Industries</w:t>
      </w:r>
      <w:r w:rsidR="0016100F" w:rsidRPr="0015243A">
        <w:t>, Wellington</w:t>
      </w:r>
      <w:r w:rsidR="003D2B0D">
        <w:t>.</w:t>
      </w:r>
    </w:p>
    <w:p w14:paraId="09140E12" w14:textId="77777777" w:rsidR="001B5BDD" w:rsidRPr="001B5BDD" w:rsidRDefault="001B5BDD" w:rsidP="001B5BDD">
      <w:bookmarkStart w:id="328" w:name="Noble_et_al_2015"/>
      <w:bookmarkStart w:id="329" w:name="NPBRDES_IC_2016"/>
      <w:r w:rsidRPr="001B5BDD">
        <w:t>Noble</w:t>
      </w:r>
      <w:bookmarkEnd w:id="328"/>
      <w:r w:rsidRPr="001B5BDD">
        <w:t xml:space="preserve">, T, Robson, H, Saunders, R &amp; Jerry, D 2015, </w:t>
      </w:r>
      <w:r w:rsidRPr="001B5BDD">
        <w:rPr>
          <w:i/>
        </w:rPr>
        <w:t>The utility of eDNA as a tilapia surveillance tool</w:t>
      </w:r>
      <w:r w:rsidRPr="001B5BDD">
        <w:t>, PestSmart toolkit publication, Invasive Animals Cooperative Research Centre, Canberra.</w:t>
      </w:r>
    </w:p>
    <w:p w14:paraId="788E730F" w14:textId="581C3B56" w:rsidR="00E85E46" w:rsidRPr="0015243A" w:rsidRDefault="00F71ED1" w:rsidP="00F71ED1">
      <w:r w:rsidRPr="0015243A">
        <w:t>NPBRDES IC 2016</w:t>
      </w:r>
      <w:bookmarkEnd w:id="329"/>
      <w:r w:rsidRPr="0015243A">
        <w:t xml:space="preserve">, </w:t>
      </w:r>
      <w:r w:rsidRPr="0015243A">
        <w:rPr>
          <w:i/>
        </w:rPr>
        <w:t>Cross sectoral plant biosecurity RDE priorities analysis</w:t>
      </w:r>
      <w:r w:rsidRPr="0015243A">
        <w:t xml:space="preserve">, National Plant Biosecurity RD&amp;E Strategy </w:t>
      </w:r>
      <w:r w:rsidR="0093637E">
        <w:t>Implementation Committee report</w:t>
      </w:r>
      <w:r w:rsidRPr="0015243A">
        <w:t>.</w:t>
      </w:r>
    </w:p>
    <w:p w14:paraId="7B380318" w14:textId="6465F9D3" w:rsidR="00F71ED1" w:rsidRPr="0015243A" w:rsidRDefault="00F71ED1" w:rsidP="00F71ED1">
      <w:bookmarkStart w:id="330" w:name="Paini_et_al_2016"/>
      <w:r w:rsidRPr="0015243A">
        <w:t>Paini</w:t>
      </w:r>
      <w:bookmarkEnd w:id="330"/>
      <w:r w:rsidRPr="0015243A">
        <w:t xml:space="preserve">, D, Sheppard, A, Cook, D, De </w:t>
      </w:r>
      <w:r w:rsidR="00452959" w:rsidRPr="0015243A">
        <w:t>Barro, P, Worner, S &amp; Thomas, M</w:t>
      </w:r>
      <w:r w:rsidR="0093637E">
        <w:t xml:space="preserve"> 2016, ‘</w:t>
      </w:r>
      <w:r w:rsidRPr="0015243A">
        <w:rPr>
          <w:i/>
        </w:rPr>
        <w:t>Global threat to agriculture from invasive species</w:t>
      </w:r>
      <w:r w:rsidR="0093637E">
        <w:t>’</w:t>
      </w:r>
      <w:r w:rsidRPr="0015243A">
        <w:t>, Proceedings of the National Academy of Sciences of the United States of America, vol. 113(27), pp. 7575–7579.</w:t>
      </w:r>
    </w:p>
    <w:p w14:paraId="2EDBB624" w14:textId="68C8E2CC" w:rsidR="00F71ED1" w:rsidRPr="0015243A" w:rsidRDefault="00F71ED1" w:rsidP="00F71ED1">
      <w:bookmarkStart w:id="331" w:name="PC_2001"/>
      <w:r w:rsidRPr="0015243A">
        <w:t>PC 2001</w:t>
      </w:r>
      <w:bookmarkEnd w:id="331"/>
      <w:r w:rsidRPr="0015243A">
        <w:t xml:space="preserve">, </w:t>
      </w:r>
      <w:r w:rsidR="0093637E">
        <w:rPr>
          <w:i/>
        </w:rPr>
        <w:t>Cost recovery by government a</w:t>
      </w:r>
      <w:r w:rsidRPr="0015243A">
        <w:rPr>
          <w:i/>
        </w:rPr>
        <w:t>gencies</w:t>
      </w:r>
      <w:r w:rsidRPr="0015243A">
        <w:t>, Report No. 15, Inquiry Report, Productivity Commission, Canberra.</w:t>
      </w:r>
    </w:p>
    <w:p w14:paraId="3DE757D3" w14:textId="77777777" w:rsidR="00F71ED1" w:rsidRPr="0015243A" w:rsidRDefault="00F71ED1" w:rsidP="00F71ED1">
      <w:bookmarkStart w:id="332" w:name="PC_2011"/>
      <w:r w:rsidRPr="0015243A">
        <w:t>PC 2011</w:t>
      </w:r>
      <w:bookmarkEnd w:id="332"/>
      <w:r w:rsidRPr="0015243A">
        <w:t xml:space="preserve">, </w:t>
      </w:r>
      <w:r w:rsidRPr="0015243A">
        <w:rPr>
          <w:i/>
        </w:rPr>
        <w:t>Rural Research and Development Corporations</w:t>
      </w:r>
      <w:r w:rsidRPr="0015243A">
        <w:t>, Report No. 52, Final Inquiry Report, Productivity Commission, Canberra.</w:t>
      </w:r>
    </w:p>
    <w:p w14:paraId="3DD9F44B" w14:textId="3EE0BDCA" w:rsidR="006670BE" w:rsidRDefault="006670BE" w:rsidP="0002641C">
      <w:bookmarkStart w:id="333" w:name="Nentwig_et_al_2016"/>
      <w:bookmarkStart w:id="334" w:name="_MailEndCompose"/>
      <w:bookmarkEnd w:id="333"/>
      <w:r>
        <w:t>PC</w:t>
      </w:r>
      <w:r w:rsidR="0093637E">
        <w:t xml:space="preserve"> </w:t>
      </w:r>
      <w:r>
        <w:t xml:space="preserve">2014, </w:t>
      </w:r>
      <w:r w:rsidRPr="006670BE">
        <w:rPr>
          <w:i/>
        </w:rPr>
        <w:t xml:space="preserve">Natural </w:t>
      </w:r>
      <w:r w:rsidR="0093637E">
        <w:rPr>
          <w:i/>
        </w:rPr>
        <w:t>d</w:t>
      </w:r>
      <w:r w:rsidRPr="006670BE">
        <w:rPr>
          <w:i/>
        </w:rPr>
        <w:t xml:space="preserve">isaster </w:t>
      </w:r>
      <w:r w:rsidR="0093637E">
        <w:rPr>
          <w:i/>
        </w:rPr>
        <w:t>f</w:t>
      </w:r>
      <w:r w:rsidRPr="006670BE">
        <w:rPr>
          <w:i/>
        </w:rPr>
        <w:t xml:space="preserve">unding </w:t>
      </w:r>
      <w:r w:rsidR="0093637E">
        <w:rPr>
          <w:i/>
        </w:rPr>
        <w:t>a</w:t>
      </w:r>
      <w:r w:rsidRPr="006670BE">
        <w:rPr>
          <w:i/>
        </w:rPr>
        <w:t>rrangements</w:t>
      </w:r>
      <w:r>
        <w:t>, Report No. 74, Final Inquiry Report, Productivity Commission, Canberra.</w:t>
      </w:r>
      <w:bookmarkStart w:id="335" w:name="PC_2014"/>
      <w:bookmarkEnd w:id="335"/>
    </w:p>
    <w:p w14:paraId="008DA480" w14:textId="2A8E2474" w:rsidR="003D0E09" w:rsidRDefault="003D0E09" w:rsidP="0002641C">
      <w:r w:rsidRPr="00FF2CE0">
        <w:t xml:space="preserve">PC 2017, </w:t>
      </w:r>
      <w:r w:rsidRPr="00FF2CE0">
        <w:rPr>
          <w:i/>
        </w:rPr>
        <w:t xml:space="preserve">Regulation of Australian </w:t>
      </w:r>
      <w:r w:rsidR="0093637E">
        <w:rPr>
          <w:i/>
        </w:rPr>
        <w:t>a</w:t>
      </w:r>
      <w:r w:rsidRPr="00FF2CE0">
        <w:rPr>
          <w:i/>
        </w:rPr>
        <w:t>griculture</w:t>
      </w:r>
      <w:r w:rsidRPr="00FF2CE0">
        <w:t>, Report</w:t>
      </w:r>
      <w:r w:rsidR="00E555AA" w:rsidRPr="00FF2CE0">
        <w:t xml:space="preserve"> No. 79</w:t>
      </w:r>
      <w:r w:rsidRPr="00FF2CE0">
        <w:t xml:space="preserve">, </w:t>
      </w:r>
      <w:r w:rsidR="00E555AA" w:rsidRPr="00FF2CE0">
        <w:t xml:space="preserve">Inquiry Report, </w:t>
      </w:r>
      <w:r w:rsidRPr="00FF2CE0">
        <w:t>Productivity Commission, Canberra.</w:t>
      </w:r>
    </w:p>
    <w:p w14:paraId="521C2F56" w14:textId="2C655CFA" w:rsidR="00037638" w:rsidRDefault="00037638" w:rsidP="0002641C">
      <w:r>
        <w:t>PC 2017</w:t>
      </w:r>
      <w:r w:rsidR="000A2F3B">
        <w:t>a</w:t>
      </w:r>
      <w:r>
        <w:t xml:space="preserve">, </w:t>
      </w:r>
      <w:r w:rsidRPr="000A2F3B">
        <w:rPr>
          <w:i/>
        </w:rPr>
        <w:t xml:space="preserve">Report on </w:t>
      </w:r>
      <w:r w:rsidR="0093637E">
        <w:rPr>
          <w:i/>
        </w:rPr>
        <w:t>g</w:t>
      </w:r>
      <w:r w:rsidRPr="000A2F3B">
        <w:rPr>
          <w:i/>
        </w:rPr>
        <w:t xml:space="preserve">overnment </w:t>
      </w:r>
      <w:r w:rsidR="0093637E">
        <w:rPr>
          <w:i/>
        </w:rPr>
        <w:t>s</w:t>
      </w:r>
      <w:r w:rsidRPr="000A2F3B">
        <w:rPr>
          <w:i/>
        </w:rPr>
        <w:t>ervices</w:t>
      </w:r>
      <w:r>
        <w:t xml:space="preserve">, </w:t>
      </w:r>
      <w:r w:rsidR="000A2F3B">
        <w:t>Annual Report 2017, Pro</w:t>
      </w:r>
      <w:r w:rsidR="0093637E">
        <w:t>ductivity Commission, Canberra.</w:t>
      </w:r>
    </w:p>
    <w:p w14:paraId="392F0C90" w14:textId="77777777" w:rsidR="001B5BDD" w:rsidRPr="001B5BDD" w:rsidRDefault="001B5BDD" w:rsidP="001B5BDD">
      <w:r w:rsidRPr="001B5BDD">
        <w:t>Pheloung, P, Williams, P &amp; Halloy &amp; S 1999, ‘</w:t>
      </w:r>
      <w:r w:rsidRPr="001B5BDD">
        <w:rPr>
          <w:i/>
        </w:rPr>
        <w:t>A weed risk assessment model for use as a Biosecurity tool evaluating plan introductions</w:t>
      </w:r>
      <w:r w:rsidRPr="001B5BDD">
        <w:t>’, Journal of Environmental Management, vol. 57, pp. 239–251.</w:t>
      </w:r>
    </w:p>
    <w:p w14:paraId="49503125" w14:textId="188FDA9C" w:rsidR="00053D8A" w:rsidRDefault="002226E9" w:rsidP="0002641C">
      <w:r>
        <w:t xml:space="preserve">QFES 2016, </w:t>
      </w:r>
      <w:r w:rsidRPr="000C3CBE">
        <w:rPr>
          <w:i/>
        </w:rPr>
        <w:t xml:space="preserve">The State of Queensland, Queensland Fire and Emergency Services </w:t>
      </w:r>
      <w:r w:rsidR="0093637E">
        <w:rPr>
          <w:i/>
        </w:rPr>
        <w:t>a</w:t>
      </w:r>
      <w:r w:rsidRPr="000C3CBE">
        <w:rPr>
          <w:i/>
        </w:rPr>
        <w:t xml:space="preserve">nnual </w:t>
      </w:r>
      <w:r w:rsidR="0093637E">
        <w:rPr>
          <w:i/>
        </w:rPr>
        <w:t>r</w:t>
      </w:r>
      <w:r w:rsidRPr="000C3CBE">
        <w:rPr>
          <w:i/>
        </w:rPr>
        <w:t>eport 2015–16</w:t>
      </w:r>
      <w:bookmarkStart w:id="336" w:name="QFES_2016"/>
      <w:bookmarkEnd w:id="336"/>
      <w:r w:rsidR="000C3CBE">
        <w:t xml:space="preserve">, </w:t>
      </w:r>
      <w:r w:rsidR="000C3CBE" w:rsidRPr="000C3CBE">
        <w:t>Queensland Fire and Emergency Services</w:t>
      </w:r>
      <w:r w:rsidR="000C3CBE">
        <w:t>,</w:t>
      </w:r>
      <w:r w:rsidR="000C3CBE" w:rsidRPr="000C3CBE">
        <w:t xml:space="preserve"> </w:t>
      </w:r>
      <w:r w:rsidR="000C3CBE">
        <w:t>Brisbane.</w:t>
      </w:r>
      <w:bookmarkStart w:id="337" w:name="RIFA_2016"/>
      <w:bookmarkEnd w:id="337"/>
    </w:p>
    <w:p w14:paraId="4AA0F0B6" w14:textId="247A2672" w:rsidR="00CB62EB" w:rsidRPr="0015243A" w:rsidRDefault="00CA028E" w:rsidP="0002641C">
      <w:r w:rsidRPr="0015243A">
        <w:t xml:space="preserve">RSC 2015, </w:t>
      </w:r>
      <w:r w:rsidRPr="0015243A">
        <w:rPr>
          <w:i/>
          <w:iCs/>
        </w:rPr>
        <w:t>Analysis of plant pest preparedness capability: a report to the Department of Agriculture and Water Resources</w:t>
      </w:r>
      <w:r w:rsidRPr="0015243A">
        <w:t>, Rob Schwartz Consulting, October 2015.</w:t>
      </w:r>
      <w:bookmarkEnd w:id="334"/>
    </w:p>
    <w:p w14:paraId="1DF205B1" w14:textId="6634FF90" w:rsidR="003846F3" w:rsidRDefault="003846F3" w:rsidP="0002641C">
      <w:bookmarkStart w:id="338" w:name="Schneider_et_al_2015"/>
      <w:bookmarkStart w:id="339" w:name="Teague_et_al_2010"/>
      <w:r w:rsidRPr="003846F3">
        <w:t xml:space="preserve">Schneider, H, Batho, H, Stemshorn, B &amp; Thiermann, A 2015, </w:t>
      </w:r>
      <w:r w:rsidR="00054EBA">
        <w:rPr>
          <w:i/>
        </w:rPr>
        <w:t>PVS Evaluation Report—</w:t>
      </w:r>
      <w:r w:rsidRPr="003846F3">
        <w:rPr>
          <w:i/>
        </w:rPr>
        <w:t>Australia</w:t>
      </w:r>
      <w:r w:rsidR="00054EBA">
        <w:rPr>
          <w:i/>
        </w:rPr>
        <w:t>, November 2015</w:t>
      </w:r>
      <w:r w:rsidRPr="003846F3">
        <w:t>, World</w:t>
      </w:r>
      <w:r w:rsidR="00054EBA">
        <w:t xml:space="preserve"> Organisation for Animal Health</w:t>
      </w:r>
      <w:r w:rsidRPr="003846F3">
        <w:t>, Paris.</w:t>
      </w:r>
      <w:bookmarkEnd w:id="338"/>
    </w:p>
    <w:p w14:paraId="614526AE" w14:textId="05D04944" w:rsidR="00E05382" w:rsidRPr="001B5BDD" w:rsidRDefault="00E05382" w:rsidP="00E05382">
      <w:r>
        <w:t xml:space="preserve">SCRGSP </w:t>
      </w:r>
      <w:r w:rsidR="00E909C1">
        <w:t>2017</w:t>
      </w:r>
      <w:r w:rsidR="000C3CBE">
        <w:t xml:space="preserve">, </w:t>
      </w:r>
      <w:r w:rsidRPr="00BD61ED">
        <w:rPr>
          <w:i/>
        </w:rPr>
        <w:t xml:space="preserve">Report on </w:t>
      </w:r>
      <w:r w:rsidR="0093637E">
        <w:rPr>
          <w:i/>
        </w:rPr>
        <w:t>government s</w:t>
      </w:r>
      <w:r w:rsidRPr="00BD61ED">
        <w:rPr>
          <w:i/>
        </w:rPr>
        <w:t>ervices 2017</w:t>
      </w:r>
      <w:r>
        <w:t xml:space="preserve">, vol. D, </w:t>
      </w:r>
      <w:r w:rsidRPr="00BD61ED">
        <w:rPr>
          <w:i/>
        </w:rPr>
        <w:t>Emergency management</w:t>
      </w:r>
      <w:r>
        <w:t xml:space="preserve">, </w:t>
      </w:r>
      <w:r w:rsidR="0093637E" w:rsidRPr="000C3CBE">
        <w:t xml:space="preserve">Steering </w:t>
      </w:r>
      <w:r w:rsidR="0093637E" w:rsidRPr="001B5BDD">
        <w:t xml:space="preserve">Committee for the Review of Government Service Provision, </w:t>
      </w:r>
      <w:r w:rsidRPr="001B5BDD">
        <w:t>Productivity Commission, Canberra.</w:t>
      </w:r>
    </w:p>
    <w:p w14:paraId="2B6A28D1" w14:textId="77777777" w:rsidR="001B5BDD" w:rsidRPr="001B5BDD" w:rsidRDefault="001B5BDD" w:rsidP="001B5BDD">
      <w:bookmarkStart w:id="340" w:name="Szewranski_et_al_2017"/>
      <w:bookmarkEnd w:id="340"/>
      <w:r w:rsidRPr="001B5BDD">
        <w:t xml:space="preserve">Szewrański, S, Kazak J, Sylla M &amp; Świąder, M 2017, </w:t>
      </w:r>
      <w:r w:rsidRPr="001B5BDD">
        <w:rPr>
          <w:i/>
        </w:rPr>
        <w:t>Spatial data analysis with the use of ArcGIS and Tableau systems</w:t>
      </w:r>
      <w:r w:rsidRPr="001B5BDD">
        <w:t>, pp. 337–349. In: Ivan I, Singleton A, Horák, J &amp; Inspektor, T (eds.), The Rise of Big Spatial Data, Lecture Notes in Geoinformation and Cartography, Springer, Switzerland.</w:t>
      </w:r>
    </w:p>
    <w:p w14:paraId="69639F39" w14:textId="50689465" w:rsidR="0002641C" w:rsidRPr="0015243A" w:rsidRDefault="00D03A16" w:rsidP="0002641C">
      <w:r w:rsidRPr="0015243A">
        <w:t>Teague</w:t>
      </w:r>
      <w:bookmarkEnd w:id="339"/>
      <w:r w:rsidRPr="0015243A">
        <w:t xml:space="preserve">, B, McLeod, R &amp; Pascoe, S 2010, </w:t>
      </w:r>
      <w:r w:rsidRPr="0015243A">
        <w:rPr>
          <w:i/>
        </w:rPr>
        <w:t>2009 Victorian Bushfires Royal Commission</w:t>
      </w:r>
      <w:r w:rsidRPr="0015243A">
        <w:t xml:space="preserve"> </w:t>
      </w:r>
      <w:r w:rsidR="00AB0EAC">
        <w:t>f</w:t>
      </w:r>
      <w:r w:rsidRPr="0015243A">
        <w:t xml:space="preserve">inal </w:t>
      </w:r>
      <w:r w:rsidR="00AB0EAC">
        <w:t>r</w:t>
      </w:r>
      <w:r w:rsidRPr="0015243A">
        <w:t>eport, State of Victoria, Melbourne.</w:t>
      </w:r>
    </w:p>
    <w:p w14:paraId="3C587BB0" w14:textId="3D79A52C" w:rsidR="00CE0516" w:rsidRDefault="00CE0516" w:rsidP="007549F0">
      <w:bookmarkStart w:id="341" w:name="TRA_2016"/>
      <w:r>
        <w:t>Thomas, J, Wood, T, Gullino, M</w:t>
      </w:r>
      <w:r w:rsidR="003547D0">
        <w:t xml:space="preserve"> &amp;</w:t>
      </w:r>
      <w:r>
        <w:t xml:space="preserve"> Ortu, G 2017, </w:t>
      </w:r>
      <w:r w:rsidR="00AB0EAC">
        <w:t>‘</w:t>
      </w:r>
      <w:r w:rsidRPr="00CE0516">
        <w:rPr>
          <w:i/>
        </w:rPr>
        <w:t>Diagnostic tools for plant biosecurity</w:t>
      </w:r>
      <w:r w:rsidR="00AB0EAC">
        <w:t>’</w:t>
      </w:r>
      <w:r>
        <w:t>, Practical Tools for Plant and Fo</w:t>
      </w:r>
      <w:r w:rsidR="00AB0EAC">
        <w:t>od Biosecurity, vol. 8, pp. 209–</w:t>
      </w:r>
      <w:r>
        <w:t>226</w:t>
      </w:r>
      <w:bookmarkStart w:id="342" w:name="Thomas_et_al_2017"/>
      <w:bookmarkEnd w:id="342"/>
      <w:r w:rsidR="006327D7">
        <w:t>.</w:t>
      </w:r>
    </w:p>
    <w:p w14:paraId="744F2769" w14:textId="5C59EC4C" w:rsidR="007C5F15" w:rsidRDefault="007C5F15" w:rsidP="007549F0">
      <w:r w:rsidRPr="007C5F15">
        <w:t xml:space="preserve">TRA 2016, </w:t>
      </w:r>
      <w:r w:rsidRPr="007C5F15">
        <w:rPr>
          <w:i/>
        </w:rPr>
        <w:t xml:space="preserve">Tourism forecasts 2016, </w:t>
      </w:r>
      <w:r w:rsidRPr="00DA1F72">
        <w:t>Australian Government Austrade</w:t>
      </w:r>
      <w:r w:rsidRPr="007C5F15">
        <w:t>, Touris</w:t>
      </w:r>
      <w:r w:rsidR="00F817BF">
        <w:t>m Research Australia, Canberra.</w:t>
      </w:r>
    </w:p>
    <w:p w14:paraId="66304D34" w14:textId="22D05884" w:rsidR="007549F0" w:rsidRPr="0015243A" w:rsidRDefault="007549F0" w:rsidP="007549F0">
      <w:bookmarkStart w:id="343" w:name="TRA_2016a"/>
      <w:bookmarkEnd w:id="341"/>
      <w:r w:rsidRPr="0015243A">
        <w:t>TRA 2016a</w:t>
      </w:r>
      <w:bookmarkEnd w:id="343"/>
      <w:r w:rsidRPr="0015243A">
        <w:t xml:space="preserve">, </w:t>
      </w:r>
      <w:r w:rsidRPr="0015243A">
        <w:rPr>
          <w:i/>
        </w:rPr>
        <w:t xml:space="preserve">State </w:t>
      </w:r>
      <w:r w:rsidR="00263D55">
        <w:rPr>
          <w:i/>
        </w:rPr>
        <w:t>t</w:t>
      </w:r>
      <w:r w:rsidRPr="0015243A">
        <w:rPr>
          <w:i/>
        </w:rPr>
        <w:t xml:space="preserve">ourism </w:t>
      </w:r>
      <w:r w:rsidR="00263D55">
        <w:rPr>
          <w:i/>
        </w:rPr>
        <w:t>s</w:t>
      </w:r>
      <w:r w:rsidRPr="0015243A">
        <w:rPr>
          <w:i/>
        </w:rPr>
        <w:t xml:space="preserve">atellite </w:t>
      </w:r>
      <w:r w:rsidR="00263D55">
        <w:rPr>
          <w:i/>
        </w:rPr>
        <w:t>a</w:t>
      </w:r>
      <w:r w:rsidRPr="0015243A">
        <w:rPr>
          <w:i/>
        </w:rPr>
        <w:t>ccounts 2014</w:t>
      </w:r>
      <w:r w:rsidR="00371CE8">
        <w:rPr>
          <w:i/>
        </w:rPr>
        <w:t>–</w:t>
      </w:r>
      <w:r w:rsidRPr="0015243A">
        <w:rPr>
          <w:i/>
        </w:rPr>
        <w:t>15</w:t>
      </w:r>
      <w:r w:rsidRPr="0015243A">
        <w:t>, Australian Government Austrade, Tourism Research Australia, Canberra.</w:t>
      </w:r>
    </w:p>
    <w:p w14:paraId="3FB55579" w14:textId="374F3273" w:rsidR="007C5F15" w:rsidRDefault="007C5F15" w:rsidP="007549F0">
      <w:bookmarkStart w:id="344" w:name="UK_NAO_2002"/>
      <w:r w:rsidRPr="007C5F15">
        <w:t xml:space="preserve">TRA 2017, </w:t>
      </w:r>
      <w:r w:rsidRPr="007C5F15">
        <w:rPr>
          <w:i/>
        </w:rPr>
        <w:t xml:space="preserve">State of the industry 2015–16, </w:t>
      </w:r>
      <w:r w:rsidRPr="00DA1F72">
        <w:t>Australian Government Austrade</w:t>
      </w:r>
      <w:r w:rsidRPr="007C5F15">
        <w:t>, Tourism Research Australia, Canberra.</w:t>
      </w:r>
    </w:p>
    <w:p w14:paraId="660EA106" w14:textId="06B5D321" w:rsidR="007549F0" w:rsidRPr="0015243A" w:rsidRDefault="007549F0" w:rsidP="007549F0">
      <w:r w:rsidRPr="0015243A">
        <w:t>UK NAO 2002</w:t>
      </w:r>
      <w:bookmarkEnd w:id="344"/>
      <w:r w:rsidRPr="0015243A">
        <w:t xml:space="preserve">, </w:t>
      </w:r>
      <w:r w:rsidRPr="0015243A">
        <w:rPr>
          <w:i/>
        </w:rPr>
        <w:t xml:space="preserve">The 2001 </w:t>
      </w:r>
      <w:r w:rsidR="00263D55">
        <w:rPr>
          <w:i/>
        </w:rPr>
        <w:t>o</w:t>
      </w:r>
      <w:r w:rsidRPr="0015243A">
        <w:rPr>
          <w:i/>
        </w:rPr>
        <w:t xml:space="preserve">utbreak of </w:t>
      </w:r>
      <w:r w:rsidR="00263D55">
        <w:rPr>
          <w:i/>
        </w:rPr>
        <w:t>f</w:t>
      </w:r>
      <w:r w:rsidRPr="0015243A">
        <w:rPr>
          <w:i/>
        </w:rPr>
        <w:t xml:space="preserve">oot and </w:t>
      </w:r>
      <w:r w:rsidR="00263D55">
        <w:rPr>
          <w:i/>
        </w:rPr>
        <w:t>m</w:t>
      </w:r>
      <w:r w:rsidRPr="0015243A">
        <w:rPr>
          <w:i/>
        </w:rPr>
        <w:t xml:space="preserve">outh </w:t>
      </w:r>
      <w:r w:rsidR="00263D55">
        <w:rPr>
          <w:i/>
        </w:rPr>
        <w:t>d</w:t>
      </w:r>
      <w:r w:rsidRPr="0015243A">
        <w:rPr>
          <w:i/>
        </w:rPr>
        <w:t>isease:</w:t>
      </w:r>
      <w:r w:rsidRPr="0015243A">
        <w:t xml:space="preserve"> </w:t>
      </w:r>
      <w:r w:rsidR="00263D55">
        <w:t>R</w:t>
      </w:r>
      <w:r w:rsidRPr="0015243A">
        <w:rPr>
          <w:i/>
        </w:rPr>
        <w:t>eport by the Comptroller and Auditor General</w:t>
      </w:r>
      <w:r w:rsidRPr="0015243A">
        <w:t>, United Kingdom National Audit Office, London.</w:t>
      </w:r>
    </w:p>
    <w:p w14:paraId="5217094D" w14:textId="47FA3813" w:rsidR="0002641C" w:rsidRPr="0015243A" w:rsidRDefault="007549F0" w:rsidP="007549F0">
      <w:bookmarkStart w:id="345" w:name="VAGO_2015"/>
      <w:r w:rsidRPr="0015243A">
        <w:t>VAGO 2015</w:t>
      </w:r>
      <w:bookmarkEnd w:id="345"/>
      <w:r w:rsidRPr="0015243A">
        <w:t xml:space="preserve">, </w:t>
      </w:r>
      <w:r w:rsidRPr="0015243A">
        <w:rPr>
          <w:i/>
        </w:rPr>
        <w:t xml:space="preserve">Biosecurity: </w:t>
      </w:r>
      <w:r w:rsidR="00263D55">
        <w:rPr>
          <w:i/>
        </w:rPr>
        <w:t>L</w:t>
      </w:r>
      <w:r w:rsidRPr="0015243A">
        <w:rPr>
          <w:i/>
        </w:rPr>
        <w:t xml:space="preserve">ivestock, </w:t>
      </w:r>
      <w:r w:rsidRPr="0015243A">
        <w:t>Victorian Auditor-General’s Office, Melbourne.</w:t>
      </w:r>
    </w:p>
    <w:p w14:paraId="33488DDB" w14:textId="77777777" w:rsidR="001B5BDD" w:rsidRPr="001B5BDD" w:rsidRDefault="001B5BDD" w:rsidP="001B5BDD">
      <w:bookmarkStart w:id="346" w:name="Wylie_Jansen_2016"/>
      <w:r w:rsidRPr="001B5BDD">
        <w:t>Wylie</w:t>
      </w:r>
      <w:bookmarkEnd w:id="346"/>
      <w:r w:rsidRPr="001B5BDD">
        <w:t>, R &amp; Janssen-May, S 2016, ‘</w:t>
      </w:r>
      <w:r w:rsidRPr="001B5BDD">
        <w:rPr>
          <w:i/>
        </w:rPr>
        <w:t>Red imported fire ant in Australia: What if we lose the war?</w:t>
      </w:r>
      <w:r w:rsidRPr="001B5BDD">
        <w:t>’, Ecological Management and Restoration, October, early view article.</w:t>
      </w:r>
    </w:p>
    <w:p w14:paraId="0176E35A" w14:textId="77777777" w:rsidR="001B5BDD" w:rsidRPr="001B5BDD" w:rsidRDefault="001B5BDD" w:rsidP="001B5BDD">
      <w:bookmarkStart w:id="347" w:name="Wylie_et_al_2016"/>
      <w:r w:rsidRPr="001B5BDD">
        <w:t>Wylie</w:t>
      </w:r>
      <w:bookmarkEnd w:id="347"/>
      <w:r w:rsidRPr="001B5BDD">
        <w:t>, R, Jennings, C, McKnaught, M &amp; Harris, E 2016, ‘</w:t>
      </w:r>
      <w:r w:rsidRPr="001B5BDD">
        <w:rPr>
          <w:i/>
        </w:rPr>
        <w:t>Eradication of two incursions of the red imported fire ant in Queensland, Australia</w:t>
      </w:r>
      <w:r w:rsidRPr="001B5BDD">
        <w:t>’, Ecological Management &amp; Restoration, vol. 17(1), pp. 22–32.</w:t>
      </w:r>
    </w:p>
    <w:sectPr w:rsidR="001B5BDD" w:rsidRPr="001B5BDD" w:rsidSect="00D05566">
      <w:headerReference w:type="even" r:id="rId102"/>
      <w:headerReference w:type="default" r:id="rId103"/>
      <w:footerReference w:type="default" r:id="rId104"/>
      <w:headerReference w:type="first" r:id="rId105"/>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BF261E" w14:textId="77777777" w:rsidR="00A37E87" w:rsidRDefault="00A37E87" w:rsidP="00267841">
      <w:r>
        <w:separator/>
      </w:r>
    </w:p>
    <w:p w14:paraId="45263A72" w14:textId="77777777" w:rsidR="00A37E87" w:rsidRDefault="00A37E87"/>
    <w:p w14:paraId="669CF051" w14:textId="77777777" w:rsidR="00A37E87" w:rsidRDefault="00A37E87"/>
  </w:endnote>
  <w:endnote w:type="continuationSeparator" w:id="0">
    <w:p w14:paraId="2B5D0A9F" w14:textId="77777777" w:rsidR="00A37E87" w:rsidRDefault="00A37E87" w:rsidP="00267841">
      <w:r>
        <w:continuationSeparator/>
      </w:r>
    </w:p>
    <w:p w14:paraId="2B6D3C0C" w14:textId="77777777" w:rsidR="00A37E87" w:rsidRDefault="00A37E87"/>
    <w:p w14:paraId="18A55A60" w14:textId="77777777" w:rsidR="00A37E87" w:rsidRDefault="00A37E87"/>
  </w:endnote>
  <w:endnote w:type="continuationNotice" w:id="1">
    <w:p w14:paraId="0CA054B0" w14:textId="77777777" w:rsidR="00A37E87" w:rsidRPr="00696C70" w:rsidRDefault="00A37E87" w:rsidP="00267841">
      <w:pPr>
        <w:pStyle w:val="Footer"/>
      </w:pPr>
    </w:p>
    <w:p w14:paraId="7DDDAE1D" w14:textId="77777777" w:rsidR="00A37E87" w:rsidRDefault="00A37E87"/>
    <w:p w14:paraId="3C6D87FF" w14:textId="77777777" w:rsidR="00A37E87" w:rsidRDefault="00A37E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GillSans-Ligh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AE1011" w14:textId="55CE6FBE" w:rsidR="00A37E87" w:rsidRDefault="00A37E87" w:rsidP="00CD0FCE">
    <w:pPr>
      <w:pStyle w:val="Footer"/>
      <w:tabs>
        <w:tab w:val="clear" w:pos="4536"/>
      </w:tabs>
      <w:jc w:val="right"/>
    </w:pPr>
    <w:r>
      <w:fldChar w:fldCharType="begin"/>
    </w:r>
    <w:r>
      <w:instrText xml:space="preserve"> PAGE    \* MERGEFORMAT </w:instrText>
    </w:r>
    <w:r>
      <w:fldChar w:fldCharType="separate"/>
    </w:r>
    <w:r w:rsidR="00041132">
      <w:rPr>
        <w:noProof/>
      </w:rPr>
      <w:t>41</w:t>
    </w:r>
    <w: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6A4BD" w14:textId="77777777" w:rsidR="00A37E87" w:rsidRPr="005B5C61" w:rsidRDefault="00A37E87" w:rsidP="00674995">
    <w:pPr>
      <w:pStyle w:val="Footer"/>
      <w:rPr>
        <w:b/>
        <w:sz w:val="28"/>
        <w:szCs w:val="2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A672C" w14:textId="1E6C8D8C" w:rsidR="00A37E87" w:rsidRPr="0075308F" w:rsidRDefault="00A37E87" w:rsidP="00532719">
    <w:pPr>
      <w:pStyle w:val="Footer"/>
      <w:tabs>
        <w:tab w:val="clear" w:pos="4536"/>
      </w:tabs>
      <w:jc w:val="right"/>
      <w:rPr>
        <w:rFonts w:asciiTheme="minorHAnsi" w:hAnsiTheme="minorHAnsi"/>
      </w:rPr>
    </w:pPr>
    <w:r w:rsidRPr="0075308F">
      <w:rPr>
        <w:rFonts w:asciiTheme="minorHAnsi" w:hAnsiTheme="minorHAnsi"/>
      </w:rPr>
      <w:fldChar w:fldCharType="begin"/>
    </w:r>
    <w:r w:rsidRPr="0075308F">
      <w:rPr>
        <w:rFonts w:asciiTheme="minorHAnsi" w:hAnsiTheme="minorHAnsi"/>
      </w:rPr>
      <w:instrText xml:space="preserve"> PAGE    \* MERGEFORMAT </w:instrText>
    </w:r>
    <w:r w:rsidRPr="0075308F">
      <w:rPr>
        <w:rFonts w:asciiTheme="minorHAnsi" w:hAnsiTheme="minorHAnsi"/>
      </w:rPr>
      <w:fldChar w:fldCharType="separate"/>
    </w:r>
    <w:r w:rsidR="00041132">
      <w:rPr>
        <w:rFonts w:asciiTheme="minorHAnsi" w:hAnsiTheme="minorHAnsi"/>
        <w:noProof/>
      </w:rPr>
      <w:t>147</w:t>
    </w:r>
    <w:r w:rsidRPr="0075308F">
      <w:rPr>
        <w:rFonts w:asciiTheme="minorHAnsi" w:hAnsiTheme="minorHAns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3BD584" w14:textId="77777777" w:rsidR="00A37E87" w:rsidRDefault="00A37E87" w:rsidP="00CD0FCE">
    <w:pPr>
      <w:pStyle w:val="Footer"/>
      <w:tabs>
        <w:tab w:val="clear" w:pos="4536"/>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119D42" w14:textId="77777777" w:rsidR="00A37E87" w:rsidRDefault="00A37E8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8C298" w14:textId="48F7A8DF" w:rsidR="00A37E87" w:rsidRDefault="00A37E87" w:rsidP="003D682D">
    <w:pPr>
      <w:pStyle w:val="Footer"/>
      <w:tabs>
        <w:tab w:val="clear" w:pos="4536"/>
      </w:tabs>
      <w:jc w:val="right"/>
    </w:pPr>
    <w:r>
      <w:fldChar w:fldCharType="begin"/>
    </w:r>
    <w:r>
      <w:instrText xml:space="preserve"> PAGE    \* MERGEFORMAT </w:instrText>
    </w:r>
    <w:r>
      <w:fldChar w:fldCharType="separate"/>
    </w:r>
    <w:r w:rsidR="00041132">
      <w:rPr>
        <w:noProof/>
      </w:rPr>
      <w:t>80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F4D84" w14:textId="77777777" w:rsidR="00A37E87" w:rsidRDefault="00A37E8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62796" w14:textId="77777777" w:rsidR="00A37E87" w:rsidRDefault="00A37E8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AA7AB" w14:textId="55271AFE" w:rsidR="00A37E87" w:rsidRDefault="00A37E87" w:rsidP="003D682D">
    <w:pPr>
      <w:pStyle w:val="Footer"/>
      <w:tabs>
        <w:tab w:val="clear" w:pos="4536"/>
      </w:tabs>
      <w:jc w:val="right"/>
    </w:pPr>
    <w:r>
      <w:fldChar w:fldCharType="begin"/>
    </w:r>
    <w:r>
      <w:instrText xml:space="preserve"> PAGE    \* MERGEFORMAT </w:instrText>
    </w:r>
    <w:r>
      <w:fldChar w:fldCharType="separate"/>
    </w:r>
    <w:r w:rsidR="00041132">
      <w:rPr>
        <w:noProof/>
      </w:rPr>
      <w:t>90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09E70C" w14:textId="77777777" w:rsidR="00A37E87" w:rsidRDefault="00A37E8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818CF" w14:textId="7ED9C55C" w:rsidR="00A37E87" w:rsidRPr="00007993" w:rsidRDefault="00A37E87" w:rsidP="003D682D">
    <w:pPr>
      <w:pStyle w:val="Footer"/>
      <w:tabs>
        <w:tab w:val="clear" w:pos="4536"/>
      </w:tabs>
      <w:jc w:val="right"/>
      <w:rPr>
        <w:noProof/>
      </w:rPr>
    </w:pPr>
    <w:r>
      <w:rPr>
        <w:noProof/>
      </w:rPr>
      <w:fldChar w:fldCharType="begin"/>
    </w:r>
    <w:r>
      <w:rPr>
        <w:noProof/>
      </w:rPr>
      <w:instrText xml:space="preserve"> PAGE    \* MERGEFORMAT </w:instrText>
    </w:r>
    <w:r>
      <w:rPr>
        <w:noProof/>
      </w:rPr>
      <w:fldChar w:fldCharType="separate"/>
    </w:r>
    <w:r w:rsidR="00041132">
      <w:rPr>
        <w:noProof/>
      </w:rPr>
      <w:t>137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43B78" w14:textId="77777777" w:rsidR="00A37E87" w:rsidRDefault="00A37E87" w:rsidP="00267841">
      <w:r>
        <w:separator/>
      </w:r>
    </w:p>
    <w:p w14:paraId="5C0A6E77" w14:textId="77777777" w:rsidR="00A37E87" w:rsidRDefault="00A37E87"/>
    <w:p w14:paraId="173CBF72" w14:textId="77777777" w:rsidR="00A37E87" w:rsidRDefault="00A37E87"/>
  </w:footnote>
  <w:footnote w:type="continuationSeparator" w:id="0">
    <w:p w14:paraId="7D900B84" w14:textId="77777777" w:rsidR="00A37E87" w:rsidRDefault="00A37E87" w:rsidP="00267841">
      <w:r>
        <w:continuationSeparator/>
      </w:r>
    </w:p>
    <w:p w14:paraId="1A16CC54" w14:textId="77777777" w:rsidR="00A37E87" w:rsidRDefault="00A37E87"/>
    <w:p w14:paraId="77A97247" w14:textId="77777777" w:rsidR="00A37E87" w:rsidRDefault="00A37E87"/>
  </w:footnote>
  <w:footnote w:type="continuationNotice" w:id="1">
    <w:p w14:paraId="0DBFFD87" w14:textId="77777777" w:rsidR="00A37E87" w:rsidRPr="00310C6A" w:rsidRDefault="00A37E87" w:rsidP="00267841">
      <w:pPr>
        <w:pStyle w:val="Footer"/>
      </w:pPr>
    </w:p>
    <w:p w14:paraId="196DCA8F" w14:textId="77777777" w:rsidR="00A37E87" w:rsidRDefault="00A37E87"/>
    <w:p w14:paraId="2400915D" w14:textId="77777777" w:rsidR="00A37E87" w:rsidRDefault="00A37E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D9DA8" w14:textId="412F029D" w:rsidR="00A37E87" w:rsidRPr="00E53668" w:rsidRDefault="00A37E87" w:rsidP="00E53668">
    <w:pPr>
      <w:pStyle w:val="Header"/>
      <w:tabs>
        <w:tab w:val="clear" w:pos="4820"/>
      </w:tabs>
      <w:rPr>
        <w:i/>
      </w:rPr>
    </w:pPr>
    <w:r>
      <w:rPr>
        <w:i/>
      </w:rPr>
      <w:t>Priorities for Australia’s biosecurity system</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6FE3D" w14:textId="41232B94" w:rsidR="00A37E87" w:rsidRPr="00D4090A" w:rsidRDefault="00A37E87" w:rsidP="002F4D23">
    <w:pPr>
      <w:pStyle w:val="Header"/>
      <w:rPr>
        <w:i/>
      </w:rPr>
    </w:pPr>
    <w:r>
      <w:rPr>
        <w:i/>
      </w:rPr>
      <w:t>Priorities for Australia’s biosecurity system</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431AB" w14:textId="24B10A59" w:rsidR="00A37E87" w:rsidRDefault="00041132">
    <w:pPr>
      <w:pStyle w:val="Header"/>
    </w:pPr>
    <w:r>
      <w:rPr>
        <w:noProof/>
      </w:rPr>
      <w:pict w14:anchorId="29718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61" type="#_x0000_t136" style="position:absolute;left:0;text-align:left;margin-left:0;margin-top:0;width:548pt;height:91.3pt;rotation:315;z-index:-251597312;mso-position-horizontal:center;mso-position-horizontal-relative:margin;mso-position-vertical:center;mso-position-vertical-relative:margin" o:allowincell="f" fillcolor="#7f7f7f [1612]" stroked="f">
          <v:fill opacity=".5"/>
          <v:textpath style="font-family:&quot;Cambria&quot;;font-size:1pt" string="CONFIDENTIAL"/>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2F877" w14:textId="270BA156" w:rsidR="00A37E87" w:rsidRDefault="00A37E8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61D26" w14:textId="53F7305B" w:rsidR="00A37E87" w:rsidRPr="00557ACA" w:rsidRDefault="00A37E87" w:rsidP="00532719">
    <w:pPr>
      <w:pStyle w:val="Header"/>
      <w:tabs>
        <w:tab w:val="clear" w:pos="4820"/>
      </w:tabs>
      <w:rPr>
        <w:i/>
      </w:rPr>
    </w:pPr>
    <w:r>
      <w:rPr>
        <w:i/>
      </w:rPr>
      <w:t>Priorities for Australia’s biosecurity system</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85AEEA" w14:textId="28FDAE12" w:rsidR="00A37E87" w:rsidRDefault="00A37E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8FD1F" w14:textId="43B6E89C" w:rsidR="00A37E87" w:rsidRDefault="00A37E87" w:rsidP="00CD0FCE">
    <w:pPr>
      <w:pStyle w:val="Header"/>
      <w:tabs>
        <w:tab w:val="clear" w:pos="4820"/>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F03ED" w14:textId="636A710F" w:rsidR="00A37E87" w:rsidRDefault="00A37E8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1FA80" w14:textId="6E12B680" w:rsidR="00A37E87" w:rsidRPr="00D4090A" w:rsidRDefault="00A37E87" w:rsidP="006466A0">
    <w:pPr>
      <w:pStyle w:val="Header"/>
      <w:rPr>
        <w:i/>
      </w:rPr>
    </w:pPr>
    <w:r>
      <w:rPr>
        <w:i/>
      </w:rPr>
      <w:t>Priorities for Australia’s biosecurity system</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0FB55" w14:textId="2530FD19" w:rsidR="00A37E87" w:rsidRDefault="00A37E8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D8FD7" w14:textId="2590B9C6" w:rsidR="00A37E87" w:rsidRDefault="00A37E8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BF9D4D" w14:textId="7E8E3274" w:rsidR="00A37E87" w:rsidRPr="00D4090A" w:rsidRDefault="00A37E87" w:rsidP="003D682D">
    <w:pPr>
      <w:pStyle w:val="Header"/>
      <w:tabs>
        <w:tab w:val="clear" w:pos="4820"/>
      </w:tabs>
      <w:rPr>
        <w:i/>
      </w:rPr>
    </w:pPr>
    <w:r>
      <w:rPr>
        <w:i/>
      </w:rPr>
      <w:t>Priorities for Australia’s biosecurity system</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FC14F" w14:textId="05804982" w:rsidR="00A37E87" w:rsidRDefault="00A37E87">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CD1445" w14:textId="36E6BE8A" w:rsidR="00A37E87" w:rsidRDefault="00041132">
    <w:pPr>
      <w:pStyle w:val="Header"/>
    </w:pPr>
    <w:r>
      <w:rPr>
        <w:noProof/>
      </w:rPr>
      <w:pict w14:anchorId="220AC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62" type="#_x0000_t136" style="position:absolute;left:0;text-align:left;margin-left:0;margin-top:0;width:548pt;height:91.3pt;rotation:315;z-index:-251596288;mso-position-horizontal:center;mso-position-horizontal-relative:margin;mso-position-vertical:center;mso-position-vertical-relative:margin" o:allowincell="f" fillcolor="#7f7f7f [1612]" stroked="f">
          <v:fill opacity=".5"/>
          <v:textpath style="font-family:&quot;Cambria&quot;;font-size:1pt" string="CONFIDENTI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986AF5C"/>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566DF72"/>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3" w15:restartNumberingAfterBreak="0">
    <w:nsid w:val="017233BA"/>
    <w:multiLevelType w:val="hybridMultilevel"/>
    <w:tmpl w:val="9104F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643EC"/>
    <w:multiLevelType w:val="hybridMultilevel"/>
    <w:tmpl w:val="D5D038A2"/>
    <w:lvl w:ilvl="0" w:tplc="0C090019">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5" w15:restartNumberingAfterBreak="0">
    <w:nsid w:val="132D4D11"/>
    <w:multiLevelType w:val="hybridMultilevel"/>
    <w:tmpl w:val="97CCEF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96320D6"/>
    <w:multiLevelType w:val="hybridMultilevel"/>
    <w:tmpl w:val="E0744F36"/>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7"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9DB2BC8"/>
    <w:multiLevelType w:val="hybridMultilevel"/>
    <w:tmpl w:val="A2064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D16A8F"/>
    <w:multiLevelType w:val="hybridMultilevel"/>
    <w:tmpl w:val="7AC088F0"/>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10" w15:restartNumberingAfterBreak="0">
    <w:nsid w:val="1F2B6DA0"/>
    <w:multiLevelType w:val="hybridMultilevel"/>
    <w:tmpl w:val="CC5C91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7B0339A"/>
    <w:multiLevelType w:val="hybridMultilevel"/>
    <w:tmpl w:val="D6CE16A0"/>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28476DA2"/>
    <w:multiLevelType w:val="hybridMultilevel"/>
    <w:tmpl w:val="47364A6E"/>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14" w15:restartNumberingAfterBreak="0">
    <w:nsid w:val="32397379"/>
    <w:multiLevelType w:val="hybridMultilevel"/>
    <w:tmpl w:val="D6CE16A0"/>
    <w:lvl w:ilvl="0" w:tplc="0C09000F">
      <w:start w:val="1"/>
      <w:numFmt w:val="decimal"/>
      <w:lvlText w:val="%1."/>
      <w:lvlJc w:val="left"/>
      <w:pPr>
        <w:ind w:left="1211" w:hanging="360"/>
      </w:p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5" w15:restartNumberingAfterBreak="0">
    <w:nsid w:val="358F64AE"/>
    <w:multiLevelType w:val="hybridMultilevel"/>
    <w:tmpl w:val="8D100DF0"/>
    <w:lvl w:ilvl="0" w:tplc="0C090019">
      <w:start w:val="1"/>
      <w:numFmt w:val="lowerLetter"/>
      <w:lvlText w:val="%1."/>
      <w:lvlJc w:val="left"/>
      <w:pPr>
        <w:ind w:left="786" w:hanging="360"/>
      </w:p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6" w15:restartNumberingAfterBreak="0">
    <w:nsid w:val="361B6BED"/>
    <w:multiLevelType w:val="multilevel"/>
    <w:tmpl w:val="B4C21084"/>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rPr>
    </w:lvl>
    <w:lvl w:ilvl="2">
      <w:start w:val="1"/>
      <w:numFmt w:val="lowerRoman"/>
      <w:lvlText w:val="(%3)"/>
      <w:lvlJc w:val="left"/>
      <w:pPr>
        <w:tabs>
          <w:tab w:val="num" w:pos="851"/>
        </w:tabs>
        <w:ind w:left="851" w:hanging="425"/>
      </w:pPr>
      <w:rPr>
        <w:rFonts w:cs="Times New Roman" w:hint="default"/>
        <w:b w:val="0"/>
        <w:i w:val="0"/>
      </w:rPr>
    </w:lvl>
    <w:lvl w:ilvl="3">
      <w:start w:val="1"/>
      <w:numFmt w:val="lowerLetter"/>
      <w:lvlText w:val="(%4)"/>
      <w:lvlJc w:val="left"/>
      <w:pPr>
        <w:tabs>
          <w:tab w:val="num" w:pos="1701"/>
        </w:tabs>
        <w:ind w:left="1701" w:hanging="425"/>
      </w:pPr>
      <w:rPr>
        <w:rFonts w:cs="Times New Roman" w:hint="default"/>
        <w:b w:val="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7" w15:restartNumberingAfterBreak="0">
    <w:nsid w:val="38FD7663"/>
    <w:multiLevelType w:val="hybridMultilevel"/>
    <w:tmpl w:val="E8ACD38C"/>
    <w:lvl w:ilvl="0" w:tplc="0C09000F">
      <w:start w:val="1"/>
      <w:numFmt w:val="decimal"/>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18" w15:restartNumberingAfterBreak="0">
    <w:nsid w:val="394A15FE"/>
    <w:multiLevelType w:val="multilevel"/>
    <w:tmpl w:val="F36C17E8"/>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C444903"/>
    <w:multiLevelType w:val="hybridMultilevel"/>
    <w:tmpl w:val="85EC4772"/>
    <w:lvl w:ilvl="0" w:tplc="0C090019">
      <w:start w:val="1"/>
      <w:numFmt w:val="lowerLetter"/>
      <w:lvlText w:val="%1."/>
      <w:lvlJc w:val="left"/>
      <w:pPr>
        <w:ind w:left="717" w:hanging="360"/>
      </w:p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0"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0A3582"/>
    <w:multiLevelType w:val="hybridMultilevel"/>
    <w:tmpl w:val="F7202622"/>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2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4182A4F0"/>
    <w:styleLink w:val="Numberlist"/>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5DD74D24"/>
    <w:multiLevelType w:val="multilevel"/>
    <w:tmpl w:val="868C1D76"/>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0265396"/>
    <w:multiLevelType w:val="hybridMultilevel"/>
    <w:tmpl w:val="C62866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7A3F53"/>
    <w:multiLevelType w:val="hybridMultilevel"/>
    <w:tmpl w:val="33A23952"/>
    <w:lvl w:ilvl="0" w:tplc="0C090019">
      <w:start w:val="1"/>
      <w:numFmt w:val="lowerLetter"/>
      <w:lvlText w:val="%1."/>
      <w:lvlJc w:val="left"/>
      <w:pPr>
        <w:ind w:left="717" w:hanging="360"/>
      </w:pPr>
    </w:lvl>
    <w:lvl w:ilvl="1" w:tplc="0C09001B">
      <w:start w:val="1"/>
      <w:numFmt w:val="lowerRoman"/>
      <w:lvlText w:val="%2."/>
      <w:lvlJc w:val="righ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7" w15:restartNumberingAfterBreak="0">
    <w:nsid w:val="64AB46DF"/>
    <w:multiLevelType w:val="hybridMultilevel"/>
    <w:tmpl w:val="368CFF66"/>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8" w15:restartNumberingAfterBreak="0">
    <w:nsid w:val="6C8B58BC"/>
    <w:multiLevelType w:val="hybridMultilevel"/>
    <w:tmpl w:val="D7AE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563101"/>
    <w:multiLevelType w:val="hybridMultilevel"/>
    <w:tmpl w:val="57DABE42"/>
    <w:lvl w:ilvl="0" w:tplc="0F50B90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2061E7"/>
    <w:multiLevelType w:val="hybridMultilevel"/>
    <w:tmpl w:val="574EBCB8"/>
    <w:lvl w:ilvl="0" w:tplc="0C090019">
      <w:start w:val="1"/>
      <w:numFmt w:val="lowerLetter"/>
      <w:lvlText w:val="%1."/>
      <w:lvlJc w:val="left"/>
      <w:pPr>
        <w:ind w:left="717" w:hanging="360"/>
      </w:pPr>
    </w:lvl>
    <w:lvl w:ilvl="1" w:tplc="0C090019">
      <w:start w:val="1"/>
      <w:numFmt w:val="lowerLetter"/>
      <w:lvlText w:val="%2."/>
      <w:lvlJc w:val="left"/>
      <w:pPr>
        <w:ind w:left="1513" w:hanging="360"/>
      </w:pPr>
    </w:lvl>
    <w:lvl w:ilvl="2" w:tplc="0C09001B">
      <w:start w:val="1"/>
      <w:numFmt w:val="lowerRoman"/>
      <w:lvlText w:val="%3."/>
      <w:lvlJc w:val="right"/>
      <w:pPr>
        <w:ind w:left="2233" w:hanging="180"/>
      </w:pPr>
    </w:lvl>
    <w:lvl w:ilvl="3" w:tplc="0C09000F">
      <w:start w:val="1"/>
      <w:numFmt w:val="decimal"/>
      <w:lvlText w:val="%4."/>
      <w:lvlJc w:val="left"/>
      <w:pPr>
        <w:ind w:left="2953" w:hanging="360"/>
      </w:pPr>
    </w:lvl>
    <w:lvl w:ilvl="4" w:tplc="0C090019" w:tentative="1">
      <w:start w:val="1"/>
      <w:numFmt w:val="lowerLetter"/>
      <w:lvlText w:val="%5."/>
      <w:lvlJc w:val="left"/>
      <w:pPr>
        <w:ind w:left="3673" w:hanging="360"/>
      </w:pPr>
    </w:lvl>
    <w:lvl w:ilvl="5" w:tplc="0C09001B" w:tentative="1">
      <w:start w:val="1"/>
      <w:numFmt w:val="lowerRoman"/>
      <w:lvlText w:val="%6."/>
      <w:lvlJc w:val="right"/>
      <w:pPr>
        <w:ind w:left="4393" w:hanging="180"/>
      </w:pPr>
    </w:lvl>
    <w:lvl w:ilvl="6" w:tplc="0C09000F" w:tentative="1">
      <w:start w:val="1"/>
      <w:numFmt w:val="decimal"/>
      <w:lvlText w:val="%7."/>
      <w:lvlJc w:val="left"/>
      <w:pPr>
        <w:ind w:left="5113" w:hanging="360"/>
      </w:pPr>
    </w:lvl>
    <w:lvl w:ilvl="7" w:tplc="0C090019" w:tentative="1">
      <w:start w:val="1"/>
      <w:numFmt w:val="lowerLetter"/>
      <w:lvlText w:val="%8."/>
      <w:lvlJc w:val="left"/>
      <w:pPr>
        <w:ind w:left="5833" w:hanging="360"/>
      </w:pPr>
    </w:lvl>
    <w:lvl w:ilvl="8" w:tplc="0C09001B" w:tentative="1">
      <w:start w:val="1"/>
      <w:numFmt w:val="lowerRoman"/>
      <w:lvlText w:val="%9."/>
      <w:lvlJc w:val="right"/>
      <w:pPr>
        <w:ind w:left="6553" w:hanging="180"/>
      </w:pPr>
    </w:lvl>
  </w:abstractNum>
  <w:abstractNum w:abstractNumId="31" w15:restartNumberingAfterBreak="0">
    <w:nsid w:val="6F5861E1"/>
    <w:multiLevelType w:val="hybridMultilevel"/>
    <w:tmpl w:val="663684A6"/>
    <w:lvl w:ilvl="0" w:tplc="0C090019">
      <w:start w:val="1"/>
      <w:numFmt w:val="lowerLetter"/>
      <w:lvlText w:val="%1."/>
      <w:lvlJc w:val="left"/>
      <w:pPr>
        <w:ind w:left="717" w:hanging="360"/>
      </w:pPr>
    </w:lvl>
    <w:lvl w:ilvl="1" w:tplc="0C090019">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num w:numId="1">
    <w:abstractNumId w:val="2"/>
  </w:num>
  <w:num w:numId="2">
    <w:abstractNumId w:val="0"/>
    <w:lvlOverride w:ilvl="0">
      <w:startOverride w:val="1"/>
    </w:lvlOverride>
  </w:num>
  <w:num w:numId="3">
    <w:abstractNumId w:val="20"/>
  </w:num>
  <w:num w:numId="4">
    <w:abstractNumId w:val="7"/>
  </w:num>
  <w:num w:numId="5">
    <w:abstractNumId w:val="22"/>
  </w:num>
  <w:num w:numId="6">
    <w:abstractNumId w:val="23"/>
  </w:num>
  <w:num w:numId="7">
    <w:abstractNumId w:val="11"/>
  </w:num>
  <w:num w:numId="8">
    <w:abstractNumId w:val="18"/>
  </w:num>
  <w:num w:numId="9">
    <w:abstractNumId w:val="24"/>
  </w:num>
  <w:num w:numId="10">
    <w:abstractNumId w:val="27"/>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0"/>
  </w:num>
  <w:num w:numId="14">
    <w:abstractNumId w:val="2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6"/>
  </w:num>
  <w:num w:numId="18">
    <w:abstractNumId w:val="29"/>
  </w:num>
  <w:num w:numId="19">
    <w:abstractNumId w:val="12"/>
  </w:num>
  <w:num w:numId="20">
    <w:abstractNumId w:val="14"/>
  </w:num>
  <w:num w:numId="21">
    <w:abstractNumId w:val="17"/>
  </w:num>
  <w:num w:numId="22">
    <w:abstractNumId w:val="15"/>
  </w:num>
  <w:num w:numId="23">
    <w:abstractNumId w:val="4"/>
  </w:num>
  <w:num w:numId="24">
    <w:abstractNumId w:val="30"/>
  </w:num>
  <w:num w:numId="25">
    <w:abstractNumId w:val="9"/>
  </w:num>
  <w:num w:numId="26">
    <w:abstractNumId w:val="21"/>
  </w:num>
  <w:num w:numId="27">
    <w:abstractNumId w:val="13"/>
  </w:num>
  <w:num w:numId="28">
    <w:abstractNumId w:val="19"/>
  </w:num>
  <w:num w:numId="29">
    <w:abstractNumId w:val="31"/>
  </w:num>
  <w:num w:numId="30">
    <w:abstractNumId w:val="26"/>
  </w:num>
  <w:num w:numId="31">
    <w:abstractNumId w:val="25"/>
  </w:num>
  <w:num w:numId="32">
    <w:abstractNumId w:val="5"/>
  </w:num>
  <w:num w:numId="33">
    <w:abstractNumId w:val="24"/>
  </w:num>
  <w:num w:numId="34">
    <w:abstractNumId w:val="1"/>
  </w:num>
  <w:num w:numId="35">
    <w:abstractNumId w:val="0"/>
    <w:lvlOverride w:ilvl="0">
      <w:startOverride w:val="1"/>
    </w:lvlOverride>
  </w:num>
  <w:num w:numId="36">
    <w:abstractNumId w:val="8"/>
  </w:num>
  <w:num w:numId="37">
    <w:abstractNumId w:val="2"/>
  </w:num>
  <w:num w:numId="38">
    <w:abstractNumId w:val="2"/>
  </w:num>
  <w:num w:numId="39">
    <w:abstractNumId w:val="2"/>
  </w:num>
  <w:num w:numId="40">
    <w:abstractNumId w:val="2"/>
  </w:num>
  <w:num w:numId="41">
    <w:abstractNumId w:val="2"/>
  </w:num>
  <w:num w:numId="42">
    <w:abstractNumId w:val="2"/>
  </w:num>
  <w:num w:numId="43">
    <w:abstractNumId w:val="2"/>
  </w:num>
  <w:num w:numId="44">
    <w:abstractNumId w:val="2"/>
  </w:num>
  <w:num w:numId="45">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2563"/>
    <o:shapelayout v:ext="edit">
      <o:idmap v:ext="edit" data="2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ADA"/>
    <w:rsid w:val="0000006D"/>
    <w:rsid w:val="000008A6"/>
    <w:rsid w:val="00001B76"/>
    <w:rsid w:val="00001E5A"/>
    <w:rsid w:val="000020B5"/>
    <w:rsid w:val="000027C9"/>
    <w:rsid w:val="00002858"/>
    <w:rsid w:val="00003191"/>
    <w:rsid w:val="000039FD"/>
    <w:rsid w:val="00003A2F"/>
    <w:rsid w:val="00003A8A"/>
    <w:rsid w:val="00003D8E"/>
    <w:rsid w:val="00003DBC"/>
    <w:rsid w:val="00004371"/>
    <w:rsid w:val="000045BE"/>
    <w:rsid w:val="00004CBD"/>
    <w:rsid w:val="0000510A"/>
    <w:rsid w:val="00005262"/>
    <w:rsid w:val="00005693"/>
    <w:rsid w:val="00005B64"/>
    <w:rsid w:val="00005DCF"/>
    <w:rsid w:val="0000605B"/>
    <w:rsid w:val="000060EA"/>
    <w:rsid w:val="0000622D"/>
    <w:rsid w:val="0000628D"/>
    <w:rsid w:val="00006C2D"/>
    <w:rsid w:val="00006FBD"/>
    <w:rsid w:val="0000785F"/>
    <w:rsid w:val="00007993"/>
    <w:rsid w:val="00007F47"/>
    <w:rsid w:val="00007FD4"/>
    <w:rsid w:val="00010BDE"/>
    <w:rsid w:val="00010C63"/>
    <w:rsid w:val="00010D7C"/>
    <w:rsid w:val="000111DE"/>
    <w:rsid w:val="00011A8A"/>
    <w:rsid w:val="000121BF"/>
    <w:rsid w:val="00012362"/>
    <w:rsid w:val="00012572"/>
    <w:rsid w:val="000125BB"/>
    <w:rsid w:val="0001354B"/>
    <w:rsid w:val="00013D2C"/>
    <w:rsid w:val="00014EF6"/>
    <w:rsid w:val="0001504C"/>
    <w:rsid w:val="000150DB"/>
    <w:rsid w:val="000152F2"/>
    <w:rsid w:val="00015B49"/>
    <w:rsid w:val="00015C1C"/>
    <w:rsid w:val="00016544"/>
    <w:rsid w:val="000165F4"/>
    <w:rsid w:val="0001695E"/>
    <w:rsid w:val="000206CF"/>
    <w:rsid w:val="00020B9F"/>
    <w:rsid w:val="0002178A"/>
    <w:rsid w:val="0002199E"/>
    <w:rsid w:val="0002273A"/>
    <w:rsid w:val="000227C8"/>
    <w:rsid w:val="00022B10"/>
    <w:rsid w:val="00022C41"/>
    <w:rsid w:val="0002325D"/>
    <w:rsid w:val="000232C5"/>
    <w:rsid w:val="0002368E"/>
    <w:rsid w:val="0002377F"/>
    <w:rsid w:val="00023C00"/>
    <w:rsid w:val="000254A1"/>
    <w:rsid w:val="000257A6"/>
    <w:rsid w:val="00025BF8"/>
    <w:rsid w:val="00025FE0"/>
    <w:rsid w:val="00026107"/>
    <w:rsid w:val="00026133"/>
    <w:rsid w:val="0002641C"/>
    <w:rsid w:val="0002655F"/>
    <w:rsid w:val="000268A4"/>
    <w:rsid w:val="00026A1B"/>
    <w:rsid w:val="00026AE9"/>
    <w:rsid w:val="00027C98"/>
    <w:rsid w:val="000301D3"/>
    <w:rsid w:val="000304DC"/>
    <w:rsid w:val="00030743"/>
    <w:rsid w:val="00030CA7"/>
    <w:rsid w:val="00030DBE"/>
    <w:rsid w:val="000311C2"/>
    <w:rsid w:val="00031EBE"/>
    <w:rsid w:val="00032694"/>
    <w:rsid w:val="000333B6"/>
    <w:rsid w:val="00033C71"/>
    <w:rsid w:val="00033DE4"/>
    <w:rsid w:val="00033EE3"/>
    <w:rsid w:val="00034157"/>
    <w:rsid w:val="00034203"/>
    <w:rsid w:val="00034415"/>
    <w:rsid w:val="00034494"/>
    <w:rsid w:val="00034582"/>
    <w:rsid w:val="000345A7"/>
    <w:rsid w:val="00034DD4"/>
    <w:rsid w:val="0003507A"/>
    <w:rsid w:val="000353F7"/>
    <w:rsid w:val="000357D6"/>
    <w:rsid w:val="0003694B"/>
    <w:rsid w:val="00037065"/>
    <w:rsid w:val="00037638"/>
    <w:rsid w:val="00037CB7"/>
    <w:rsid w:val="000409CF"/>
    <w:rsid w:val="00040C89"/>
    <w:rsid w:val="00041132"/>
    <w:rsid w:val="00041399"/>
    <w:rsid w:val="000413BD"/>
    <w:rsid w:val="000418D4"/>
    <w:rsid w:val="00041B91"/>
    <w:rsid w:val="00041C06"/>
    <w:rsid w:val="00041C73"/>
    <w:rsid w:val="00041CBE"/>
    <w:rsid w:val="00041D7C"/>
    <w:rsid w:val="0004287F"/>
    <w:rsid w:val="0004353E"/>
    <w:rsid w:val="00043C12"/>
    <w:rsid w:val="00043D8C"/>
    <w:rsid w:val="00043EC6"/>
    <w:rsid w:val="00044210"/>
    <w:rsid w:val="00044441"/>
    <w:rsid w:val="00044579"/>
    <w:rsid w:val="00044A45"/>
    <w:rsid w:val="00044B19"/>
    <w:rsid w:val="000452B5"/>
    <w:rsid w:val="00045560"/>
    <w:rsid w:val="00045A32"/>
    <w:rsid w:val="00045C03"/>
    <w:rsid w:val="00045C0E"/>
    <w:rsid w:val="00046640"/>
    <w:rsid w:val="00046649"/>
    <w:rsid w:val="00046BCB"/>
    <w:rsid w:val="00046E19"/>
    <w:rsid w:val="00047F4F"/>
    <w:rsid w:val="00050796"/>
    <w:rsid w:val="000509C7"/>
    <w:rsid w:val="00050C50"/>
    <w:rsid w:val="00050D60"/>
    <w:rsid w:val="00051268"/>
    <w:rsid w:val="00051EDB"/>
    <w:rsid w:val="0005234D"/>
    <w:rsid w:val="00052573"/>
    <w:rsid w:val="00052764"/>
    <w:rsid w:val="00052D73"/>
    <w:rsid w:val="00052D79"/>
    <w:rsid w:val="00052EA0"/>
    <w:rsid w:val="000531EC"/>
    <w:rsid w:val="00053873"/>
    <w:rsid w:val="00053D8A"/>
    <w:rsid w:val="00053F31"/>
    <w:rsid w:val="00054EBA"/>
    <w:rsid w:val="0005500E"/>
    <w:rsid w:val="0005522A"/>
    <w:rsid w:val="000552AB"/>
    <w:rsid w:val="00055E1D"/>
    <w:rsid w:val="00056053"/>
    <w:rsid w:val="0005647E"/>
    <w:rsid w:val="00056540"/>
    <w:rsid w:val="00057709"/>
    <w:rsid w:val="00057C26"/>
    <w:rsid w:val="00057C3B"/>
    <w:rsid w:val="000608E8"/>
    <w:rsid w:val="00060D86"/>
    <w:rsid w:val="0006118A"/>
    <w:rsid w:val="00061673"/>
    <w:rsid w:val="00061787"/>
    <w:rsid w:val="000618F3"/>
    <w:rsid w:val="0006277D"/>
    <w:rsid w:val="00062969"/>
    <w:rsid w:val="00062C84"/>
    <w:rsid w:val="00062DAF"/>
    <w:rsid w:val="00063145"/>
    <w:rsid w:val="00063EB7"/>
    <w:rsid w:val="00063FDD"/>
    <w:rsid w:val="000640C2"/>
    <w:rsid w:val="0006419D"/>
    <w:rsid w:val="00064B7D"/>
    <w:rsid w:val="00065285"/>
    <w:rsid w:val="0006559D"/>
    <w:rsid w:val="000657DE"/>
    <w:rsid w:val="00065BED"/>
    <w:rsid w:val="00066033"/>
    <w:rsid w:val="00066293"/>
    <w:rsid w:val="00066BCD"/>
    <w:rsid w:val="00067519"/>
    <w:rsid w:val="000679B7"/>
    <w:rsid w:val="00067C92"/>
    <w:rsid w:val="00067D89"/>
    <w:rsid w:val="00070412"/>
    <w:rsid w:val="0007046B"/>
    <w:rsid w:val="00070677"/>
    <w:rsid w:val="0007154D"/>
    <w:rsid w:val="00072255"/>
    <w:rsid w:val="0007238F"/>
    <w:rsid w:val="00072461"/>
    <w:rsid w:val="00072A24"/>
    <w:rsid w:val="00072BA4"/>
    <w:rsid w:val="00072BB5"/>
    <w:rsid w:val="00072C52"/>
    <w:rsid w:val="00072F5D"/>
    <w:rsid w:val="00073001"/>
    <w:rsid w:val="00073076"/>
    <w:rsid w:val="00073516"/>
    <w:rsid w:val="00073C5D"/>
    <w:rsid w:val="0007466B"/>
    <w:rsid w:val="00074C3B"/>
    <w:rsid w:val="00074FA1"/>
    <w:rsid w:val="00075973"/>
    <w:rsid w:val="00075BE6"/>
    <w:rsid w:val="00075E46"/>
    <w:rsid w:val="00075F7A"/>
    <w:rsid w:val="0007608A"/>
    <w:rsid w:val="000762B2"/>
    <w:rsid w:val="00076791"/>
    <w:rsid w:val="000768B4"/>
    <w:rsid w:val="00076F1E"/>
    <w:rsid w:val="0008010D"/>
    <w:rsid w:val="00080148"/>
    <w:rsid w:val="00080567"/>
    <w:rsid w:val="00080652"/>
    <w:rsid w:val="0008113A"/>
    <w:rsid w:val="0008128C"/>
    <w:rsid w:val="000812F7"/>
    <w:rsid w:val="00081AD5"/>
    <w:rsid w:val="00081BB4"/>
    <w:rsid w:val="00082202"/>
    <w:rsid w:val="000826EF"/>
    <w:rsid w:val="00082754"/>
    <w:rsid w:val="0008286D"/>
    <w:rsid w:val="00082B00"/>
    <w:rsid w:val="00082BFB"/>
    <w:rsid w:val="00082ED8"/>
    <w:rsid w:val="000830C6"/>
    <w:rsid w:val="00083228"/>
    <w:rsid w:val="00083505"/>
    <w:rsid w:val="0008351F"/>
    <w:rsid w:val="00083BBC"/>
    <w:rsid w:val="00083FCE"/>
    <w:rsid w:val="0008473C"/>
    <w:rsid w:val="00084FAB"/>
    <w:rsid w:val="00085A2C"/>
    <w:rsid w:val="00085C85"/>
    <w:rsid w:val="00086042"/>
    <w:rsid w:val="0008679E"/>
    <w:rsid w:val="00086969"/>
    <w:rsid w:val="0008702B"/>
    <w:rsid w:val="00087853"/>
    <w:rsid w:val="00087CAC"/>
    <w:rsid w:val="00087F29"/>
    <w:rsid w:val="00090583"/>
    <w:rsid w:val="000908B8"/>
    <w:rsid w:val="00090CAF"/>
    <w:rsid w:val="000915F3"/>
    <w:rsid w:val="000917A0"/>
    <w:rsid w:val="00091C91"/>
    <w:rsid w:val="00091F7F"/>
    <w:rsid w:val="00092451"/>
    <w:rsid w:val="00092BD5"/>
    <w:rsid w:val="00092F0D"/>
    <w:rsid w:val="00093512"/>
    <w:rsid w:val="000953B3"/>
    <w:rsid w:val="00096131"/>
    <w:rsid w:val="00097278"/>
    <w:rsid w:val="00097C66"/>
    <w:rsid w:val="00097C6B"/>
    <w:rsid w:val="00097F1D"/>
    <w:rsid w:val="000A0288"/>
    <w:rsid w:val="000A0CFB"/>
    <w:rsid w:val="000A0EFD"/>
    <w:rsid w:val="000A1085"/>
    <w:rsid w:val="000A10E2"/>
    <w:rsid w:val="000A1214"/>
    <w:rsid w:val="000A165C"/>
    <w:rsid w:val="000A17CE"/>
    <w:rsid w:val="000A1812"/>
    <w:rsid w:val="000A1A1B"/>
    <w:rsid w:val="000A1AC3"/>
    <w:rsid w:val="000A1F76"/>
    <w:rsid w:val="000A2463"/>
    <w:rsid w:val="000A2F3B"/>
    <w:rsid w:val="000A2F44"/>
    <w:rsid w:val="000A3013"/>
    <w:rsid w:val="000A342F"/>
    <w:rsid w:val="000A38A7"/>
    <w:rsid w:val="000A3EDA"/>
    <w:rsid w:val="000A4532"/>
    <w:rsid w:val="000A4F76"/>
    <w:rsid w:val="000A4FA1"/>
    <w:rsid w:val="000A561B"/>
    <w:rsid w:val="000A5790"/>
    <w:rsid w:val="000A63E6"/>
    <w:rsid w:val="000A66A7"/>
    <w:rsid w:val="000A6A8B"/>
    <w:rsid w:val="000A6CE8"/>
    <w:rsid w:val="000A6E29"/>
    <w:rsid w:val="000A6F9C"/>
    <w:rsid w:val="000A797D"/>
    <w:rsid w:val="000A7B96"/>
    <w:rsid w:val="000A7FA9"/>
    <w:rsid w:val="000B0517"/>
    <w:rsid w:val="000B0771"/>
    <w:rsid w:val="000B17F8"/>
    <w:rsid w:val="000B2059"/>
    <w:rsid w:val="000B234A"/>
    <w:rsid w:val="000B258B"/>
    <w:rsid w:val="000B266D"/>
    <w:rsid w:val="000B2960"/>
    <w:rsid w:val="000B3061"/>
    <w:rsid w:val="000B31BB"/>
    <w:rsid w:val="000B3B4D"/>
    <w:rsid w:val="000B46A7"/>
    <w:rsid w:val="000B510E"/>
    <w:rsid w:val="000B57B0"/>
    <w:rsid w:val="000B5859"/>
    <w:rsid w:val="000B5D1C"/>
    <w:rsid w:val="000B66AE"/>
    <w:rsid w:val="000B66EB"/>
    <w:rsid w:val="000B6B51"/>
    <w:rsid w:val="000B6C13"/>
    <w:rsid w:val="000B6C34"/>
    <w:rsid w:val="000B77E7"/>
    <w:rsid w:val="000C01A4"/>
    <w:rsid w:val="000C07BF"/>
    <w:rsid w:val="000C147F"/>
    <w:rsid w:val="000C1539"/>
    <w:rsid w:val="000C1701"/>
    <w:rsid w:val="000C1F61"/>
    <w:rsid w:val="000C2A3F"/>
    <w:rsid w:val="000C2C15"/>
    <w:rsid w:val="000C3511"/>
    <w:rsid w:val="000C3CBE"/>
    <w:rsid w:val="000C4167"/>
    <w:rsid w:val="000C4259"/>
    <w:rsid w:val="000C46D2"/>
    <w:rsid w:val="000C4A92"/>
    <w:rsid w:val="000C4F8B"/>
    <w:rsid w:val="000C5064"/>
    <w:rsid w:val="000C521B"/>
    <w:rsid w:val="000C5221"/>
    <w:rsid w:val="000C525C"/>
    <w:rsid w:val="000C55B6"/>
    <w:rsid w:val="000C61B8"/>
    <w:rsid w:val="000C6301"/>
    <w:rsid w:val="000C6D11"/>
    <w:rsid w:val="000C6D47"/>
    <w:rsid w:val="000C703F"/>
    <w:rsid w:val="000C75C7"/>
    <w:rsid w:val="000C75E5"/>
    <w:rsid w:val="000C77CB"/>
    <w:rsid w:val="000C77FA"/>
    <w:rsid w:val="000C7946"/>
    <w:rsid w:val="000D0236"/>
    <w:rsid w:val="000D0899"/>
    <w:rsid w:val="000D0A73"/>
    <w:rsid w:val="000D0BAE"/>
    <w:rsid w:val="000D0E52"/>
    <w:rsid w:val="000D1B32"/>
    <w:rsid w:val="000D1E81"/>
    <w:rsid w:val="000D1EFF"/>
    <w:rsid w:val="000D2CDF"/>
    <w:rsid w:val="000D3A53"/>
    <w:rsid w:val="000D414A"/>
    <w:rsid w:val="000D4317"/>
    <w:rsid w:val="000D4B9C"/>
    <w:rsid w:val="000D51AA"/>
    <w:rsid w:val="000D5261"/>
    <w:rsid w:val="000D59A6"/>
    <w:rsid w:val="000D5CBE"/>
    <w:rsid w:val="000D5D24"/>
    <w:rsid w:val="000D60E3"/>
    <w:rsid w:val="000D6AA8"/>
    <w:rsid w:val="000E03F7"/>
    <w:rsid w:val="000E04F1"/>
    <w:rsid w:val="000E04FE"/>
    <w:rsid w:val="000E1B48"/>
    <w:rsid w:val="000E2148"/>
    <w:rsid w:val="000E2249"/>
    <w:rsid w:val="000E2926"/>
    <w:rsid w:val="000E2D89"/>
    <w:rsid w:val="000E3A1C"/>
    <w:rsid w:val="000E4260"/>
    <w:rsid w:val="000E44B5"/>
    <w:rsid w:val="000E47B0"/>
    <w:rsid w:val="000E4C72"/>
    <w:rsid w:val="000E5236"/>
    <w:rsid w:val="000E5684"/>
    <w:rsid w:val="000E5E49"/>
    <w:rsid w:val="000E675E"/>
    <w:rsid w:val="000E6A39"/>
    <w:rsid w:val="000E6C2C"/>
    <w:rsid w:val="000E6DD6"/>
    <w:rsid w:val="000E777F"/>
    <w:rsid w:val="000E7E04"/>
    <w:rsid w:val="000F00C4"/>
    <w:rsid w:val="000F036B"/>
    <w:rsid w:val="000F041C"/>
    <w:rsid w:val="000F061B"/>
    <w:rsid w:val="000F0925"/>
    <w:rsid w:val="000F0941"/>
    <w:rsid w:val="000F1DE6"/>
    <w:rsid w:val="000F1FCA"/>
    <w:rsid w:val="000F28CF"/>
    <w:rsid w:val="000F2911"/>
    <w:rsid w:val="000F2CE5"/>
    <w:rsid w:val="000F32B8"/>
    <w:rsid w:val="000F353A"/>
    <w:rsid w:val="000F3C36"/>
    <w:rsid w:val="000F40C4"/>
    <w:rsid w:val="000F424C"/>
    <w:rsid w:val="000F447F"/>
    <w:rsid w:val="000F4AC8"/>
    <w:rsid w:val="000F4DC3"/>
    <w:rsid w:val="000F4E34"/>
    <w:rsid w:val="000F4F66"/>
    <w:rsid w:val="000F6B5F"/>
    <w:rsid w:val="000F7B7F"/>
    <w:rsid w:val="00100E43"/>
    <w:rsid w:val="00101504"/>
    <w:rsid w:val="001025B1"/>
    <w:rsid w:val="00102736"/>
    <w:rsid w:val="001028F8"/>
    <w:rsid w:val="001029E3"/>
    <w:rsid w:val="00103291"/>
    <w:rsid w:val="00103B88"/>
    <w:rsid w:val="00104222"/>
    <w:rsid w:val="0010449C"/>
    <w:rsid w:val="00104AFD"/>
    <w:rsid w:val="0010519D"/>
    <w:rsid w:val="001051BA"/>
    <w:rsid w:val="00105AC2"/>
    <w:rsid w:val="001069A3"/>
    <w:rsid w:val="00106A53"/>
    <w:rsid w:val="00106BDF"/>
    <w:rsid w:val="00106F10"/>
    <w:rsid w:val="00107171"/>
    <w:rsid w:val="0010762B"/>
    <w:rsid w:val="00107DA2"/>
    <w:rsid w:val="0011051E"/>
    <w:rsid w:val="00112DDC"/>
    <w:rsid w:val="001136F5"/>
    <w:rsid w:val="00113808"/>
    <w:rsid w:val="00114A6D"/>
    <w:rsid w:val="00114AAB"/>
    <w:rsid w:val="001151FF"/>
    <w:rsid w:val="00115AEC"/>
    <w:rsid w:val="00115E20"/>
    <w:rsid w:val="00115FB0"/>
    <w:rsid w:val="001166B3"/>
    <w:rsid w:val="00116CED"/>
    <w:rsid w:val="001171FF"/>
    <w:rsid w:val="00120261"/>
    <w:rsid w:val="00120DE4"/>
    <w:rsid w:val="00120EC8"/>
    <w:rsid w:val="0012130A"/>
    <w:rsid w:val="00121920"/>
    <w:rsid w:val="00121944"/>
    <w:rsid w:val="00122213"/>
    <w:rsid w:val="0012363D"/>
    <w:rsid w:val="00124376"/>
    <w:rsid w:val="00124CCD"/>
    <w:rsid w:val="001257EA"/>
    <w:rsid w:val="001267E6"/>
    <w:rsid w:val="00126981"/>
    <w:rsid w:val="00126A0D"/>
    <w:rsid w:val="00127002"/>
    <w:rsid w:val="001271A6"/>
    <w:rsid w:val="00127368"/>
    <w:rsid w:val="00127D27"/>
    <w:rsid w:val="001312E0"/>
    <w:rsid w:val="0013137B"/>
    <w:rsid w:val="00131E2C"/>
    <w:rsid w:val="001320CF"/>
    <w:rsid w:val="00132411"/>
    <w:rsid w:val="00132493"/>
    <w:rsid w:val="00132707"/>
    <w:rsid w:val="0013298D"/>
    <w:rsid w:val="00132C2A"/>
    <w:rsid w:val="00132D29"/>
    <w:rsid w:val="00132DF0"/>
    <w:rsid w:val="0013337C"/>
    <w:rsid w:val="00133679"/>
    <w:rsid w:val="00133956"/>
    <w:rsid w:val="00133A36"/>
    <w:rsid w:val="00133AC3"/>
    <w:rsid w:val="00134239"/>
    <w:rsid w:val="00135004"/>
    <w:rsid w:val="00135269"/>
    <w:rsid w:val="00135935"/>
    <w:rsid w:val="00135EDB"/>
    <w:rsid w:val="00135F2A"/>
    <w:rsid w:val="001360A4"/>
    <w:rsid w:val="0013645E"/>
    <w:rsid w:val="0013694D"/>
    <w:rsid w:val="00136B93"/>
    <w:rsid w:val="00136FEF"/>
    <w:rsid w:val="00137026"/>
    <w:rsid w:val="00137058"/>
    <w:rsid w:val="00137234"/>
    <w:rsid w:val="001372BD"/>
    <w:rsid w:val="00137B2F"/>
    <w:rsid w:val="00137C0E"/>
    <w:rsid w:val="001401EE"/>
    <w:rsid w:val="0014029A"/>
    <w:rsid w:val="00140387"/>
    <w:rsid w:val="00140403"/>
    <w:rsid w:val="0014069B"/>
    <w:rsid w:val="00140ABD"/>
    <w:rsid w:val="00140B61"/>
    <w:rsid w:val="00141035"/>
    <w:rsid w:val="00141354"/>
    <w:rsid w:val="001413A1"/>
    <w:rsid w:val="00141457"/>
    <w:rsid w:val="001418F5"/>
    <w:rsid w:val="001419F7"/>
    <w:rsid w:val="00141A65"/>
    <w:rsid w:val="00142359"/>
    <w:rsid w:val="00142B0F"/>
    <w:rsid w:val="00142CCA"/>
    <w:rsid w:val="00142E21"/>
    <w:rsid w:val="0014345A"/>
    <w:rsid w:val="00143503"/>
    <w:rsid w:val="00143546"/>
    <w:rsid w:val="001437F8"/>
    <w:rsid w:val="001439F7"/>
    <w:rsid w:val="00144632"/>
    <w:rsid w:val="00144DA9"/>
    <w:rsid w:val="001451D2"/>
    <w:rsid w:val="001452E6"/>
    <w:rsid w:val="001453B2"/>
    <w:rsid w:val="0014562E"/>
    <w:rsid w:val="00145813"/>
    <w:rsid w:val="00145AC7"/>
    <w:rsid w:val="0014629B"/>
    <w:rsid w:val="001462C6"/>
    <w:rsid w:val="001466E8"/>
    <w:rsid w:val="001469AD"/>
    <w:rsid w:val="001470DF"/>
    <w:rsid w:val="001474E0"/>
    <w:rsid w:val="00147861"/>
    <w:rsid w:val="00147B62"/>
    <w:rsid w:val="00150693"/>
    <w:rsid w:val="00150924"/>
    <w:rsid w:val="0015124D"/>
    <w:rsid w:val="001516D6"/>
    <w:rsid w:val="0015179E"/>
    <w:rsid w:val="00151FED"/>
    <w:rsid w:val="001521E8"/>
    <w:rsid w:val="0015243A"/>
    <w:rsid w:val="00152724"/>
    <w:rsid w:val="00152A5A"/>
    <w:rsid w:val="00152A7F"/>
    <w:rsid w:val="00152C74"/>
    <w:rsid w:val="00152C97"/>
    <w:rsid w:val="001531C0"/>
    <w:rsid w:val="001535F1"/>
    <w:rsid w:val="001536F6"/>
    <w:rsid w:val="001539FF"/>
    <w:rsid w:val="00153E24"/>
    <w:rsid w:val="00153F7A"/>
    <w:rsid w:val="001540BA"/>
    <w:rsid w:val="00154BF5"/>
    <w:rsid w:val="001555E3"/>
    <w:rsid w:val="001558B8"/>
    <w:rsid w:val="00155B57"/>
    <w:rsid w:val="00155DD3"/>
    <w:rsid w:val="00155F0B"/>
    <w:rsid w:val="00155F2B"/>
    <w:rsid w:val="00156037"/>
    <w:rsid w:val="001568B8"/>
    <w:rsid w:val="00156A60"/>
    <w:rsid w:val="0015764B"/>
    <w:rsid w:val="001576A2"/>
    <w:rsid w:val="001578A4"/>
    <w:rsid w:val="00157C13"/>
    <w:rsid w:val="00157C7C"/>
    <w:rsid w:val="00157D1E"/>
    <w:rsid w:val="00157E8B"/>
    <w:rsid w:val="0016100F"/>
    <w:rsid w:val="001615D8"/>
    <w:rsid w:val="001617D0"/>
    <w:rsid w:val="00161ACC"/>
    <w:rsid w:val="00161DCB"/>
    <w:rsid w:val="00162233"/>
    <w:rsid w:val="001628AD"/>
    <w:rsid w:val="00162F72"/>
    <w:rsid w:val="001635A2"/>
    <w:rsid w:val="001639BB"/>
    <w:rsid w:val="00163ACD"/>
    <w:rsid w:val="00164202"/>
    <w:rsid w:val="001644C2"/>
    <w:rsid w:val="0016454F"/>
    <w:rsid w:val="001645ED"/>
    <w:rsid w:val="00164AB2"/>
    <w:rsid w:val="00164D3B"/>
    <w:rsid w:val="001654D0"/>
    <w:rsid w:val="0016559F"/>
    <w:rsid w:val="00165E98"/>
    <w:rsid w:val="00166452"/>
    <w:rsid w:val="00166505"/>
    <w:rsid w:val="001673B2"/>
    <w:rsid w:val="00167417"/>
    <w:rsid w:val="00167EB8"/>
    <w:rsid w:val="00167F20"/>
    <w:rsid w:val="00167F56"/>
    <w:rsid w:val="0017017B"/>
    <w:rsid w:val="001704F0"/>
    <w:rsid w:val="00170C4E"/>
    <w:rsid w:val="00170DBE"/>
    <w:rsid w:val="001710D3"/>
    <w:rsid w:val="0017118A"/>
    <w:rsid w:val="00171523"/>
    <w:rsid w:val="001717AD"/>
    <w:rsid w:val="001717D8"/>
    <w:rsid w:val="0017195A"/>
    <w:rsid w:val="00171AD9"/>
    <w:rsid w:val="00172481"/>
    <w:rsid w:val="00172A5F"/>
    <w:rsid w:val="0017332F"/>
    <w:rsid w:val="00173B66"/>
    <w:rsid w:val="00173C56"/>
    <w:rsid w:val="00173C87"/>
    <w:rsid w:val="00173FF2"/>
    <w:rsid w:val="001742E4"/>
    <w:rsid w:val="00174B32"/>
    <w:rsid w:val="00174F3A"/>
    <w:rsid w:val="001751E1"/>
    <w:rsid w:val="00175477"/>
    <w:rsid w:val="001759B4"/>
    <w:rsid w:val="00175E3C"/>
    <w:rsid w:val="0017615D"/>
    <w:rsid w:val="0017645F"/>
    <w:rsid w:val="00176D6C"/>
    <w:rsid w:val="0017772E"/>
    <w:rsid w:val="00181533"/>
    <w:rsid w:val="00181997"/>
    <w:rsid w:val="00181CCE"/>
    <w:rsid w:val="00182084"/>
    <w:rsid w:val="00182884"/>
    <w:rsid w:val="00182DCB"/>
    <w:rsid w:val="00183CE1"/>
    <w:rsid w:val="00183DA7"/>
    <w:rsid w:val="001846E8"/>
    <w:rsid w:val="00184888"/>
    <w:rsid w:val="00184AAE"/>
    <w:rsid w:val="00185185"/>
    <w:rsid w:val="001853F3"/>
    <w:rsid w:val="0018565D"/>
    <w:rsid w:val="00185963"/>
    <w:rsid w:val="001859F7"/>
    <w:rsid w:val="00185EBD"/>
    <w:rsid w:val="00186088"/>
    <w:rsid w:val="00186DE2"/>
    <w:rsid w:val="0018762B"/>
    <w:rsid w:val="00187ACD"/>
    <w:rsid w:val="00190057"/>
    <w:rsid w:val="0019044E"/>
    <w:rsid w:val="00190F9D"/>
    <w:rsid w:val="001912C6"/>
    <w:rsid w:val="00191E2B"/>
    <w:rsid w:val="00192613"/>
    <w:rsid w:val="001926EB"/>
    <w:rsid w:val="00192B7F"/>
    <w:rsid w:val="00192B87"/>
    <w:rsid w:val="00192C0C"/>
    <w:rsid w:val="0019310B"/>
    <w:rsid w:val="001936F2"/>
    <w:rsid w:val="00193AE0"/>
    <w:rsid w:val="00193D66"/>
    <w:rsid w:val="00194246"/>
    <w:rsid w:val="00194426"/>
    <w:rsid w:val="001944D0"/>
    <w:rsid w:val="00195178"/>
    <w:rsid w:val="00195D43"/>
    <w:rsid w:val="00195EF1"/>
    <w:rsid w:val="00196211"/>
    <w:rsid w:val="00196687"/>
    <w:rsid w:val="001968D6"/>
    <w:rsid w:val="00196C46"/>
    <w:rsid w:val="00196EAA"/>
    <w:rsid w:val="00197838"/>
    <w:rsid w:val="00197868"/>
    <w:rsid w:val="00197E36"/>
    <w:rsid w:val="001A00B8"/>
    <w:rsid w:val="001A0B67"/>
    <w:rsid w:val="001A0D11"/>
    <w:rsid w:val="001A12B2"/>
    <w:rsid w:val="001A141E"/>
    <w:rsid w:val="001A16CA"/>
    <w:rsid w:val="001A1A0B"/>
    <w:rsid w:val="001A1A25"/>
    <w:rsid w:val="001A1B35"/>
    <w:rsid w:val="001A1B5E"/>
    <w:rsid w:val="001A2162"/>
    <w:rsid w:val="001A21CB"/>
    <w:rsid w:val="001A24EC"/>
    <w:rsid w:val="001A2B39"/>
    <w:rsid w:val="001A3315"/>
    <w:rsid w:val="001A3C8E"/>
    <w:rsid w:val="001A3CA1"/>
    <w:rsid w:val="001A4508"/>
    <w:rsid w:val="001A4593"/>
    <w:rsid w:val="001A48AA"/>
    <w:rsid w:val="001A4983"/>
    <w:rsid w:val="001A5035"/>
    <w:rsid w:val="001A57E2"/>
    <w:rsid w:val="001A59CF"/>
    <w:rsid w:val="001A59EE"/>
    <w:rsid w:val="001A5C8A"/>
    <w:rsid w:val="001A6111"/>
    <w:rsid w:val="001A618A"/>
    <w:rsid w:val="001A6572"/>
    <w:rsid w:val="001A68C3"/>
    <w:rsid w:val="001A6FEB"/>
    <w:rsid w:val="001A7C00"/>
    <w:rsid w:val="001A7F88"/>
    <w:rsid w:val="001B02BE"/>
    <w:rsid w:val="001B1B37"/>
    <w:rsid w:val="001B1BDB"/>
    <w:rsid w:val="001B1C7D"/>
    <w:rsid w:val="001B229A"/>
    <w:rsid w:val="001B22A0"/>
    <w:rsid w:val="001B2AB1"/>
    <w:rsid w:val="001B313E"/>
    <w:rsid w:val="001B3503"/>
    <w:rsid w:val="001B37E2"/>
    <w:rsid w:val="001B39F4"/>
    <w:rsid w:val="001B4322"/>
    <w:rsid w:val="001B4470"/>
    <w:rsid w:val="001B4FBE"/>
    <w:rsid w:val="001B5BDD"/>
    <w:rsid w:val="001B6045"/>
    <w:rsid w:val="001B62F7"/>
    <w:rsid w:val="001B6877"/>
    <w:rsid w:val="001B6E4B"/>
    <w:rsid w:val="001B7055"/>
    <w:rsid w:val="001B71AF"/>
    <w:rsid w:val="001C0115"/>
    <w:rsid w:val="001C01CD"/>
    <w:rsid w:val="001C147B"/>
    <w:rsid w:val="001C18A7"/>
    <w:rsid w:val="001C1D7F"/>
    <w:rsid w:val="001C205C"/>
    <w:rsid w:val="001C2157"/>
    <w:rsid w:val="001C271E"/>
    <w:rsid w:val="001C292D"/>
    <w:rsid w:val="001C2F2D"/>
    <w:rsid w:val="001C391A"/>
    <w:rsid w:val="001C4BF4"/>
    <w:rsid w:val="001C50A0"/>
    <w:rsid w:val="001C5300"/>
    <w:rsid w:val="001C5600"/>
    <w:rsid w:val="001C5609"/>
    <w:rsid w:val="001C5858"/>
    <w:rsid w:val="001C59A5"/>
    <w:rsid w:val="001C6285"/>
    <w:rsid w:val="001C6898"/>
    <w:rsid w:val="001C6A9B"/>
    <w:rsid w:val="001C6F77"/>
    <w:rsid w:val="001C722B"/>
    <w:rsid w:val="001C7B7D"/>
    <w:rsid w:val="001C7F63"/>
    <w:rsid w:val="001D02CF"/>
    <w:rsid w:val="001D1204"/>
    <w:rsid w:val="001D14F7"/>
    <w:rsid w:val="001D157D"/>
    <w:rsid w:val="001D1DE5"/>
    <w:rsid w:val="001D2444"/>
    <w:rsid w:val="001D29B6"/>
    <w:rsid w:val="001D31F5"/>
    <w:rsid w:val="001D386F"/>
    <w:rsid w:val="001D4159"/>
    <w:rsid w:val="001D4188"/>
    <w:rsid w:val="001D43A0"/>
    <w:rsid w:val="001D4421"/>
    <w:rsid w:val="001D46BE"/>
    <w:rsid w:val="001D4B87"/>
    <w:rsid w:val="001D54A4"/>
    <w:rsid w:val="001D5C3F"/>
    <w:rsid w:val="001D5EE4"/>
    <w:rsid w:val="001D60E7"/>
    <w:rsid w:val="001D6225"/>
    <w:rsid w:val="001D626E"/>
    <w:rsid w:val="001D633A"/>
    <w:rsid w:val="001D63E5"/>
    <w:rsid w:val="001D6563"/>
    <w:rsid w:val="001D6B85"/>
    <w:rsid w:val="001D702D"/>
    <w:rsid w:val="001D71DC"/>
    <w:rsid w:val="001D7353"/>
    <w:rsid w:val="001D7F09"/>
    <w:rsid w:val="001E01C9"/>
    <w:rsid w:val="001E0BF4"/>
    <w:rsid w:val="001E12E4"/>
    <w:rsid w:val="001E13E5"/>
    <w:rsid w:val="001E1DD5"/>
    <w:rsid w:val="001E295C"/>
    <w:rsid w:val="001E2A52"/>
    <w:rsid w:val="001E3121"/>
    <w:rsid w:val="001E367A"/>
    <w:rsid w:val="001E36E8"/>
    <w:rsid w:val="001E3831"/>
    <w:rsid w:val="001E3871"/>
    <w:rsid w:val="001E3E73"/>
    <w:rsid w:val="001E4A60"/>
    <w:rsid w:val="001E4EFF"/>
    <w:rsid w:val="001E506E"/>
    <w:rsid w:val="001E5501"/>
    <w:rsid w:val="001E5818"/>
    <w:rsid w:val="001E5C05"/>
    <w:rsid w:val="001E60E8"/>
    <w:rsid w:val="001E61CE"/>
    <w:rsid w:val="001E6414"/>
    <w:rsid w:val="001E67EB"/>
    <w:rsid w:val="001E6916"/>
    <w:rsid w:val="001E6E04"/>
    <w:rsid w:val="001F0308"/>
    <w:rsid w:val="001F0ACA"/>
    <w:rsid w:val="001F0DDF"/>
    <w:rsid w:val="001F1528"/>
    <w:rsid w:val="001F1F5A"/>
    <w:rsid w:val="001F2331"/>
    <w:rsid w:val="001F25B1"/>
    <w:rsid w:val="001F2B0B"/>
    <w:rsid w:val="001F2B95"/>
    <w:rsid w:val="001F3618"/>
    <w:rsid w:val="001F3911"/>
    <w:rsid w:val="001F3C56"/>
    <w:rsid w:val="001F4186"/>
    <w:rsid w:val="001F4C6B"/>
    <w:rsid w:val="001F4D1F"/>
    <w:rsid w:val="001F66D8"/>
    <w:rsid w:val="001F66E9"/>
    <w:rsid w:val="001F70B0"/>
    <w:rsid w:val="001F7B93"/>
    <w:rsid w:val="001F7E4B"/>
    <w:rsid w:val="001F7E9C"/>
    <w:rsid w:val="002000CD"/>
    <w:rsid w:val="00200502"/>
    <w:rsid w:val="00200679"/>
    <w:rsid w:val="00200708"/>
    <w:rsid w:val="00200903"/>
    <w:rsid w:val="00200ACE"/>
    <w:rsid w:val="00201135"/>
    <w:rsid w:val="0020114C"/>
    <w:rsid w:val="002013A9"/>
    <w:rsid w:val="00201684"/>
    <w:rsid w:val="00201EE2"/>
    <w:rsid w:val="00202144"/>
    <w:rsid w:val="00202C10"/>
    <w:rsid w:val="00202E99"/>
    <w:rsid w:val="00203154"/>
    <w:rsid w:val="00203965"/>
    <w:rsid w:val="002039D0"/>
    <w:rsid w:val="00203CC0"/>
    <w:rsid w:val="00203CD4"/>
    <w:rsid w:val="00203E32"/>
    <w:rsid w:val="00204BE9"/>
    <w:rsid w:val="00204C57"/>
    <w:rsid w:val="00204CE0"/>
    <w:rsid w:val="00204F1C"/>
    <w:rsid w:val="002058EA"/>
    <w:rsid w:val="00206476"/>
    <w:rsid w:val="00206626"/>
    <w:rsid w:val="00206C86"/>
    <w:rsid w:val="002070EF"/>
    <w:rsid w:val="002072BC"/>
    <w:rsid w:val="00207CAC"/>
    <w:rsid w:val="00210233"/>
    <w:rsid w:val="00210276"/>
    <w:rsid w:val="002105B1"/>
    <w:rsid w:val="00210701"/>
    <w:rsid w:val="0021080C"/>
    <w:rsid w:val="00210C13"/>
    <w:rsid w:val="00210CF5"/>
    <w:rsid w:val="00211130"/>
    <w:rsid w:val="0021150E"/>
    <w:rsid w:val="00211909"/>
    <w:rsid w:val="00212EDE"/>
    <w:rsid w:val="002142FC"/>
    <w:rsid w:val="002149CD"/>
    <w:rsid w:val="0021524C"/>
    <w:rsid w:val="0021543F"/>
    <w:rsid w:val="00215BF0"/>
    <w:rsid w:val="002161BF"/>
    <w:rsid w:val="00216755"/>
    <w:rsid w:val="002167E9"/>
    <w:rsid w:val="002170F2"/>
    <w:rsid w:val="002178B9"/>
    <w:rsid w:val="00217F02"/>
    <w:rsid w:val="00217F53"/>
    <w:rsid w:val="002202FB"/>
    <w:rsid w:val="0022035A"/>
    <w:rsid w:val="002203A0"/>
    <w:rsid w:val="002208D7"/>
    <w:rsid w:val="002208ED"/>
    <w:rsid w:val="00220B0D"/>
    <w:rsid w:val="00221012"/>
    <w:rsid w:val="0022175E"/>
    <w:rsid w:val="00221B25"/>
    <w:rsid w:val="00221DF9"/>
    <w:rsid w:val="00221E1D"/>
    <w:rsid w:val="00222219"/>
    <w:rsid w:val="002226E9"/>
    <w:rsid w:val="0022308D"/>
    <w:rsid w:val="00223164"/>
    <w:rsid w:val="002231C2"/>
    <w:rsid w:val="00223BB2"/>
    <w:rsid w:val="00223E7E"/>
    <w:rsid w:val="0022416E"/>
    <w:rsid w:val="002246DD"/>
    <w:rsid w:val="002248F4"/>
    <w:rsid w:val="00224B91"/>
    <w:rsid w:val="00224F82"/>
    <w:rsid w:val="002251C5"/>
    <w:rsid w:val="00225776"/>
    <w:rsid w:val="00225C64"/>
    <w:rsid w:val="00225EC7"/>
    <w:rsid w:val="0022616A"/>
    <w:rsid w:val="0022648D"/>
    <w:rsid w:val="00226A69"/>
    <w:rsid w:val="00226EEE"/>
    <w:rsid w:val="00227AF4"/>
    <w:rsid w:val="00227FDF"/>
    <w:rsid w:val="00227FE6"/>
    <w:rsid w:val="0023083F"/>
    <w:rsid w:val="00230936"/>
    <w:rsid w:val="0023139E"/>
    <w:rsid w:val="002314F6"/>
    <w:rsid w:val="0023191B"/>
    <w:rsid w:val="00231C98"/>
    <w:rsid w:val="002327C2"/>
    <w:rsid w:val="00232891"/>
    <w:rsid w:val="0023338C"/>
    <w:rsid w:val="00233AB4"/>
    <w:rsid w:val="00233CE3"/>
    <w:rsid w:val="0023438B"/>
    <w:rsid w:val="00234538"/>
    <w:rsid w:val="0023494D"/>
    <w:rsid w:val="00234B76"/>
    <w:rsid w:val="00234F6B"/>
    <w:rsid w:val="00235423"/>
    <w:rsid w:val="002356C4"/>
    <w:rsid w:val="002360AA"/>
    <w:rsid w:val="002361B0"/>
    <w:rsid w:val="0023637B"/>
    <w:rsid w:val="0023646B"/>
    <w:rsid w:val="002365EB"/>
    <w:rsid w:val="00236B8D"/>
    <w:rsid w:val="00237460"/>
    <w:rsid w:val="0023774F"/>
    <w:rsid w:val="00237871"/>
    <w:rsid w:val="00237993"/>
    <w:rsid w:val="00237CA6"/>
    <w:rsid w:val="00240446"/>
    <w:rsid w:val="00240AF6"/>
    <w:rsid w:val="00240F86"/>
    <w:rsid w:val="00241085"/>
    <w:rsid w:val="00241122"/>
    <w:rsid w:val="00241639"/>
    <w:rsid w:val="002418EC"/>
    <w:rsid w:val="00242775"/>
    <w:rsid w:val="00242802"/>
    <w:rsid w:val="00242E2E"/>
    <w:rsid w:val="00244057"/>
    <w:rsid w:val="002445D7"/>
    <w:rsid w:val="00244860"/>
    <w:rsid w:val="00244CD6"/>
    <w:rsid w:val="00244CE8"/>
    <w:rsid w:val="00245D70"/>
    <w:rsid w:val="00246104"/>
    <w:rsid w:val="00246359"/>
    <w:rsid w:val="0024645F"/>
    <w:rsid w:val="00246554"/>
    <w:rsid w:val="00246824"/>
    <w:rsid w:val="00246D4F"/>
    <w:rsid w:val="00247939"/>
    <w:rsid w:val="00247E51"/>
    <w:rsid w:val="00250A9B"/>
    <w:rsid w:val="00250BF3"/>
    <w:rsid w:val="00250E19"/>
    <w:rsid w:val="00250FB6"/>
    <w:rsid w:val="00251614"/>
    <w:rsid w:val="00251760"/>
    <w:rsid w:val="002517E7"/>
    <w:rsid w:val="00251A2E"/>
    <w:rsid w:val="00251AA0"/>
    <w:rsid w:val="0025201A"/>
    <w:rsid w:val="002523F8"/>
    <w:rsid w:val="0025250E"/>
    <w:rsid w:val="002525A6"/>
    <w:rsid w:val="00252629"/>
    <w:rsid w:val="00252E72"/>
    <w:rsid w:val="002530F0"/>
    <w:rsid w:val="00253156"/>
    <w:rsid w:val="00253285"/>
    <w:rsid w:val="00253C3C"/>
    <w:rsid w:val="00253D32"/>
    <w:rsid w:val="00253D79"/>
    <w:rsid w:val="00254335"/>
    <w:rsid w:val="002543D6"/>
    <w:rsid w:val="0025465A"/>
    <w:rsid w:val="00254875"/>
    <w:rsid w:val="00254921"/>
    <w:rsid w:val="002549C0"/>
    <w:rsid w:val="00254A1E"/>
    <w:rsid w:val="00254AAC"/>
    <w:rsid w:val="002550AA"/>
    <w:rsid w:val="002550D3"/>
    <w:rsid w:val="002561E3"/>
    <w:rsid w:val="002561E5"/>
    <w:rsid w:val="002567E2"/>
    <w:rsid w:val="00256C20"/>
    <w:rsid w:val="00256CD3"/>
    <w:rsid w:val="00256D17"/>
    <w:rsid w:val="00256F2A"/>
    <w:rsid w:val="0025706E"/>
    <w:rsid w:val="00257466"/>
    <w:rsid w:val="00257CBB"/>
    <w:rsid w:val="00257F9C"/>
    <w:rsid w:val="002600E2"/>
    <w:rsid w:val="002604CC"/>
    <w:rsid w:val="00261B74"/>
    <w:rsid w:val="00262A31"/>
    <w:rsid w:val="0026328F"/>
    <w:rsid w:val="00263970"/>
    <w:rsid w:val="00263AEF"/>
    <w:rsid w:val="00263BE0"/>
    <w:rsid w:val="00263D55"/>
    <w:rsid w:val="00264490"/>
    <w:rsid w:val="00264D30"/>
    <w:rsid w:val="00265AC7"/>
    <w:rsid w:val="00265C44"/>
    <w:rsid w:val="00265C8D"/>
    <w:rsid w:val="00265D8D"/>
    <w:rsid w:val="002667AC"/>
    <w:rsid w:val="00266AF2"/>
    <w:rsid w:val="00266DAF"/>
    <w:rsid w:val="00266DEC"/>
    <w:rsid w:val="0026729B"/>
    <w:rsid w:val="00267602"/>
    <w:rsid w:val="00267795"/>
    <w:rsid w:val="002677C7"/>
    <w:rsid w:val="00267841"/>
    <w:rsid w:val="0026789F"/>
    <w:rsid w:val="002679F1"/>
    <w:rsid w:val="00267B17"/>
    <w:rsid w:val="00270839"/>
    <w:rsid w:val="00270FF8"/>
    <w:rsid w:val="0027124E"/>
    <w:rsid w:val="00271356"/>
    <w:rsid w:val="00271491"/>
    <w:rsid w:val="002714BE"/>
    <w:rsid w:val="002716A9"/>
    <w:rsid w:val="0027412D"/>
    <w:rsid w:val="002746EF"/>
    <w:rsid w:val="002749BD"/>
    <w:rsid w:val="00274AF1"/>
    <w:rsid w:val="00274D8F"/>
    <w:rsid w:val="00275334"/>
    <w:rsid w:val="00275F76"/>
    <w:rsid w:val="002761E6"/>
    <w:rsid w:val="002762F0"/>
    <w:rsid w:val="002762F6"/>
    <w:rsid w:val="002768CF"/>
    <w:rsid w:val="00276BC8"/>
    <w:rsid w:val="002771A2"/>
    <w:rsid w:val="002776C3"/>
    <w:rsid w:val="00277B35"/>
    <w:rsid w:val="00277BB9"/>
    <w:rsid w:val="00277FBD"/>
    <w:rsid w:val="00280A78"/>
    <w:rsid w:val="002810EC"/>
    <w:rsid w:val="00281272"/>
    <w:rsid w:val="00281C1B"/>
    <w:rsid w:val="0028208A"/>
    <w:rsid w:val="002821C0"/>
    <w:rsid w:val="002821E9"/>
    <w:rsid w:val="002824DE"/>
    <w:rsid w:val="00282913"/>
    <w:rsid w:val="00282A20"/>
    <w:rsid w:val="0028321F"/>
    <w:rsid w:val="002832ED"/>
    <w:rsid w:val="002833E9"/>
    <w:rsid w:val="00283803"/>
    <w:rsid w:val="002838D8"/>
    <w:rsid w:val="00283C9E"/>
    <w:rsid w:val="00283ED9"/>
    <w:rsid w:val="00283F50"/>
    <w:rsid w:val="00284355"/>
    <w:rsid w:val="00284507"/>
    <w:rsid w:val="002845D8"/>
    <w:rsid w:val="00284AE8"/>
    <w:rsid w:val="00284C40"/>
    <w:rsid w:val="00284CBD"/>
    <w:rsid w:val="0028518A"/>
    <w:rsid w:val="00285E5F"/>
    <w:rsid w:val="00285FB3"/>
    <w:rsid w:val="002862E6"/>
    <w:rsid w:val="00286E8D"/>
    <w:rsid w:val="00287672"/>
    <w:rsid w:val="00290680"/>
    <w:rsid w:val="00290792"/>
    <w:rsid w:val="002909C5"/>
    <w:rsid w:val="00290DEC"/>
    <w:rsid w:val="00291480"/>
    <w:rsid w:val="00291FC3"/>
    <w:rsid w:val="00292794"/>
    <w:rsid w:val="002929A7"/>
    <w:rsid w:val="00292A02"/>
    <w:rsid w:val="00292A9C"/>
    <w:rsid w:val="00292AFE"/>
    <w:rsid w:val="00293535"/>
    <w:rsid w:val="0029486E"/>
    <w:rsid w:val="00294B17"/>
    <w:rsid w:val="002954AA"/>
    <w:rsid w:val="0029558A"/>
    <w:rsid w:val="00296368"/>
    <w:rsid w:val="002963A0"/>
    <w:rsid w:val="002967C1"/>
    <w:rsid w:val="002967DE"/>
    <w:rsid w:val="0029786F"/>
    <w:rsid w:val="002978FB"/>
    <w:rsid w:val="00297BA9"/>
    <w:rsid w:val="00297D32"/>
    <w:rsid w:val="002A0421"/>
    <w:rsid w:val="002A07C7"/>
    <w:rsid w:val="002A08C3"/>
    <w:rsid w:val="002A0B3F"/>
    <w:rsid w:val="002A0EEA"/>
    <w:rsid w:val="002A1143"/>
    <w:rsid w:val="002A17FB"/>
    <w:rsid w:val="002A21FB"/>
    <w:rsid w:val="002A23DD"/>
    <w:rsid w:val="002A2E03"/>
    <w:rsid w:val="002A2E7D"/>
    <w:rsid w:val="002A2F85"/>
    <w:rsid w:val="002A33E4"/>
    <w:rsid w:val="002A3424"/>
    <w:rsid w:val="002A3597"/>
    <w:rsid w:val="002A3865"/>
    <w:rsid w:val="002A3930"/>
    <w:rsid w:val="002A4ACD"/>
    <w:rsid w:val="002A4CE2"/>
    <w:rsid w:val="002A54CA"/>
    <w:rsid w:val="002A5536"/>
    <w:rsid w:val="002A584F"/>
    <w:rsid w:val="002A5FE7"/>
    <w:rsid w:val="002A6006"/>
    <w:rsid w:val="002A6161"/>
    <w:rsid w:val="002A630F"/>
    <w:rsid w:val="002A6BE6"/>
    <w:rsid w:val="002A6DC4"/>
    <w:rsid w:val="002A6F78"/>
    <w:rsid w:val="002A746B"/>
    <w:rsid w:val="002A7718"/>
    <w:rsid w:val="002A7BA3"/>
    <w:rsid w:val="002B0AFF"/>
    <w:rsid w:val="002B1119"/>
    <w:rsid w:val="002B115C"/>
    <w:rsid w:val="002B11DB"/>
    <w:rsid w:val="002B1209"/>
    <w:rsid w:val="002B12A0"/>
    <w:rsid w:val="002B13EF"/>
    <w:rsid w:val="002B2A67"/>
    <w:rsid w:val="002B2DAF"/>
    <w:rsid w:val="002B2FC4"/>
    <w:rsid w:val="002B3094"/>
    <w:rsid w:val="002B3A00"/>
    <w:rsid w:val="002B3E57"/>
    <w:rsid w:val="002B3F79"/>
    <w:rsid w:val="002B4A4F"/>
    <w:rsid w:val="002B4A50"/>
    <w:rsid w:val="002B4C77"/>
    <w:rsid w:val="002B5477"/>
    <w:rsid w:val="002B6ECC"/>
    <w:rsid w:val="002B7460"/>
    <w:rsid w:val="002B7794"/>
    <w:rsid w:val="002B77D7"/>
    <w:rsid w:val="002B7DB6"/>
    <w:rsid w:val="002C033D"/>
    <w:rsid w:val="002C0479"/>
    <w:rsid w:val="002C0D29"/>
    <w:rsid w:val="002C1018"/>
    <w:rsid w:val="002C11B4"/>
    <w:rsid w:val="002C1642"/>
    <w:rsid w:val="002C1B86"/>
    <w:rsid w:val="002C1CDF"/>
    <w:rsid w:val="002C1E54"/>
    <w:rsid w:val="002C1F10"/>
    <w:rsid w:val="002C2070"/>
    <w:rsid w:val="002C2668"/>
    <w:rsid w:val="002C2976"/>
    <w:rsid w:val="002C2C3D"/>
    <w:rsid w:val="002C38E0"/>
    <w:rsid w:val="002C41C4"/>
    <w:rsid w:val="002C49C4"/>
    <w:rsid w:val="002C5057"/>
    <w:rsid w:val="002C5684"/>
    <w:rsid w:val="002C5A34"/>
    <w:rsid w:val="002C5D39"/>
    <w:rsid w:val="002C5E6C"/>
    <w:rsid w:val="002C6066"/>
    <w:rsid w:val="002C65AB"/>
    <w:rsid w:val="002C66B5"/>
    <w:rsid w:val="002C69F8"/>
    <w:rsid w:val="002C70CC"/>
    <w:rsid w:val="002C73A2"/>
    <w:rsid w:val="002C7486"/>
    <w:rsid w:val="002C7515"/>
    <w:rsid w:val="002C771E"/>
    <w:rsid w:val="002C7872"/>
    <w:rsid w:val="002C7DA4"/>
    <w:rsid w:val="002D04FD"/>
    <w:rsid w:val="002D0571"/>
    <w:rsid w:val="002D064C"/>
    <w:rsid w:val="002D064E"/>
    <w:rsid w:val="002D0780"/>
    <w:rsid w:val="002D07F5"/>
    <w:rsid w:val="002D0810"/>
    <w:rsid w:val="002D0BDB"/>
    <w:rsid w:val="002D0E3E"/>
    <w:rsid w:val="002D12BF"/>
    <w:rsid w:val="002D17A3"/>
    <w:rsid w:val="002D2085"/>
    <w:rsid w:val="002D20EC"/>
    <w:rsid w:val="002D23C0"/>
    <w:rsid w:val="002D25FB"/>
    <w:rsid w:val="002D26D3"/>
    <w:rsid w:val="002D31C0"/>
    <w:rsid w:val="002D3658"/>
    <w:rsid w:val="002D3D52"/>
    <w:rsid w:val="002D4180"/>
    <w:rsid w:val="002D4884"/>
    <w:rsid w:val="002D49A7"/>
    <w:rsid w:val="002D570E"/>
    <w:rsid w:val="002D5DA0"/>
    <w:rsid w:val="002D6678"/>
    <w:rsid w:val="002D6958"/>
    <w:rsid w:val="002D6C22"/>
    <w:rsid w:val="002D6C9F"/>
    <w:rsid w:val="002D7254"/>
    <w:rsid w:val="002D770B"/>
    <w:rsid w:val="002D7FC5"/>
    <w:rsid w:val="002E0346"/>
    <w:rsid w:val="002E15C1"/>
    <w:rsid w:val="002E1716"/>
    <w:rsid w:val="002E1F51"/>
    <w:rsid w:val="002E2D5D"/>
    <w:rsid w:val="002E369B"/>
    <w:rsid w:val="002E36E9"/>
    <w:rsid w:val="002E371A"/>
    <w:rsid w:val="002E48C5"/>
    <w:rsid w:val="002E49EC"/>
    <w:rsid w:val="002E4A43"/>
    <w:rsid w:val="002E54ED"/>
    <w:rsid w:val="002E55CB"/>
    <w:rsid w:val="002E58BF"/>
    <w:rsid w:val="002E605E"/>
    <w:rsid w:val="002E6782"/>
    <w:rsid w:val="002E6F1A"/>
    <w:rsid w:val="002E716F"/>
    <w:rsid w:val="002E731F"/>
    <w:rsid w:val="002E7B7D"/>
    <w:rsid w:val="002F06C5"/>
    <w:rsid w:val="002F075B"/>
    <w:rsid w:val="002F0E6B"/>
    <w:rsid w:val="002F10AE"/>
    <w:rsid w:val="002F17E3"/>
    <w:rsid w:val="002F1961"/>
    <w:rsid w:val="002F1B82"/>
    <w:rsid w:val="002F1BC1"/>
    <w:rsid w:val="002F2530"/>
    <w:rsid w:val="002F274D"/>
    <w:rsid w:val="002F2B16"/>
    <w:rsid w:val="002F2C61"/>
    <w:rsid w:val="002F2F3C"/>
    <w:rsid w:val="002F3062"/>
    <w:rsid w:val="002F339E"/>
    <w:rsid w:val="002F35FB"/>
    <w:rsid w:val="002F36A9"/>
    <w:rsid w:val="002F3758"/>
    <w:rsid w:val="002F37D3"/>
    <w:rsid w:val="002F397E"/>
    <w:rsid w:val="002F408F"/>
    <w:rsid w:val="002F45E6"/>
    <w:rsid w:val="002F461F"/>
    <w:rsid w:val="002F474E"/>
    <w:rsid w:val="002F4C2D"/>
    <w:rsid w:val="002F4D23"/>
    <w:rsid w:val="002F5431"/>
    <w:rsid w:val="002F5799"/>
    <w:rsid w:val="002F5DD6"/>
    <w:rsid w:val="002F5F8F"/>
    <w:rsid w:val="002F62C7"/>
    <w:rsid w:val="002F6488"/>
    <w:rsid w:val="002F6BE8"/>
    <w:rsid w:val="002F6CAA"/>
    <w:rsid w:val="002F7764"/>
    <w:rsid w:val="002F788D"/>
    <w:rsid w:val="002F7F4C"/>
    <w:rsid w:val="00300371"/>
    <w:rsid w:val="00301248"/>
    <w:rsid w:val="00301E66"/>
    <w:rsid w:val="003020C4"/>
    <w:rsid w:val="003022CA"/>
    <w:rsid w:val="003025F9"/>
    <w:rsid w:val="00302BD7"/>
    <w:rsid w:val="00302DDD"/>
    <w:rsid w:val="00302F2E"/>
    <w:rsid w:val="003031D3"/>
    <w:rsid w:val="0030335A"/>
    <w:rsid w:val="003035B0"/>
    <w:rsid w:val="003035F8"/>
    <w:rsid w:val="003041A6"/>
    <w:rsid w:val="00304D12"/>
    <w:rsid w:val="00304D19"/>
    <w:rsid w:val="00305298"/>
    <w:rsid w:val="00305D47"/>
    <w:rsid w:val="00305F34"/>
    <w:rsid w:val="00305F5B"/>
    <w:rsid w:val="00306022"/>
    <w:rsid w:val="00306A73"/>
    <w:rsid w:val="00307000"/>
    <w:rsid w:val="0030724D"/>
    <w:rsid w:val="00307A29"/>
    <w:rsid w:val="0031058F"/>
    <w:rsid w:val="003107E8"/>
    <w:rsid w:val="00310832"/>
    <w:rsid w:val="0031086C"/>
    <w:rsid w:val="00310C18"/>
    <w:rsid w:val="00310C6A"/>
    <w:rsid w:val="00310C71"/>
    <w:rsid w:val="00310D1E"/>
    <w:rsid w:val="00311643"/>
    <w:rsid w:val="00311A35"/>
    <w:rsid w:val="00311AE5"/>
    <w:rsid w:val="0031204B"/>
    <w:rsid w:val="003125A5"/>
    <w:rsid w:val="00313686"/>
    <w:rsid w:val="00313B55"/>
    <w:rsid w:val="00313D2B"/>
    <w:rsid w:val="00313FC3"/>
    <w:rsid w:val="003158D5"/>
    <w:rsid w:val="00315F01"/>
    <w:rsid w:val="0031652A"/>
    <w:rsid w:val="003165F8"/>
    <w:rsid w:val="0031683C"/>
    <w:rsid w:val="00316880"/>
    <w:rsid w:val="00316C39"/>
    <w:rsid w:val="0031701E"/>
    <w:rsid w:val="0031752B"/>
    <w:rsid w:val="00317654"/>
    <w:rsid w:val="00317894"/>
    <w:rsid w:val="003205BA"/>
    <w:rsid w:val="00320B83"/>
    <w:rsid w:val="00320C9A"/>
    <w:rsid w:val="00320E18"/>
    <w:rsid w:val="00320EAB"/>
    <w:rsid w:val="00321039"/>
    <w:rsid w:val="003217B8"/>
    <w:rsid w:val="00322325"/>
    <w:rsid w:val="00322505"/>
    <w:rsid w:val="00322DDE"/>
    <w:rsid w:val="0032367D"/>
    <w:rsid w:val="00323CB8"/>
    <w:rsid w:val="00323FD6"/>
    <w:rsid w:val="003240AB"/>
    <w:rsid w:val="00324334"/>
    <w:rsid w:val="003244ED"/>
    <w:rsid w:val="00324727"/>
    <w:rsid w:val="0032481D"/>
    <w:rsid w:val="00324B00"/>
    <w:rsid w:val="0032631B"/>
    <w:rsid w:val="00326A34"/>
    <w:rsid w:val="00327C18"/>
    <w:rsid w:val="00327F68"/>
    <w:rsid w:val="003301B7"/>
    <w:rsid w:val="00330A82"/>
    <w:rsid w:val="00330AA8"/>
    <w:rsid w:val="00330B23"/>
    <w:rsid w:val="00331C28"/>
    <w:rsid w:val="00331E25"/>
    <w:rsid w:val="003322ED"/>
    <w:rsid w:val="0033275B"/>
    <w:rsid w:val="003329E9"/>
    <w:rsid w:val="00332DB8"/>
    <w:rsid w:val="00333663"/>
    <w:rsid w:val="003339BE"/>
    <w:rsid w:val="003340EB"/>
    <w:rsid w:val="00334B8E"/>
    <w:rsid w:val="00334BB1"/>
    <w:rsid w:val="003352D4"/>
    <w:rsid w:val="00335B32"/>
    <w:rsid w:val="00335CD5"/>
    <w:rsid w:val="00335D84"/>
    <w:rsid w:val="00335EBF"/>
    <w:rsid w:val="00336225"/>
    <w:rsid w:val="0033652D"/>
    <w:rsid w:val="00336F6D"/>
    <w:rsid w:val="003375D8"/>
    <w:rsid w:val="003376BE"/>
    <w:rsid w:val="0033791E"/>
    <w:rsid w:val="0034049C"/>
    <w:rsid w:val="0034089C"/>
    <w:rsid w:val="003412A0"/>
    <w:rsid w:val="00341D79"/>
    <w:rsid w:val="003426CC"/>
    <w:rsid w:val="00342B3D"/>
    <w:rsid w:val="00343442"/>
    <w:rsid w:val="0034357E"/>
    <w:rsid w:val="003435B5"/>
    <w:rsid w:val="00343658"/>
    <w:rsid w:val="00343B1C"/>
    <w:rsid w:val="0034406C"/>
    <w:rsid w:val="00344222"/>
    <w:rsid w:val="003442D3"/>
    <w:rsid w:val="003449D7"/>
    <w:rsid w:val="00344DE6"/>
    <w:rsid w:val="003453B6"/>
    <w:rsid w:val="00345A0B"/>
    <w:rsid w:val="00345E5A"/>
    <w:rsid w:val="003468F6"/>
    <w:rsid w:val="00346AE1"/>
    <w:rsid w:val="00346D3D"/>
    <w:rsid w:val="00346D9C"/>
    <w:rsid w:val="00346DCE"/>
    <w:rsid w:val="003475C2"/>
    <w:rsid w:val="00347A37"/>
    <w:rsid w:val="00347D0D"/>
    <w:rsid w:val="00347E8B"/>
    <w:rsid w:val="003503EE"/>
    <w:rsid w:val="003505E4"/>
    <w:rsid w:val="00350747"/>
    <w:rsid w:val="0035075A"/>
    <w:rsid w:val="00350ADC"/>
    <w:rsid w:val="00350E73"/>
    <w:rsid w:val="00350F6D"/>
    <w:rsid w:val="00351534"/>
    <w:rsid w:val="00351FA5"/>
    <w:rsid w:val="00352441"/>
    <w:rsid w:val="003524A5"/>
    <w:rsid w:val="0035251B"/>
    <w:rsid w:val="00352605"/>
    <w:rsid w:val="00352B6A"/>
    <w:rsid w:val="003537FB"/>
    <w:rsid w:val="00353B5B"/>
    <w:rsid w:val="003547D0"/>
    <w:rsid w:val="003548A8"/>
    <w:rsid w:val="003549E7"/>
    <w:rsid w:val="00354D6A"/>
    <w:rsid w:val="0035581B"/>
    <w:rsid w:val="00355B25"/>
    <w:rsid w:val="00355E15"/>
    <w:rsid w:val="00356108"/>
    <w:rsid w:val="003567B9"/>
    <w:rsid w:val="00356F49"/>
    <w:rsid w:val="00356FAC"/>
    <w:rsid w:val="003570E0"/>
    <w:rsid w:val="003572D1"/>
    <w:rsid w:val="00357566"/>
    <w:rsid w:val="003575C1"/>
    <w:rsid w:val="00357FC9"/>
    <w:rsid w:val="00360248"/>
    <w:rsid w:val="003609D9"/>
    <w:rsid w:val="00360D3E"/>
    <w:rsid w:val="00360D67"/>
    <w:rsid w:val="003618B4"/>
    <w:rsid w:val="00362437"/>
    <w:rsid w:val="00362ABC"/>
    <w:rsid w:val="00362AF5"/>
    <w:rsid w:val="00362E5F"/>
    <w:rsid w:val="00363605"/>
    <w:rsid w:val="003637BA"/>
    <w:rsid w:val="00363C4E"/>
    <w:rsid w:val="003641A4"/>
    <w:rsid w:val="00364284"/>
    <w:rsid w:val="0036471D"/>
    <w:rsid w:val="00364BFC"/>
    <w:rsid w:val="00364DFC"/>
    <w:rsid w:val="00364E2B"/>
    <w:rsid w:val="00364F49"/>
    <w:rsid w:val="00364FA3"/>
    <w:rsid w:val="0036556E"/>
    <w:rsid w:val="003663EB"/>
    <w:rsid w:val="003666CA"/>
    <w:rsid w:val="0036692C"/>
    <w:rsid w:val="00366DFB"/>
    <w:rsid w:val="00366E41"/>
    <w:rsid w:val="00366EB3"/>
    <w:rsid w:val="003672D5"/>
    <w:rsid w:val="0036752F"/>
    <w:rsid w:val="003675C3"/>
    <w:rsid w:val="003678B3"/>
    <w:rsid w:val="003679AB"/>
    <w:rsid w:val="00367EFB"/>
    <w:rsid w:val="00370605"/>
    <w:rsid w:val="00370677"/>
    <w:rsid w:val="00370809"/>
    <w:rsid w:val="00370A51"/>
    <w:rsid w:val="00370B4F"/>
    <w:rsid w:val="0037184B"/>
    <w:rsid w:val="00371A80"/>
    <w:rsid w:val="00371CE8"/>
    <w:rsid w:val="00371FB4"/>
    <w:rsid w:val="0037207E"/>
    <w:rsid w:val="0037223D"/>
    <w:rsid w:val="00372466"/>
    <w:rsid w:val="00372606"/>
    <w:rsid w:val="0037284F"/>
    <w:rsid w:val="00372A43"/>
    <w:rsid w:val="00372C95"/>
    <w:rsid w:val="00372CE0"/>
    <w:rsid w:val="00372CF5"/>
    <w:rsid w:val="003730CC"/>
    <w:rsid w:val="00373501"/>
    <w:rsid w:val="00373F12"/>
    <w:rsid w:val="00374387"/>
    <w:rsid w:val="003752B3"/>
    <w:rsid w:val="00375355"/>
    <w:rsid w:val="00375EB2"/>
    <w:rsid w:val="00375F02"/>
    <w:rsid w:val="00375F10"/>
    <w:rsid w:val="00375F57"/>
    <w:rsid w:val="0037626B"/>
    <w:rsid w:val="00376323"/>
    <w:rsid w:val="003766C0"/>
    <w:rsid w:val="003769A7"/>
    <w:rsid w:val="00376A61"/>
    <w:rsid w:val="003808AB"/>
    <w:rsid w:val="00380B75"/>
    <w:rsid w:val="00380C30"/>
    <w:rsid w:val="00380FAF"/>
    <w:rsid w:val="003810D4"/>
    <w:rsid w:val="00381817"/>
    <w:rsid w:val="00381DC5"/>
    <w:rsid w:val="0038217A"/>
    <w:rsid w:val="0038231F"/>
    <w:rsid w:val="00382BF0"/>
    <w:rsid w:val="00383152"/>
    <w:rsid w:val="00383251"/>
    <w:rsid w:val="003839F6"/>
    <w:rsid w:val="00383C5F"/>
    <w:rsid w:val="00383FB8"/>
    <w:rsid w:val="003841DB"/>
    <w:rsid w:val="0038456A"/>
    <w:rsid w:val="003846CC"/>
    <w:rsid w:val="003846F3"/>
    <w:rsid w:val="00384D41"/>
    <w:rsid w:val="00384E58"/>
    <w:rsid w:val="00385267"/>
    <w:rsid w:val="0038573E"/>
    <w:rsid w:val="0038666A"/>
    <w:rsid w:val="00386DCD"/>
    <w:rsid w:val="00386EDF"/>
    <w:rsid w:val="00386F86"/>
    <w:rsid w:val="0038726B"/>
    <w:rsid w:val="003873A0"/>
    <w:rsid w:val="00387484"/>
    <w:rsid w:val="0038793A"/>
    <w:rsid w:val="00387EAB"/>
    <w:rsid w:val="00390116"/>
    <w:rsid w:val="00390285"/>
    <w:rsid w:val="00390844"/>
    <w:rsid w:val="0039084A"/>
    <w:rsid w:val="00390DE7"/>
    <w:rsid w:val="00391019"/>
    <w:rsid w:val="003912D2"/>
    <w:rsid w:val="00391BC5"/>
    <w:rsid w:val="00392846"/>
    <w:rsid w:val="00392AA7"/>
    <w:rsid w:val="00392F65"/>
    <w:rsid w:val="00392FAB"/>
    <w:rsid w:val="00393C00"/>
    <w:rsid w:val="00393F95"/>
    <w:rsid w:val="00394186"/>
    <w:rsid w:val="00394B1D"/>
    <w:rsid w:val="00394B8A"/>
    <w:rsid w:val="00395878"/>
    <w:rsid w:val="003960B3"/>
    <w:rsid w:val="00396131"/>
    <w:rsid w:val="0039642D"/>
    <w:rsid w:val="00396A21"/>
    <w:rsid w:val="00396FE1"/>
    <w:rsid w:val="003971E4"/>
    <w:rsid w:val="0039776B"/>
    <w:rsid w:val="0039777A"/>
    <w:rsid w:val="00397A2F"/>
    <w:rsid w:val="00397B9C"/>
    <w:rsid w:val="00397CBF"/>
    <w:rsid w:val="003A0507"/>
    <w:rsid w:val="003A10ED"/>
    <w:rsid w:val="003A117D"/>
    <w:rsid w:val="003A13A0"/>
    <w:rsid w:val="003A1544"/>
    <w:rsid w:val="003A174A"/>
    <w:rsid w:val="003A1779"/>
    <w:rsid w:val="003A180F"/>
    <w:rsid w:val="003A18C5"/>
    <w:rsid w:val="003A1E8C"/>
    <w:rsid w:val="003A1F8A"/>
    <w:rsid w:val="003A203F"/>
    <w:rsid w:val="003A234F"/>
    <w:rsid w:val="003A29A3"/>
    <w:rsid w:val="003A2D9C"/>
    <w:rsid w:val="003A39B7"/>
    <w:rsid w:val="003A3FCC"/>
    <w:rsid w:val="003A43E0"/>
    <w:rsid w:val="003A4621"/>
    <w:rsid w:val="003A4CBE"/>
    <w:rsid w:val="003A4D54"/>
    <w:rsid w:val="003A575F"/>
    <w:rsid w:val="003A5963"/>
    <w:rsid w:val="003A6658"/>
    <w:rsid w:val="003A6CD7"/>
    <w:rsid w:val="003A6D6E"/>
    <w:rsid w:val="003A702C"/>
    <w:rsid w:val="003A7285"/>
    <w:rsid w:val="003A75E1"/>
    <w:rsid w:val="003A7952"/>
    <w:rsid w:val="003B0A6B"/>
    <w:rsid w:val="003B0B01"/>
    <w:rsid w:val="003B127E"/>
    <w:rsid w:val="003B14DC"/>
    <w:rsid w:val="003B19C9"/>
    <w:rsid w:val="003B1A0F"/>
    <w:rsid w:val="003B1BCB"/>
    <w:rsid w:val="003B1CD5"/>
    <w:rsid w:val="003B23FA"/>
    <w:rsid w:val="003B2FA5"/>
    <w:rsid w:val="003B30DE"/>
    <w:rsid w:val="003B356F"/>
    <w:rsid w:val="003B3E81"/>
    <w:rsid w:val="003B41DB"/>
    <w:rsid w:val="003B43BB"/>
    <w:rsid w:val="003B490D"/>
    <w:rsid w:val="003B4A60"/>
    <w:rsid w:val="003B50B3"/>
    <w:rsid w:val="003B5184"/>
    <w:rsid w:val="003B5279"/>
    <w:rsid w:val="003B5441"/>
    <w:rsid w:val="003B585C"/>
    <w:rsid w:val="003B5935"/>
    <w:rsid w:val="003B5B5B"/>
    <w:rsid w:val="003B5C6C"/>
    <w:rsid w:val="003B6274"/>
    <w:rsid w:val="003B628F"/>
    <w:rsid w:val="003B6C2B"/>
    <w:rsid w:val="003B732F"/>
    <w:rsid w:val="003B748D"/>
    <w:rsid w:val="003B77B5"/>
    <w:rsid w:val="003B79E1"/>
    <w:rsid w:val="003C00FE"/>
    <w:rsid w:val="003C08F2"/>
    <w:rsid w:val="003C1CEE"/>
    <w:rsid w:val="003C2026"/>
    <w:rsid w:val="003C22F7"/>
    <w:rsid w:val="003C239A"/>
    <w:rsid w:val="003C28A9"/>
    <w:rsid w:val="003C2A51"/>
    <w:rsid w:val="003C2E47"/>
    <w:rsid w:val="003C300B"/>
    <w:rsid w:val="003C3CE1"/>
    <w:rsid w:val="003C4248"/>
    <w:rsid w:val="003C4B0B"/>
    <w:rsid w:val="003C4E62"/>
    <w:rsid w:val="003C5005"/>
    <w:rsid w:val="003C57CC"/>
    <w:rsid w:val="003C5B61"/>
    <w:rsid w:val="003C5E30"/>
    <w:rsid w:val="003C6172"/>
    <w:rsid w:val="003C6B5F"/>
    <w:rsid w:val="003C6DD2"/>
    <w:rsid w:val="003C72C9"/>
    <w:rsid w:val="003C7DAA"/>
    <w:rsid w:val="003C7FFA"/>
    <w:rsid w:val="003D0E09"/>
    <w:rsid w:val="003D15F8"/>
    <w:rsid w:val="003D1904"/>
    <w:rsid w:val="003D19F7"/>
    <w:rsid w:val="003D1B3E"/>
    <w:rsid w:val="003D1F05"/>
    <w:rsid w:val="003D1FD1"/>
    <w:rsid w:val="003D24CF"/>
    <w:rsid w:val="003D25DF"/>
    <w:rsid w:val="003D2919"/>
    <w:rsid w:val="003D2B0D"/>
    <w:rsid w:val="003D2DA0"/>
    <w:rsid w:val="003D2F75"/>
    <w:rsid w:val="003D336E"/>
    <w:rsid w:val="003D44B1"/>
    <w:rsid w:val="003D5144"/>
    <w:rsid w:val="003D55FB"/>
    <w:rsid w:val="003D57FF"/>
    <w:rsid w:val="003D583F"/>
    <w:rsid w:val="003D5C60"/>
    <w:rsid w:val="003D6169"/>
    <w:rsid w:val="003D625D"/>
    <w:rsid w:val="003D6644"/>
    <w:rsid w:val="003D682D"/>
    <w:rsid w:val="003D6A4A"/>
    <w:rsid w:val="003D6D91"/>
    <w:rsid w:val="003D6DCA"/>
    <w:rsid w:val="003D6F1F"/>
    <w:rsid w:val="003D72D1"/>
    <w:rsid w:val="003D762C"/>
    <w:rsid w:val="003E0117"/>
    <w:rsid w:val="003E0365"/>
    <w:rsid w:val="003E1141"/>
    <w:rsid w:val="003E1159"/>
    <w:rsid w:val="003E1175"/>
    <w:rsid w:val="003E150D"/>
    <w:rsid w:val="003E174D"/>
    <w:rsid w:val="003E179A"/>
    <w:rsid w:val="003E1863"/>
    <w:rsid w:val="003E18FB"/>
    <w:rsid w:val="003E1B9E"/>
    <w:rsid w:val="003E2284"/>
    <w:rsid w:val="003E2845"/>
    <w:rsid w:val="003E2ABF"/>
    <w:rsid w:val="003E2FDF"/>
    <w:rsid w:val="003E3023"/>
    <w:rsid w:val="003E3A4E"/>
    <w:rsid w:val="003E3B20"/>
    <w:rsid w:val="003E3DD5"/>
    <w:rsid w:val="003E4B01"/>
    <w:rsid w:val="003E503E"/>
    <w:rsid w:val="003E554C"/>
    <w:rsid w:val="003E5852"/>
    <w:rsid w:val="003E6254"/>
    <w:rsid w:val="003E6619"/>
    <w:rsid w:val="003E6BF5"/>
    <w:rsid w:val="003E6FBF"/>
    <w:rsid w:val="003E706F"/>
    <w:rsid w:val="003E7357"/>
    <w:rsid w:val="003E75BA"/>
    <w:rsid w:val="003E75BD"/>
    <w:rsid w:val="003E7998"/>
    <w:rsid w:val="003E7A8B"/>
    <w:rsid w:val="003E7C5D"/>
    <w:rsid w:val="003E7F7A"/>
    <w:rsid w:val="003F0112"/>
    <w:rsid w:val="003F021E"/>
    <w:rsid w:val="003F0CC8"/>
    <w:rsid w:val="003F11B7"/>
    <w:rsid w:val="003F14CD"/>
    <w:rsid w:val="003F170C"/>
    <w:rsid w:val="003F1A50"/>
    <w:rsid w:val="003F1BF8"/>
    <w:rsid w:val="003F2249"/>
    <w:rsid w:val="003F22A8"/>
    <w:rsid w:val="003F2744"/>
    <w:rsid w:val="003F2A1D"/>
    <w:rsid w:val="003F2BA4"/>
    <w:rsid w:val="003F3913"/>
    <w:rsid w:val="003F3A57"/>
    <w:rsid w:val="003F3E53"/>
    <w:rsid w:val="003F44E2"/>
    <w:rsid w:val="003F45EF"/>
    <w:rsid w:val="003F4643"/>
    <w:rsid w:val="003F4798"/>
    <w:rsid w:val="003F4D65"/>
    <w:rsid w:val="003F4F9F"/>
    <w:rsid w:val="003F51B7"/>
    <w:rsid w:val="003F54B9"/>
    <w:rsid w:val="003F5C65"/>
    <w:rsid w:val="003F652E"/>
    <w:rsid w:val="003F6A1E"/>
    <w:rsid w:val="003F6D9D"/>
    <w:rsid w:val="003F702D"/>
    <w:rsid w:val="003F7397"/>
    <w:rsid w:val="003F73A3"/>
    <w:rsid w:val="003F76E1"/>
    <w:rsid w:val="003F7B6A"/>
    <w:rsid w:val="003F7DFB"/>
    <w:rsid w:val="003F7F49"/>
    <w:rsid w:val="00400092"/>
    <w:rsid w:val="004004EE"/>
    <w:rsid w:val="00400742"/>
    <w:rsid w:val="0040119C"/>
    <w:rsid w:val="004012D9"/>
    <w:rsid w:val="004012DA"/>
    <w:rsid w:val="004013C2"/>
    <w:rsid w:val="00401983"/>
    <w:rsid w:val="00401AD4"/>
    <w:rsid w:val="00401C7D"/>
    <w:rsid w:val="00401DE8"/>
    <w:rsid w:val="0040223D"/>
    <w:rsid w:val="004027D8"/>
    <w:rsid w:val="00402ABD"/>
    <w:rsid w:val="00402D21"/>
    <w:rsid w:val="00402D24"/>
    <w:rsid w:val="00402ECC"/>
    <w:rsid w:val="00403006"/>
    <w:rsid w:val="004032BA"/>
    <w:rsid w:val="00403BA3"/>
    <w:rsid w:val="00403C78"/>
    <w:rsid w:val="00404098"/>
    <w:rsid w:val="00404322"/>
    <w:rsid w:val="0040452E"/>
    <w:rsid w:val="00404755"/>
    <w:rsid w:val="0040520D"/>
    <w:rsid w:val="0040523D"/>
    <w:rsid w:val="004053D5"/>
    <w:rsid w:val="0040591F"/>
    <w:rsid w:val="00406032"/>
    <w:rsid w:val="0040608F"/>
    <w:rsid w:val="00406E3A"/>
    <w:rsid w:val="0040715D"/>
    <w:rsid w:val="004078BC"/>
    <w:rsid w:val="00407E91"/>
    <w:rsid w:val="00407EF5"/>
    <w:rsid w:val="00407F6C"/>
    <w:rsid w:val="00407F74"/>
    <w:rsid w:val="00410868"/>
    <w:rsid w:val="00410C6A"/>
    <w:rsid w:val="00410E70"/>
    <w:rsid w:val="00410E90"/>
    <w:rsid w:val="00411178"/>
    <w:rsid w:val="004113DF"/>
    <w:rsid w:val="00411526"/>
    <w:rsid w:val="00411935"/>
    <w:rsid w:val="00413B42"/>
    <w:rsid w:val="0041423E"/>
    <w:rsid w:val="00414417"/>
    <w:rsid w:val="00414BAC"/>
    <w:rsid w:val="00414C46"/>
    <w:rsid w:val="00414E5B"/>
    <w:rsid w:val="00414F28"/>
    <w:rsid w:val="004150D6"/>
    <w:rsid w:val="004153D2"/>
    <w:rsid w:val="004155C0"/>
    <w:rsid w:val="0041568C"/>
    <w:rsid w:val="0041589E"/>
    <w:rsid w:val="004158B2"/>
    <w:rsid w:val="00415A81"/>
    <w:rsid w:val="00415F2C"/>
    <w:rsid w:val="0041638B"/>
    <w:rsid w:val="0041651B"/>
    <w:rsid w:val="00416BCE"/>
    <w:rsid w:val="00417025"/>
    <w:rsid w:val="00417B51"/>
    <w:rsid w:val="00417D06"/>
    <w:rsid w:val="00420AD1"/>
    <w:rsid w:val="00420DF6"/>
    <w:rsid w:val="00420E0D"/>
    <w:rsid w:val="00420E62"/>
    <w:rsid w:val="00421318"/>
    <w:rsid w:val="004213A2"/>
    <w:rsid w:val="00421EC4"/>
    <w:rsid w:val="00422858"/>
    <w:rsid w:val="004229FD"/>
    <w:rsid w:val="00422FFD"/>
    <w:rsid w:val="0042319E"/>
    <w:rsid w:val="00423860"/>
    <w:rsid w:val="00423882"/>
    <w:rsid w:val="00423CB7"/>
    <w:rsid w:val="004242F9"/>
    <w:rsid w:val="00424322"/>
    <w:rsid w:val="00424937"/>
    <w:rsid w:val="00424966"/>
    <w:rsid w:val="004249AC"/>
    <w:rsid w:val="00424CEC"/>
    <w:rsid w:val="00425E7D"/>
    <w:rsid w:val="00425E8C"/>
    <w:rsid w:val="00426261"/>
    <w:rsid w:val="004262E7"/>
    <w:rsid w:val="00426592"/>
    <w:rsid w:val="00426706"/>
    <w:rsid w:val="00426912"/>
    <w:rsid w:val="00426A08"/>
    <w:rsid w:val="00426B1F"/>
    <w:rsid w:val="00426D2C"/>
    <w:rsid w:val="004274ED"/>
    <w:rsid w:val="004276DD"/>
    <w:rsid w:val="004279DD"/>
    <w:rsid w:val="00427B51"/>
    <w:rsid w:val="00427B6B"/>
    <w:rsid w:val="00427D3E"/>
    <w:rsid w:val="00427EFF"/>
    <w:rsid w:val="00427F76"/>
    <w:rsid w:val="004300A3"/>
    <w:rsid w:val="004306CF"/>
    <w:rsid w:val="0043075B"/>
    <w:rsid w:val="00430AB1"/>
    <w:rsid w:val="0043110D"/>
    <w:rsid w:val="00431CE5"/>
    <w:rsid w:val="00431E87"/>
    <w:rsid w:val="00432618"/>
    <w:rsid w:val="00432A10"/>
    <w:rsid w:val="00432A4C"/>
    <w:rsid w:val="00432A57"/>
    <w:rsid w:val="00432AE9"/>
    <w:rsid w:val="00432E1B"/>
    <w:rsid w:val="0043315F"/>
    <w:rsid w:val="0043318B"/>
    <w:rsid w:val="004335F6"/>
    <w:rsid w:val="00433D4A"/>
    <w:rsid w:val="00434C79"/>
    <w:rsid w:val="00434CF9"/>
    <w:rsid w:val="00435424"/>
    <w:rsid w:val="0043587A"/>
    <w:rsid w:val="00436184"/>
    <w:rsid w:val="00436C21"/>
    <w:rsid w:val="00436C67"/>
    <w:rsid w:val="00436D31"/>
    <w:rsid w:val="00437792"/>
    <w:rsid w:val="004401CA"/>
    <w:rsid w:val="004402D6"/>
    <w:rsid w:val="004409E3"/>
    <w:rsid w:val="00440D8E"/>
    <w:rsid w:val="004411B8"/>
    <w:rsid w:val="00441801"/>
    <w:rsid w:val="00441882"/>
    <w:rsid w:val="004418CA"/>
    <w:rsid w:val="004423E7"/>
    <w:rsid w:val="00442B8C"/>
    <w:rsid w:val="00442BF8"/>
    <w:rsid w:val="00443104"/>
    <w:rsid w:val="00443248"/>
    <w:rsid w:val="004434BB"/>
    <w:rsid w:val="004434CF"/>
    <w:rsid w:val="00444066"/>
    <w:rsid w:val="004443ED"/>
    <w:rsid w:val="0044446B"/>
    <w:rsid w:val="00444D96"/>
    <w:rsid w:val="00444E80"/>
    <w:rsid w:val="00444E96"/>
    <w:rsid w:val="00444F86"/>
    <w:rsid w:val="0044567B"/>
    <w:rsid w:val="00445F21"/>
    <w:rsid w:val="00446B83"/>
    <w:rsid w:val="004470C1"/>
    <w:rsid w:val="00447677"/>
    <w:rsid w:val="00447D42"/>
    <w:rsid w:val="00447D73"/>
    <w:rsid w:val="00450386"/>
    <w:rsid w:val="00450440"/>
    <w:rsid w:val="00450D72"/>
    <w:rsid w:val="00451700"/>
    <w:rsid w:val="004519FB"/>
    <w:rsid w:val="00451AE0"/>
    <w:rsid w:val="00451D43"/>
    <w:rsid w:val="00452310"/>
    <w:rsid w:val="00452339"/>
    <w:rsid w:val="00452412"/>
    <w:rsid w:val="00452593"/>
    <w:rsid w:val="00452959"/>
    <w:rsid w:val="00452A40"/>
    <w:rsid w:val="00452F3A"/>
    <w:rsid w:val="00452F79"/>
    <w:rsid w:val="00453187"/>
    <w:rsid w:val="004539A4"/>
    <w:rsid w:val="00453DE1"/>
    <w:rsid w:val="004546B7"/>
    <w:rsid w:val="00454A04"/>
    <w:rsid w:val="00455255"/>
    <w:rsid w:val="004554BF"/>
    <w:rsid w:val="00455779"/>
    <w:rsid w:val="00455B9E"/>
    <w:rsid w:val="0045600A"/>
    <w:rsid w:val="00456112"/>
    <w:rsid w:val="0045621B"/>
    <w:rsid w:val="00456B29"/>
    <w:rsid w:val="004578FF"/>
    <w:rsid w:val="00457DE1"/>
    <w:rsid w:val="00457E6D"/>
    <w:rsid w:val="004602B0"/>
    <w:rsid w:val="00460680"/>
    <w:rsid w:val="004609B7"/>
    <w:rsid w:val="00460A87"/>
    <w:rsid w:val="00460C60"/>
    <w:rsid w:val="00460F78"/>
    <w:rsid w:val="0046143A"/>
    <w:rsid w:val="004614BC"/>
    <w:rsid w:val="004615AA"/>
    <w:rsid w:val="00461A51"/>
    <w:rsid w:val="00461D01"/>
    <w:rsid w:val="00462C45"/>
    <w:rsid w:val="00462F75"/>
    <w:rsid w:val="00463040"/>
    <w:rsid w:val="00463549"/>
    <w:rsid w:val="00463666"/>
    <w:rsid w:val="00463949"/>
    <w:rsid w:val="00463DA0"/>
    <w:rsid w:val="00463F3E"/>
    <w:rsid w:val="0046407D"/>
    <w:rsid w:val="00464443"/>
    <w:rsid w:val="0046460F"/>
    <w:rsid w:val="0046486F"/>
    <w:rsid w:val="0046563C"/>
    <w:rsid w:val="0046590C"/>
    <w:rsid w:val="004659AF"/>
    <w:rsid w:val="004660D4"/>
    <w:rsid w:val="0046659D"/>
    <w:rsid w:val="00466BD3"/>
    <w:rsid w:val="00466ED1"/>
    <w:rsid w:val="0046718A"/>
    <w:rsid w:val="0046749B"/>
    <w:rsid w:val="004675EC"/>
    <w:rsid w:val="00467B8E"/>
    <w:rsid w:val="00467F54"/>
    <w:rsid w:val="00470367"/>
    <w:rsid w:val="0047079B"/>
    <w:rsid w:val="00470B36"/>
    <w:rsid w:val="00471CF9"/>
    <w:rsid w:val="00472100"/>
    <w:rsid w:val="004723C2"/>
    <w:rsid w:val="00472659"/>
    <w:rsid w:val="00472ED2"/>
    <w:rsid w:val="004732E7"/>
    <w:rsid w:val="00473B46"/>
    <w:rsid w:val="00473C6A"/>
    <w:rsid w:val="00473CF9"/>
    <w:rsid w:val="0047491E"/>
    <w:rsid w:val="00475160"/>
    <w:rsid w:val="00475AE4"/>
    <w:rsid w:val="00475B3C"/>
    <w:rsid w:val="00475BCA"/>
    <w:rsid w:val="0047659A"/>
    <w:rsid w:val="0047693F"/>
    <w:rsid w:val="00476F32"/>
    <w:rsid w:val="00477E84"/>
    <w:rsid w:val="00480C3F"/>
    <w:rsid w:val="00480F48"/>
    <w:rsid w:val="004816E6"/>
    <w:rsid w:val="00481D56"/>
    <w:rsid w:val="00482459"/>
    <w:rsid w:val="00482B41"/>
    <w:rsid w:val="00483547"/>
    <w:rsid w:val="004842BA"/>
    <w:rsid w:val="00484A1A"/>
    <w:rsid w:val="00484D03"/>
    <w:rsid w:val="004850ED"/>
    <w:rsid w:val="004851CB"/>
    <w:rsid w:val="00485514"/>
    <w:rsid w:val="00485BAF"/>
    <w:rsid w:val="00485F22"/>
    <w:rsid w:val="00486452"/>
    <w:rsid w:val="0048795F"/>
    <w:rsid w:val="00487C43"/>
    <w:rsid w:val="00487CF9"/>
    <w:rsid w:val="00487E75"/>
    <w:rsid w:val="00490443"/>
    <w:rsid w:val="0049128F"/>
    <w:rsid w:val="00491316"/>
    <w:rsid w:val="004916D9"/>
    <w:rsid w:val="00491987"/>
    <w:rsid w:val="0049234D"/>
    <w:rsid w:val="0049273A"/>
    <w:rsid w:val="00492A55"/>
    <w:rsid w:val="00492C44"/>
    <w:rsid w:val="00492E12"/>
    <w:rsid w:val="004933D3"/>
    <w:rsid w:val="00493B03"/>
    <w:rsid w:val="00493C82"/>
    <w:rsid w:val="004945DE"/>
    <w:rsid w:val="004947D8"/>
    <w:rsid w:val="00495752"/>
    <w:rsid w:val="00495A06"/>
    <w:rsid w:val="00495F17"/>
    <w:rsid w:val="004963EF"/>
    <w:rsid w:val="00496418"/>
    <w:rsid w:val="0049641D"/>
    <w:rsid w:val="00496476"/>
    <w:rsid w:val="00496916"/>
    <w:rsid w:val="00496A7F"/>
    <w:rsid w:val="00496E7E"/>
    <w:rsid w:val="004971DA"/>
    <w:rsid w:val="0049774D"/>
    <w:rsid w:val="00497846"/>
    <w:rsid w:val="00497F5E"/>
    <w:rsid w:val="00497FCF"/>
    <w:rsid w:val="004A0955"/>
    <w:rsid w:val="004A0A12"/>
    <w:rsid w:val="004A0AEF"/>
    <w:rsid w:val="004A0BD3"/>
    <w:rsid w:val="004A0D07"/>
    <w:rsid w:val="004A1B46"/>
    <w:rsid w:val="004A1C1E"/>
    <w:rsid w:val="004A1E94"/>
    <w:rsid w:val="004A1FE1"/>
    <w:rsid w:val="004A22B3"/>
    <w:rsid w:val="004A27FF"/>
    <w:rsid w:val="004A285C"/>
    <w:rsid w:val="004A2AFF"/>
    <w:rsid w:val="004A2F37"/>
    <w:rsid w:val="004A40EC"/>
    <w:rsid w:val="004A4419"/>
    <w:rsid w:val="004A45D9"/>
    <w:rsid w:val="004A4E8A"/>
    <w:rsid w:val="004A5A99"/>
    <w:rsid w:val="004A6006"/>
    <w:rsid w:val="004A65B2"/>
    <w:rsid w:val="004A68E2"/>
    <w:rsid w:val="004A7730"/>
    <w:rsid w:val="004A7B4E"/>
    <w:rsid w:val="004A7C75"/>
    <w:rsid w:val="004A7CA3"/>
    <w:rsid w:val="004B03F2"/>
    <w:rsid w:val="004B0A25"/>
    <w:rsid w:val="004B0D89"/>
    <w:rsid w:val="004B1A09"/>
    <w:rsid w:val="004B1DF0"/>
    <w:rsid w:val="004B20AB"/>
    <w:rsid w:val="004B23D7"/>
    <w:rsid w:val="004B2A00"/>
    <w:rsid w:val="004B2A4A"/>
    <w:rsid w:val="004B362E"/>
    <w:rsid w:val="004B391B"/>
    <w:rsid w:val="004B3ED7"/>
    <w:rsid w:val="004B4238"/>
    <w:rsid w:val="004B46FA"/>
    <w:rsid w:val="004B4FF6"/>
    <w:rsid w:val="004B5172"/>
    <w:rsid w:val="004B51A1"/>
    <w:rsid w:val="004B54E0"/>
    <w:rsid w:val="004B55F8"/>
    <w:rsid w:val="004B5A5E"/>
    <w:rsid w:val="004B5FC6"/>
    <w:rsid w:val="004B61E4"/>
    <w:rsid w:val="004B657E"/>
    <w:rsid w:val="004B67C2"/>
    <w:rsid w:val="004B6A1A"/>
    <w:rsid w:val="004B6CD8"/>
    <w:rsid w:val="004B7778"/>
    <w:rsid w:val="004B7E1A"/>
    <w:rsid w:val="004C07A8"/>
    <w:rsid w:val="004C08EF"/>
    <w:rsid w:val="004C124F"/>
    <w:rsid w:val="004C14C6"/>
    <w:rsid w:val="004C1604"/>
    <w:rsid w:val="004C1976"/>
    <w:rsid w:val="004C27D4"/>
    <w:rsid w:val="004C313D"/>
    <w:rsid w:val="004C3484"/>
    <w:rsid w:val="004C430F"/>
    <w:rsid w:val="004C45FB"/>
    <w:rsid w:val="004C480F"/>
    <w:rsid w:val="004C4B46"/>
    <w:rsid w:val="004C5223"/>
    <w:rsid w:val="004C5767"/>
    <w:rsid w:val="004C58C4"/>
    <w:rsid w:val="004C5AF3"/>
    <w:rsid w:val="004C5B22"/>
    <w:rsid w:val="004C5B5A"/>
    <w:rsid w:val="004C5B9D"/>
    <w:rsid w:val="004C5BC3"/>
    <w:rsid w:val="004C5FB0"/>
    <w:rsid w:val="004C671F"/>
    <w:rsid w:val="004C6B2A"/>
    <w:rsid w:val="004C6C20"/>
    <w:rsid w:val="004C6E1A"/>
    <w:rsid w:val="004C7134"/>
    <w:rsid w:val="004C72DB"/>
    <w:rsid w:val="004C757E"/>
    <w:rsid w:val="004C78AA"/>
    <w:rsid w:val="004C78E6"/>
    <w:rsid w:val="004C7A36"/>
    <w:rsid w:val="004C7FEE"/>
    <w:rsid w:val="004C7FFA"/>
    <w:rsid w:val="004D0425"/>
    <w:rsid w:val="004D072C"/>
    <w:rsid w:val="004D10C7"/>
    <w:rsid w:val="004D119C"/>
    <w:rsid w:val="004D13BF"/>
    <w:rsid w:val="004D1547"/>
    <w:rsid w:val="004D17C0"/>
    <w:rsid w:val="004D1962"/>
    <w:rsid w:val="004D19EE"/>
    <w:rsid w:val="004D1AC2"/>
    <w:rsid w:val="004D1D11"/>
    <w:rsid w:val="004D239B"/>
    <w:rsid w:val="004D2C19"/>
    <w:rsid w:val="004D2DB1"/>
    <w:rsid w:val="004D3597"/>
    <w:rsid w:val="004D3617"/>
    <w:rsid w:val="004D3653"/>
    <w:rsid w:val="004D3A40"/>
    <w:rsid w:val="004D3A53"/>
    <w:rsid w:val="004D4062"/>
    <w:rsid w:val="004D45FA"/>
    <w:rsid w:val="004D4604"/>
    <w:rsid w:val="004D498A"/>
    <w:rsid w:val="004D49D7"/>
    <w:rsid w:val="004D4BA0"/>
    <w:rsid w:val="004D4C07"/>
    <w:rsid w:val="004D4D66"/>
    <w:rsid w:val="004D4D6C"/>
    <w:rsid w:val="004D4F07"/>
    <w:rsid w:val="004D536C"/>
    <w:rsid w:val="004D56A7"/>
    <w:rsid w:val="004D5B27"/>
    <w:rsid w:val="004D656A"/>
    <w:rsid w:val="004D6DEE"/>
    <w:rsid w:val="004D7358"/>
    <w:rsid w:val="004D7414"/>
    <w:rsid w:val="004D7EDE"/>
    <w:rsid w:val="004E0053"/>
    <w:rsid w:val="004E021B"/>
    <w:rsid w:val="004E0D46"/>
    <w:rsid w:val="004E1711"/>
    <w:rsid w:val="004E1E54"/>
    <w:rsid w:val="004E2582"/>
    <w:rsid w:val="004E313C"/>
    <w:rsid w:val="004E31D1"/>
    <w:rsid w:val="004E37BF"/>
    <w:rsid w:val="004E4323"/>
    <w:rsid w:val="004E4683"/>
    <w:rsid w:val="004E4A4E"/>
    <w:rsid w:val="004E51EA"/>
    <w:rsid w:val="004E54AE"/>
    <w:rsid w:val="004E5D19"/>
    <w:rsid w:val="004E60BD"/>
    <w:rsid w:val="004E7671"/>
    <w:rsid w:val="004E79B1"/>
    <w:rsid w:val="004E7C1F"/>
    <w:rsid w:val="004E7C89"/>
    <w:rsid w:val="004E7FA2"/>
    <w:rsid w:val="004F03BA"/>
    <w:rsid w:val="004F06E7"/>
    <w:rsid w:val="004F08A9"/>
    <w:rsid w:val="004F0D30"/>
    <w:rsid w:val="004F165E"/>
    <w:rsid w:val="004F1913"/>
    <w:rsid w:val="004F1C24"/>
    <w:rsid w:val="004F1C29"/>
    <w:rsid w:val="004F1CEB"/>
    <w:rsid w:val="004F22F6"/>
    <w:rsid w:val="004F2859"/>
    <w:rsid w:val="004F2AD5"/>
    <w:rsid w:val="004F2C05"/>
    <w:rsid w:val="004F2C93"/>
    <w:rsid w:val="004F35AD"/>
    <w:rsid w:val="004F3CE8"/>
    <w:rsid w:val="004F3FBE"/>
    <w:rsid w:val="004F46DA"/>
    <w:rsid w:val="004F49E8"/>
    <w:rsid w:val="004F4C6E"/>
    <w:rsid w:val="004F4E2D"/>
    <w:rsid w:val="004F4F35"/>
    <w:rsid w:val="004F51D5"/>
    <w:rsid w:val="004F5248"/>
    <w:rsid w:val="004F5782"/>
    <w:rsid w:val="004F5A9B"/>
    <w:rsid w:val="004F5BED"/>
    <w:rsid w:val="004F6B94"/>
    <w:rsid w:val="004F6BFF"/>
    <w:rsid w:val="004F70B7"/>
    <w:rsid w:val="004F7279"/>
    <w:rsid w:val="004F7364"/>
    <w:rsid w:val="004F7576"/>
    <w:rsid w:val="004F7580"/>
    <w:rsid w:val="0050078F"/>
    <w:rsid w:val="0050170E"/>
    <w:rsid w:val="0050175A"/>
    <w:rsid w:val="00501A83"/>
    <w:rsid w:val="00501B4A"/>
    <w:rsid w:val="00501BF1"/>
    <w:rsid w:val="00501D1B"/>
    <w:rsid w:val="00501FE0"/>
    <w:rsid w:val="005024D8"/>
    <w:rsid w:val="005030F8"/>
    <w:rsid w:val="005033DD"/>
    <w:rsid w:val="00503413"/>
    <w:rsid w:val="0050398D"/>
    <w:rsid w:val="00503C66"/>
    <w:rsid w:val="00503FD7"/>
    <w:rsid w:val="005047D1"/>
    <w:rsid w:val="00504994"/>
    <w:rsid w:val="00504F5F"/>
    <w:rsid w:val="00505082"/>
    <w:rsid w:val="005052A9"/>
    <w:rsid w:val="00505470"/>
    <w:rsid w:val="00505B5D"/>
    <w:rsid w:val="00505E57"/>
    <w:rsid w:val="005065B1"/>
    <w:rsid w:val="00506ACD"/>
    <w:rsid w:val="00506E2E"/>
    <w:rsid w:val="00507010"/>
    <w:rsid w:val="005073DC"/>
    <w:rsid w:val="005074D5"/>
    <w:rsid w:val="0050783C"/>
    <w:rsid w:val="00510618"/>
    <w:rsid w:val="00510801"/>
    <w:rsid w:val="00510B17"/>
    <w:rsid w:val="0051105A"/>
    <w:rsid w:val="00511373"/>
    <w:rsid w:val="0051153F"/>
    <w:rsid w:val="00511BD6"/>
    <w:rsid w:val="00511C93"/>
    <w:rsid w:val="00511CE5"/>
    <w:rsid w:val="00511E0E"/>
    <w:rsid w:val="00511E2E"/>
    <w:rsid w:val="0051231E"/>
    <w:rsid w:val="005128E9"/>
    <w:rsid w:val="00512937"/>
    <w:rsid w:val="005129D4"/>
    <w:rsid w:val="00512A59"/>
    <w:rsid w:val="005135E2"/>
    <w:rsid w:val="00513C8B"/>
    <w:rsid w:val="0051444D"/>
    <w:rsid w:val="0051494F"/>
    <w:rsid w:val="00514B22"/>
    <w:rsid w:val="00514D55"/>
    <w:rsid w:val="00515B4D"/>
    <w:rsid w:val="00516BDA"/>
    <w:rsid w:val="0051715D"/>
    <w:rsid w:val="00517435"/>
    <w:rsid w:val="00517651"/>
    <w:rsid w:val="00517AD6"/>
    <w:rsid w:val="00520024"/>
    <w:rsid w:val="00520642"/>
    <w:rsid w:val="005212E4"/>
    <w:rsid w:val="005219CC"/>
    <w:rsid w:val="00521AEE"/>
    <w:rsid w:val="00521B9C"/>
    <w:rsid w:val="00521F82"/>
    <w:rsid w:val="0052206F"/>
    <w:rsid w:val="00522BC2"/>
    <w:rsid w:val="00522BEA"/>
    <w:rsid w:val="00522EC6"/>
    <w:rsid w:val="00523B50"/>
    <w:rsid w:val="005244E1"/>
    <w:rsid w:val="0052534C"/>
    <w:rsid w:val="005253DB"/>
    <w:rsid w:val="00525450"/>
    <w:rsid w:val="00525575"/>
    <w:rsid w:val="005256C5"/>
    <w:rsid w:val="00525E99"/>
    <w:rsid w:val="00525F48"/>
    <w:rsid w:val="00526497"/>
    <w:rsid w:val="00526DD3"/>
    <w:rsid w:val="00526E30"/>
    <w:rsid w:val="0052700A"/>
    <w:rsid w:val="00527614"/>
    <w:rsid w:val="00527633"/>
    <w:rsid w:val="005276D7"/>
    <w:rsid w:val="005276E1"/>
    <w:rsid w:val="005277EA"/>
    <w:rsid w:val="00527BBF"/>
    <w:rsid w:val="00527D9C"/>
    <w:rsid w:val="0053096C"/>
    <w:rsid w:val="00530C55"/>
    <w:rsid w:val="00530E23"/>
    <w:rsid w:val="00531659"/>
    <w:rsid w:val="005319C2"/>
    <w:rsid w:val="005324DD"/>
    <w:rsid w:val="005326BF"/>
    <w:rsid w:val="005326EF"/>
    <w:rsid w:val="00532719"/>
    <w:rsid w:val="005327E8"/>
    <w:rsid w:val="005329C4"/>
    <w:rsid w:val="005332AD"/>
    <w:rsid w:val="00533889"/>
    <w:rsid w:val="00533922"/>
    <w:rsid w:val="005340FD"/>
    <w:rsid w:val="005344DE"/>
    <w:rsid w:val="00534961"/>
    <w:rsid w:val="00535234"/>
    <w:rsid w:val="00535236"/>
    <w:rsid w:val="0053534F"/>
    <w:rsid w:val="00535639"/>
    <w:rsid w:val="00535BB3"/>
    <w:rsid w:val="00535CE8"/>
    <w:rsid w:val="00536131"/>
    <w:rsid w:val="005361B0"/>
    <w:rsid w:val="005365A6"/>
    <w:rsid w:val="0053703D"/>
    <w:rsid w:val="00537ADB"/>
    <w:rsid w:val="00540672"/>
    <w:rsid w:val="005409CE"/>
    <w:rsid w:val="00540D48"/>
    <w:rsid w:val="005412E1"/>
    <w:rsid w:val="0054152A"/>
    <w:rsid w:val="00541640"/>
    <w:rsid w:val="00542799"/>
    <w:rsid w:val="0054283A"/>
    <w:rsid w:val="00542DDF"/>
    <w:rsid w:val="00542E7E"/>
    <w:rsid w:val="00542F54"/>
    <w:rsid w:val="00543031"/>
    <w:rsid w:val="00543134"/>
    <w:rsid w:val="0054318A"/>
    <w:rsid w:val="00543CE3"/>
    <w:rsid w:val="00543E17"/>
    <w:rsid w:val="00543F45"/>
    <w:rsid w:val="00544B37"/>
    <w:rsid w:val="00544BBF"/>
    <w:rsid w:val="00544C1D"/>
    <w:rsid w:val="005453F4"/>
    <w:rsid w:val="00545810"/>
    <w:rsid w:val="00545A83"/>
    <w:rsid w:val="00545AC5"/>
    <w:rsid w:val="00545C04"/>
    <w:rsid w:val="00545FAE"/>
    <w:rsid w:val="0054638E"/>
    <w:rsid w:val="005463D9"/>
    <w:rsid w:val="005464B2"/>
    <w:rsid w:val="00546502"/>
    <w:rsid w:val="00546F63"/>
    <w:rsid w:val="00546FAC"/>
    <w:rsid w:val="00547112"/>
    <w:rsid w:val="005476EF"/>
    <w:rsid w:val="005478E4"/>
    <w:rsid w:val="00547BB4"/>
    <w:rsid w:val="00547CE0"/>
    <w:rsid w:val="0055049F"/>
    <w:rsid w:val="00550963"/>
    <w:rsid w:val="00550A94"/>
    <w:rsid w:val="0055109D"/>
    <w:rsid w:val="00551241"/>
    <w:rsid w:val="0055178F"/>
    <w:rsid w:val="005517FF"/>
    <w:rsid w:val="00551877"/>
    <w:rsid w:val="00553194"/>
    <w:rsid w:val="0055393D"/>
    <w:rsid w:val="0055410B"/>
    <w:rsid w:val="005542D1"/>
    <w:rsid w:val="00554960"/>
    <w:rsid w:val="00555372"/>
    <w:rsid w:val="005554F7"/>
    <w:rsid w:val="005557BE"/>
    <w:rsid w:val="005558B7"/>
    <w:rsid w:val="00555E31"/>
    <w:rsid w:val="00555F57"/>
    <w:rsid w:val="00555FC1"/>
    <w:rsid w:val="00556058"/>
    <w:rsid w:val="00556162"/>
    <w:rsid w:val="005562D5"/>
    <w:rsid w:val="00556345"/>
    <w:rsid w:val="0055649E"/>
    <w:rsid w:val="00557311"/>
    <w:rsid w:val="00557829"/>
    <w:rsid w:val="00557ACA"/>
    <w:rsid w:val="005603F5"/>
    <w:rsid w:val="00560D0B"/>
    <w:rsid w:val="00561167"/>
    <w:rsid w:val="0056171F"/>
    <w:rsid w:val="00561771"/>
    <w:rsid w:val="005617AF"/>
    <w:rsid w:val="00561A0A"/>
    <w:rsid w:val="00561FD5"/>
    <w:rsid w:val="00562061"/>
    <w:rsid w:val="005621D8"/>
    <w:rsid w:val="0056245F"/>
    <w:rsid w:val="00563216"/>
    <w:rsid w:val="00563246"/>
    <w:rsid w:val="005632FD"/>
    <w:rsid w:val="005635AB"/>
    <w:rsid w:val="00563A5E"/>
    <w:rsid w:val="00563B86"/>
    <w:rsid w:val="00564125"/>
    <w:rsid w:val="00564564"/>
    <w:rsid w:val="00564FDE"/>
    <w:rsid w:val="00565579"/>
    <w:rsid w:val="0056569E"/>
    <w:rsid w:val="00565B46"/>
    <w:rsid w:val="00565D7A"/>
    <w:rsid w:val="0056698B"/>
    <w:rsid w:val="00566CDA"/>
    <w:rsid w:val="005673BB"/>
    <w:rsid w:val="00570397"/>
    <w:rsid w:val="0057067B"/>
    <w:rsid w:val="005706E5"/>
    <w:rsid w:val="005707D0"/>
    <w:rsid w:val="0057096D"/>
    <w:rsid w:val="0057159D"/>
    <w:rsid w:val="0057166A"/>
    <w:rsid w:val="005722D8"/>
    <w:rsid w:val="0057258C"/>
    <w:rsid w:val="00572B68"/>
    <w:rsid w:val="00572CCA"/>
    <w:rsid w:val="00572E47"/>
    <w:rsid w:val="0057327C"/>
    <w:rsid w:val="00573807"/>
    <w:rsid w:val="00573B0F"/>
    <w:rsid w:val="00573B57"/>
    <w:rsid w:val="00573CCC"/>
    <w:rsid w:val="00574120"/>
    <w:rsid w:val="00574123"/>
    <w:rsid w:val="005741E8"/>
    <w:rsid w:val="00574E9B"/>
    <w:rsid w:val="00575D71"/>
    <w:rsid w:val="0057601D"/>
    <w:rsid w:val="005762B9"/>
    <w:rsid w:val="005765E4"/>
    <w:rsid w:val="0057671C"/>
    <w:rsid w:val="005768EE"/>
    <w:rsid w:val="00576B0A"/>
    <w:rsid w:val="00576DAF"/>
    <w:rsid w:val="00576E29"/>
    <w:rsid w:val="0057704E"/>
    <w:rsid w:val="00577422"/>
    <w:rsid w:val="0057767F"/>
    <w:rsid w:val="00580202"/>
    <w:rsid w:val="005804EA"/>
    <w:rsid w:val="005809D0"/>
    <w:rsid w:val="00580F90"/>
    <w:rsid w:val="005812F9"/>
    <w:rsid w:val="00581596"/>
    <w:rsid w:val="00581B11"/>
    <w:rsid w:val="00581C36"/>
    <w:rsid w:val="00581E7C"/>
    <w:rsid w:val="0058240B"/>
    <w:rsid w:val="0058256A"/>
    <w:rsid w:val="00582CFC"/>
    <w:rsid w:val="00582F88"/>
    <w:rsid w:val="005831DA"/>
    <w:rsid w:val="0058382E"/>
    <w:rsid w:val="00584F3F"/>
    <w:rsid w:val="005851C1"/>
    <w:rsid w:val="005852D5"/>
    <w:rsid w:val="0058595C"/>
    <w:rsid w:val="00585B06"/>
    <w:rsid w:val="005860C7"/>
    <w:rsid w:val="005869CE"/>
    <w:rsid w:val="00586BAA"/>
    <w:rsid w:val="0058700D"/>
    <w:rsid w:val="0058724D"/>
    <w:rsid w:val="0058763C"/>
    <w:rsid w:val="00587FBF"/>
    <w:rsid w:val="00590289"/>
    <w:rsid w:val="00590407"/>
    <w:rsid w:val="00590662"/>
    <w:rsid w:val="00590A00"/>
    <w:rsid w:val="005914B8"/>
    <w:rsid w:val="00591B19"/>
    <w:rsid w:val="00591F5E"/>
    <w:rsid w:val="00592169"/>
    <w:rsid w:val="00592679"/>
    <w:rsid w:val="0059333E"/>
    <w:rsid w:val="00593CA6"/>
    <w:rsid w:val="00593DDC"/>
    <w:rsid w:val="00593F2D"/>
    <w:rsid w:val="00593FAA"/>
    <w:rsid w:val="00594334"/>
    <w:rsid w:val="00594A40"/>
    <w:rsid w:val="00595669"/>
    <w:rsid w:val="005956CE"/>
    <w:rsid w:val="005958F2"/>
    <w:rsid w:val="00595B1F"/>
    <w:rsid w:val="00595FB0"/>
    <w:rsid w:val="00596031"/>
    <w:rsid w:val="005961B1"/>
    <w:rsid w:val="00596255"/>
    <w:rsid w:val="005963B0"/>
    <w:rsid w:val="0059661E"/>
    <w:rsid w:val="00596C04"/>
    <w:rsid w:val="00596D63"/>
    <w:rsid w:val="005972FD"/>
    <w:rsid w:val="0059756D"/>
    <w:rsid w:val="00597662"/>
    <w:rsid w:val="0059778C"/>
    <w:rsid w:val="00597D7B"/>
    <w:rsid w:val="00597F5D"/>
    <w:rsid w:val="005A0325"/>
    <w:rsid w:val="005A0829"/>
    <w:rsid w:val="005A09BB"/>
    <w:rsid w:val="005A0FC8"/>
    <w:rsid w:val="005A23FA"/>
    <w:rsid w:val="005A305A"/>
    <w:rsid w:val="005A37E0"/>
    <w:rsid w:val="005A3C14"/>
    <w:rsid w:val="005A41F0"/>
    <w:rsid w:val="005A4C64"/>
    <w:rsid w:val="005A5021"/>
    <w:rsid w:val="005A5407"/>
    <w:rsid w:val="005A5449"/>
    <w:rsid w:val="005A5497"/>
    <w:rsid w:val="005A5FB2"/>
    <w:rsid w:val="005A62D3"/>
    <w:rsid w:val="005A6423"/>
    <w:rsid w:val="005A6A65"/>
    <w:rsid w:val="005A6C26"/>
    <w:rsid w:val="005A710E"/>
    <w:rsid w:val="005A7F7E"/>
    <w:rsid w:val="005B03A6"/>
    <w:rsid w:val="005B104C"/>
    <w:rsid w:val="005B1353"/>
    <w:rsid w:val="005B178E"/>
    <w:rsid w:val="005B2161"/>
    <w:rsid w:val="005B268C"/>
    <w:rsid w:val="005B26E2"/>
    <w:rsid w:val="005B27AC"/>
    <w:rsid w:val="005B2827"/>
    <w:rsid w:val="005B2B38"/>
    <w:rsid w:val="005B2D95"/>
    <w:rsid w:val="005B2E10"/>
    <w:rsid w:val="005B2EC0"/>
    <w:rsid w:val="005B3104"/>
    <w:rsid w:val="005B35C1"/>
    <w:rsid w:val="005B3617"/>
    <w:rsid w:val="005B3B07"/>
    <w:rsid w:val="005B3F21"/>
    <w:rsid w:val="005B3FA2"/>
    <w:rsid w:val="005B4763"/>
    <w:rsid w:val="005B5615"/>
    <w:rsid w:val="005B5940"/>
    <w:rsid w:val="005B60B5"/>
    <w:rsid w:val="005B612F"/>
    <w:rsid w:val="005B62EA"/>
    <w:rsid w:val="005B64C9"/>
    <w:rsid w:val="005B6577"/>
    <w:rsid w:val="005B68E8"/>
    <w:rsid w:val="005B69B3"/>
    <w:rsid w:val="005B70F6"/>
    <w:rsid w:val="005B793D"/>
    <w:rsid w:val="005B7B6F"/>
    <w:rsid w:val="005B7E82"/>
    <w:rsid w:val="005C0241"/>
    <w:rsid w:val="005C05DB"/>
    <w:rsid w:val="005C07A2"/>
    <w:rsid w:val="005C0870"/>
    <w:rsid w:val="005C095A"/>
    <w:rsid w:val="005C0F59"/>
    <w:rsid w:val="005C1605"/>
    <w:rsid w:val="005C16A7"/>
    <w:rsid w:val="005C1B5F"/>
    <w:rsid w:val="005C1C69"/>
    <w:rsid w:val="005C203A"/>
    <w:rsid w:val="005C22EC"/>
    <w:rsid w:val="005C235C"/>
    <w:rsid w:val="005C2A41"/>
    <w:rsid w:val="005C2B0E"/>
    <w:rsid w:val="005C2D67"/>
    <w:rsid w:val="005C3620"/>
    <w:rsid w:val="005C4163"/>
    <w:rsid w:val="005C4234"/>
    <w:rsid w:val="005C433E"/>
    <w:rsid w:val="005C4EF5"/>
    <w:rsid w:val="005C5494"/>
    <w:rsid w:val="005C5DA3"/>
    <w:rsid w:val="005C640D"/>
    <w:rsid w:val="005C6E22"/>
    <w:rsid w:val="005C725D"/>
    <w:rsid w:val="005C72BE"/>
    <w:rsid w:val="005C7700"/>
    <w:rsid w:val="005C77AA"/>
    <w:rsid w:val="005C77B4"/>
    <w:rsid w:val="005C7ABE"/>
    <w:rsid w:val="005D00CA"/>
    <w:rsid w:val="005D0297"/>
    <w:rsid w:val="005D0558"/>
    <w:rsid w:val="005D0A45"/>
    <w:rsid w:val="005D1A59"/>
    <w:rsid w:val="005D2378"/>
    <w:rsid w:val="005D27C0"/>
    <w:rsid w:val="005D305B"/>
    <w:rsid w:val="005D5179"/>
    <w:rsid w:val="005D5205"/>
    <w:rsid w:val="005D561A"/>
    <w:rsid w:val="005D59B0"/>
    <w:rsid w:val="005D60FF"/>
    <w:rsid w:val="005D660A"/>
    <w:rsid w:val="005D6C0F"/>
    <w:rsid w:val="005D7B41"/>
    <w:rsid w:val="005D7B49"/>
    <w:rsid w:val="005D7BD7"/>
    <w:rsid w:val="005E0491"/>
    <w:rsid w:val="005E051C"/>
    <w:rsid w:val="005E05C6"/>
    <w:rsid w:val="005E07A3"/>
    <w:rsid w:val="005E1295"/>
    <w:rsid w:val="005E1421"/>
    <w:rsid w:val="005E168A"/>
    <w:rsid w:val="005E18F9"/>
    <w:rsid w:val="005E1DF9"/>
    <w:rsid w:val="005E21FA"/>
    <w:rsid w:val="005E2984"/>
    <w:rsid w:val="005E2DAD"/>
    <w:rsid w:val="005E3148"/>
    <w:rsid w:val="005E3161"/>
    <w:rsid w:val="005E3AF9"/>
    <w:rsid w:val="005E3F32"/>
    <w:rsid w:val="005E41EC"/>
    <w:rsid w:val="005E4210"/>
    <w:rsid w:val="005E49A6"/>
    <w:rsid w:val="005E4E6F"/>
    <w:rsid w:val="005E55AB"/>
    <w:rsid w:val="005E5747"/>
    <w:rsid w:val="005E58D6"/>
    <w:rsid w:val="005E5A35"/>
    <w:rsid w:val="005E5B4A"/>
    <w:rsid w:val="005E66AC"/>
    <w:rsid w:val="005E6899"/>
    <w:rsid w:val="005E6A42"/>
    <w:rsid w:val="005E6C42"/>
    <w:rsid w:val="005E7101"/>
    <w:rsid w:val="005E7B56"/>
    <w:rsid w:val="005E7C32"/>
    <w:rsid w:val="005F0047"/>
    <w:rsid w:val="005F026B"/>
    <w:rsid w:val="005F03AE"/>
    <w:rsid w:val="005F07F1"/>
    <w:rsid w:val="005F18A6"/>
    <w:rsid w:val="005F1B01"/>
    <w:rsid w:val="005F1D40"/>
    <w:rsid w:val="005F20FC"/>
    <w:rsid w:val="005F24FD"/>
    <w:rsid w:val="005F2551"/>
    <w:rsid w:val="005F2590"/>
    <w:rsid w:val="005F2AF4"/>
    <w:rsid w:val="005F2E75"/>
    <w:rsid w:val="005F2EEC"/>
    <w:rsid w:val="005F329E"/>
    <w:rsid w:val="005F3885"/>
    <w:rsid w:val="005F39A5"/>
    <w:rsid w:val="005F42E1"/>
    <w:rsid w:val="005F43E7"/>
    <w:rsid w:val="005F4489"/>
    <w:rsid w:val="005F4921"/>
    <w:rsid w:val="005F4F5D"/>
    <w:rsid w:val="005F5A23"/>
    <w:rsid w:val="005F5C2B"/>
    <w:rsid w:val="005F5D9C"/>
    <w:rsid w:val="005F62ED"/>
    <w:rsid w:val="005F6C94"/>
    <w:rsid w:val="005F6D56"/>
    <w:rsid w:val="005F71C4"/>
    <w:rsid w:val="005F7220"/>
    <w:rsid w:val="006000B2"/>
    <w:rsid w:val="00600412"/>
    <w:rsid w:val="00600471"/>
    <w:rsid w:val="00600839"/>
    <w:rsid w:val="00600A04"/>
    <w:rsid w:val="00600A84"/>
    <w:rsid w:val="0060134B"/>
    <w:rsid w:val="00601B27"/>
    <w:rsid w:val="00601C3E"/>
    <w:rsid w:val="006024F2"/>
    <w:rsid w:val="0060271E"/>
    <w:rsid w:val="00602B31"/>
    <w:rsid w:val="00602D9C"/>
    <w:rsid w:val="00602E10"/>
    <w:rsid w:val="00603400"/>
    <w:rsid w:val="006038E1"/>
    <w:rsid w:val="00603D5C"/>
    <w:rsid w:val="00603E6B"/>
    <w:rsid w:val="006048B5"/>
    <w:rsid w:val="00604C2A"/>
    <w:rsid w:val="00605113"/>
    <w:rsid w:val="0060588A"/>
    <w:rsid w:val="00605AEB"/>
    <w:rsid w:val="00605D3A"/>
    <w:rsid w:val="0060647D"/>
    <w:rsid w:val="006072E1"/>
    <w:rsid w:val="00607359"/>
    <w:rsid w:val="00607373"/>
    <w:rsid w:val="0060779C"/>
    <w:rsid w:val="006103BE"/>
    <w:rsid w:val="006105F7"/>
    <w:rsid w:val="00610ABB"/>
    <w:rsid w:val="00610CA5"/>
    <w:rsid w:val="00610D0C"/>
    <w:rsid w:val="00611E3A"/>
    <w:rsid w:val="0061214B"/>
    <w:rsid w:val="00612454"/>
    <w:rsid w:val="006127D1"/>
    <w:rsid w:val="00613047"/>
    <w:rsid w:val="0061325A"/>
    <w:rsid w:val="006134D7"/>
    <w:rsid w:val="0061363E"/>
    <w:rsid w:val="006141A3"/>
    <w:rsid w:val="0061519D"/>
    <w:rsid w:val="006151C8"/>
    <w:rsid w:val="0061542D"/>
    <w:rsid w:val="006158F0"/>
    <w:rsid w:val="00615AAC"/>
    <w:rsid w:val="00615B8C"/>
    <w:rsid w:val="00615E98"/>
    <w:rsid w:val="0061657F"/>
    <w:rsid w:val="00616777"/>
    <w:rsid w:val="00617820"/>
    <w:rsid w:val="00620144"/>
    <w:rsid w:val="0062015C"/>
    <w:rsid w:val="006205DB"/>
    <w:rsid w:val="006210B8"/>
    <w:rsid w:val="00621405"/>
    <w:rsid w:val="00621557"/>
    <w:rsid w:val="00621A78"/>
    <w:rsid w:val="00621A7E"/>
    <w:rsid w:val="00621ACD"/>
    <w:rsid w:val="00621D3E"/>
    <w:rsid w:val="006222B8"/>
    <w:rsid w:val="0062253C"/>
    <w:rsid w:val="00622AEF"/>
    <w:rsid w:val="006230DD"/>
    <w:rsid w:val="00623260"/>
    <w:rsid w:val="0062352A"/>
    <w:rsid w:val="0062358C"/>
    <w:rsid w:val="00623C6D"/>
    <w:rsid w:val="00624115"/>
    <w:rsid w:val="00624202"/>
    <w:rsid w:val="006243FA"/>
    <w:rsid w:val="00624870"/>
    <w:rsid w:val="00624A24"/>
    <w:rsid w:val="00624B3C"/>
    <w:rsid w:val="006256D4"/>
    <w:rsid w:val="006258A0"/>
    <w:rsid w:val="0062686F"/>
    <w:rsid w:val="0062699D"/>
    <w:rsid w:val="00626D4B"/>
    <w:rsid w:val="00627344"/>
    <w:rsid w:val="006274F3"/>
    <w:rsid w:val="006277B9"/>
    <w:rsid w:val="00627A06"/>
    <w:rsid w:val="00627C5F"/>
    <w:rsid w:val="0063006E"/>
    <w:rsid w:val="006300E5"/>
    <w:rsid w:val="006303D0"/>
    <w:rsid w:val="0063086F"/>
    <w:rsid w:val="00630B5C"/>
    <w:rsid w:val="006310D2"/>
    <w:rsid w:val="0063129D"/>
    <w:rsid w:val="006319FE"/>
    <w:rsid w:val="00631B08"/>
    <w:rsid w:val="00631C92"/>
    <w:rsid w:val="00631EA6"/>
    <w:rsid w:val="00632040"/>
    <w:rsid w:val="006322E9"/>
    <w:rsid w:val="0063264D"/>
    <w:rsid w:val="0063272C"/>
    <w:rsid w:val="006327D7"/>
    <w:rsid w:val="00632BF6"/>
    <w:rsid w:val="00632D50"/>
    <w:rsid w:val="0063309C"/>
    <w:rsid w:val="0063313F"/>
    <w:rsid w:val="006336FC"/>
    <w:rsid w:val="00634259"/>
    <w:rsid w:val="006343CE"/>
    <w:rsid w:val="006344C2"/>
    <w:rsid w:val="00634D2B"/>
    <w:rsid w:val="00635315"/>
    <w:rsid w:val="00635757"/>
    <w:rsid w:val="006357CE"/>
    <w:rsid w:val="00635857"/>
    <w:rsid w:val="00635900"/>
    <w:rsid w:val="00635A88"/>
    <w:rsid w:val="00635CE8"/>
    <w:rsid w:val="0063616E"/>
    <w:rsid w:val="006366E3"/>
    <w:rsid w:val="0063699B"/>
    <w:rsid w:val="0063715B"/>
    <w:rsid w:val="0063716B"/>
    <w:rsid w:val="006374E5"/>
    <w:rsid w:val="0063774B"/>
    <w:rsid w:val="006409A0"/>
    <w:rsid w:val="00640F7A"/>
    <w:rsid w:val="00641143"/>
    <w:rsid w:val="00641192"/>
    <w:rsid w:val="00642E5B"/>
    <w:rsid w:val="00642F61"/>
    <w:rsid w:val="0064363B"/>
    <w:rsid w:val="006441B8"/>
    <w:rsid w:val="006448ED"/>
    <w:rsid w:val="00644B6C"/>
    <w:rsid w:val="006450AD"/>
    <w:rsid w:val="0064537B"/>
    <w:rsid w:val="00645B26"/>
    <w:rsid w:val="00645C89"/>
    <w:rsid w:val="00646234"/>
    <w:rsid w:val="006466A0"/>
    <w:rsid w:val="00646B3C"/>
    <w:rsid w:val="00646FF6"/>
    <w:rsid w:val="00647424"/>
    <w:rsid w:val="00647DDA"/>
    <w:rsid w:val="0065049F"/>
    <w:rsid w:val="00650893"/>
    <w:rsid w:val="00650D95"/>
    <w:rsid w:val="00651265"/>
    <w:rsid w:val="0065199C"/>
    <w:rsid w:val="00651AC0"/>
    <w:rsid w:val="00651D2B"/>
    <w:rsid w:val="00651D36"/>
    <w:rsid w:val="00651E20"/>
    <w:rsid w:val="0065235C"/>
    <w:rsid w:val="00652584"/>
    <w:rsid w:val="00652F1C"/>
    <w:rsid w:val="0065337C"/>
    <w:rsid w:val="00653A4F"/>
    <w:rsid w:val="00653B99"/>
    <w:rsid w:val="00653D5D"/>
    <w:rsid w:val="006544A0"/>
    <w:rsid w:val="006544EF"/>
    <w:rsid w:val="00654FC0"/>
    <w:rsid w:val="006553AB"/>
    <w:rsid w:val="0065592B"/>
    <w:rsid w:val="00655E8A"/>
    <w:rsid w:val="006560D6"/>
    <w:rsid w:val="0065622F"/>
    <w:rsid w:val="0065672D"/>
    <w:rsid w:val="00656B6B"/>
    <w:rsid w:val="00656EDF"/>
    <w:rsid w:val="00656EF1"/>
    <w:rsid w:val="00657291"/>
    <w:rsid w:val="00657434"/>
    <w:rsid w:val="0065745F"/>
    <w:rsid w:val="00657476"/>
    <w:rsid w:val="00657624"/>
    <w:rsid w:val="006577CE"/>
    <w:rsid w:val="00657A18"/>
    <w:rsid w:val="006602DE"/>
    <w:rsid w:val="00660817"/>
    <w:rsid w:val="00660C1F"/>
    <w:rsid w:val="00661AA0"/>
    <w:rsid w:val="00661C3B"/>
    <w:rsid w:val="00661CF0"/>
    <w:rsid w:val="006624C2"/>
    <w:rsid w:val="00662B82"/>
    <w:rsid w:val="006630C0"/>
    <w:rsid w:val="00663C3D"/>
    <w:rsid w:val="00663DB1"/>
    <w:rsid w:val="00663EF8"/>
    <w:rsid w:val="00664180"/>
    <w:rsid w:val="006641E4"/>
    <w:rsid w:val="00664384"/>
    <w:rsid w:val="00664DDB"/>
    <w:rsid w:val="00665777"/>
    <w:rsid w:val="00665BC3"/>
    <w:rsid w:val="0066658F"/>
    <w:rsid w:val="0066696A"/>
    <w:rsid w:val="00667008"/>
    <w:rsid w:val="006670BE"/>
    <w:rsid w:val="006676F5"/>
    <w:rsid w:val="0066790B"/>
    <w:rsid w:val="00667A02"/>
    <w:rsid w:val="0067016C"/>
    <w:rsid w:val="0067058D"/>
    <w:rsid w:val="0067079F"/>
    <w:rsid w:val="0067085E"/>
    <w:rsid w:val="00670980"/>
    <w:rsid w:val="00670C14"/>
    <w:rsid w:val="006711A8"/>
    <w:rsid w:val="0067174F"/>
    <w:rsid w:val="006717EE"/>
    <w:rsid w:val="006718AD"/>
    <w:rsid w:val="006720AE"/>
    <w:rsid w:val="00672917"/>
    <w:rsid w:val="00672BB3"/>
    <w:rsid w:val="00673D7F"/>
    <w:rsid w:val="00673FEC"/>
    <w:rsid w:val="006740A2"/>
    <w:rsid w:val="006744C8"/>
    <w:rsid w:val="00674995"/>
    <w:rsid w:val="00674E67"/>
    <w:rsid w:val="00674F23"/>
    <w:rsid w:val="00675738"/>
    <w:rsid w:val="00675A44"/>
    <w:rsid w:val="00675FAF"/>
    <w:rsid w:val="00676209"/>
    <w:rsid w:val="0067665B"/>
    <w:rsid w:val="0067673F"/>
    <w:rsid w:val="00676D53"/>
    <w:rsid w:val="0067776F"/>
    <w:rsid w:val="00677B03"/>
    <w:rsid w:val="00677CCB"/>
    <w:rsid w:val="00677DC2"/>
    <w:rsid w:val="00677EB9"/>
    <w:rsid w:val="00677F51"/>
    <w:rsid w:val="0068058C"/>
    <w:rsid w:val="00680893"/>
    <w:rsid w:val="00680976"/>
    <w:rsid w:val="00680D2F"/>
    <w:rsid w:val="00680E84"/>
    <w:rsid w:val="00681379"/>
    <w:rsid w:val="006813D4"/>
    <w:rsid w:val="00681C89"/>
    <w:rsid w:val="00681EA0"/>
    <w:rsid w:val="0068323B"/>
    <w:rsid w:val="00683481"/>
    <w:rsid w:val="00683893"/>
    <w:rsid w:val="00683BE0"/>
    <w:rsid w:val="00683D8B"/>
    <w:rsid w:val="006843DC"/>
    <w:rsid w:val="00684A68"/>
    <w:rsid w:val="0068514D"/>
    <w:rsid w:val="006854A2"/>
    <w:rsid w:val="006854F7"/>
    <w:rsid w:val="00685921"/>
    <w:rsid w:val="00685F89"/>
    <w:rsid w:val="006866F6"/>
    <w:rsid w:val="006867F6"/>
    <w:rsid w:val="00686B3C"/>
    <w:rsid w:val="00686FCA"/>
    <w:rsid w:val="00687131"/>
    <w:rsid w:val="00687A37"/>
    <w:rsid w:val="00690824"/>
    <w:rsid w:val="006909CE"/>
    <w:rsid w:val="006916F1"/>
    <w:rsid w:val="006917E8"/>
    <w:rsid w:val="006919A5"/>
    <w:rsid w:val="00691A1F"/>
    <w:rsid w:val="0069247E"/>
    <w:rsid w:val="006926FB"/>
    <w:rsid w:val="006928F8"/>
    <w:rsid w:val="00692C07"/>
    <w:rsid w:val="00692C9B"/>
    <w:rsid w:val="00692E14"/>
    <w:rsid w:val="00693028"/>
    <w:rsid w:val="00693568"/>
    <w:rsid w:val="00693D00"/>
    <w:rsid w:val="00693F24"/>
    <w:rsid w:val="00694406"/>
    <w:rsid w:val="0069449A"/>
    <w:rsid w:val="00694A1C"/>
    <w:rsid w:val="00694AC1"/>
    <w:rsid w:val="00694DCB"/>
    <w:rsid w:val="00694E23"/>
    <w:rsid w:val="00694FF9"/>
    <w:rsid w:val="0069563C"/>
    <w:rsid w:val="006957CE"/>
    <w:rsid w:val="00695B63"/>
    <w:rsid w:val="00696314"/>
    <w:rsid w:val="0069687F"/>
    <w:rsid w:val="00696A00"/>
    <w:rsid w:val="00696C70"/>
    <w:rsid w:val="0069707E"/>
    <w:rsid w:val="006975EA"/>
    <w:rsid w:val="006976AE"/>
    <w:rsid w:val="00697908"/>
    <w:rsid w:val="00697976"/>
    <w:rsid w:val="006979C2"/>
    <w:rsid w:val="006A0197"/>
    <w:rsid w:val="006A0BF5"/>
    <w:rsid w:val="006A14AE"/>
    <w:rsid w:val="006A1CE8"/>
    <w:rsid w:val="006A2166"/>
    <w:rsid w:val="006A27B0"/>
    <w:rsid w:val="006A339E"/>
    <w:rsid w:val="006A37B5"/>
    <w:rsid w:val="006A3CD8"/>
    <w:rsid w:val="006A3E7C"/>
    <w:rsid w:val="006A3F0E"/>
    <w:rsid w:val="006A436F"/>
    <w:rsid w:val="006A448E"/>
    <w:rsid w:val="006A4B31"/>
    <w:rsid w:val="006A4EE4"/>
    <w:rsid w:val="006A6062"/>
    <w:rsid w:val="006A6AB5"/>
    <w:rsid w:val="006A6BA5"/>
    <w:rsid w:val="006A7338"/>
    <w:rsid w:val="006A740A"/>
    <w:rsid w:val="006A7677"/>
    <w:rsid w:val="006A7BB6"/>
    <w:rsid w:val="006A7CE4"/>
    <w:rsid w:val="006B04CB"/>
    <w:rsid w:val="006B04F3"/>
    <w:rsid w:val="006B0D48"/>
    <w:rsid w:val="006B0E0D"/>
    <w:rsid w:val="006B0F34"/>
    <w:rsid w:val="006B1292"/>
    <w:rsid w:val="006B176D"/>
    <w:rsid w:val="006B194D"/>
    <w:rsid w:val="006B1B63"/>
    <w:rsid w:val="006B1C2B"/>
    <w:rsid w:val="006B1FA6"/>
    <w:rsid w:val="006B2191"/>
    <w:rsid w:val="006B234D"/>
    <w:rsid w:val="006B39E9"/>
    <w:rsid w:val="006B3AF4"/>
    <w:rsid w:val="006B46F2"/>
    <w:rsid w:val="006B4FFF"/>
    <w:rsid w:val="006B5152"/>
    <w:rsid w:val="006B5A2B"/>
    <w:rsid w:val="006B5AE4"/>
    <w:rsid w:val="006B5BC7"/>
    <w:rsid w:val="006B5F7E"/>
    <w:rsid w:val="006B656F"/>
    <w:rsid w:val="006B6604"/>
    <w:rsid w:val="006B6AC1"/>
    <w:rsid w:val="006B6C85"/>
    <w:rsid w:val="006B6CB3"/>
    <w:rsid w:val="006B6D27"/>
    <w:rsid w:val="006B71E3"/>
    <w:rsid w:val="006B73BD"/>
    <w:rsid w:val="006B73FB"/>
    <w:rsid w:val="006B7E42"/>
    <w:rsid w:val="006B7F60"/>
    <w:rsid w:val="006C0586"/>
    <w:rsid w:val="006C0EE8"/>
    <w:rsid w:val="006C181F"/>
    <w:rsid w:val="006C1849"/>
    <w:rsid w:val="006C1B75"/>
    <w:rsid w:val="006C1BCD"/>
    <w:rsid w:val="006C202E"/>
    <w:rsid w:val="006C2101"/>
    <w:rsid w:val="006C26D7"/>
    <w:rsid w:val="006C2AB1"/>
    <w:rsid w:val="006C2CF1"/>
    <w:rsid w:val="006C36B1"/>
    <w:rsid w:val="006C3A06"/>
    <w:rsid w:val="006C3A7B"/>
    <w:rsid w:val="006C3FA4"/>
    <w:rsid w:val="006C3FDB"/>
    <w:rsid w:val="006C486E"/>
    <w:rsid w:val="006C4FFA"/>
    <w:rsid w:val="006C5433"/>
    <w:rsid w:val="006C621B"/>
    <w:rsid w:val="006C6286"/>
    <w:rsid w:val="006C63C2"/>
    <w:rsid w:val="006C644B"/>
    <w:rsid w:val="006C6597"/>
    <w:rsid w:val="006C6749"/>
    <w:rsid w:val="006C6D8B"/>
    <w:rsid w:val="006C75D4"/>
    <w:rsid w:val="006C76BA"/>
    <w:rsid w:val="006C7877"/>
    <w:rsid w:val="006C7C6C"/>
    <w:rsid w:val="006D008D"/>
    <w:rsid w:val="006D022E"/>
    <w:rsid w:val="006D028D"/>
    <w:rsid w:val="006D058B"/>
    <w:rsid w:val="006D120C"/>
    <w:rsid w:val="006D1BD8"/>
    <w:rsid w:val="006D1C23"/>
    <w:rsid w:val="006D1C4A"/>
    <w:rsid w:val="006D2D41"/>
    <w:rsid w:val="006D3BF3"/>
    <w:rsid w:val="006D3FA4"/>
    <w:rsid w:val="006D40A6"/>
    <w:rsid w:val="006D443F"/>
    <w:rsid w:val="006D4444"/>
    <w:rsid w:val="006D444A"/>
    <w:rsid w:val="006D448B"/>
    <w:rsid w:val="006D4566"/>
    <w:rsid w:val="006D50BD"/>
    <w:rsid w:val="006D53A0"/>
    <w:rsid w:val="006D5CCE"/>
    <w:rsid w:val="006D62C0"/>
    <w:rsid w:val="006D63CA"/>
    <w:rsid w:val="006D6745"/>
    <w:rsid w:val="006D6F77"/>
    <w:rsid w:val="006D76CD"/>
    <w:rsid w:val="006E0122"/>
    <w:rsid w:val="006E074D"/>
    <w:rsid w:val="006E0925"/>
    <w:rsid w:val="006E0BB4"/>
    <w:rsid w:val="006E1439"/>
    <w:rsid w:val="006E173E"/>
    <w:rsid w:val="006E1CA1"/>
    <w:rsid w:val="006E1EFC"/>
    <w:rsid w:val="006E2488"/>
    <w:rsid w:val="006E2924"/>
    <w:rsid w:val="006E2CB7"/>
    <w:rsid w:val="006E31EA"/>
    <w:rsid w:val="006E342D"/>
    <w:rsid w:val="006E3660"/>
    <w:rsid w:val="006E3973"/>
    <w:rsid w:val="006E39B1"/>
    <w:rsid w:val="006E3A67"/>
    <w:rsid w:val="006E4533"/>
    <w:rsid w:val="006E4589"/>
    <w:rsid w:val="006E4C2D"/>
    <w:rsid w:val="006E5043"/>
    <w:rsid w:val="006E50A3"/>
    <w:rsid w:val="006E51EB"/>
    <w:rsid w:val="006E5A26"/>
    <w:rsid w:val="006E62C7"/>
    <w:rsid w:val="006E6494"/>
    <w:rsid w:val="006E6916"/>
    <w:rsid w:val="006E71F6"/>
    <w:rsid w:val="006E773A"/>
    <w:rsid w:val="006E77BC"/>
    <w:rsid w:val="006F0C57"/>
    <w:rsid w:val="006F101B"/>
    <w:rsid w:val="006F1800"/>
    <w:rsid w:val="006F189D"/>
    <w:rsid w:val="006F22CF"/>
    <w:rsid w:val="006F2643"/>
    <w:rsid w:val="006F2E79"/>
    <w:rsid w:val="006F31E7"/>
    <w:rsid w:val="006F3835"/>
    <w:rsid w:val="006F390A"/>
    <w:rsid w:val="006F4629"/>
    <w:rsid w:val="006F4911"/>
    <w:rsid w:val="006F4985"/>
    <w:rsid w:val="006F500C"/>
    <w:rsid w:val="006F59BA"/>
    <w:rsid w:val="006F5A3F"/>
    <w:rsid w:val="006F6740"/>
    <w:rsid w:val="006F6771"/>
    <w:rsid w:val="006F70C0"/>
    <w:rsid w:val="006F7903"/>
    <w:rsid w:val="006F7AEF"/>
    <w:rsid w:val="006F7C04"/>
    <w:rsid w:val="006F7F0A"/>
    <w:rsid w:val="00700033"/>
    <w:rsid w:val="007003FE"/>
    <w:rsid w:val="00700487"/>
    <w:rsid w:val="00700502"/>
    <w:rsid w:val="007009E7"/>
    <w:rsid w:val="00701DD1"/>
    <w:rsid w:val="00701F08"/>
    <w:rsid w:val="00702138"/>
    <w:rsid w:val="00702CB5"/>
    <w:rsid w:val="00702D34"/>
    <w:rsid w:val="00702D5F"/>
    <w:rsid w:val="0070361F"/>
    <w:rsid w:val="00703709"/>
    <w:rsid w:val="0070406C"/>
    <w:rsid w:val="00704893"/>
    <w:rsid w:val="00704995"/>
    <w:rsid w:val="00704BA7"/>
    <w:rsid w:val="00704E9A"/>
    <w:rsid w:val="00704F1C"/>
    <w:rsid w:val="00705496"/>
    <w:rsid w:val="0070597C"/>
    <w:rsid w:val="00705C75"/>
    <w:rsid w:val="00705D37"/>
    <w:rsid w:val="00705E69"/>
    <w:rsid w:val="0070601C"/>
    <w:rsid w:val="00706232"/>
    <w:rsid w:val="00706508"/>
    <w:rsid w:val="007065C6"/>
    <w:rsid w:val="0070665E"/>
    <w:rsid w:val="00706D9A"/>
    <w:rsid w:val="0070731E"/>
    <w:rsid w:val="00707AF6"/>
    <w:rsid w:val="00710571"/>
    <w:rsid w:val="007106CF"/>
    <w:rsid w:val="00710720"/>
    <w:rsid w:val="00710C82"/>
    <w:rsid w:val="007111CB"/>
    <w:rsid w:val="007111DF"/>
    <w:rsid w:val="00711972"/>
    <w:rsid w:val="00711D5E"/>
    <w:rsid w:val="00711F03"/>
    <w:rsid w:val="007126D7"/>
    <w:rsid w:val="00712706"/>
    <w:rsid w:val="00712B8C"/>
    <w:rsid w:val="00712C1D"/>
    <w:rsid w:val="0071351D"/>
    <w:rsid w:val="00713EF5"/>
    <w:rsid w:val="007141CB"/>
    <w:rsid w:val="007146B3"/>
    <w:rsid w:val="00714EF6"/>
    <w:rsid w:val="007152DF"/>
    <w:rsid w:val="00715A88"/>
    <w:rsid w:val="00716432"/>
    <w:rsid w:val="00716CE1"/>
    <w:rsid w:val="00716DBE"/>
    <w:rsid w:val="00717160"/>
    <w:rsid w:val="007174E0"/>
    <w:rsid w:val="007177CA"/>
    <w:rsid w:val="00717868"/>
    <w:rsid w:val="00717A77"/>
    <w:rsid w:val="00717E1E"/>
    <w:rsid w:val="00717FD5"/>
    <w:rsid w:val="007201E4"/>
    <w:rsid w:val="00720573"/>
    <w:rsid w:val="007207BB"/>
    <w:rsid w:val="007208D7"/>
    <w:rsid w:val="007213F8"/>
    <w:rsid w:val="00721E8C"/>
    <w:rsid w:val="00722835"/>
    <w:rsid w:val="00722F83"/>
    <w:rsid w:val="007232AC"/>
    <w:rsid w:val="007234C8"/>
    <w:rsid w:val="00723713"/>
    <w:rsid w:val="00723731"/>
    <w:rsid w:val="007239E2"/>
    <w:rsid w:val="00723F58"/>
    <w:rsid w:val="00723F60"/>
    <w:rsid w:val="0072402F"/>
    <w:rsid w:val="00724224"/>
    <w:rsid w:val="00724377"/>
    <w:rsid w:val="0072505B"/>
    <w:rsid w:val="00725401"/>
    <w:rsid w:val="00725568"/>
    <w:rsid w:val="00726891"/>
    <w:rsid w:val="00726AB4"/>
    <w:rsid w:val="00726CF5"/>
    <w:rsid w:val="007272E5"/>
    <w:rsid w:val="00727898"/>
    <w:rsid w:val="007279CD"/>
    <w:rsid w:val="00727EA3"/>
    <w:rsid w:val="007300DC"/>
    <w:rsid w:val="007312BA"/>
    <w:rsid w:val="007316EC"/>
    <w:rsid w:val="00731E88"/>
    <w:rsid w:val="00731F82"/>
    <w:rsid w:val="00732118"/>
    <w:rsid w:val="007334FF"/>
    <w:rsid w:val="007336EF"/>
    <w:rsid w:val="00733CC0"/>
    <w:rsid w:val="00733DF4"/>
    <w:rsid w:val="00733FC4"/>
    <w:rsid w:val="0073435D"/>
    <w:rsid w:val="00734592"/>
    <w:rsid w:val="00734682"/>
    <w:rsid w:val="0073483A"/>
    <w:rsid w:val="00734A48"/>
    <w:rsid w:val="00734D92"/>
    <w:rsid w:val="00734E54"/>
    <w:rsid w:val="00735A79"/>
    <w:rsid w:val="00735AEF"/>
    <w:rsid w:val="00735E72"/>
    <w:rsid w:val="00736085"/>
    <w:rsid w:val="007362DD"/>
    <w:rsid w:val="007363E8"/>
    <w:rsid w:val="0073695E"/>
    <w:rsid w:val="00736F4B"/>
    <w:rsid w:val="007371F0"/>
    <w:rsid w:val="00737235"/>
    <w:rsid w:val="0073730F"/>
    <w:rsid w:val="007378CF"/>
    <w:rsid w:val="00737A18"/>
    <w:rsid w:val="00737B34"/>
    <w:rsid w:val="00737F4B"/>
    <w:rsid w:val="00740020"/>
    <w:rsid w:val="00740118"/>
    <w:rsid w:val="007402A9"/>
    <w:rsid w:val="007409D0"/>
    <w:rsid w:val="00740A76"/>
    <w:rsid w:val="00741431"/>
    <w:rsid w:val="0074148C"/>
    <w:rsid w:val="00741693"/>
    <w:rsid w:val="00741903"/>
    <w:rsid w:val="007419BB"/>
    <w:rsid w:val="00741B65"/>
    <w:rsid w:val="00741CE9"/>
    <w:rsid w:val="0074204B"/>
    <w:rsid w:val="00742122"/>
    <w:rsid w:val="0074238F"/>
    <w:rsid w:val="00742978"/>
    <w:rsid w:val="007429DB"/>
    <w:rsid w:val="00742A1D"/>
    <w:rsid w:val="007431C2"/>
    <w:rsid w:val="0074342F"/>
    <w:rsid w:val="00743F32"/>
    <w:rsid w:val="007440CE"/>
    <w:rsid w:val="00744683"/>
    <w:rsid w:val="00744B6E"/>
    <w:rsid w:val="00744CEC"/>
    <w:rsid w:val="00744DB5"/>
    <w:rsid w:val="00744F40"/>
    <w:rsid w:val="00745130"/>
    <w:rsid w:val="007454F7"/>
    <w:rsid w:val="007465A9"/>
    <w:rsid w:val="007467A3"/>
    <w:rsid w:val="00746BCB"/>
    <w:rsid w:val="00746FDF"/>
    <w:rsid w:val="007471F8"/>
    <w:rsid w:val="00747640"/>
    <w:rsid w:val="00747AD8"/>
    <w:rsid w:val="00747FFE"/>
    <w:rsid w:val="0075013C"/>
    <w:rsid w:val="0075033D"/>
    <w:rsid w:val="007509BE"/>
    <w:rsid w:val="007509F3"/>
    <w:rsid w:val="0075111C"/>
    <w:rsid w:val="00751552"/>
    <w:rsid w:val="0075164A"/>
    <w:rsid w:val="00751B8E"/>
    <w:rsid w:val="00751CA9"/>
    <w:rsid w:val="00751D2C"/>
    <w:rsid w:val="007523D3"/>
    <w:rsid w:val="007528C6"/>
    <w:rsid w:val="00752928"/>
    <w:rsid w:val="00752BA9"/>
    <w:rsid w:val="00752D2C"/>
    <w:rsid w:val="00752EEA"/>
    <w:rsid w:val="0075308F"/>
    <w:rsid w:val="00753993"/>
    <w:rsid w:val="00753AC2"/>
    <w:rsid w:val="00753CAB"/>
    <w:rsid w:val="00753DD5"/>
    <w:rsid w:val="00753FAA"/>
    <w:rsid w:val="0075405B"/>
    <w:rsid w:val="00754161"/>
    <w:rsid w:val="00754213"/>
    <w:rsid w:val="00754790"/>
    <w:rsid w:val="007547B9"/>
    <w:rsid w:val="007549F0"/>
    <w:rsid w:val="00754BEB"/>
    <w:rsid w:val="00754BFF"/>
    <w:rsid w:val="00754F2E"/>
    <w:rsid w:val="00755BF3"/>
    <w:rsid w:val="00755D43"/>
    <w:rsid w:val="007562DE"/>
    <w:rsid w:val="00756BC8"/>
    <w:rsid w:val="007574F0"/>
    <w:rsid w:val="00757D09"/>
    <w:rsid w:val="00757F07"/>
    <w:rsid w:val="00760266"/>
    <w:rsid w:val="00760364"/>
    <w:rsid w:val="007603CE"/>
    <w:rsid w:val="00760D02"/>
    <w:rsid w:val="007618E5"/>
    <w:rsid w:val="00761E68"/>
    <w:rsid w:val="007624BA"/>
    <w:rsid w:val="00762B10"/>
    <w:rsid w:val="00763418"/>
    <w:rsid w:val="00763953"/>
    <w:rsid w:val="00764057"/>
    <w:rsid w:val="007641D1"/>
    <w:rsid w:val="00764264"/>
    <w:rsid w:val="00764EC3"/>
    <w:rsid w:val="007666B2"/>
    <w:rsid w:val="007668BC"/>
    <w:rsid w:val="00766C5E"/>
    <w:rsid w:val="0076749A"/>
    <w:rsid w:val="007675A5"/>
    <w:rsid w:val="0076766F"/>
    <w:rsid w:val="007679F6"/>
    <w:rsid w:val="00767D4C"/>
    <w:rsid w:val="00767F57"/>
    <w:rsid w:val="007700A4"/>
    <w:rsid w:val="00770364"/>
    <w:rsid w:val="00770C0B"/>
    <w:rsid w:val="00770D5B"/>
    <w:rsid w:val="00770EB5"/>
    <w:rsid w:val="00771098"/>
    <w:rsid w:val="00771465"/>
    <w:rsid w:val="00772A6B"/>
    <w:rsid w:val="00772AE8"/>
    <w:rsid w:val="00772F61"/>
    <w:rsid w:val="0077325B"/>
    <w:rsid w:val="00773327"/>
    <w:rsid w:val="0077338D"/>
    <w:rsid w:val="007734F1"/>
    <w:rsid w:val="00773A05"/>
    <w:rsid w:val="00773D50"/>
    <w:rsid w:val="00774183"/>
    <w:rsid w:val="00774536"/>
    <w:rsid w:val="00774D1E"/>
    <w:rsid w:val="00775B2E"/>
    <w:rsid w:val="00776055"/>
    <w:rsid w:val="00776BB1"/>
    <w:rsid w:val="007776F7"/>
    <w:rsid w:val="007778F8"/>
    <w:rsid w:val="00777ABE"/>
    <w:rsid w:val="00777D74"/>
    <w:rsid w:val="00777FC7"/>
    <w:rsid w:val="0078050C"/>
    <w:rsid w:val="00780563"/>
    <w:rsid w:val="007806CE"/>
    <w:rsid w:val="00780819"/>
    <w:rsid w:val="00780913"/>
    <w:rsid w:val="0078092E"/>
    <w:rsid w:val="00780E3B"/>
    <w:rsid w:val="007815CB"/>
    <w:rsid w:val="00781B81"/>
    <w:rsid w:val="00782046"/>
    <w:rsid w:val="00782118"/>
    <w:rsid w:val="00782AB4"/>
    <w:rsid w:val="00782C5B"/>
    <w:rsid w:val="007830D3"/>
    <w:rsid w:val="0078353F"/>
    <w:rsid w:val="0078360E"/>
    <w:rsid w:val="00783616"/>
    <w:rsid w:val="00784104"/>
    <w:rsid w:val="00784744"/>
    <w:rsid w:val="007847E0"/>
    <w:rsid w:val="0078480E"/>
    <w:rsid w:val="00784F32"/>
    <w:rsid w:val="007856E1"/>
    <w:rsid w:val="007859E0"/>
    <w:rsid w:val="00785C95"/>
    <w:rsid w:val="00785FBD"/>
    <w:rsid w:val="00786176"/>
    <w:rsid w:val="0078617F"/>
    <w:rsid w:val="0078618D"/>
    <w:rsid w:val="00786398"/>
    <w:rsid w:val="007864A0"/>
    <w:rsid w:val="00786825"/>
    <w:rsid w:val="00786CB7"/>
    <w:rsid w:val="00786D71"/>
    <w:rsid w:val="00786EBD"/>
    <w:rsid w:val="007871DB"/>
    <w:rsid w:val="007879B6"/>
    <w:rsid w:val="00787A69"/>
    <w:rsid w:val="00787B23"/>
    <w:rsid w:val="00787C3E"/>
    <w:rsid w:val="00787EB6"/>
    <w:rsid w:val="00787F7A"/>
    <w:rsid w:val="00790410"/>
    <w:rsid w:val="00790644"/>
    <w:rsid w:val="007907B2"/>
    <w:rsid w:val="0079125B"/>
    <w:rsid w:val="007915FB"/>
    <w:rsid w:val="00791AE3"/>
    <w:rsid w:val="00791CB7"/>
    <w:rsid w:val="00791DF5"/>
    <w:rsid w:val="00791EC4"/>
    <w:rsid w:val="00792473"/>
    <w:rsid w:val="007928DF"/>
    <w:rsid w:val="00793631"/>
    <w:rsid w:val="007938B9"/>
    <w:rsid w:val="00793A19"/>
    <w:rsid w:val="00793ABC"/>
    <w:rsid w:val="00793AC5"/>
    <w:rsid w:val="007941B5"/>
    <w:rsid w:val="007942F6"/>
    <w:rsid w:val="00794A07"/>
    <w:rsid w:val="00794A10"/>
    <w:rsid w:val="00794FCD"/>
    <w:rsid w:val="007953FA"/>
    <w:rsid w:val="00795456"/>
    <w:rsid w:val="0079600F"/>
    <w:rsid w:val="00796168"/>
    <w:rsid w:val="007966D2"/>
    <w:rsid w:val="00796E7B"/>
    <w:rsid w:val="00797459"/>
    <w:rsid w:val="00797AA2"/>
    <w:rsid w:val="00797C00"/>
    <w:rsid w:val="00797E5B"/>
    <w:rsid w:val="007A03A0"/>
    <w:rsid w:val="007A041D"/>
    <w:rsid w:val="007A07E9"/>
    <w:rsid w:val="007A14E2"/>
    <w:rsid w:val="007A18E5"/>
    <w:rsid w:val="007A1EB7"/>
    <w:rsid w:val="007A26FA"/>
    <w:rsid w:val="007A2702"/>
    <w:rsid w:val="007A2A35"/>
    <w:rsid w:val="007A35BD"/>
    <w:rsid w:val="007A36AC"/>
    <w:rsid w:val="007A3974"/>
    <w:rsid w:val="007A39BE"/>
    <w:rsid w:val="007A3DA0"/>
    <w:rsid w:val="007A424A"/>
    <w:rsid w:val="007A431C"/>
    <w:rsid w:val="007A449B"/>
    <w:rsid w:val="007A452D"/>
    <w:rsid w:val="007A47B2"/>
    <w:rsid w:val="007A4C7E"/>
    <w:rsid w:val="007A5530"/>
    <w:rsid w:val="007A55F1"/>
    <w:rsid w:val="007A5B8D"/>
    <w:rsid w:val="007A5DB2"/>
    <w:rsid w:val="007A634D"/>
    <w:rsid w:val="007A63C6"/>
    <w:rsid w:val="007A64F8"/>
    <w:rsid w:val="007A6723"/>
    <w:rsid w:val="007A69DF"/>
    <w:rsid w:val="007A6D0A"/>
    <w:rsid w:val="007A7B0E"/>
    <w:rsid w:val="007A7D67"/>
    <w:rsid w:val="007B033A"/>
    <w:rsid w:val="007B0B6D"/>
    <w:rsid w:val="007B0C7D"/>
    <w:rsid w:val="007B160E"/>
    <w:rsid w:val="007B193B"/>
    <w:rsid w:val="007B1D3C"/>
    <w:rsid w:val="007B2613"/>
    <w:rsid w:val="007B2AD2"/>
    <w:rsid w:val="007B3082"/>
    <w:rsid w:val="007B316E"/>
    <w:rsid w:val="007B32B4"/>
    <w:rsid w:val="007B3348"/>
    <w:rsid w:val="007B388D"/>
    <w:rsid w:val="007B3A20"/>
    <w:rsid w:val="007B4163"/>
    <w:rsid w:val="007B48E0"/>
    <w:rsid w:val="007B4CF0"/>
    <w:rsid w:val="007B4D4F"/>
    <w:rsid w:val="007B5406"/>
    <w:rsid w:val="007B5D53"/>
    <w:rsid w:val="007B5D84"/>
    <w:rsid w:val="007B5E2F"/>
    <w:rsid w:val="007B6340"/>
    <w:rsid w:val="007B6896"/>
    <w:rsid w:val="007B6900"/>
    <w:rsid w:val="007B6CB9"/>
    <w:rsid w:val="007B6F51"/>
    <w:rsid w:val="007B705C"/>
    <w:rsid w:val="007B70DD"/>
    <w:rsid w:val="007B7298"/>
    <w:rsid w:val="007B738A"/>
    <w:rsid w:val="007B75FF"/>
    <w:rsid w:val="007B7877"/>
    <w:rsid w:val="007C0E06"/>
    <w:rsid w:val="007C0E45"/>
    <w:rsid w:val="007C0F80"/>
    <w:rsid w:val="007C1C69"/>
    <w:rsid w:val="007C23B9"/>
    <w:rsid w:val="007C2F14"/>
    <w:rsid w:val="007C30BF"/>
    <w:rsid w:val="007C349C"/>
    <w:rsid w:val="007C3BC7"/>
    <w:rsid w:val="007C4245"/>
    <w:rsid w:val="007C42FD"/>
    <w:rsid w:val="007C499C"/>
    <w:rsid w:val="007C4B03"/>
    <w:rsid w:val="007C5360"/>
    <w:rsid w:val="007C53D2"/>
    <w:rsid w:val="007C567E"/>
    <w:rsid w:val="007C5C4F"/>
    <w:rsid w:val="007C5E3B"/>
    <w:rsid w:val="007C5F15"/>
    <w:rsid w:val="007C63FA"/>
    <w:rsid w:val="007C6867"/>
    <w:rsid w:val="007C6F03"/>
    <w:rsid w:val="007C7797"/>
    <w:rsid w:val="007C7874"/>
    <w:rsid w:val="007C7981"/>
    <w:rsid w:val="007D08A2"/>
    <w:rsid w:val="007D0A38"/>
    <w:rsid w:val="007D0D53"/>
    <w:rsid w:val="007D1387"/>
    <w:rsid w:val="007D1568"/>
    <w:rsid w:val="007D18D9"/>
    <w:rsid w:val="007D1E45"/>
    <w:rsid w:val="007D292C"/>
    <w:rsid w:val="007D334B"/>
    <w:rsid w:val="007D366D"/>
    <w:rsid w:val="007D3942"/>
    <w:rsid w:val="007D39E6"/>
    <w:rsid w:val="007D3AEB"/>
    <w:rsid w:val="007D42C4"/>
    <w:rsid w:val="007D440B"/>
    <w:rsid w:val="007D461F"/>
    <w:rsid w:val="007D547A"/>
    <w:rsid w:val="007D54C0"/>
    <w:rsid w:val="007D5BDA"/>
    <w:rsid w:val="007D5C1A"/>
    <w:rsid w:val="007D5D0A"/>
    <w:rsid w:val="007D640A"/>
    <w:rsid w:val="007D6446"/>
    <w:rsid w:val="007D6474"/>
    <w:rsid w:val="007D672E"/>
    <w:rsid w:val="007D6B17"/>
    <w:rsid w:val="007D6D19"/>
    <w:rsid w:val="007D710B"/>
    <w:rsid w:val="007D7443"/>
    <w:rsid w:val="007D7606"/>
    <w:rsid w:val="007D7E14"/>
    <w:rsid w:val="007E03E8"/>
    <w:rsid w:val="007E0704"/>
    <w:rsid w:val="007E0C3C"/>
    <w:rsid w:val="007E10E7"/>
    <w:rsid w:val="007E1385"/>
    <w:rsid w:val="007E13D5"/>
    <w:rsid w:val="007E14BE"/>
    <w:rsid w:val="007E19D0"/>
    <w:rsid w:val="007E1A59"/>
    <w:rsid w:val="007E2E84"/>
    <w:rsid w:val="007E3789"/>
    <w:rsid w:val="007E379E"/>
    <w:rsid w:val="007E3F33"/>
    <w:rsid w:val="007E3FC5"/>
    <w:rsid w:val="007E4094"/>
    <w:rsid w:val="007E4287"/>
    <w:rsid w:val="007E484F"/>
    <w:rsid w:val="007E4CA7"/>
    <w:rsid w:val="007E53BB"/>
    <w:rsid w:val="007E55F4"/>
    <w:rsid w:val="007E5BCD"/>
    <w:rsid w:val="007E6169"/>
    <w:rsid w:val="007E619A"/>
    <w:rsid w:val="007E629F"/>
    <w:rsid w:val="007E6692"/>
    <w:rsid w:val="007E7602"/>
    <w:rsid w:val="007E7C23"/>
    <w:rsid w:val="007E7F36"/>
    <w:rsid w:val="007F063B"/>
    <w:rsid w:val="007F0B1C"/>
    <w:rsid w:val="007F0DFC"/>
    <w:rsid w:val="007F107A"/>
    <w:rsid w:val="007F13E8"/>
    <w:rsid w:val="007F17AB"/>
    <w:rsid w:val="007F18EF"/>
    <w:rsid w:val="007F1BC0"/>
    <w:rsid w:val="007F1E8D"/>
    <w:rsid w:val="007F2906"/>
    <w:rsid w:val="007F2BAB"/>
    <w:rsid w:val="007F2C9F"/>
    <w:rsid w:val="007F2E89"/>
    <w:rsid w:val="007F2ED3"/>
    <w:rsid w:val="007F3978"/>
    <w:rsid w:val="007F3EBC"/>
    <w:rsid w:val="007F40BF"/>
    <w:rsid w:val="007F4681"/>
    <w:rsid w:val="007F483D"/>
    <w:rsid w:val="007F55BD"/>
    <w:rsid w:val="007F5EE4"/>
    <w:rsid w:val="007F618F"/>
    <w:rsid w:val="007F64C4"/>
    <w:rsid w:val="007F6903"/>
    <w:rsid w:val="007F6F33"/>
    <w:rsid w:val="007F6FD8"/>
    <w:rsid w:val="007F77A0"/>
    <w:rsid w:val="007F77C4"/>
    <w:rsid w:val="007F7D85"/>
    <w:rsid w:val="007F7EBD"/>
    <w:rsid w:val="00800861"/>
    <w:rsid w:val="00800C49"/>
    <w:rsid w:val="0080195C"/>
    <w:rsid w:val="00801B49"/>
    <w:rsid w:val="00801DD8"/>
    <w:rsid w:val="0080207B"/>
    <w:rsid w:val="008022A4"/>
    <w:rsid w:val="00802449"/>
    <w:rsid w:val="00803744"/>
    <w:rsid w:val="00803901"/>
    <w:rsid w:val="00803A63"/>
    <w:rsid w:val="00804487"/>
    <w:rsid w:val="0080472F"/>
    <w:rsid w:val="008047D6"/>
    <w:rsid w:val="008048DC"/>
    <w:rsid w:val="00804B66"/>
    <w:rsid w:val="00804F7B"/>
    <w:rsid w:val="00805107"/>
    <w:rsid w:val="0080537A"/>
    <w:rsid w:val="0080560E"/>
    <w:rsid w:val="00805700"/>
    <w:rsid w:val="008057E4"/>
    <w:rsid w:val="00806A93"/>
    <w:rsid w:val="00806CD4"/>
    <w:rsid w:val="00807218"/>
    <w:rsid w:val="0080742E"/>
    <w:rsid w:val="008074AB"/>
    <w:rsid w:val="00807740"/>
    <w:rsid w:val="0080789C"/>
    <w:rsid w:val="00807B87"/>
    <w:rsid w:val="00807D21"/>
    <w:rsid w:val="00807DF2"/>
    <w:rsid w:val="00810335"/>
    <w:rsid w:val="0081049D"/>
    <w:rsid w:val="00810981"/>
    <w:rsid w:val="00810DCF"/>
    <w:rsid w:val="0081154A"/>
    <w:rsid w:val="008116BA"/>
    <w:rsid w:val="00811BBD"/>
    <w:rsid w:val="00811CCC"/>
    <w:rsid w:val="008120AB"/>
    <w:rsid w:val="00812249"/>
    <w:rsid w:val="0081266C"/>
    <w:rsid w:val="00812AD9"/>
    <w:rsid w:val="0081363E"/>
    <w:rsid w:val="0081371F"/>
    <w:rsid w:val="00813BF0"/>
    <w:rsid w:val="00813D1F"/>
    <w:rsid w:val="00813F2F"/>
    <w:rsid w:val="0081413B"/>
    <w:rsid w:val="0081429D"/>
    <w:rsid w:val="008145D6"/>
    <w:rsid w:val="0081473F"/>
    <w:rsid w:val="0081484D"/>
    <w:rsid w:val="008148D2"/>
    <w:rsid w:val="00814CB4"/>
    <w:rsid w:val="00814FFB"/>
    <w:rsid w:val="00815C69"/>
    <w:rsid w:val="00815CE4"/>
    <w:rsid w:val="00815E22"/>
    <w:rsid w:val="00815F51"/>
    <w:rsid w:val="008162FB"/>
    <w:rsid w:val="00816305"/>
    <w:rsid w:val="00816635"/>
    <w:rsid w:val="0081685B"/>
    <w:rsid w:val="008168AD"/>
    <w:rsid w:val="008169C8"/>
    <w:rsid w:val="00816AAA"/>
    <w:rsid w:val="00816B69"/>
    <w:rsid w:val="00816FAA"/>
    <w:rsid w:val="00817458"/>
    <w:rsid w:val="00817497"/>
    <w:rsid w:val="00817C22"/>
    <w:rsid w:val="00817C6A"/>
    <w:rsid w:val="00817E99"/>
    <w:rsid w:val="008205D9"/>
    <w:rsid w:val="008206E4"/>
    <w:rsid w:val="00820772"/>
    <w:rsid w:val="008207A2"/>
    <w:rsid w:val="0082091C"/>
    <w:rsid w:val="00820FB9"/>
    <w:rsid w:val="008210CA"/>
    <w:rsid w:val="008214CE"/>
    <w:rsid w:val="00821D94"/>
    <w:rsid w:val="00822416"/>
    <w:rsid w:val="00822E33"/>
    <w:rsid w:val="008231A9"/>
    <w:rsid w:val="008233F2"/>
    <w:rsid w:val="0082369E"/>
    <w:rsid w:val="00823ABF"/>
    <w:rsid w:val="00823B80"/>
    <w:rsid w:val="00823C64"/>
    <w:rsid w:val="00823DC9"/>
    <w:rsid w:val="00823EFC"/>
    <w:rsid w:val="00823FA2"/>
    <w:rsid w:val="008241EF"/>
    <w:rsid w:val="0082450A"/>
    <w:rsid w:val="00824AD4"/>
    <w:rsid w:val="00825771"/>
    <w:rsid w:val="0082590A"/>
    <w:rsid w:val="008259B5"/>
    <w:rsid w:val="00826129"/>
    <w:rsid w:val="00826C7A"/>
    <w:rsid w:val="00826CF4"/>
    <w:rsid w:val="00827497"/>
    <w:rsid w:val="00827623"/>
    <w:rsid w:val="00827681"/>
    <w:rsid w:val="00827D9F"/>
    <w:rsid w:val="00827F39"/>
    <w:rsid w:val="008303E2"/>
    <w:rsid w:val="008305CA"/>
    <w:rsid w:val="008306C1"/>
    <w:rsid w:val="0083070C"/>
    <w:rsid w:val="008307E6"/>
    <w:rsid w:val="00830C34"/>
    <w:rsid w:val="00831117"/>
    <w:rsid w:val="0083149C"/>
    <w:rsid w:val="00831591"/>
    <w:rsid w:val="00831B3E"/>
    <w:rsid w:val="00832283"/>
    <w:rsid w:val="00832BB9"/>
    <w:rsid w:val="00832C9C"/>
    <w:rsid w:val="00832FE7"/>
    <w:rsid w:val="008330A3"/>
    <w:rsid w:val="00833D6A"/>
    <w:rsid w:val="00834409"/>
    <w:rsid w:val="00834420"/>
    <w:rsid w:val="0083564E"/>
    <w:rsid w:val="008356E6"/>
    <w:rsid w:val="00835A9F"/>
    <w:rsid w:val="00835B66"/>
    <w:rsid w:val="00835D93"/>
    <w:rsid w:val="00836943"/>
    <w:rsid w:val="0083748F"/>
    <w:rsid w:val="00837537"/>
    <w:rsid w:val="0083793C"/>
    <w:rsid w:val="00837C83"/>
    <w:rsid w:val="008402E4"/>
    <w:rsid w:val="00840578"/>
    <w:rsid w:val="008408F1"/>
    <w:rsid w:val="008419E1"/>
    <w:rsid w:val="00841B10"/>
    <w:rsid w:val="00841C87"/>
    <w:rsid w:val="00841D10"/>
    <w:rsid w:val="008423F6"/>
    <w:rsid w:val="00842CCB"/>
    <w:rsid w:val="00842E9E"/>
    <w:rsid w:val="00843D66"/>
    <w:rsid w:val="00844186"/>
    <w:rsid w:val="0084448C"/>
    <w:rsid w:val="00844782"/>
    <w:rsid w:val="00844C17"/>
    <w:rsid w:val="00844D1B"/>
    <w:rsid w:val="008450CD"/>
    <w:rsid w:val="00845DAC"/>
    <w:rsid w:val="008465B0"/>
    <w:rsid w:val="0084662C"/>
    <w:rsid w:val="00846D4C"/>
    <w:rsid w:val="008502AB"/>
    <w:rsid w:val="0085041D"/>
    <w:rsid w:val="008504C2"/>
    <w:rsid w:val="00850664"/>
    <w:rsid w:val="008515CC"/>
    <w:rsid w:val="00851C46"/>
    <w:rsid w:val="00851FAC"/>
    <w:rsid w:val="00852C2B"/>
    <w:rsid w:val="00852C5A"/>
    <w:rsid w:val="00853466"/>
    <w:rsid w:val="00853A8C"/>
    <w:rsid w:val="00854465"/>
    <w:rsid w:val="00854E30"/>
    <w:rsid w:val="008550C3"/>
    <w:rsid w:val="00856AF0"/>
    <w:rsid w:val="00860524"/>
    <w:rsid w:val="008605EB"/>
    <w:rsid w:val="00860633"/>
    <w:rsid w:val="00860EB3"/>
    <w:rsid w:val="00860EE5"/>
    <w:rsid w:val="00861C93"/>
    <w:rsid w:val="00862086"/>
    <w:rsid w:val="00862912"/>
    <w:rsid w:val="00862A3F"/>
    <w:rsid w:val="00862EEA"/>
    <w:rsid w:val="008630B5"/>
    <w:rsid w:val="00863540"/>
    <w:rsid w:val="00863880"/>
    <w:rsid w:val="00863992"/>
    <w:rsid w:val="00863EE1"/>
    <w:rsid w:val="00864357"/>
    <w:rsid w:val="00865C35"/>
    <w:rsid w:val="00866348"/>
    <w:rsid w:val="0086705E"/>
    <w:rsid w:val="00867127"/>
    <w:rsid w:val="00867425"/>
    <w:rsid w:val="00867692"/>
    <w:rsid w:val="008679C5"/>
    <w:rsid w:val="00867E9C"/>
    <w:rsid w:val="00867F12"/>
    <w:rsid w:val="00870232"/>
    <w:rsid w:val="00870360"/>
    <w:rsid w:val="00870368"/>
    <w:rsid w:val="00870C2E"/>
    <w:rsid w:val="00870C9A"/>
    <w:rsid w:val="00870DAA"/>
    <w:rsid w:val="008711F6"/>
    <w:rsid w:val="008718B4"/>
    <w:rsid w:val="00871C56"/>
    <w:rsid w:val="0087271C"/>
    <w:rsid w:val="00872766"/>
    <w:rsid w:val="00872904"/>
    <w:rsid w:val="00873262"/>
    <w:rsid w:val="008738DA"/>
    <w:rsid w:val="00873A70"/>
    <w:rsid w:val="00873B9C"/>
    <w:rsid w:val="00873E15"/>
    <w:rsid w:val="00873FAA"/>
    <w:rsid w:val="00874297"/>
    <w:rsid w:val="0087453A"/>
    <w:rsid w:val="008747BF"/>
    <w:rsid w:val="008752DD"/>
    <w:rsid w:val="008753CA"/>
    <w:rsid w:val="00875778"/>
    <w:rsid w:val="00875BB4"/>
    <w:rsid w:val="00875C89"/>
    <w:rsid w:val="00875E24"/>
    <w:rsid w:val="00876088"/>
    <w:rsid w:val="008765A3"/>
    <w:rsid w:val="008766F4"/>
    <w:rsid w:val="00877029"/>
    <w:rsid w:val="0087742D"/>
    <w:rsid w:val="0087787F"/>
    <w:rsid w:val="00877C34"/>
    <w:rsid w:val="00877CB2"/>
    <w:rsid w:val="00877D55"/>
    <w:rsid w:val="0088051B"/>
    <w:rsid w:val="008806E7"/>
    <w:rsid w:val="00880860"/>
    <w:rsid w:val="00881708"/>
    <w:rsid w:val="00881B78"/>
    <w:rsid w:val="00881EC1"/>
    <w:rsid w:val="0088239A"/>
    <w:rsid w:val="008823D1"/>
    <w:rsid w:val="008825A4"/>
    <w:rsid w:val="008845A2"/>
    <w:rsid w:val="008847BC"/>
    <w:rsid w:val="00884FCC"/>
    <w:rsid w:val="008850E2"/>
    <w:rsid w:val="00885561"/>
    <w:rsid w:val="00885570"/>
    <w:rsid w:val="008857A3"/>
    <w:rsid w:val="00885E36"/>
    <w:rsid w:val="008860D5"/>
    <w:rsid w:val="00886301"/>
    <w:rsid w:val="0088682F"/>
    <w:rsid w:val="008869A4"/>
    <w:rsid w:val="00887E92"/>
    <w:rsid w:val="00890D46"/>
    <w:rsid w:val="00890D61"/>
    <w:rsid w:val="008913F1"/>
    <w:rsid w:val="008917F7"/>
    <w:rsid w:val="00891B32"/>
    <w:rsid w:val="00891E26"/>
    <w:rsid w:val="00891EDF"/>
    <w:rsid w:val="008920CA"/>
    <w:rsid w:val="00892B45"/>
    <w:rsid w:val="00892D9E"/>
    <w:rsid w:val="008932A6"/>
    <w:rsid w:val="008934E9"/>
    <w:rsid w:val="008939C0"/>
    <w:rsid w:val="00893C25"/>
    <w:rsid w:val="008941C6"/>
    <w:rsid w:val="00894490"/>
    <w:rsid w:val="00894575"/>
    <w:rsid w:val="008946B4"/>
    <w:rsid w:val="00894775"/>
    <w:rsid w:val="00895A33"/>
    <w:rsid w:val="00895F18"/>
    <w:rsid w:val="00896C1B"/>
    <w:rsid w:val="00896FC4"/>
    <w:rsid w:val="00897C13"/>
    <w:rsid w:val="00897EDA"/>
    <w:rsid w:val="008A0DE0"/>
    <w:rsid w:val="008A0E66"/>
    <w:rsid w:val="008A1166"/>
    <w:rsid w:val="008A12BF"/>
    <w:rsid w:val="008A161E"/>
    <w:rsid w:val="008A198D"/>
    <w:rsid w:val="008A1992"/>
    <w:rsid w:val="008A1CEB"/>
    <w:rsid w:val="008A25B2"/>
    <w:rsid w:val="008A28E9"/>
    <w:rsid w:val="008A35E3"/>
    <w:rsid w:val="008A4D24"/>
    <w:rsid w:val="008A5786"/>
    <w:rsid w:val="008A5BD7"/>
    <w:rsid w:val="008A657B"/>
    <w:rsid w:val="008A657C"/>
    <w:rsid w:val="008A6C55"/>
    <w:rsid w:val="008A6EE4"/>
    <w:rsid w:val="008A7931"/>
    <w:rsid w:val="008A79B4"/>
    <w:rsid w:val="008A7EF3"/>
    <w:rsid w:val="008B00D4"/>
    <w:rsid w:val="008B04BF"/>
    <w:rsid w:val="008B0EB7"/>
    <w:rsid w:val="008B0F3C"/>
    <w:rsid w:val="008B126C"/>
    <w:rsid w:val="008B15B5"/>
    <w:rsid w:val="008B15BA"/>
    <w:rsid w:val="008B26D6"/>
    <w:rsid w:val="008B2DDF"/>
    <w:rsid w:val="008B30C0"/>
    <w:rsid w:val="008B3298"/>
    <w:rsid w:val="008B33E9"/>
    <w:rsid w:val="008B36ED"/>
    <w:rsid w:val="008B37D9"/>
    <w:rsid w:val="008B3802"/>
    <w:rsid w:val="008B3F9B"/>
    <w:rsid w:val="008B4097"/>
    <w:rsid w:val="008B41B4"/>
    <w:rsid w:val="008B4496"/>
    <w:rsid w:val="008B4859"/>
    <w:rsid w:val="008B4E0C"/>
    <w:rsid w:val="008B529F"/>
    <w:rsid w:val="008B63BC"/>
    <w:rsid w:val="008B63E8"/>
    <w:rsid w:val="008B679E"/>
    <w:rsid w:val="008B6A48"/>
    <w:rsid w:val="008B6AB5"/>
    <w:rsid w:val="008B6C72"/>
    <w:rsid w:val="008B74EE"/>
    <w:rsid w:val="008B7843"/>
    <w:rsid w:val="008C03D3"/>
    <w:rsid w:val="008C057D"/>
    <w:rsid w:val="008C07F0"/>
    <w:rsid w:val="008C0930"/>
    <w:rsid w:val="008C1421"/>
    <w:rsid w:val="008C25BB"/>
    <w:rsid w:val="008C2804"/>
    <w:rsid w:val="008C299E"/>
    <w:rsid w:val="008C2C6A"/>
    <w:rsid w:val="008C3720"/>
    <w:rsid w:val="008C3759"/>
    <w:rsid w:val="008C3D0C"/>
    <w:rsid w:val="008C418B"/>
    <w:rsid w:val="008C41D2"/>
    <w:rsid w:val="008C44A3"/>
    <w:rsid w:val="008C4C90"/>
    <w:rsid w:val="008C4CFD"/>
    <w:rsid w:val="008C50B7"/>
    <w:rsid w:val="008C5200"/>
    <w:rsid w:val="008C55FD"/>
    <w:rsid w:val="008C59E2"/>
    <w:rsid w:val="008C5CA0"/>
    <w:rsid w:val="008C6AA7"/>
    <w:rsid w:val="008C6C1A"/>
    <w:rsid w:val="008C6E24"/>
    <w:rsid w:val="008C6E36"/>
    <w:rsid w:val="008C7590"/>
    <w:rsid w:val="008D08CD"/>
    <w:rsid w:val="008D0CE6"/>
    <w:rsid w:val="008D0D53"/>
    <w:rsid w:val="008D0E59"/>
    <w:rsid w:val="008D1757"/>
    <w:rsid w:val="008D1872"/>
    <w:rsid w:val="008D1A61"/>
    <w:rsid w:val="008D1D33"/>
    <w:rsid w:val="008D2455"/>
    <w:rsid w:val="008D25BE"/>
    <w:rsid w:val="008D26C4"/>
    <w:rsid w:val="008D32CC"/>
    <w:rsid w:val="008D3ABD"/>
    <w:rsid w:val="008D3CC1"/>
    <w:rsid w:val="008D3F7C"/>
    <w:rsid w:val="008D47A9"/>
    <w:rsid w:val="008D5BBE"/>
    <w:rsid w:val="008D629F"/>
    <w:rsid w:val="008D6A91"/>
    <w:rsid w:val="008D6CA2"/>
    <w:rsid w:val="008D6DFD"/>
    <w:rsid w:val="008D6E21"/>
    <w:rsid w:val="008D72D1"/>
    <w:rsid w:val="008E006E"/>
    <w:rsid w:val="008E0093"/>
    <w:rsid w:val="008E02CA"/>
    <w:rsid w:val="008E0AAB"/>
    <w:rsid w:val="008E11B8"/>
    <w:rsid w:val="008E13D2"/>
    <w:rsid w:val="008E151B"/>
    <w:rsid w:val="008E1645"/>
    <w:rsid w:val="008E17F9"/>
    <w:rsid w:val="008E1818"/>
    <w:rsid w:val="008E1BB3"/>
    <w:rsid w:val="008E2552"/>
    <w:rsid w:val="008E2FAF"/>
    <w:rsid w:val="008E305F"/>
    <w:rsid w:val="008E36BD"/>
    <w:rsid w:val="008E395F"/>
    <w:rsid w:val="008E3EB0"/>
    <w:rsid w:val="008E42AE"/>
    <w:rsid w:val="008E4928"/>
    <w:rsid w:val="008E4A56"/>
    <w:rsid w:val="008E4B28"/>
    <w:rsid w:val="008E4D48"/>
    <w:rsid w:val="008E59ED"/>
    <w:rsid w:val="008E5F19"/>
    <w:rsid w:val="008E6397"/>
    <w:rsid w:val="008E6CB7"/>
    <w:rsid w:val="008E6D16"/>
    <w:rsid w:val="008E6D65"/>
    <w:rsid w:val="008E6DE2"/>
    <w:rsid w:val="008E7E24"/>
    <w:rsid w:val="008E7F83"/>
    <w:rsid w:val="008F00EF"/>
    <w:rsid w:val="008F0337"/>
    <w:rsid w:val="008F0765"/>
    <w:rsid w:val="008F0BB0"/>
    <w:rsid w:val="008F0DCF"/>
    <w:rsid w:val="008F0F2B"/>
    <w:rsid w:val="008F0F90"/>
    <w:rsid w:val="008F1087"/>
    <w:rsid w:val="008F18A1"/>
    <w:rsid w:val="008F19DB"/>
    <w:rsid w:val="008F20C8"/>
    <w:rsid w:val="008F24AD"/>
    <w:rsid w:val="008F2792"/>
    <w:rsid w:val="008F2A54"/>
    <w:rsid w:val="008F2B7A"/>
    <w:rsid w:val="008F351A"/>
    <w:rsid w:val="008F4874"/>
    <w:rsid w:val="008F4C52"/>
    <w:rsid w:val="008F4D80"/>
    <w:rsid w:val="008F5774"/>
    <w:rsid w:val="008F58A1"/>
    <w:rsid w:val="008F5F5D"/>
    <w:rsid w:val="008F63D3"/>
    <w:rsid w:val="008F6FA5"/>
    <w:rsid w:val="008F7097"/>
    <w:rsid w:val="008F7702"/>
    <w:rsid w:val="009001DD"/>
    <w:rsid w:val="00900381"/>
    <w:rsid w:val="00900526"/>
    <w:rsid w:val="00900931"/>
    <w:rsid w:val="00901409"/>
    <w:rsid w:val="009017BE"/>
    <w:rsid w:val="00901E57"/>
    <w:rsid w:val="00901F65"/>
    <w:rsid w:val="00903295"/>
    <w:rsid w:val="0090391A"/>
    <w:rsid w:val="00903BA4"/>
    <w:rsid w:val="00903FA8"/>
    <w:rsid w:val="00904B75"/>
    <w:rsid w:val="009057E1"/>
    <w:rsid w:val="00905BF4"/>
    <w:rsid w:val="00905C2C"/>
    <w:rsid w:val="00905F58"/>
    <w:rsid w:val="00906433"/>
    <w:rsid w:val="009065B8"/>
    <w:rsid w:val="00906748"/>
    <w:rsid w:val="00906763"/>
    <w:rsid w:val="00906901"/>
    <w:rsid w:val="00906B0E"/>
    <w:rsid w:val="00906C29"/>
    <w:rsid w:val="0090717C"/>
    <w:rsid w:val="00907C1C"/>
    <w:rsid w:val="00910371"/>
    <w:rsid w:val="0091040E"/>
    <w:rsid w:val="00910478"/>
    <w:rsid w:val="00911280"/>
    <w:rsid w:val="00912107"/>
    <w:rsid w:val="00912289"/>
    <w:rsid w:val="00912A7F"/>
    <w:rsid w:val="00912ACC"/>
    <w:rsid w:val="009131A4"/>
    <w:rsid w:val="00913C94"/>
    <w:rsid w:val="009140DF"/>
    <w:rsid w:val="00914674"/>
    <w:rsid w:val="00915695"/>
    <w:rsid w:val="00915933"/>
    <w:rsid w:val="00915991"/>
    <w:rsid w:val="00915A00"/>
    <w:rsid w:val="00916187"/>
    <w:rsid w:val="00916500"/>
    <w:rsid w:val="00916986"/>
    <w:rsid w:val="00916B4C"/>
    <w:rsid w:val="00917161"/>
    <w:rsid w:val="009177F0"/>
    <w:rsid w:val="00917862"/>
    <w:rsid w:val="00920251"/>
    <w:rsid w:val="00920507"/>
    <w:rsid w:val="00920C44"/>
    <w:rsid w:val="00920D0B"/>
    <w:rsid w:val="00920E20"/>
    <w:rsid w:val="0092125C"/>
    <w:rsid w:val="009217CF"/>
    <w:rsid w:val="0092196C"/>
    <w:rsid w:val="009221A9"/>
    <w:rsid w:val="0092245A"/>
    <w:rsid w:val="0092280F"/>
    <w:rsid w:val="00922863"/>
    <w:rsid w:val="009230C6"/>
    <w:rsid w:val="009234DA"/>
    <w:rsid w:val="00923514"/>
    <w:rsid w:val="009238D0"/>
    <w:rsid w:val="00923C83"/>
    <w:rsid w:val="00923F0C"/>
    <w:rsid w:val="00923F19"/>
    <w:rsid w:val="0092428A"/>
    <w:rsid w:val="00924AC8"/>
    <w:rsid w:val="00924B68"/>
    <w:rsid w:val="00924CCA"/>
    <w:rsid w:val="009250F2"/>
    <w:rsid w:val="009253C2"/>
    <w:rsid w:val="009255EE"/>
    <w:rsid w:val="00925763"/>
    <w:rsid w:val="00925DAB"/>
    <w:rsid w:val="00925FC4"/>
    <w:rsid w:val="00926590"/>
    <w:rsid w:val="00926FC2"/>
    <w:rsid w:val="0092717A"/>
    <w:rsid w:val="0092776D"/>
    <w:rsid w:val="009277E3"/>
    <w:rsid w:val="0092787F"/>
    <w:rsid w:val="00927B9C"/>
    <w:rsid w:val="00927D82"/>
    <w:rsid w:val="00931522"/>
    <w:rsid w:val="00931785"/>
    <w:rsid w:val="00931B0A"/>
    <w:rsid w:val="00931EC0"/>
    <w:rsid w:val="0093289F"/>
    <w:rsid w:val="00932B62"/>
    <w:rsid w:val="00933202"/>
    <w:rsid w:val="00933451"/>
    <w:rsid w:val="00933868"/>
    <w:rsid w:val="00933AFC"/>
    <w:rsid w:val="00933CAF"/>
    <w:rsid w:val="009345B6"/>
    <w:rsid w:val="0093468F"/>
    <w:rsid w:val="00934906"/>
    <w:rsid w:val="00934DB6"/>
    <w:rsid w:val="00935472"/>
    <w:rsid w:val="0093560E"/>
    <w:rsid w:val="00935778"/>
    <w:rsid w:val="009357EB"/>
    <w:rsid w:val="009359BC"/>
    <w:rsid w:val="00935B07"/>
    <w:rsid w:val="0093637E"/>
    <w:rsid w:val="009369F8"/>
    <w:rsid w:val="00936FB6"/>
    <w:rsid w:val="0093747A"/>
    <w:rsid w:val="009374B3"/>
    <w:rsid w:val="00937A39"/>
    <w:rsid w:val="00937AE9"/>
    <w:rsid w:val="00937CA5"/>
    <w:rsid w:val="009402F5"/>
    <w:rsid w:val="009408EE"/>
    <w:rsid w:val="00940958"/>
    <w:rsid w:val="0094171A"/>
    <w:rsid w:val="00941CFF"/>
    <w:rsid w:val="00941DD5"/>
    <w:rsid w:val="009425C9"/>
    <w:rsid w:val="00942835"/>
    <w:rsid w:val="00942ACC"/>
    <w:rsid w:val="00942ED0"/>
    <w:rsid w:val="009430CF"/>
    <w:rsid w:val="0094314D"/>
    <w:rsid w:val="0094314E"/>
    <w:rsid w:val="00943E1E"/>
    <w:rsid w:val="00943EBA"/>
    <w:rsid w:val="00944054"/>
    <w:rsid w:val="0094419E"/>
    <w:rsid w:val="00944457"/>
    <w:rsid w:val="009444D7"/>
    <w:rsid w:val="009446C0"/>
    <w:rsid w:val="009446DA"/>
    <w:rsid w:val="009455A9"/>
    <w:rsid w:val="0094566F"/>
    <w:rsid w:val="00945EAA"/>
    <w:rsid w:val="009468B3"/>
    <w:rsid w:val="00946949"/>
    <w:rsid w:val="00946AEC"/>
    <w:rsid w:val="00946F32"/>
    <w:rsid w:val="0094727C"/>
    <w:rsid w:val="009472B6"/>
    <w:rsid w:val="00947383"/>
    <w:rsid w:val="00947B46"/>
    <w:rsid w:val="00950050"/>
    <w:rsid w:val="009503A2"/>
    <w:rsid w:val="00950641"/>
    <w:rsid w:val="00950806"/>
    <w:rsid w:val="00950832"/>
    <w:rsid w:val="009509A5"/>
    <w:rsid w:val="00950A74"/>
    <w:rsid w:val="00950AA7"/>
    <w:rsid w:val="00950F20"/>
    <w:rsid w:val="00951C8F"/>
    <w:rsid w:val="00951DF1"/>
    <w:rsid w:val="0095201A"/>
    <w:rsid w:val="0095225E"/>
    <w:rsid w:val="00952304"/>
    <w:rsid w:val="009523A7"/>
    <w:rsid w:val="009527C0"/>
    <w:rsid w:val="00952B15"/>
    <w:rsid w:val="009539AF"/>
    <w:rsid w:val="00953A49"/>
    <w:rsid w:val="00953BEB"/>
    <w:rsid w:val="00953D70"/>
    <w:rsid w:val="009541DB"/>
    <w:rsid w:val="00954641"/>
    <w:rsid w:val="009547FF"/>
    <w:rsid w:val="009561D3"/>
    <w:rsid w:val="009564DD"/>
    <w:rsid w:val="00956B8E"/>
    <w:rsid w:val="00956DA9"/>
    <w:rsid w:val="00957341"/>
    <w:rsid w:val="009573A5"/>
    <w:rsid w:val="0095744A"/>
    <w:rsid w:val="00957548"/>
    <w:rsid w:val="00957C8E"/>
    <w:rsid w:val="00957D33"/>
    <w:rsid w:val="00957D87"/>
    <w:rsid w:val="009603A5"/>
    <w:rsid w:val="009604D6"/>
    <w:rsid w:val="00960C20"/>
    <w:rsid w:val="00960C29"/>
    <w:rsid w:val="0096129E"/>
    <w:rsid w:val="009612AA"/>
    <w:rsid w:val="009613EA"/>
    <w:rsid w:val="00961CC0"/>
    <w:rsid w:val="00961CF1"/>
    <w:rsid w:val="00961DDE"/>
    <w:rsid w:val="009621EC"/>
    <w:rsid w:val="00962462"/>
    <w:rsid w:val="009625AB"/>
    <w:rsid w:val="00962604"/>
    <w:rsid w:val="00963034"/>
    <w:rsid w:val="009635FF"/>
    <w:rsid w:val="009637D0"/>
    <w:rsid w:val="00963C76"/>
    <w:rsid w:val="00964238"/>
    <w:rsid w:val="009649FB"/>
    <w:rsid w:val="00964CAC"/>
    <w:rsid w:val="00964D57"/>
    <w:rsid w:val="00964FB0"/>
    <w:rsid w:val="009653DA"/>
    <w:rsid w:val="00965D79"/>
    <w:rsid w:val="00965D9F"/>
    <w:rsid w:val="0096610C"/>
    <w:rsid w:val="0096695A"/>
    <w:rsid w:val="0096704E"/>
    <w:rsid w:val="0096714C"/>
    <w:rsid w:val="00967177"/>
    <w:rsid w:val="00967AD1"/>
    <w:rsid w:val="00967B6C"/>
    <w:rsid w:val="00967B93"/>
    <w:rsid w:val="00967D78"/>
    <w:rsid w:val="0097023D"/>
    <w:rsid w:val="00970E73"/>
    <w:rsid w:val="00971111"/>
    <w:rsid w:val="009711E9"/>
    <w:rsid w:val="00971694"/>
    <w:rsid w:val="00971A9A"/>
    <w:rsid w:val="00971AA1"/>
    <w:rsid w:val="00971AF5"/>
    <w:rsid w:val="00972885"/>
    <w:rsid w:val="00972C97"/>
    <w:rsid w:val="00972E8D"/>
    <w:rsid w:val="00972F06"/>
    <w:rsid w:val="0097325D"/>
    <w:rsid w:val="009733E6"/>
    <w:rsid w:val="0097348D"/>
    <w:rsid w:val="00973BAC"/>
    <w:rsid w:val="009741A9"/>
    <w:rsid w:val="00974218"/>
    <w:rsid w:val="009744F7"/>
    <w:rsid w:val="0097568F"/>
    <w:rsid w:val="00975929"/>
    <w:rsid w:val="009760D1"/>
    <w:rsid w:val="009763EE"/>
    <w:rsid w:val="00976451"/>
    <w:rsid w:val="00976F6F"/>
    <w:rsid w:val="009776D0"/>
    <w:rsid w:val="00977921"/>
    <w:rsid w:val="00977B40"/>
    <w:rsid w:val="0098052D"/>
    <w:rsid w:val="00980672"/>
    <w:rsid w:val="0098073C"/>
    <w:rsid w:val="00980F70"/>
    <w:rsid w:val="009816C3"/>
    <w:rsid w:val="00981929"/>
    <w:rsid w:val="00981C0C"/>
    <w:rsid w:val="00982081"/>
    <w:rsid w:val="009828F8"/>
    <w:rsid w:val="00982F72"/>
    <w:rsid w:val="009833F0"/>
    <w:rsid w:val="009835AB"/>
    <w:rsid w:val="009839E5"/>
    <w:rsid w:val="00983EFF"/>
    <w:rsid w:val="0098453C"/>
    <w:rsid w:val="009846F3"/>
    <w:rsid w:val="00984ABB"/>
    <w:rsid w:val="00984ADC"/>
    <w:rsid w:val="00984E0B"/>
    <w:rsid w:val="0098534A"/>
    <w:rsid w:val="00985E10"/>
    <w:rsid w:val="00985E53"/>
    <w:rsid w:val="00985EB0"/>
    <w:rsid w:val="00985FCE"/>
    <w:rsid w:val="009863A4"/>
    <w:rsid w:val="00986A66"/>
    <w:rsid w:val="00987024"/>
    <w:rsid w:val="009874B0"/>
    <w:rsid w:val="0098761C"/>
    <w:rsid w:val="00987F7A"/>
    <w:rsid w:val="00990670"/>
    <w:rsid w:val="009909A0"/>
    <w:rsid w:val="00992251"/>
    <w:rsid w:val="00992415"/>
    <w:rsid w:val="0099296F"/>
    <w:rsid w:val="00992B09"/>
    <w:rsid w:val="0099300C"/>
    <w:rsid w:val="00993A4D"/>
    <w:rsid w:val="00993E02"/>
    <w:rsid w:val="00993ED6"/>
    <w:rsid w:val="00994125"/>
    <w:rsid w:val="00994201"/>
    <w:rsid w:val="009948A3"/>
    <w:rsid w:val="00994DFC"/>
    <w:rsid w:val="009951E7"/>
    <w:rsid w:val="00995424"/>
    <w:rsid w:val="00995DCD"/>
    <w:rsid w:val="00995F28"/>
    <w:rsid w:val="009963D1"/>
    <w:rsid w:val="009963E6"/>
    <w:rsid w:val="00996D64"/>
    <w:rsid w:val="00997165"/>
    <w:rsid w:val="009A010B"/>
    <w:rsid w:val="009A0860"/>
    <w:rsid w:val="009A12AF"/>
    <w:rsid w:val="009A1550"/>
    <w:rsid w:val="009A1AC1"/>
    <w:rsid w:val="009A1DB5"/>
    <w:rsid w:val="009A2819"/>
    <w:rsid w:val="009A2B28"/>
    <w:rsid w:val="009A2EA1"/>
    <w:rsid w:val="009A2EFA"/>
    <w:rsid w:val="009A3A1B"/>
    <w:rsid w:val="009A3DB4"/>
    <w:rsid w:val="009A410A"/>
    <w:rsid w:val="009A5312"/>
    <w:rsid w:val="009A5522"/>
    <w:rsid w:val="009A57DC"/>
    <w:rsid w:val="009A5AFA"/>
    <w:rsid w:val="009A5BDC"/>
    <w:rsid w:val="009A62D5"/>
    <w:rsid w:val="009A64E8"/>
    <w:rsid w:val="009A6602"/>
    <w:rsid w:val="009A66F9"/>
    <w:rsid w:val="009A691A"/>
    <w:rsid w:val="009A6A9F"/>
    <w:rsid w:val="009A703C"/>
    <w:rsid w:val="009A74BA"/>
    <w:rsid w:val="009A74DB"/>
    <w:rsid w:val="009A7C8E"/>
    <w:rsid w:val="009A7D0B"/>
    <w:rsid w:val="009B06B7"/>
    <w:rsid w:val="009B0813"/>
    <w:rsid w:val="009B0DCC"/>
    <w:rsid w:val="009B1823"/>
    <w:rsid w:val="009B18DE"/>
    <w:rsid w:val="009B1ADD"/>
    <w:rsid w:val="009B20EB"/>
    <w:rsid w:val="009B2408"/>
    <w:rsid w:val="009B28A6"/>
    <w:rsid w:val="009B2FD9"/>
    <w:rsid w:val="009B3254"/>
    <w:rsid w:val="009B34A3"/>
    <w:rsid w:val="009B36A7"/>
    <w:rsid w:val="009B37C0"/>
    <w:rsid w:val="009B5205"/>
    <w:rsid w:val="009B56E7"/>
    <w:rsid w:val="009B6077"/>
    <w:rsid w:val="009B6C7A"/>
    <w:rsid w:val="009B700E"/>
    <w:rsid w:val="009B73B4"/>
    <w:rsid w:val="009B78FA"/>
    <w:rsid w:val="009C09B9"/>
    <w:rsid w:val="009C1034"/>
    <w:rsid w:val="009C1089"/>
    <w:rsid w:val="009C1E54"/>
    <w:rsid w:val="009C2335"/>
    <w:rsid w:val="009C3250"/>
    <w:rsid w:val="009C3408"/>
    <w:rsid w:val="009C3465"/>
    <w:rsid w:val="009C3547"/>
    <w:rsid w:val="009C388A"/>
    <w:rsid w:val="009C38CC"/>
    <w:rsid w:val="009C44AA"/>
    <w:rsid w:val="009C4749"/>
    <w:rsid w:val="009C4B48"/>
    <w:rsid w:val="009C4ECD"/>
    <w:rsid w:val="009C4FA8"/>
    <w:rsid w:val="009C5684"/>
    <w:rsid w:val="009C62B3"/>
    <w:rsid w:val="009C6658"/>
    <w:rsid w:val="009C67FF"/>
    <w:rsid w:val="009C6D92"/>
    <w:rsid w:val="009C6E45"/>
    <w:rsid w:val="009C71DF"/>
    <w:rsid w:val="009C7765"/>
    <w:rsid w:val="009C7859"/>
    <w:rsid w:val="009C7CE8"/>
    <w:rsid w:val="009D02BB"/>
    <w:rsid w:val="009D06B2"/>
    <w:rsid w:val="009D0EB7"/>
    <w:rsid w:val="009D1E1F"/>
    <w:rsid w:val="009D1E8D"/>
    <w:rsid w:val="009D281A"/>
    <w:rsid w:val="009D39B1"/>
    <w:rsid w:val="009D3A4F"/>
    <w:rsid w:val="009D3CE5"/>
    <w:rsid w:val="009D4571"/>
    <w:rsid w:val="009D478C"/>
    <w:rsid w:val="009D4ECC"/>
    <w:rsid w:val="009D4F9B"/>
    <w:rsid w:val="009D5ACF"/>
    <w:rsid w:val="009D5B99"/>
    <w:rsid w:val="009D5D5F"/>
    <w:rsid w:val="009D62D4"/>
    <w:rsid w:val="009D642A"/>
    <w:rsid w:val="009D6560"/>
    <w:rsid w:val="009D67B5"/>
    <w:rsid w:val="009D6AFF"/>
    <w:rsid w:val="009D7AF8"/>
    <w:rsid w:val="009E018B"/>
    <w:rsid w:val="009E0821"/>
    <w:rsid w:val="009E0E39"/>
    <w:rsid w:val="009E1122"/>
    <w:rsid w:val="009E1227"/>
    <w:rsid w:val="009E1286"/>
    <w:rsid w:val="009E16CF"/>
    <w:rsid w:val="009E1D31"/>
    <w:rsid w:val="009E1F5C"/>
    <w:rsid w:val="009E2A2C"/>
    <w:rsid w:val="009E2A76"/>
    <w:rsid w:val="009E2B7D"/>
    <w:rsid w:val="009E2FE7"/>
    <w:rsid w:val="009E30AB"/>
    <w:rsid w:val="009E30DC"/>
    <w:rsid w:val="009E374B"/>
    <w:rsid w:val="009E3978"/>
    <w:rsid w:val="009E42CD"/>
    <w:rsid w:val="009E458E"/>
    <w:rsid w:val="009E4DCD"/>
    <w:rsid w:val="009E53E9"/>
    <w:rsid w:val="009E5A18"/>
    <w:rsid w:val="009E61DE"/>
    <w:rsid w:val="009E6491"/>
    <w:rsid w:val="009E64DB"/>
    <w:rsid w:val="009E6F74"/>
    <w:rsid w:val="009E733F"/>
    <w:rsid w:val="009E7788"/>
    <w:rsid w:val="009E794C"/>
    <w:rsid w:val="009E7D59"/>
    <w:rsid w:val="009F00F2"/>
    <w:rsid w:val="009F02F6"/>
    <w:rsid w:val="009F0695"/>
    <w:rsid w:val="009F0747"/>
    <w:rsid w:val="009F0FD5"/>
    <w:rsid w:val="009F135C"/>
    <w:rsid w:val="009F1605"/>
    <w:rsid w:val="009F162F"/>
    <w:rsid w:val="009F17D7"/>
    <w:rsid w:val="009F1876"/>
    <w:rsid w:val="009F1ACA"/>
    <w:rsid w:val="009F1C41"/>
    <w:rsid w:val="009F22C8"/>
    <w:rsid w:val="009F248E"/>
    <w:rsid w:val="009F2781"/>
    <w:rsid w:val="009F2B39"/>
    <w:rsid w:val="009F312B"/>
    <w:rsid w:val="009F324B"/>
    <w:rsid w:val="009F331C"/>
    <w:rsid w:val="009F3C29"/>
    <w:rsid w:val="009F3FCF"/>
    <w:rsid w:val="009F5860"/>
    <w:rsid w:val="009F5E71"/>
    <w:rsid w:val="009F60D6"/>
    <w:rsid w:val="009F670F"/>
    <w:rsid w:val="009F6823"/>
    <w:rsid w:val="009F6923"/>
    <w:rsid w:val="009F6D1F"/>
    <w:rsid w:val="009F6E68"/>
    <w:rsid w:val="009F7382"/>
    <w:rsid w:val="009F7A04"/>
    <w:rsid w:val="00A002E9"/>
    <w:rsid w:val="00A005E1"/>
    <w:rsid w:val="00A006BA"/>
    <w:rsid w:val="00A00BB3"/>
    <w:rsid w:val="00A00C3A"/>
    <w:rsid w:val="00A01053"/>
    <w:rsid w:val="00A010E2"/>
    <w:rsid w:val="00A0167A"/>
    <w:rsid w:val="00A01763"/>
    <w:rsid w:val="00A019A3"/>
    <w:rsid w:val="00A01D02"/>
    <w:rsid w:val="00A02251"/>
    <w:rsid w:val="00A024EA"/>
    <w:rsid w:val="00A02554"/>
    <w:rsid w:val="00A02598"/>
    <w:rsid w:val="00A02638"/>
    <w:rsid w:val="00A027F3"/>
    <w:rsid w:val="00A031BF"/>
    <w:rsid w:val="00A03257"/>
    <w:rsid w:val="00A03596"/>
    <w:rsid w:val="00A035CC"/>
    <w:rsid w:val="00A03971"/>
    <w:rsid w:val="00A03AE7"/>
    <w:rsid w:val="00A03B2B"/>
    <w:rsid w:val="00A03D7E"/>
    <w:rsid w:val="00A03E5C"/>
    <w:rsid w:val="00A0417E"/>
    <w:rsid w:val="00A041B3"/>
    <w:rsid w:val="00A042E5"/>
    <w:rsid w:val="00A045DA"/>
    <w:rsid w:val="00A04650"/>
    <w:rsid w:val="00A047A9"/>
    <w:rsid w:val="00A04B46"/>
    <w:rsid w:val="00A04BB4"/>
    <w:rsid w:val="00A05019"/>
    <w:rsid w:val="00A057C3"/>
    <w:rsid w:val="00A05A79"/>
    <w:rsid w:val="00A06906"/>
    <w:rsid w:val="00A06924"/>
    <w:rsid w:val="00A06AF3"/>
    <w:rsid w:val="00A071FB"/>
    <w:rsid w:val="00A072CC"/>
    <w:rsid w:val="00A078ED"/>
    <w:rsid w:val="00A079F5"/>
    <w:rsid w:val="00A10B5E"/>
    <w:rsid w:val="00A10D16"/>
    <w:rsid w:val="00A1206C"/>
    <w:rsid w:val="00A120A1"/>
    <w:rsid w:val="00A12105"/>
    <w:rsid w:val="00A123CC"/>
    <w:rsid w:val="00A12604"/>
    <w:rsid w:val="00A12797"/>
    <w:rsid w:val="00A12A8F"/>
    <w:rsid w:val="00A12BFB"/>
    <w:rsid w:val="00A130AE"/>
    <w:rsid w:val="00A13328"/>
    <w:rsid w:val="00A13BBD"/>
    <w:rsid w:val="00A14048"/>
    <w:rsid w:val="00A14332"/>
    <w:rsid w:val="00A14455"/>
    <w:rsid w:val="00A14F1A"/>
    <w:rsid w:val="00A150E6"/>
    <w:rsid w:val="00A154DD"/>
    <w:rsid w:val="00A15803"/>
    <w:rsid w:val="00A16522"/>
    <w:rsid w:val="00A165C4"/>
    <w:rsid w:val="00A166A1"/>
    <w:rsid w:val="00A16766"/>
    <w:rsid w:val="00A1773E"/>
    <w:rsid w:val="00A177EC"/>
    <w:rsid w:val="00A179B2"/>
    <w:rsid w:val="00A17BE2"/>
    <w:rsid w:val="00A2010F"/>
    <w:rsid w:val="00A2083D"/>
    <w:rsid w:val="00A20953"/>
    <w:rsid w:val="00A20B1A"/>
    <w:rsid w:val="00A20EEE"/>
    <w:rsid w:val="00A212A9"/>
    <w:rsid w:val="00A213DA"/>
    <w:rsid w:val="00A21F35"/>
    <w:rsid w:val="00A2231B"/>
    <w:rsid w:val="00A2255B"/>
    <w:rsid w:val="00A22604"/>
    <w:rsid w:val="00A22797"/>
    <w:rsid w:val="00A22CF8"/>
    <w:rsid w:val="00A22EAE"/>
    <w:rsid w:val="00A22F4B"/>
    <w:rsid w:val="00A23092"/>
    <w:rsid w:val="00A2342E"/>
    <w:rsid w:val="00A23990"/>
    <w:rsid w:val="00A240AB"/>
    <w:rsid w:val="00A24D9C"/>
    <w:rsid w:val="00A24E32"/>
    <w:rsid w:val="00A25102"/>
    <w:rsid w:val="00A257CF"/>
    <w:rsid w:val="00A2595E"/>
    <w:rsid w:val="00A25AC4"/>
    <w:rsid w:val="00A25E45"/>
    <w:rsid w:val="00A25E60"/>
    <w:rsid w:val="00A25FDA"/>
    <w:rsid w:val="00A26254"/>
    <w:rsid w:val="00A262F3"/>
    <w:rsid w:val="00A26357"/>
    <w:rsid w:val="00A26781"/>
    <w:rsid w:val="00A26EA2"/>
    <w:rsid w:val="00A3007C"/>
    <w:rsid w:val="00A300F6"/>
    <w:rsid w:val="00A301C7"/>
    <w:rsid w:val="00A30741"/>
    <w:rsid w:val="00A30CC2"/>
    <w:rsid w:val="00A32251"/>
    <w:rsid w:val="00A322A9"/>
    <w:rsid w:val="00A3268C"/>
    <w:rsid w:val="00A3288B"/>
    <w:rsid w:val="00A32BBE"/>
    <w:rsid w:val="00A32BBF"/>
    <w:rsid w:val="00A32D4C"/>
    <w:rsid w:val="00A32E08"/>
    <w:rsid w:val="00A331A1"/>
    <w:rsid w:val="00A33B43"/>
    <w:rsid w:val="00A33B9F"/>
    <w:rsid w:val="00A33FD9"/>
    <w:rsid w:val="00A344EE"/>
    <w:rsid w:val="00A34729"/>
    <w:rsid w:val="00A34F9A"/>
    <w:rsid w:val="00A351A9"/>
    <w:rsid w:val="00A353DE"/>
    <w:rsid w:val="00A355BD"/>
    <w:rsid w:val="00A35833"/>
    <w:rsid w:val="00A35CE6"/>
    <w:rsid w:val="00A35FAB"/>
    <w:rsid w:val="00A36330"/>
    <w:rsid w:val="00A364F9"/>
    <w:rsid w:val="00A36703"/>
    <w:rsid w:val="00A373FD"/>
    <w:rsid w:val="00A37422"/>
    <w:rsid w:val="00A37E87"/>
    <w:rsid w:val="00A40AAE"/>
    <w:rsid w:val="00A40B9B"/>
    <w:rsid w:val="00A40C43"/>
    <w:rsid w:val="00A41F68"/>
    <w:rsid w:val="00A42232"/>
    <w:rsid w:val="00A422D1"/>
    <w:rsid w:val="00A424B5"/>
    <w:rsid w:val="00A42725"/>
    <w:rsid w:val="00A42A3E"/>
    <w:rsid w:val="00A42B10"/>
    <w:rsid w:val="00A435E1"/>
    <w:rsid w:val="00A43CFC"/>
    <w:rsid w:val="00A43D67"/>
    <w:rsid w:val="00A444EA"/>
    <w:rsid w:val="00A4463E"/>
    <w:rsid w:val="00A44EF0"/>
    <w:rsid w:val="00A45B03"/>
    <w:rsid w:val="00A45F70"/>
    <w:rsid w:val="00A4600D"/>
    <w:rsid w:val="00A4699E"/>
    <w:rsid w:val="00A46EA6"/>
    <w:rsid w:val="00A46EAA"/>
    <w:rsid w:val="00A47547"/>
    <w:rsid w:val="00A4754D"/>
    <w:rsid w:val="00A50834"/>
    <w:rsid w:val="00A509BB"/>
    <w:rsid w:val="00A50FD3"/>
    <w:rsid w:val="00A51010"/>
    <w:rsid w:val="00A512FB"/>
    <w:rsid w:val="00A51C4F"/>
    <w:rsid w:val="00A524D8"/>
    <w:rsid w:val="00A5282D"/>
    <w:rsid w:val="00A52B8F"/>
    <w:rsid w:val="00A533C0"/>
    <w:rsid w:val="00A535DE"/>
    <w:rsid w:val="00A53F83"/>
    <w:rsid w:val="00A54DEA"/>
    <w:rsid w:val="00A54F7E"/>
    <w:rsid w:val="00A550EC"/>
    <w:rsid w:val="00A556EF"/>
    <w:rsid w:val="00A55C2C"/>
    <w:rsid w:val="00A564E9"/>
    <w:rsid w:val="00A56857"/>
    <w:rsid w:val="00A56E3F"/>
    <w:rsid w:val="00A574A6"/>
    <w:rsid w:val="00A57509"/>
    <w:rsid w:val="00A57526"/>
    <w:rsid w:val="00A57F0B"/>
    <w:rsid w:val="00A6086C"/>
    <w:rsid w:val="00A608A0"/>
    <w:rsid w:val="00A608AB"/>
    <w:rsid w:val="00A6109D"/>
    <w:rsid w:val="00A62BE4"/>
    <w:rsid w:val="00A62C19"/>
    <w:rsid w:val="00A636A8"/>
    <w:rsid w:val="00A63718"/>
    <w:rsid w:val="00A6375D"/>
    <w:rsid w:val="00A63978"/>
    <w:rsid w:val="00A63A45"/>
    <w:rsid w:val="00A63F8F"/>
    <w:rsid w:val="00A646B2"/>
    <w:rsid w:val="00A64917"/>
    <w:rsid w:val="00A65627"/>
    <w:rsid w:val="00A65731"/>
    <w:rsid w:val="00A65942"/>
    <w:rsid w:val="00A65C17"/>
    <w:rsid w:val="00A661E1"/>
    <w:rsid w:val="00A66506"/>
    <w:rsid w:val="00A66692"/>
    <w:rsid w:val="00A668B2"/>
    <w:rsid w:val="00A669BD"/>
    <w:rsid w:val="00A6700F"/>
    <w:rsid w:val="00A67961"/>
    <w:rsid w:val="00A67A87"/>
    <w:rsid w:val="00A70727"/>
    <w:rsid w:val="00A709C4"/>
    <w:rsid w:val="00A70DA7"/>
    <w:rsid w:val="00A71112"/>
    <w:rsid w:val="00A7121B"/>
    <w:rsid w:val="00A71277"/>
    <w:rsid w:val="00A71885"/>
    <w:rsid w:val="00A7212D"/>
    <w:rsid w:val="00A72456"/>
    <w:rsid w:val="00A729FA"/>
    <w:rsid w:val="00A72CD0"/>
    <w:rsid w:val="00A73187"/>
    <w:rsid w:val="00A73F66"/>
    <w:rsid w:val="00A73FE0"/>
    <w:rsid w:val="00A74151"/>
    <w:rsid w:val="00A75071"/>
    <w:rsid w:val="00A7534A"/>
    <w:rsid w:val="00A7561D"/>
    <w:rsid w:val="00A756D1"/>
    <w:rsid w:val="00A75A8D"/>
    <w:rsid w:val="00A75B8C"/>
    <w:rsid w:val="00A762D8"/>
    <w:rsid w:val="00A76589"/>
    <w:rsid w:val="00A77170"/>
    <w:rsid w:val="00A7749F"/>
    <w:rsid w:val="00A77515"/>
    <w:rsid w:val="00A775E2"/>
    <w:rsid w:val="00A8086B"/>
    <w:rsid w:val="00A80C09"/>
    <w:rsid w:val="00A80CFE"/>
    <w:rsid w:val="00A81C7F"/>
    <w:rsid w:val="00A81F11"/>
    <w:rsid w:val="00A821C0"/>
    <w:rsid w:val="00A8233F"/>
    <w:rsid w:val="00A82B7C"/>
    <w:rsid w:val="00A82B89"/>
    <w:rsid w:val="00A82C78"/>
    <w:rsid w:val="00A82CBA"/>
    <w:rsid w:val="00A82D6D"/>
    <w:rsid w:val="00A82E80"/>
    <w:rsid w:val="00A8313D"/>
    <w:rsid w:val="00A831B6"/>
    <w:rsid w:val="00A834EA"/>
    <w:rsid w:val="00A8372C"/>
    <w:rsid w:val="00A8440A"/>
    <w:rsid w:val="00A8458D"/>
    <w:rsid w:val="00A84D77"/>
    <w:rsid w:val="00A84FDD"/>
    <w:rsid w:val="00A851DA"/>
    <w:rsid w:val="00A85856"/>
    <w:rsid w:val="00A85D93"/>
    <w:rsid w:val="00A87167"/>
    <w:rsid w:val="00A87671"/>
    <w:rsid w:val="00A87AF3"/>
    <w:rsid w:val="00A90130"/>
    <w:rsid w:val="00A903F7"/>
    <w:rsid w:val="00A9051C"/>
    <w:rsid w:val="00A9070F"/>
    <w:rsid w:val="00A91590"/>
    <w:rsid w:val="00A91A3A"/>
    <w:rsid w:val="00A91B9C"/>
    <w:rsid w:val="00A92059"/>
    <w:rsid w:val="00A922B5"/>
    <w:rsid w:val="00A92CFF"/>
    <w:rsid w:val="00A92DA8"/>
    <w:rsid w:val="00A93026"/>
    <w:rsid w:val="00A9327A"/>
    <w:rsid w:val="00A936CE"/>
    <w:rsid w:val="00A94383"/>
    <w:rsid w:val="00A9467E"/>
    <w:rsid w:val="00A9502B"/>
    <w:rsid w:val="00A950F4"/>
    <w:rsid w:val="00A952FC"/>
    <w:rsid w:val="00A953B8"/>
    <w:rsid w:val="00A9566D"/>
    <w:rsid w:val="00A95C4A"/>
    <w:rsid w:val="00A95D29"/>
    <w:rsid w:val="00A95FBD"/>
    <w:rsid w:val="00A962E3"/>
    <w:rsid w:val="00A96743"/>
    <w:rsid w:val="00A96AE7"/>
    <w:rsid w:val="00A96D66"/>
    <w:rsid w:val="00A97436"/>
    <w:rsid w:val="00A97AA8"/>
    <w:rsid w:val="00A97BFA"/>
    <w:rsid w:val="00A97E0C"/>
    <w:rsid w:val="00AA04AD"/>
    <w:rsid w:val="00AA04F7"/>
    <w:rsid w:val="00AA0A1F"/>
    <w:rsid w:val="00AA0E8A"/>
    <w:rsid w:val="00AA15C7"/>
    <w:rsid w:val="00AA166E"/>
    <w:rsid w:val="00AA1818"/>
    <w:rsid w:val="00AA193A"/>
    <w:rsid w:val="00AA1976"/>
    <w:rsid w:val="00AA26EF"/>
    <w:rsid w:val="00AA27FA"/>
    <w:rsid w:val="00AA298B"/>
    <w:rsid w:val="00AA2C46"/>
    <w:rsid w:val="00AA2D3C"/>
    <w:rsid w:val="00AA2F94"/>
    <w:rsid w:val="00AA3175"/>
    <w:rsid w:val="00AA4085"/>
    <w:rsid w:val="00AA4092"/>
    <w:rsid w:val="00AA5343"/>
    <w:rsid w:val="00AA5692"/>
    <w:rsid w:val="00AA5F8C"/>
    <w:rsid w:val="00AA64BE"/>
    <w:rsid w:val="00AA6660"/>
    <w:rsid w:val="00AA74CF"/>
    <w:rsid w:val="00AA7680"/>
    <w:rsid w:val="00AA7CA7"/>
    <w:rsid w:val="00AA7ECC"/>
    <w:rsid w:val="00AB06E7"/>
    <w:rsid w:val="00AB07AE"/>
    <w:rsid w:val="00AB0880"/>
    <w:rsid w:val="00AB0EAC"/>
    <w:rsid w:val="00AB1066"/>
    <w:rsid w:val="00AB14CA"/>
    <w:rsid w:val="00AB3273"/>
    <w:rsid w:val="00AB3B1E"/>
    <w:rsid w:val="00AB4773"/>
    <w:rsid w:val="00AB523E"/>
    <w:rsid w:val="00AB538C"/>
    <w:rsid w:val="00AB54D3"/>
    <w:rsid w:val="00AB62FA"/>
    <w:rsid w:val="00AB64B4"/>
    <w:rsid w:val="00AB6A6B"/>
    <w:rsid w:val="00AB7135"/>
    <w:rsid w:val="00AB7C9C"/>
    <w:rsid w:val="00AC008B"/>
    <w:rsid w:val="00AC0559"/>
    <w:rsid w:val="00AC10BB"/>
    <w:rsid w:val="00AC195F"/>
    <w:rsid w:val="00AC1E7E"/>
    <w:rsid w:val="00AC1F2C"/>
    <w:rsid w:val="00AC2267"/>
    <w:rsid w:val="00AC31E2"/>
    <w:rsid w:val="00AC3265"/>
    <w:rsid w:val="00AC3AC6"/>
    <w:rsid w:val="00AC45B5"/>
    <w:rsid w:val="00AC4D9F"/>
    <w:rsid w:val="00AC5189"/>
    <w:rsid w:val="00AC51E5"/>
    <w:rsid w:val="00AC56A6"/>
    <w:rsid w:val="00AC5EC7"/>
    <w:rsid w:val="00AC64CF"/>
    <w:rsid w:val="00AC663D"/>
    <w:rsid w:val="00AC6697"/>
    <w:rsid w:val="00AC6788"/>
    <w:rsid w:val="00AC6893"/>
    <w:rsid w:val="00AC7635"/>
    <w:rsid w:val="00AC77E9"/>
    <w:rsid w:val="00AC7AD8"/>
    <w:rsid w:val="00AC7D48"/>
    <w:rsid w:val="00AC7D96"/>
    <w:rsid w:val="00AC7EA2"/>
    <w:rsid w:val="00AD046E"/>
    <w:rsid w:val="00AD04A0"/>
    <w:rsid w:val="00AD07AC"/>
    <w:rsid w:val="00AD0C05"/>
    <w:rsid w:val="00AD0EE6"/>
    <w:rsid w:val="00AD0FC7"/>
    <w:rsid w:val="00AD170E"/>
    <w:rsid w:val="00AD1A6B"/>
    <w:rsid w:val="00AD25F0"/>
    <w:rsid w:val="00AD28EF"/>
    <w:rsid w:val="00AD2A85"/>
    <w:rsid w:val="00AD2DF9"/>
    <w:rsid w:val="00AD2EC1"/>
    <w:rsid w:val="00AD2FCB"/>
    <w:rsid w:val="00AD32C5"/>
    <w:rsid w:val="00AD331F"/>
    <w:rsid w:val="00AD374E"/>
    <w:rsid w:val="00AD38D1"/>
    <w:rsid w:val="00AD38F7"/>
    <w:rsid w:val="00AD3CF8"/>
    <w:rsid w:val="00AD410C"/>
    <w:rsid w:val="00AD417A"/>
    <w:rsid w:val="00AD4586"/>
    <w:rsid w:val="00AD4A32"/>
    <w:rsid w:val="00AD50CF"/>
    <w:rsid w:val="00AD516A"/>
    <w:rsid w:val="00AD520F"/>
    <w:rsid w:val="00AD5588"/>
    <w:rsid w:val="00AD563F"/>
    <w:rsid w:val="00AD56A9"/>
    <w:rsid w:val="00AD5BA2"/>
    <w:rsid w:val="00AD5CED"/>
    <w:rsid w:val="00AD614E"/>
    <w:rsid w:val="00AD6AEF"/>
    <w:rsid w:val="00AD72A1"/>
    <w:rsid w:val="00AD72C1"/>
    <w:rsid w:val="00AD7317"/>
    <w:rsid w:val="00AD7912"/>
    <w:rsid w:val="00AD79D3"/>
    <w:rsid w:val="00AD7E57"/>
    <w:rsid w:val="00AD7FDC"/>
    <w:rsid w:val="00AE0285"/>
    <w:rsid w:val="00AE04AF"/>
    <w:rsid w:val="00AE059E"/>
    <w:rsid w:val="00AE0629"/>
    <w:rsid w:val="00AE0EA5"/>
    <w:rsid w:val="00AE14A0"/>
    <w:rsid w:val="00AE19A4"/>
    <w:rsid w:val="00AE1B87"/>
    <w:rsid w:val="00AE1C63"/>
    <w:rsid w:val="00AE23E5"/>
    <w:rsid w:val="00AE23EB"/>
    <w:rsid w:val="00AE242D"/>
    <w:rsid w:val="00AE3246"/>
    <w:rsid w:val="00AE35A0"/>
    <w:rsid w:val="00AE3692"/>
    <w:rsid w:val="00AE3969"/>
    <w:rsid w:val="00AE3B4E"/>
    <w:rsid w:val="00AE3D0F"/>
    <w:rsid w:val="00AE3D59"/>
    <w:rsid w:val="00AE3EA0"/>
    <w:rsid w:val="00AE4FE8"/>
    <w:rsid w:val="00AE5570"/>
    <w:rsid w:val="00AE575F"/>
    <w:rsid w:val="00AE578C"/>
    <w:rsid w:val="00AE6508"/>
    <w:rsid w:val="00AE67EE"/>
    <w:rsid w:val="00AE6A3B"/>
    <w:rsid w:val="00AE7456"/>
    <w:rsid w:val="00AE757B"/>
    <w:rsid w:val="00AE789F"/>
    <w:rsid w:val="00AE7BBC"/>
    <w:rsid w:val="00AE7CDB"/>
    <w:rsid w:val="00AF0717"/>
    <w:rsid w:val="00AF0A39"/>
    <w:rsid w:val="00AF0AF0"/>
    <w:rsid w:val="00AF1387"/>
    <w:rsid w:val="00AF1B1B"/>
    <w:rsid w:val="00AF1CC2"/>
    <w:rsid w:val="00AF2157"/>
    <w:rsid w:val="00AF2185"/>
    <w:rsid w:val="00AF23D0"/>
    <w:rsid w:val="00AF2617"/>
    <w:rsid w:val="00AF2D57"/>
    <w:rsid w:val="00AF3938"/>
    <w:rsid w:val="00AF39AA"/>
    <w:rsid w:val="00AF47FE"/>
    <w:rsid w:val="00AF4814"/>
    <w:rsid w:val="00AF4FB4"/>
    <w:rsid w:val="00AF541F"/>
    <w:rsid w:val="00AF54DD"/>
    <w:rsid w:val="00AF5FDF"/>
    <w:rsid w:val="00AF6A2C"/>
    <w:rsid w:val="00AF6BCB"/>
    <w:rsid w:val="00AF761F"/>
    <w:rsid w:val="00AF7C6D"/>
    <w:rsid w:val="00B00577"/>
    <w:rsid w:val="00B007DA"/>
    <w:rsid w:val="00B0082A"/>
    <w:rsid w:val="00B00A47"/>
    <w:rsid w:val="00B00BD2"/>
    <w:rsid w:val="00B01907"/>
    <w:rsid w:val="00B01B84"/>
    <w:rsid w:val="00B01C92"/>
    <w:rsid w:val="00B0211A"/>
    <w:rsid w:val="00B0291A"/>
    <w:rsid w:val="00B03201"/>
    <w:rsid w:val="00B033D4"/>
    <w:rsid w:val="00B03462"/>
    <w:rsid w:val="00B03773"/>
    <w:rsid w:val="00B038C7"/>
    <w:rsid w:val="00B03979"/>
    <w:rsid w:val="00B03F61"/>
    <w:rsid w:val="00B0451A"/>
    <w:rsid w:val="00B0485D"/>
    <w:rsid w:val="00B050E1"/>
    <w:rsid w:val="00B0518A"/>
    <w:rsid w:val="00B05828"/>
    <w:rsid w:val="00B0608F"/>
    <w:rsid w:val="00B0665A"/>
    <w:rsid w:val="00B0693A"/>
    <w:rsid w:val="00B07440"/>
    <w:rsid w:val="00B0783B"/>
    <w:rsid w:val="00B1041E"/>
    <w:rsid w:val="00B1091C"/>
    <w:rsid w:val="00B10D52"/>
    <w:rsid w:val="00B110B0"/>
    <w:rsid w:val="00B11764"/>
    <w:rsid w:val="00B11944"/>
    <w:rsid w:val="00B11E4E"/>
    <w:rsid w:val="00B11F9D"/>
    <w:rsid w:val="00B12332"/>
    <w:rsid w:val="00B124EF"/>
    <w:rsid w:val="00B12EE1"/>
    <w:rsid w:val="00B13256"/>
    <w:rsid w:val="00B134C9"/>
    <w:rsid w:val="00B13FAE"/>
    <w:rsid w:val="00B14231"/>
    <w:rsid w:val="00B142BA"/>
    <w:rsid w:val="00B14544"/>
    <w:rsid w:val="00B14E6A"/>
    <w:rsid w:val="00B1557B"/>
    <w:rsid w:val="00B1572C"/>
    <w:rsid w:val="00B15A1B"/>
    <w:rsid w:val="00B1623B"/>
    <w:rsid w:val="00B16514"/>
    <w:rsid w:val="00B166E2"/>
    <w:rsid w:val="00B1672A"/>
    <w:rsid w:val="00B17031"/>
    <w:rsid w:val="00B178B1"/>
    <w:rsid w:val="00B17C1B"/>
    <w:rsid w:val="00B17E62"/>
    <w:rsid w:val="00B20293"/>
    <w:rsid w:val="00B2059B"/>
    <w:rsid w:val="00B20600"/>
    <w:rsid w:val="00B210AC"/>
    <w:rsid w:val="00B21174"/>
    <w:rsid w:val="00B21462"/>
    <w:rsid w:val="00B21560"/>
    <w:rsid w:val="00B2156D"/>
    <w:rsid w:val="00B215EF"/>
    <w:rsid w:val="00B21E79"/>
    <w:rsid w:val="00B22195"/>
    <w:rsid w:val="00B22356"/>
    <w:rsid w:val="00B2239F"/>
    <w:rsid w:val="00B2242D"/>
    <w:rsid w:val="00B224B5"/>
    <w:rsid w:val="00B224C9"/>
    <w:rsid w:val="00B22A21"/>
    <w:rsid w:val="00B23457"/>
    <w:rsid w:val="00B2347B"/>
    <w:rsid w:val="00B23A05"/>
    <w:rsid w:val="00B2454C"/>
    <w:rsid w:val="00B2464C"/>
    <w:rsid w:val="00B2471A"/>
    <w:rsid w:val="00B2479F"/>
    <w:rsid w:val="00B24914"/>
    <w:rsid w:val="00B24982"/>
    <w:rsid w:val="00B258A4"/>
    <w:rsid w:val="00B25B47"/>
    <w:rsid w:val="00B25E25"/>
    <w:rsid w:val="00B2636F"/>
    <w:rsid w:val="00B2646B"/>
    <w:rsid w:val="00B264FF"/>
    <w:rsid w:val="00B26612"/>
    <w:rsid w:val="00B266D8"/>
    <w:rsid w:val="00B26BCE"/>
    <w:rsid w:val="00B26DC8"/>
    <w:rsid w:val="00B271DE"/>
    <w:rsid w:val="00B27C5A"/>
    <w:rsid w:val="00B27D07"/>
    <w:rsid w:val="00B27DBF"/>
    <w:rsid w:val="00B27DDD"/>
    <w:rsid w:val="00B300E6"/>
    <w:rsid w:val="00B30296"/>
    <w:rsid w:val="00B31508"/>
    <w:rsid w:val="00B31736"/>
    <w:rsid w:val="00B31A3E"/>
    <w:rsid w:val="00B32082"/>
    <w:rsid w:val="00B3267A"/>
    <w:rsid w:val="00B33488"/>
    <w:rsid w:val="00B335C8"/>
    <w:rsid w:val="00B3378F"/>
    <w:rsid w:val="00B33AE2"/>
    <w:rsid w:val="00B33E43"/>
    <w:rsid w:val="00B34B50"/>
    <w:rsid w:val="00B34EB0"/>
    <w:rsid w:val="00B35841"/>
    <w:rsid w:val="00B358B6"/>
    <w:rsid w:val="00B369F1"/>
    <w:rsid w:val="00B36B6C"/>
    <w:rsid w:val="00B36C2C"/>
    <w:rsid w:val="00B36DAE"/>
    <w:rsid w:val="00B36FD2"/>
    <w:rsid w:val="00B379DB"/>
    <w:rsid w:val="00B37AFB"/>
    <w:rsid w:val="00B4014B"/>
    <w:rsid w:val="00B40885"/>
    <w:rsid w:val="00B40FDE"/>
    <w:rsid w:val="00B41206"/>
    <w:rsid w:val="00B41919"/>
    <w:rsid w:val="00B42204"/>
    <w:rsid w:val="00B4299C"/>
    <w:rsid w:val="00B43A4D"/>
    <w:rsid w:val="00B43A70"/>
    <w:rsid w:val="00B444D3"/>
    <w:rsid w:val="00B446E7"/>
    <w:rsid w:val="00B4499D"/>
    <w:rsid w:val="00B45227"/>
    <w:rsid w:val="00B4536A"/>
    <w:rsid w:val="00B455D6"/>
    <w:rsid w:val="00B467DB"/>
    <w:rsid w:val="00B475A9"/>
    <w:rsid w:val="00B475B6"/>
    <w:rsid w:val="00B477D1"/>
    <w:rsid w:val="00B47865"/>
    <w:rsid w:val="00B47918"/>
    <w:rsid w:val="00B47ADE"/>
    <w:rsid w:val="00B50280"/>
    <w:rsid w:val="00B506E5"/>
    <w:rsid w:val="00B5082B"/>
    <w:rsid w:val="00B50AC3"/>
    <w:rsid w:val="00B512F7"/>
    <w:rsid w:val="00B519B0"/>
    <w:rsid w:val="00B51F46"/>
    <w:rsid w:val="00B522CD"/>
    <w:rsid w:val="00B52320"/>
    <w:rsid w:val="00B523B6"/>
    <w:rsid w:val="00B52B0D"/>
    <w:rsid w:val="00B53426"/>
    <w:rsid w:val="00B53EDB"/>
    <w:rsid w:val="00B54B2B"/>
    <w:rsid w:val="00B5550C"/>
    <w:rsid w:val="00B55B45"/>
    <w:rsid w:val="00B5627A"/>
    <w:rsid w:val="00B56816"/>
    <w:rsid w:val="00B576C6"/>
    <w:rsid w:val="00B5786B"/>
    <w:rsid w:val="00B6040E"/>
    <w:rsid w:val="00B60C11"/>
    <w:rsid w:val="00B61023"/>
    <w:rsid w:val="00B61CFF"/>
    <w:rsid w:val="00B62A59"/>
    <w:rsid w:val="00B631B2"/>
    <w:rsid w:val="00B63967"/>
    <w:rsid w:val="00B6476D"/>
    <w:rsid w:val="00B64F64"/>
    <w:rsid w:val="00B654C1"/>
    <w:rsid w:val="00B65D9A"/>
    <w:rsid w:val="00B660A8"/>
    <w:rsid w:val="00B66249"/>
    <w:rsid w:val="00B66B98"/>
    <w:rsid w:val="00B6712A"/>
    <w:rsid w:val="00B6730F"/>
    <w:rsid w:val="00B674B9"/>
    <w:rsid w:val="00B676D7"/>
    <w:rsid w:val="00B67765"/>
    <w:rsid w:val="00B67BB8"/>
    <w:rsid w:val="00B67F03"/>
    <w:rsid w:val="00B70026"/>
    <w:rsid w:val="00B70927"/>
    <w:rsid w:val="00B7163D"/>
    <w:rsid w:val="00B7175A"/>
    <w:rsid w:val="00B71A7A"/>
    <w:rsid w:val="00B71AC1"/>
    <w:rsid w:val="00B724F0"/>
    <w:rsid w:val="00B72BF5"/>
    <w:rsid w:val="00B73015"/>
    <w:rsid w:val="00B73700"/>
    <w:rsid w:val="00B73C23"/>
    <w:rsid w:val="00B74623"/>
    <w:rsid w:val="00B74937"/>
    <w:rsid w:val="00B755D1"/>
    <w:rsid w:val="00B757B7"/>
    <w:rsid w:val="00B7584B"/>
    <w:rsid w:val="00B7597B"/>
    <w:rsid w:val="00B75A26"/>
    <w:rsid w:val="00B75B91"/>
    <w:rsid w:val="00B75CEF"/>
    <w:rsid w:val="00B75F0C"/>
    <w:rsid w:val="00B75F2A"/>
    <w:rsid w:val="00B76E0B"/>
    <w:rsid w:val="00B76E9C"/>
    <w:rsid w:val="00B76F24"/>
    <w:rsid w:val="00B7724D"/>
    <w:rsid w:val="00B776F2"/>
    <w:rsid w:val="00B77A40"/>
    <w:rsid w:val="00B77D2E"/>
    <w:rsid w:val="00B77EC7"/>
    <w:rsid w:val="00B801E7"/>
    <w:rsid w:val="00B805D0"/>
    <w:rsid w:val="00B80F0F"/>
    <w:rsid w:val="00B80F3C"/>
    <w:rsid w:val="00B81252"/>
    <w:rsid w:val="00B815AA"/>
    <w:rsid w:val="00B81CAA"/>
    <w:rsid w:val="00B820FD"/>
    <w:rsid w:val="00B82FCF"/>
    <w:rsid w:val="00B83047"/>
    <w:rsid w:val="00B832DB"/>
    <w:rsid w:val="00B83484"/>
    <w:rsid w:val="00B83A08"/>
    <w:rsid w:val="00B84298"/>
    <w:rsid w:val="00B84742"/>
    <w:rsid w:val="00B84BDF"/>
    <w:rsid w:val="00B84E9E"/>
    <w:rsid w:val="00B85145"/>
    <w:rsid w:val="00B8524C"/>
    <w:rsid w:val="00B854B2"/>
    <w:rsid w:val="00B85521"/>
    <w:rsid w:val="00B85BC4"/>
    <w:rsid w:val="00B867A7"/>
    <w:rsid w:val="00B8755B"/>
    <w:rsid w:val="00B877AC"/>
    <w:rsid w:val="00B87972"/>
    <w:rsid w:val="00B90586"/>
    <w:rsid w:val="00B90A13"/>
    <w:rsid w:val="00B91540"/>
    <w:rsid w:val="00B91664"/>
    <w:rsid w:val="00B91BBF"/>
    <w:rsid w:val="00B91DEC"/>
    <w:rsid w:val="00B920AF"/>
    <w:rsid w:val="00B9327E"/>
    <w:rsid w:val="00B9335F"/>
    <w:rsid w:val="00B93425"/>
    <w:rsid w:val="00B9342F"/>
    <w:rsid w:val="00B93A7D"/>
    <w:rsid w:val="00B942A2"/>
    <w:rsid w:val="00B94929"/>
    <w:rsid w:val="00B94ABF"/>
    <w:rsid w:val="00B94AE9"/>
    <w:rsid w:val="00B94D70"/>
    <w:rsid w:val="00B94F1B"/>
    <w:rsid w:val="00B9544F"/>
    <w:rsid w:val="00B954A2"/>
    <w:rsid w:val="00B95F1E"/>
    <w:rsid w:val="00B96657"/>
    <w:rsid w:val="00B967B9"/>
    <w:rsid w:val="00B96AEF"/>
    <w:rsid w:val="00B97735"/>
    <w:rsid w:val="00B97A63"/>
    <w:rsid w:val="00B97A9B"/>
    <w:rsid w:val="00B97B95"/>
    <w:rsid w:val="00B97D47"/>
    <w:rsid w:val="00BA01B3"/>
    <w:rsid w:val="00BA01BB"/>
    <w:rsid w:val="00BA0BB6"/>
    <w:rsid w:val="00BA0C7B"/>
    <w:rsid w:val="00BA0EF0"/>
    <w:rsid w:val="00BA118C"/>
    <w:rsid w:val="00BA1456"/>
    <w:rsid w:val="00BA1EC3"/>
    <w:rsid w:val="00BA2984"/>
    <w:rsid w:val="00BA2DD6"/>
    <w:rsid w:val="00BA30DD"/>
    <w:rsid w:val="00BA3185"/>
    <w:rsid w:val="00BA3212"/>
    <w:rsid w:val="00BA39F8"/>
    <w:rsid w:val="00BA4171"/>
    <w:rsid w:val="00BA471A"/>
    <w:rsid w:val="00BA4963"/>
    <w:rsid w:val="00BA4A47"/>
    <w:rsid w:val="00BA4E90"/>
    <w:rsid w:val="00BA57F5"/>
    <w:rsid w:val="00BA5A54"/>
    <w:rsid w:val="00BA61DE"/>
    <w:rsid w:val="00BA66CD"/>
    <w:rsid w:val="00BA680F"/>
    <w:rsid w:val="00BA68FB"/>
    <w:rsid w:val="00BA6A09"/>
    <w:rsid w:val="00BA7218"/>
    <w:rsid w:val="00BA7335"/>
    <w:rsid w:val="00BA7D27"/>
    <w:rsid w:val="00BA7E00"/>
    <w:rsid w:val="00BB0929"/>
    <w:rsid w:val="00BB1185"/>
    <w:rsid w:val="00BB1307"/>
    <w:rsid w:val="00BB17E3"/>
    <w:rsid w:val="00BB1900"/>
    <w:rsid w:val="00BB1DCC"/>
    <w:rsid w:val="00BB23FE"/>
    <w:rsid w:val="00BB24A0"/>
    <w:rsid w:val="00BB2761"/>
    <w:rsid w:val="00BB28AE"/>
    <w:rsid w:val="00BB2CFB"/>
    <w:rsid w:val="00BB2E30"/>
    <w:rsid w:val="00BB3C40"/>
    <w:rsid w:val="00BB3E6F"/>
    <w:rsid w:val="00BB4C26"/>
    <w:rsid w:val="00BB4DD6"/>
    <w:rsid w:val="00BB4EF5"/>
    <w:rsid w:val="00BB5224"/>
    <w:rsid w:val="00BB5395"/>
    <w:rsid w:val="00BB5444"/>
    <w:rsid w:val="00BB55C4"/>
    <w:rsid w:val="00BB577E"/>
    <w:rsid w:val="00BB6E52"/>
    <w:rsid w:val="00BB70FE"/>
    <w:rsid w:val="00BB7447"/>
    <w:rsid w:val="00BB749F"/>
    <w:rsid w:val="00BB7820"/>
    <w:rsid w:val="00BB78B4"/>
    <w:rsid w:val="00BB79D2"/>
    <w:rsid w:val="00BC0197"/>
    <w:rsid w:val="00BC03B7"/>
    <w:rsid w:val="00BC0414"/>
    <w:rsid w:val="00BC057F"/>
    <w:rsid w:val="00BC0A55"/>
    <w:rsid w:val="00BC0B48"/>
    <w:rsid w:val="00BC21D1"/>
    <w:rsid w:val="00BC23D0"/>
    <w:rsid w:val="00BC245E"/>
    <w:rsid w:val="00BC24FA"/>
    <w:rsid w:val="00BC28A1"/>
    <w:rsid w:val="00BC2DED"/>
    <w:rsid w:val="00BC2E0A"/>
    <w:rsid w:val="00BC4CF9"/>
    <w:rsid w:val="00BC544F"/>
    <w:rsid w:val="00BC56B8"/>
    <w:rsid w:val="00BC5D69"/>
    <w:rsid w:val="00BC622D"/>
    <w:rsid w:val="00BC654B"/>
    <w:rsid w:val="00BC752B"/>
    <w:rsid w:val="00BC75DE"/>
    <w:rsid w:val="00BC7887"/>
    <w:rsid w:val="00BC7C94"/>
    <w:rsid w:val="00BD03D0"/>
    <w:rsid w:val="00BD0689"/>
    <w:rsid w:val="00BD09B6"/>
    <w:rsid w:val="00BD1381"/>
    <w:rsid w:val="00BD1C2A"/>
    <w:rsid w:val="00BD1CDD"/>
    <w:rsid w:val="00BD1DA2"/>
    <w:rsid w:val="00BD211B"/>
    <w:rsid w:val="00BD211F"/>
    <w:rsid w:val="00BD21EC"/>
    <w:rsid w:val="00BD22F1"/>
    <w:rsid w:val="00BD2614"/>
    <w:rsid w:val="00BD2687"/>
    <w:rsid w:val="00BD35C9"/>
    <w:rsid w:val="00BD37BF"/>
    <w:rsid w:val="00BD38A9"/>
    <w:rsid w:val="00BD39CF"/>
    <w:rsid w:val="00BD3AC7"/>
    <w:rsid w:val="00BD3AFC"/>
    <w:rsid w:val="00BD3B81"/>
    <w:rsid w:val="00BD3BBC"/>
    <w:rsid w:val="00BD46EB"/>
    <w:rsid w:val="00BD4E22"/>
    <w:rsid w:val="00BD4E42"/>
    <w:rsid w:val="00BD62AD"/>
    <w:rsid w:val="00BD62DA"/>
    <w:rsid w:val="00BD64B6"/>
    <w:rsid w:val="00BD6533"/>
    <w:rsid w:val="00BD6FC6"/>
    <w:rsid w:val="00BD7C2B"/>
    <w:rsid w:val="00BD7C2F"/>
    <w:rsid w:val="00BD7C39"/>
    <w:rsid w:val="00BE0549"/>
    <w:rsid w:val="00BE06F5"/>
    <w:rsid w:val="00BE0BF3"/>
    <w:rsid w:val="00BE1079"/>
    <w:rsid w:val="00BE121D"/>
    <w:rsid w:val="00BE16A9"/>
    <w:rsid w:val="00BE1A29"/>
    <w:rsid w:val="00BE2390"/>
    <w:rsid w:val="00BE262D"/>
    <w:rsid w:val="00BE26F1"/>
    <w:rsid w:val="00BE2AB3"/>
    <w:rsid w:val="00BE2F6E"/>
    <w:rsid w:val="00BE30A8"/>
    <w:rsid w:val="00BE3253"/>
    <w:rsid w:val="00BE32FD"/>
    <w:rsid w:val="00BE3484"/>
    <w:rsid w:val="00BE394D"/>
    <w:rsid w:val="00BE39E3"/>
    <w:rsid w:val="00BE3A30"/>
    <w:rsid w:val="00BE3B3A"/>
    <w:rsid w:val="00BE3E00"/>
    <w:rsid w:val="00BE41C1"/>
    <w:rsid w:val="00BE4264"/>
    <w:rsid w:val="00BE42A6"/>
    <w:rsid w:val="00BE440E"/>
    <w:rsid w:val="00BE4450"/>
    <w:rsid w:val="00BE5698"/>
    <w:rsid w:val="00BE58B3"/>
    <w:rsid w:val="00BE6594"/>
    <w:rsid w:val="00BE6B03"/>
    <w:rsid w:val="00BE6BA8"/>
    <w:rsid w:val="00BE6F58"/>
    <w:rsid w:val="00BE7437"/>
    <w:rsid w:val="00BE7658"/>
    <w:rsid w:val="00BF0A7E"/>
    <w:rsid w:val="00BF0F34"/>
    <w:rsid w:val="00BF1390"/>
    <w:rsid w:val="00BF13F3"/>
    <w:rsid w:val="00BF1651"/>
    <w:rsid w:val="00BF20BB"/>
    <w:rsid w:val="00BF20C3"/>
    <w:rsid w:val="00BF2323"/>
    <w:rsid w:val="00BF282B"/>
    <w:rsid w:val="00BF296A"/>
    <w:rsid w:val="00BF29C2"/>
    <w:rsid w:val="00BF2F61"/>
    <w:rsid w:val="00BF310E"/>
    <w:rsid w:val="00BF3D88"/>
    <w:rsid w:val="00BF4186"/>
    <w:rsid w:val="00BF4791"/>
    <w:rsid w:val="00BF4BB3"/>
    <w:rsid w:val="00BF4C55"/>
    <w:rsid w:val="00BF5E36"/>
    <w:rsid w:val="00BF5E68"/>
    <w:rsid w:val="00BF6A24"/>
    <w:rsid w:val="00BF6D58"/>
    <w:rsid w:val="00BF6E79"/>
    <w:rsid w:val="00BF6F82"/>
    <w:rsid w:val="00BF743E"/>
    <w:rsid w:val="00BF7618"/>
    <w:rsid w:val="00BF7646"/>
    <w:rsid w:val="00BF7B68"/>
    <w:rsid w:val="00BF7F2C"/>
    <w:rsid w:val="00BF7FE5"/>
    <w:rsid w:val="00C00185"/>
    <w:rsid w:val="00C004A1"/>
    <w:rsid w:val="00C00D58"/>
    <w:rsid w:val="00C00E61"/>
    <w:rsid w:val="00C00FB0"/>
    <w:rsid w:val="00C01326"/>
    <w:rsid w:val="00C014A3"/>
    <w:rsid w:val="00C015DE"/>
    <w:rsid w:val="00C01C52"/>
    <w:rsid w:val="00C01F43"/>
    <w:rsid w:val="00C01FCD"/>
    <w:rsid w:val="00C023E3"/>
    <w:rsid w:val="00C02920"/>
    <w:rsid w:val="00C02B0E"/>
    <w:rsid w:val="00C02EBA"/>
    <w:rsid w:val="00C03003"/>
    <w:rsid w:val="00C0384A"/>
    <w:rsid w:val="00C03E64"/>
    <w:rsid w:val="00C0410D"/>
    <w:rsid w:val="00C045F8"/>
    <w:rsid w:val="00C04A7D"/>
    <w:rsid w:val="00C04EFD"/>
    <w:rsid w:val="00C056FA"/>
    <w:rsid w:val="00C057D2"/>
    <w:rsid w:val="00C058A1"/>
    <w:rsid w:val="00C05B2C"/>
    <w:rsid w:val="00C05DAC"/>
    <w:rsid w:val="00C05E1D"/>
    <w:rsid w:val="00C06268"/>
    <w:rsid w:val="00C06993"/>
    <w:rsid w:val="00C071F0"/>
    <w:rsid w:val="00C07A4F"/>
    <w:rsid w:val="00C10124"/>
    <w:rsid w:val="00C11374"/>
    <w:rsid w:val="00C11554"/>
    <w:rsid w:val="00C11C4B"/>
    <w:rsid w:val="00C11CF7"/>
    <w:rsid w:val="00C1254B"/>
    <w:rsid w:val="00C12648"/>
    <w:rsid w:val="00C12B2F"/>
    <w:rsid w:val="00C12BFD"/>
    <w:rsid w:val="00C13256"/>
    <w:rsid w:val="00C13498"/>
    <w:rsid w:val="00C135A3"/>
    <w:rsid w:val="00C13B58"/>
    <w:rsid w:val="00C14061"/>
    <w:rsid w:val="00C14384"/>
    <w:rsid w:val="00C14E00"/>
    <w:rsid w:val="00C150E6"/>
    <w:rsid w:val="00C15315"/>
    <w:rsid w:val="00C15410"/>
    <w:rsid w:val="00C15531"/>
    <w:rsid w:val="00C158A1"/>
    <w:rsid w:val="00C15B39"/>
    <w:rsid w:val="00C161C8"/>
    <w:rsid w:val="00C163B2"/>
    <w:rsid w:val="00C16D72"/>
    <w:rsid w:val="00C16FC4"/>
    <w:rsid w:val="00C171D3"/>
    <w:rsid w:val="00C1727B"/>
    <w:rsid w:val="00C17975"/>
    <w:rsid w:val="00C17ED9"/>
    <w:rsid w:val="00C2000C"/>
    <w:rsid w:val="00C20FBA"/>
    <w:rsid w:val="00C21646"/>
    <w:rsid w:val="00C21976"/>
    <w:rsid w:val="00C21A81"/>
    <w:rsid w:val="00C226B0"/>
    <w:rsid w:val="00C230DE"/>
    <w:rsid w:val="00C23344"/>
    <w:rsid w:val="00C23762"/>
    <w:rsid w:val="00C23AF7"/>
    <w:rsid w:val="00C23B4B"/>
    <w:rsid w:val="00C23BB6"/>
    <w:rsid w:val="00C23D98"/>
    <w:rsid w:val="00C23E0A"/>
    <w:rsid w:val="00C24D59"/>
    <w:rsid w:val="00C24D7F"/>
    <w:rsid w:val="00C24F72"/>
    <w:rsid w:val="00C25097"/>
    <w:rsid w:val="00C253F5"/>
    <w:rsid w:val="00C25D78"/>
    <w:rsid w:val="00C25E5A"/>
    <w:rsid w:val="00C262D9"/>
    <w:rsid w:val="00C264B3"/>
    <w:rsid w:val="00C26950"/>
    <w:rsid w:val="00C26A78"/>
    <w:rsid w:val="00C27069"/>
    <w:rsid w:val="00C30D69"/>
    <w:rsid w:val="00C314D6"/>
    <w:rsid w:val="00C3150F"/>
    <w:rsid w:val="00C31EAD"/>
    <w:rsid w:val="00C320BD"/>
    <w:rsid w:val="00C32419"/>
    <w:rsid w:val="00C325FA"/>
    <w:rsid w:val="00C32871"/>
    <w:rsid w:val="00C32E4E"/>
    <w:rsid w:val="00C332A3"/>
    <w:rsid w:val="00C33889"/>
    <w:rsid w:val="00C34541"/>
    <w:rsid w:val="00C34585"/>
    <w:rsid w:val="00C34818"/>
    <w:rsid w:val="00C34D24"/>
    <w:rsid w:val="00C350A6"/>
    <w:rsid w:val="00C35995"/>
    <w:rsid w:val="00C35AE3"/>
    <w:rsid w:val="00C364EF"/>
    <w:rsid w:val="00C36919"/>
    <w:rsid w:val="00C37179"/>
    <w:rsid w:val="00C373A4"/>
    <w:rsid w:val="00C379E4"/>
    <w:rsid w:val="00C37A9D"/>
    <w:rsid w:val="00C37B3B"/>
    <w:rsid w:val="00C37FD8"/>
    <w:rsid w:val="00C40594"/>
    <w:rsid w:val="00C405F8"/>
    <w:rsid w:val="00C406F2"/>
    <w:rsid w:val="00C4070E"/>
    <w:rsid w:val="00C40ABD"/>
    <w:rsid w:val="00C40FF5"/>
    <w:rsid w:val="00C42330"/>
    <w:rsid w:val="00C42601"/>
    <w:rsid w:val="00C43578"/>
    <w:rsid w:val="00C43779"/>
    <w:rsid w:val="00C44070"/>
    <w:rsid w:val="00C447ED"/>
    <w:rsid w:val="00C45603"/>
    <w:rsid w:val="00C4590D"/>
    <w:rsid w:val="00C45BA4"/>
    <w:rsid w:val="00C45C23"/>
    <w:rsid w:val="00C45F76"/>
    <w:rsid w:val="00C46388"/>
    <w:rsid w:val="00C46404"/>
    <w:rsid w:val="00C46425"/>
    <w:rsid w:val="00C46875"/>
    <w:rsid w:val="00C468AF"/>
    <w:rsid w:val="00C46A6D"/>
    <w:rsid w:val="00C46E50"/>
    <w:rsid w:val="00C46E75"/>
    <w:rsid w:val="00C470E0"/>
    <w:rsid w:val="00C478E1"/>
    <w:rsid w:val="00C47A66"/>
    <w:rsid w:val="00C47A73"/>
    <w:rsid w:val="00C47A9A"/>
    <w:rsid w:val="00C47B25"/>
    <w:rsid w:val="00C47BF2"/>
    <w:rsid w:val="00C50127"/>
    <w:rsid w:val="00C50299"/>
    <w:rsid w:val="00C508A8"/>
    <w:rsid w:val="00C50950"/>
    <w:rsid w:val="00C51121"/>
    <w:rsid w:val="00C51858"/>
    <w:rsid w:val="00C51CF9"/>
    <w:rsid w:val="00C5212B"/>
    <w:rsid w:val="00C52565"/>
    <w:rsid w:val="00C5284E"/>
    <w:rsid w:val="00C52994"/>
    <w:rsid w:val="00C52A72"/>
    <w:rsid w:val="00C52FA6"/>
    <w:rsid w:val="00C530D6"/>
    <w:rsid w:val="00C541EF"/>
    <w:rsid w:val="00C54625"/>
    <w:rsid w:val="00C54B2C"/>
    <w:rsid w:val="00C54C2F"/>
    <w:rsid w:val="00C54C8F"/>
    <w:rsid w:val="00C55202"/>
    <w:rsid w:val="00C55BE9"/>
    <w:rsid w:val="00C57788"/>
    <w:rsid w:val="00C57CCD"/>
    <w:rsid w:val="00C57F35"/>
    <w:rsid w:val="00C60751"/>
    <w:rsid w:val="00C60AC9"/>
    <w:rsid w:val="00C60C85"/>
    <w:rsid w:val="00C60DD3"/>
    <w:rsid w:val="00C610DD"/>
    <w:rsid w:val="00C611AF"/>
    <w:rsid w:val="00C6124B"/>
    <w:rsid w:val="00C6184F"/>
    <w:rsid w:val="00C61EFD"/>
    <w:rsid w:val="00C62304"/>
    <w:rsid w:val="00C62361"/>
    <w:rsid w:val="00C62456"/>
    <w:rsid w:val="00C625EB"/>
    <w:rsid w:val="00C627F4"/>
    <w:rsid w:val="00C62B41"/>
    <w:rsid w:val="00C63176"/>
    <w:rsid w:val="00C63278"/>
    <w:rsid w:val="00C632F9"/>
    <w:rsid w:val="00C64286"/>
    <w:rsid w:val="00C648D2"/>
    <w:rsid w:val="00C6575B"/>
    <w:rsid w:val="00C6604C"/>
    <w:rsid w:val="00C661AC"/>
    <w:rsid w:val="00C673AD"/>
    <w:rsid w:val="00C67F91"/>
    <w:rsid w:val="00C700FF"/>
    <w:rsid w:val="00C7016F"/>
    <w:rsid w:val="00C703A2"/>
    <w:rsid w:val="00C708FD"/>
    <w:rsid w:val="00C70901"/>
    <w:rsid w:val="00C70D6B"/>
    <w:rsid w:val="00C71142"/>
    <w:rsid w:val="00C71520"/>
    <w:rsid w:val="00C71ECE"/>
    <w:rsid w:val="00C72264"/>
    <w:rsid w:val="00C724E4"/>
    <w:rsid w:val="00C72713"/>
    <w:rsid w:val="00C7285C"/>
    <w:rsid w:val="00C73419"/>
    <w:rsid w:val="00C738A1"/>
    <w:rsid w:val="00C73B91"/>
    <w:rsid w:val="00C73E52"/>
    <w:rsid w:val="00C7411D"/>
    <w:rsid w:val="00C7414B"/>
    <w:rsid w:val="00C7416F"/>
    <w:rsid w:val="00C743EF"/>
    <w:rsid w:val="00C74438"/>
    <w:rsid w:val="00C74C81"/>
    <w:rsid w:val="00C75E69"/>
    <w:rsid w:val="00C7619F"/>
    <w:rsid w:val="00C76725"/>
    <w:rsid w:val="00C76988"/>
    <w:rsid w:val="00C76AAE"/>
    <w:rsid w:val="00C76BCF"/>
    <w:rsid w:val="00C771AA"/>
    <w:rsid w:val="00C777F5"/>
    <w:rsid w:val="00C77E6E"/>
    <w:rsid w:val="00C801E2"/>
    <w:rsid w:val="00C803C4"/>
    <w:rsid w:val="00C8060F"/>
    <w:rsid w:val="00C80857"/>
    <w:rsid w:val="00C81049"/>
    <w:rsid w:val="00C8231A"/>
    <w:rsid w:val="00C82614"/>
    <w:rsid w:val="00C82D2A"/>
    <w:rsid w:val="00C831ED"/>
    <w:rsid w:val="00C83389"/>
    <w:rsid w:val="00C83D63"/>
    <w:rsid w:val="00C83E8C"/>
    <w:rsid w:val="00C84650"/>
    <w:rsid w:val="00C84A88"/>
    <w:rsid w:val="00C84CAF"/>
    <w:rsid w:val="00C850D3"/>
    <w:rsid w:val="00C8522A"/>
    <w:rsid w:val="00C85281"/>
    <w:rsid w:val="00C8534A"/>
    <w:rsid w:val="00C8544D"/>
    <w:rsid w:val="00C8555C"/>
    <w:rsid w:val="00C858E9"/>
    <w:rsid w:val="00C859CD"/>
    <w:rsid w:val="00C85B33"/>
    <w:rsid w:val="00C85D1D"/>
    <w:rsid w:val="00C86656"/>
    <w:rsid w:val="00C866AA"/>
    <w:rsid w:val="00C86AE7"/>
    <w:rsid w:val="00C87182"/>
    <w:rsid w:val="00C8718C"/>
    <w:rsid w:val="00C878D2"/>
    <w:rsid w:val="00C87CD5"/>
    <w:rsid w:val="00C87CEE"/>
    <w:rsid w:val="00C900B0"/>
    <w:rsid w:val="00C90304"/>
    <w:rsid w:val="00C904E7"/>
    <w:rsid w:val="00C908F4"/>
    <w:rsid w:val="00C90A19"/>
    <w:rsid w:val="00C90D46"/>
    <w:rsid w:val="00C90DA3"/>
    <w:rsid w:val="00C90F39"/>
    <w:rsid w:val="00C919D5"/>
    <w:rsid w:val="00C92062"/>
    <w:rsid w:val="00C926A0"/>
    <w:rsid w:val="00C92BA3"/>
    <w:rsid w:val="00C92CFB"/>
    <w:rsid w:val="00C93120"/>
    <w:rsid w:val="00C93300"/>
    <w:rsid w:val="00C93D49"/>
    <w:rsid w:val="00C93E11"/>
    <w:rsid w:val="00C9517B"/>
    <w:rsid w:val="00C95418"/>
    <w:rsid w:val="00C9549B"/>
    <w:rsid w:val="00C95D12"/>
    <w:rsid w:val="00C95D14"/>
    <w:rsid w:val="00C95DDD"/>
    <w:rsid w:val="00C96CD5"/>
    <w:rsid w:val="00C96D9A"/>
    <w:rsid w:val="00C97AC4"/>
    <w:rsid w:val="00CA028E"/>
    <w:rsid w:val="00CA03B1"/>
    <w:rsid w:val="00CA0938"/>
    <w:rsid w:val="00CA0F81"/>
    <w:rsid w:val="00CA18CC"/>
    <w:rsid w:val="00CA1C88"/>
    <w:rsid w:val="00CA1D3E"/>
    <w:rsid w:val="00CA1E99"/>
    <w:rsid w:val="00CA2711"/>
    <w:rsid w:val="00CA27AA"/>
    <w:rsid w:val="00CA2836"/>
    <w:rsid w:val="00CA2B7D"/>
    <w:rsid w:val="00CA303D"/>
    <w:rsid w:val="00CA30D5"/>
    <w:rsid w:val="00CA3FC4"/>
    <w:rsid w:val="00CA4139"/>
    <w:rsid w:val="00CA4565"/>
    <w:rsid w:val="00CA4A0E"/>
    <w:rsid w:val="00CA4AD6"/>
    <w:rsid w:val="00CA4B50"/>
    <w:rsid w:val="00CA4E1C"/>
    <w:rsid w:val="00CA515A"/>
    <w:rsid w:val="00CA5498"/>
    <w:rsid w:val="00CA5BE3"/>
    <w:rsid w:val="00CA61F3"/>
    <w:rsid w:val="00CA668C"/>
    <w:rsid w:val="00CA68AF"/>
    <w:rsid w:val="00CA6B42"/>
    <w:rsid w:val="00CA6DE5"/>
    <w:rsid w:val="00CA7B8A"/>
    <w:rsid w:val="00CB00DF"/>
    <w:rsid w:val="00CB00EE"/>
    <w:rsid w:val="00CB04F0"/>
    <w:rsid w:val="00CB0D60"/>
    <w:rsid w:val="00CB0DA8"/>
    <w:rsid w:val="00CB0E8E"/>
    <w:rsid w:val="00CB0F36"/>
    <w:rsid w:val="00CB1902"/>
    <w:rsid w:val="00CB1ED7"/>
    <w:rsid w:val="00CB1F69"/>
    <w:rsid w:val="00CB21E8"/>
    <w:rsid w:val="00CB2A2D"/>
    <w:rsid w:val="00CB2CA4"/>
    <w:rsid w:val="00CB3195"/>
    <w:rsid w:val="00CB3DC2"/>
    <w:rsid w:val="00CB3FB2"/>
    <w:rsid w:val="00CB456C"/>
    <w:rsid w:val="00CB462B"/>
    <w:rsid w:val="00CB4F84"/>
    <w:rsid w:val="00CB52C6"/>
    <w:rsid w:val="00CB5E4B"/>
    <w:rsid w:val="00CB62A4"/>
    <w:rsid w:val="00CB62EB"/>
    <w:rsid w:val="00CB6471"/>
    <w:rsid w:val="00CB7147"/>
    <w:rsid w:val="00CB7152"/>
    <w:rsid w:val="00CB7650"/>
    <w:rsid w:val="00CB795C"/>
    <w:rsid w:val="00CB7E5E"/>
    <w:rsid w:val="00CB7F9A"/>
    <w:rsid w:val="00CC0184"/>
    <w:rsid w:val="00CC058A"/>
    <w:rsid w:val="00CC0B2F"/>
    <w:rsid w:val="00CC1070"/>
    <w:rsid w:val="00CC1B1C"/>
    <w:rsid w:val="00CC2713"/>
    <w:rsid w:val="00CC311C"/>
    <w:rsid w:val="00CC328F"/>
    <w:rsid w:val="00CC32D2"/>
    <w:rsid w:val="00CC3601"/>
    <w:rsid w:val="00CC36E1"/>
    <w:rsid w:val="00CC3F62"/>
    <w:rsid w:val="00CC454E"/>
    <w:rsid w:val="00CC4605"/>
    <w:rsid w:val="00CC4633"/>
    <w:rsid w:val="00CC4846"/>
    <w:rsid w:val="00CC487A"/>
    <w:rsid w:val="00CC4AA4"/>
    <w:rsid w:val="00CC4B84"/>
    <w:rsid w:val="00CC4D16"/>
    <w:rsid w:val="00CC4F16"/>
    <w:rsid w:val="00CC566C"/>
    <w:rsid w:val="00CC57DF"/>
    <w:rsid w:val="00CC5809"/>
    <w:rsid w:val="00CC5A64"/>
    <w:rsid w:val="00CC5EA7"/>
    <w:rsid w:val="00CC5FD3"/>
    <w:rsid w:val="00CC6318"/>
    <w:rsid w:val="00CC637E"/>
    <w:rsid w:val="00CC6921"/>
    <w:rsid w:val="00CC6B10"/>
    <w:rsid w:val="00CC6BD2"/>
    <w:rsid w:val="00CC75AA"/>
    <w:rsid w:val="00CD004F"/>
    <w:rsid w:val="00CD05F2"/>
    <w:rsid w:val="00CD0745"/>
    <w:rsid w:val="00CD0B74"/>
    <w:rsid w:val="00CD0FCE"/>
    <w:rsid w:val="00CD1116"/>
    <w:rsid w:val="00CD1212"/>
    <w:rsid w:val="00CD1319"/>
    <w:rsid w:val="00CD1E41"/>
    <w:rsid w:val="00CD2011"/>
    <w:rsid w:val="00CD24E8"/>
    <w:rsid w:val="00CD31A4"/>
    <w:rsid w:val="00CD3459"/>
    <w:rsid w:val="00CD3951"/>
    <w:rsid w:val="00CD3BF7"/>
    <w:rsid w:val="00CD436D"/>
    <w:rsid w:val="00CD4F11"/>
    <w:rsid w:val="00CD53D0"/>
    <w:rsid w:val="00CD571C"/>
    <w:rsid w:val="00CD5916"/>
    <w:rsid w:val="00CD5E76"/>
    <w:rsid w:val="00CD608F"/>
    <w:rsid w:val="00CD6402"/>
    <w:rsid w:val="00CD691B"/>
    <w:rsid w:val="00CD6D42"/>
    <w:rsid w:val="00CD6FCC"/>
    <w:rsid w:val="00CD72CD"/>
    <w:rsid w:val="00CD7932"/>
    <w:rsid w:val="00CD7948"/>
    <w:rsid w:val="00CE0516"/>
    <w:rsid w:val="00CE08F3"/>
    <w:rsid w:val="00CE0AFF"/>
    <w:rsid w:val="00CE0CC5"/>
    <w:rsid w:val="00CE14D6"/>
    <w:rsid w:val="00CE19F7"/>
    <w:rsid w:val="00CE254E"/>
    <w:rsid w:val="00CE2B03"/>
    <w:rsid w:val="00CE3138"/>
    <w:rsid w:val="00CE33A8"/>
    <w:rsid w:val="00CE36A6"/>
    <w:rsid w:val="00CE372E"/>
    <w:rsid w:val="00CE38FA"/>
    <w:rsid w:val="00CE38FF"/>
    <w:rsid w:val="00CE3CB8"/>
    <w:rsid w:val="00CE44E5"/>
    <w:rsid w:val="00CE4694"/>
    <w:rsid w:val="00CE46D3"/>
    <w:rsid w:val="00CE4ABA"/>
    <w:rsid w:val="00CE4F67"/>
    <w:rsid w:val="00CE52D9"/>
    <w:rsid w:val="00CE52F1"/>
    <w:rsid w:val="00CE53A8"/>
    <w:rsid w:val="00CE5800"/>
    <w:rsid w:val="00CE67D8"/>
    <w:rsid w:val="00CE71BB"/>
    <w:rsid w:val="00CE71C6"/>
    <w:rsid w:val="00CE732A"/>
    <w:rsid w:val="00CE7DB3"/>
    <w:rsid w:val="00CF0598"/>
    <w:rsid w:val="00CF0624"/>
    <w:rsid w:val="00CF0980"/>
    <w:rsid w:val="00CF14C4"/>
    <w:rsid w:val="00CF1738"/>
    <w:rsid w:val="00CF1E8E"/>
    <w:rsid w:val="00CF21CB"/>
    <w:rsid w:val="00CF2A35"/>
    <w:rsid w:val="00CF2E72"/>
    <w:rsid w:val="00CF36A9"/>
    <w:rsid w:val="00CF3C71"/>
    <w:rsid w:val="00CF3FB0"/>
    <w:rsid w:val="00CF4380"/>
    <w:rsid w:val="00CF43C2"/>
    <w:rsid w:val="00CF48E4"/>
    <w:rsid w:val="00CF4973"/>
    <w:rsid w:val="00CF4C6A"/>
    <w:rsid w:val="00CF51DC"/>
    <w:rsid w:val="00CF552B"/>
    <w:rsid w:val="00CF6C52"/>
    <w:rsid w:val="00CF73DB"/>
    <w:rsid w:val="00CF742D"/>
    <w:rsid w:val="00CF7516"/>
    <w:rsid w:val="00CF78DC"/>
    <w:rsid w:val="00CF7AAE"/>
    <w:rsid w:val="00CF7E06"/>
    <w:rsid w:val="00D00074"/>
    <w:rsid w:val="00D000BB"/>
    <w:rsid w:val="00D00AB3"/>
    <w:rsid w:val="00D00C1C"/>
    <w:rsid w:val="00D012A5"/>
    <w:rsid w:val="00D014DE"/>
    <w:rsid w:val="00D0157B"/>
    <w:rsid w:val="00D01B85"/>
    <w:rsid w:val="00D02043"/>
    <w:rsid w:val="00D02377"/>
    <w:rsid w:val="00D02666"/>
    <w:rsid w:val="00D02D11"/>
    <w:rsid w:val="00D02ED5"/>
    <w:rsid w:val="00D03A16"/>
    <w:rsid w:val="00D03B34"/>
    <w:rsid w:val="00D03BE8"/>
    <w:rsid w:val="00D03F5C"/>
    <w:rsid w:val="00D043F2"/>
    <w:rsid w:val="00D04495"/>
    <w:rsid w:val="00D04DDD"/>
    <w:rsid w:val="00D04F93"/>
    <w:rsid w:val="00D05235"/>
    <w:rsid w:val="00D05255"/>
    <w:rsid w:val="00D05566"/>
    <w:rsid w:val="00D05646"/>
    <w:rsid w:val="00D05812"/>
    <w:rsid w:val="00D05825"/>
    <w:rsid w:val="00D0597D"/>
    <w:rsid w:val="00D060FC"/>
    <w:rsid w:val="00D06481"/>
    <w:rsid w:val="00D064B1"/>
    <w:rsid w:val="00D06A34"/>
    <w:rsid w:val="00D06F81"/>
    <w:rsid w:val="00D0740F"/>
    <w:rsid w:val="00D079E1"/>
    <w:rsid w:val="00D07A41"/>
    <w:rsid w:val="00D07ADA"/>
    <w:rsid w:val="00D07D7A"/>
    <w:rsid w:val="00D1025E"/>
    <w:rsid w:val="00D102A2"/>
    <w:rsid w:val="00D10687"/>
    <w:rsid w:val="00D10DC4"/>
    <w:rsid w:val="00D114B3"/>
    <w:rsid w:val="00D1150D"/>
    <w:rsid w:val="00D125F1"/>
    <w:rsid w:val="00D12679"/>
    <w:rsid w:val="00D12CD3"/>
    <w:rsid w:val="00D133A3"/>
    <w:rsid w:val="00D13543"/>
    <w:rsid w:val="00D135F5"/>
    <w:rsid w:val="00D137AC"/>
    <w:rsid w:val="00D1452E"/>
    <w:rsid w:val="00D14D67"/>
    <w:rsid w:val="00D152CC"/>
    <w:rsid w:val="00D152D4"/>
    <w:rsid w:val="00D15306"/>
    <w:rsid w:val="00D155AD"/>
    <w:rsid w:val="00D155E0"/>
    <w:rsid w:val="00D15ABB"/>
    <w:rsid w:val="00D15EF6"/>
    <w:rsid w:val="00D16053"/>
    <w:rsid w:val="00D16316"/>
    <w:rsid w:val="00D1651F"/>
    <w:rsid w:val="00D16BB4"/>
    <w:rsid w:val="00D17179"/>
    <w:rsid w:val="00D1739D"/>
    <w:rsid w:val="00D17555"/>
    <w:rsid w:val="00D1780C"/>
    <w:rsid w:val="00D17B1E"/>
    <w:rsid w:val="00D200F9"/>
    <w:rsid w:val="00D205AC"/>
    <w:rsid w:val="00D2080D"/>
    <w:rsid w:val="00D20A05"/>
    <w:rsid w:val="00D20B9E"/>
    <w:rsid w:val="00D20DB9"/>
    <w:rsid w:val="00D211E0"/>
    <w:rsid w:val="00D21608"/>
    <w:rsid w:val="00D2175C"/>
    <w:rsid w:val="00D2195A"/>
    <w:rsid w:val="00D22005"/>
    <w:rsid w:val="00D22AD1"/>
    <w:rsid w:val="00D23258"/>
    <w:rsid w:val="00D23E20"/>
    <w:rsid w:val="00D23F04"/>
    <w:rsid w:val="00D241A8"/>
    <w:rsid w:val="00D24790"/>
    <w:rsid w:val="00D24C39"/>
    <w:rsid w:val="00D24CAD"/>
    <w:rsid w:val="00D2528C"/>
    <w:rsid w:val="00D254C0"/>
    <w:rsid w:val="00D25765"/>
    <w:rsid w:val="00D26765"/>
    <w:rsid w:val="00D26832"/>
    <w:rsid w:val="00D26EFC"/>
    <w:rsid w:val="00D272B1"/>
    <w:rsid w:val="00D272D1"/>
    <w:rsid w:val="00D2774B"/>
    <w:rsid w:val="00D27D3A"/>
    <w:rsid w:val="00D27D8D"/>
    <w:rsid w:val="00D27E31"/>
    <w:rsid w:val="00D27F50"/>
    <w:rsid w:val="00D30556"/>
    <w:rsid w:val="00D30D8B"/>
    <w:rsid w:val="00D30EA4"/>
    <w:rsid w:val="00D31C62"/>
    <w:rsid w:val="00D31DE3"/>
    <w:rsid w:val="00D32434"/>
    <w:rsid w:val="00D326D8"/>
    <w:rsid w:val="00D327BA"/>
    <w:rsid w:val="00D32B58"/>
    <w:rsid w:val="00D32DA0"/>
    <w:rsid w:val="00D330F0"/>
    <w:rsid w:val="00D33258"/>
    <w:rsid w:val="00D33390"/>
    <w:rsid w:val="00D33537"/>
    <w:rsid w:val="00D335F6"/>
    <w:rsid w:val="00D337D2"/>
    <w:rsid w:val="00D33C71"/>
    <w:rsid w:val="00D344A2"/>
    <w:rsid w:val="00D34E8D"/>
    <w:rsid w:val="00D34F34"/>
    <w:rsid w:val="00D3538A"/>
    <w:rsid w:val="00D3539E"/>
    <w:rsid w:val="00D35778"/>
    <w:rsid w:val="00D3596D"/>
    <w:rsid w:val="00D36278"/>
    <w:rsid w:val="00D362A5"/>
    <w:rsid w:val="00D36F3C"/>
    <w:rsid w:val="00D37829"/>
    <w:rsid w:val="00D37A06"/>
    <w:rsid w:val="00D37C48"/>
    <w:rsid w:val="00D4090A"/>
    <w:rsid w:val="00D40A76"/>
    <w:rsid w:val="00D40BCF"/>
    <w:rsid w:val="00D41485"/>
    <w:rsid w:val="00D41ABA"/>
    <w:rsid w:val="00D41B54"/>
    <w:rsid w:val="00D41B68"/>
    <w:rsid w:val="00D41CF5"/>
    <w:rsid w:val="00D42559"/>
    <w:rsid w:val="00D425DE"/>
    <w:rsid w:val="00D43624"/>
    <w:rsid w:val="00D43A7E"/>
    <w:rsid w:val="00D43E18"/>
    <w:rsid w:val="00D44AD2"/>
    <w:rsid w:val="00D45543"/>
    <w:rsid w:val="00D457B1"/>
    <w:rsid w:val="00D4611F"/>
    <w:rsid w:val="00D465BC"/>
    <w:rsid w:val="00D46AC3"/>
    <w:rsid w:val="00D46B0A"/>
    <w:rsid w:val="00D473F9"/>
    <w:rsid w:val="00D47482"/>
    <w:rsid w:val="00D47AB7"/>
    <w:rsid w:val="00D47EE5"/>
    <w:rsid w:val="00D50B99"/>
    <w:rsid w:val="00D50FAD"/>
    <w:rsid w:val="00D510D6"/>
    <w:rsid w:val="00D511F9"/>
    <w:rsid w:val="00D51D62"/>
    <w:rsid w:val="00D51EA1"/>
    <w:rsid w:val="00D521A7"/>
    <w:rsid w:val="00D523A6"/>
    <w:rsid w:val="00D52D0D"/>
    <w:rsid w:val="00D53389"/>
    <w:rsid w:val="00D5342A"/>
    <w:rsid w:val="00D53BE6"/>
    <w:rsid w:val="00D53EEC"/>
    <w:rsid w:val="00D542ED"/>
    <w:rsid w:val="00D54A0F"/>
    <w:rsid w:val="00D54DBA"/>
    <w:rsid w:val="00D554D6"/>
    <w:rsid w:val="00D55C97"/>
    <w:rsid w:val="00D56046"/>
    <w:rsid w:val="00D56373"/>
    <w:rsid w:val="00D5678F"/>
    <w:rsid w:val="00D60A31"/>
    <w:rsid w:val="00D61093"/>
    <w:rsid w:val="00D619C1"/>
    <w:rsid w:val="00D61CCD"/>
    <w:rsid w:val="00D631A1"/>
    <w:rsid w:val="00D6352A"/>
    <w:rsid w:val="00D63727"/>
    <w:rsid w:val="00D63978"/>
    <w:rsid w:val="00D640CC"/>
    <w:rsid w:val="00D64BF6"/>
    <w:rsid w:val="00D650D6"/>
    <w:rsid w:val="00D650FB"/>
    <w:rsid w:val="00D6565C"/>
    <w:rsid w:val="00D66347"/>
    <w:rsid w:val="00D66D3F"/>
    <w:rsid w:val="00D67BA5"/>
    <w:rsid w:val="00D70631"/>
    <w:rsid w:val="00D70915"/>
    <w:rsid w:val="00D70C93"/>
    <w:rsid w:val="00D71699"/>
    <w:rsid w:val="00D71776"/>
    <w:rsid w:val="00D71A17"/>
    <w:rsid w:val="00D726CA"/>
    <w:rsid w:val="00D728E8"/>
    <w:rsid w:val="00D72B36"/>
    <w:rsid w:val="00D733F0"/>
    <w:rsid w:val="00D73C51"/>
    <w:rsid w:val="00D74C51"/>
    <w:rsid w:val="00D74EF1"/>
    <w:rsid w:val="00D75210"/>
    <w:rsid w:val="00D75256"/>
    <w:rsid w:val="00D755C5"/>
    <w:rsid w:val="00D75820"/>
    <w:rsid w:val="00D75C7D"/>
    <w:rsid w:val="00D75CD1"/>
    <w:rsid w:val="00D75D98"/>
    <w:rsid w:val="00D76A0C"/>
    <w:rsid w:val="00D76B19"/>
    <w:rsid w:val="00D77035"/>
    <w:rsid w:val="00D7746D"/>
    <w:rsid w:val="00D7793D"/>
    <w:rsid w:val="00D77E9E"/>
    <w:rsid w:val="00D8014A"/>
    <w:rsid w:val="00D80661"/>
    <w:rsid w:val="00D807E6"/>
    <w:rsid w:val="00D80824"/>
    <w:rsid w:val="00D80834"/>
    <w:rsid w:val="00D80A53"/>
    <w:rsid w:val="00D80CC3"/>
    <w:rsid w:val="00D80EC0"/>
    <w:rsid w:val="00D81090"/>
    <w:rsid w:val="00D8123E"/>
    <w:rsid w:val="00D81452"/>
    <w:rsid w:val="00D81515"/>
    <w:rsid w:val="00D817CE"/>
    <w:rsid w:val="00D81E4C"/>
    <w:rsid w:val="00D81F5F"/>
    <w:rsid w:val="00D82024"/>
    <w:rsid w:val="00D820BD"/>
    <w:rsid w:val="00D82B90"/>
    <w:rsid w:val="00D830F4"/>
    <w:rsid w:val="00D835B5"/>
    <w:rsid w:val="00D83938"/>
    <w:rsid w:val="00D8399A"/>
    <w:rsid w:val="00D83AE6"/>
    <w:rsid w:val="00D8413C"/>
    <w:rsid w:val="00D8475B"/>
    <w:rsid w:val="00D849F6"/>
    <w:rsid w:val="00D84C0B"/>
    <w:rsid w:val="00D84CC3"/>
    <w:rsid w:val="00D85507"/>
    <w:rsid w:val="00D8618C"/>
    <w:rsid w:val="00D861CE"/>
    <w:rsid w:val="00D86B51"/>
    <w:rsid w:val="00D86B5C"/>
    <w:rsid w:val="00D86DDE"/>
    <w:rsid w:val="00D8717F"/>
    <w:rsid w:val="00D87422"/>
    <w:rsid w:val="00D87DD9"/>
    <w:rsid w:val="00D87ED9"/>
    <w:rsid w:val="00D90149"/>
    <w:rsid w:val="00D908DE"/>
    <w:rsid w:val="00D90B9E"/>
    <w:rsid w:val="00D90EAA"/>
    <w:rsid w:val="00D90ED0"/>
    <w:rsid w:val="00D91015"/>
    <w:rsid w:val="00D91709"/>
    <w:rsid w:val="00D91F63"/>
    <w:rsid w:val="00D937A1"/>
    <w:rsid w:val="00D94470"/>
    <w:rsid w:val="00D94D08"/>
    <w:rsid w:val="00D950B5"/>
    <w:rsid w:val="00D9565D"/>
    <w:rsid w:val="00D9566A"/>
    <w:rsid w:val="00D965F8"/>
    <w:rsid w:val="00D96D13"/>
    <w:rsid w:val="00D96E10"/>
    <w:rsid w:val="00D97416"/>
    <w:rsid w:val="00D9775B"/>
    <w:rsid w:val="00D978A9"/>
    <w:rsid w:val="00D97D98"/>
    <w:rsid w:val="00D97EA3"/>
    <w:rsid w:val="00DA0174"/>
    <w:rsid w:val="00DA01C2"/>
    <w:rsid w:val="00DA054A"/>
    <w:rsid w:val="00DA09E7"/>
    <w:rsid w:val="00DA114C"/>
    <w:rsid w:val="00DA18E4"/>
    <w:rsid w:val="00DA1F72"/>
    <w:rsid w:val="00DA2009"/>
    <w:rsid w:val="00DA3086"/>
    <w:rsid w:val="00DA3315"/>
    <w:rsid w:val="00DA3CD0"/>
    <w:rsid w:val="00DA5222"/>
    <w:rsid w:val="00DA5239"/>
    <w:rsid w:val="00DA5E12"/>
    <w:rsid w:val="00DA60D3"/>
    <w:rsid w:val="00DA62AA"/>
    <w:rsid w:val="00DA67D5"/>
    <w:rsid w:val="00DA6ABF"/>
    <w:rsid w:val="00DA7429"/>
    <w:rsid w:val="00DA7B1A"/>
    <w:rsid w:val="00DA7B99"/>
    <w:rsid w:val="00DA7C4F"/>
    <w:rsid w:val="00DA7DFE"/>
    <w:rsid w:val="00DA7FB5"/>
    <w:rsid w:val="00DB0244"/>
    <w:rsid w:val="00DB09D5"/>
    <w:rsid w:val="00DB13BE"/>
    <w:rsid w:val="00DB155E"/>
    <w:rsid w:val="00DB158F"/>
    <w:rsid w:val="00DB16B2"/>
    <w:rsid w:val="00DB270B"/>
    <w:rsid w:val="00DB2866"/>
    <w:rsid w:val="00DB318C"/>
    <w:rsid w:val="00DB32D7"/>
    <w:rsid w:val="00DB358A"/>
    <w:rsid w:val="00DB3973"/>
    <w:rsid w:val="00DB4535"/>
    <w:rsid w:val="00DB4B8D"/>
    <w:rsid w:val="00DB4FA4"/>
    <w:rsid w:val="00DB525A"/>
    <w:rsid w:val="00DB5E74"/>
    <w:rsid w:val="00DB5EF3"/>
    <w:rsid w:val="00DB621B"/>
    <w:rsid w:val="00DB65C6"/>
    <w:rsid w:val="00DB6833"/>
    <w:rsid w:val="00DB698F"/>
    <w:rsid w:val="00DB6F1C"/>
    <w:rsid w:val="00DB72E6"/>
    <w:rsid w:val="00DC0017"/>
    <w:rsid w:val="00DC0034"/>
    <w:rsid w:val="00DC0487"/>
    <w:rsid w:val="00DC0621"/>
    <w:rsid w:val="00DC0DD2"/>
    <w:rsid w:val="00DC1563"/>
    <w:rsid w:val="00DC2054"/>
    <w:rsid w:val="00DC2091"/>
    <w:rsid w:val="00DC25E1"/>
    <w:rsid w:val="00DC2E57"/>
    <w:rsid w:val="00DC435D"/>
    <w:rsid w:val="00DC462A"/>
    <w:rsid w:val="00DC4934"/>
    <w:rsid w:val="00DC502B"/>
    <w:rsid w:val="00DC580B"/>
    <w:rsid w:val="00DC597C"/>
    <w:rsid w:val="00DC5C81"/>
    <w:rsid w:val="00DC5F59"/>
    <w:rsid w:val="00DC66C0"/>
    <w:rsid w:val="00DC7C33"/>
    <w:rsid w:val="00DD038C"/>
    <w:rsid w:val="00DD0665"/>
    <w:rsid w:val="00DD068E"/>
    <w:rsid w:val="00DD077B"/>
    <w:rsid w:val="00DD0E20"/>
    <w:rsid w:val="00DD1185"/>
    <w:rsid w:val="00DD11AD"/>
    <w:rsid w:val="00DD11CB"/>
    <w:rsid w:val="00DD1A68"/>
    <w:rsid w:val="00DD29D6"/>
    <w:rsid w:val="00DD2BA9"/>
    <w:rsid w:val="00DD3128"/>
    <w:rsid w:val="00DD35EF"/>
    <w:rsid w:val="00DD3863"/>
    <w:rsid w:val="00DD3A8E"/>
    <w:rsid w:val="00DD3D25"/>
    <w:rsid w:val="00DD42F8"/>
    <w:rsid w:val="00DD486B"/>
    <w:rsid w:val="00DD4A22"/>
    <w:rsid w:val="00DD4A5E"/>
    <w:rsid w:val="00DD51AC"/>
    <w:rsid w:val="00DD52F5"/>
    <w:rsid w:val="00DD5409"/>
    <w:rsid w:val="00DD557C"/>
    <w:rsid w:val="00DD567C"/>
    <w:rsid w:val="00DD56BE"/>
    <w:rsid w:val="00DD6810"/>
    <w:rsid w:val="00DD68A4"/>
    <w:rsid w:val="00DD690E"/>
    <w:rsid w:val="00DD6A95"/>
    <w:rsid w:val="00DD7D43"/>
    <w:rsid w:val="00DD7DC3"/>
    <w:rsid w:val="00DE07A2"/>
    <w:rsid w:val="00DE16A9"/>
    <w:rsid w:val="00DE19DC"/>
    <w:rsid w:val="00DE1ADC"/>
    <w:rsid w:val="00DE1AE1"/>
    <w:rsid w:val="00DE1AE2"/>
    <w:rsid w:val="00DE27EB"/>
    <w:rsid w:val="00DE2ACE"/>
    <w:rsid w:val="00DE2F22"/>
    <w:rsid w:val="00DE3855"/>
    <w:rsid w:val="00DE387E"/>
    <w:rsid w:val="00DE4008"/>
    <w:rsid w:val="00DE46E8"/>
    <w:rsid w:val="00DE4990"/>
    <w:rsid w:val="00DE4C24"/>
    <w:rsid w:val="00DE50B2"/>
    <w:rsid w:val="00DE5820"/>
    <w:rsid w:val="00DE6B2E"/>
    <w:rsid w:val="00DE6C31"/>
    <w:rsid w:val="00DE70E2"/>
    <w:rsid w:val="00DE7128"/>
    <w:rsid w:val="00DE71F4"/>
    <w:rsid w:val="00DE7556"/>
    <w:rsid w:val="00DE75B2"/>
    <w:rsid w:val="00DE7872"/>
    <w:rsid w:val="00DF06E8"/>
    <w:rsid w:val="00DF1103"/>
    <w:rsid w:val="00DF16C9"/>
    <w:rsid w:val="00DF1B46"/>
    <w:rsid w:val="00DF25F5"/>
    <w:rsid w:val="00DF2B4E"/>
    <w:rsid w:val="00DF395A"/>
    <w:rsid w:val="00DF3B1E"/>
    <w:rsid w:val="00DF4172"/>
    <w:rsid w:val="00DF42B7"/>
    <w:rsid w:val="00DF45FD"/>
    <w:rsid w:val="00DF4B8B"/>
    <w:rsid w:val="00DF633B"/>
    <w:rsid w:val="00DF6E22"/>
    <w:rsid w:val="00DF76C2"/>
    <w:rsid w:val="00DF7831"/>
    <w:rsid w:val="00DF7F20"/>
    <w:rsid w:val="00E003EB"/>
    <w:rsid w:val="00E006C8"/>
    <w:rsid w:val="00E012C3"/>
    <w:rsid w:val="00E01887"/>
    <w:rsid w:val="00E01A10"/>
    <w:rsid w:val="00E01A2D"/>
    <w:rsid w:val="00E02545"/>
    <w:rsid w:val="00E02D8C"/>
    <w:rsid w:val="00E03960"/>
    <w:rsid w:val="00E041DB"/>
    <w:rsid w:val="00E0423D"/>
    <w:rsid w:val="00E043C9"/>
    <w:rsid w:val="00E0450A"/>
    <w:rsid w:val="00E052EF"/>
    <w:rsid w:val="00E05382"/>
    <w:rsid w:val="00E0565A"/>
    <w:rsid w:val="00E05D8B"/>
    <w:rsid w:val="00E060DD"/>
    <w:rsid w:val="00E06221"/>
    <w:rsid w:val="00E0681E"/>
    <w:rsid w:val="00E07062"/>
    <w:rsid w:val="00E075B2"/>
    <w:rsid w:val="00E07721"/>
    <w:rsid w:val="00E07728"/>
    <w:rsid w:val="00E07F58"/>
    <w:rsid w:val="00E07F73"/>
    <w:rsid w:val="00E10148"/>
    <w:rsid w:val="00E1027E"/>
    <w:rsid w:val="00E10653"/>
    <w:rsid w:val="00E10E21"/>
    <w:rsid w:val="00E11371"/>
    <w:rsid w:val="00E129C5"/>
    <w:rsid w:val="00E12BE0"/>
    <w:rsid w:val="00E13198"/>
    <w:rsid w:val="00E132D7"/>
    <w:rsid w:val="00E1388A"/>
    <w:rsid w:val="00E138C3"/>
    <w:rsid w:val="00E13AB4"/>
    <w:rsid w:val="00E13F24"/>
    <w:rsid w:val="00E144D4"/>
    <w:rsid w:val="00E1498E"/>
    <w:rsid w:val="00E14AC2"/>
    <w:rsid w:val="00E14BC1"/>
    <w:rsid w:val="00E15480"/>
    <w:rsid w:val="00E156CC"/>
    <w:rsid w:val="00E15D10"/>
    <w:rsid w:val="00E16052"/>
    <w:rsid w:val="00E1668B"/>
    <w:rsid w:val="00E16E13"/>
    <w:rsid w:val="00E16EB0"/>
    <w:rsid w:val="00E1756E"/>
    <w:rsid w:val="00E17571"/>
    <w:rsid w:val="00E176BC"/>
    <w:rsid w:val="00E17C06"/>
    <w:rsid w:val="00E2015B"/>
    <w:rsid w:val="00E207FB"/>
    <w:rsid w:val="00E20D63"/>
    <w:rsid w:val="00E20DBB"/>
    <w:rsid w:val="00E20E0C"/>
    <w:rsid w:val="00E21135"/>
    <w:rsid w:val="00E212C8"/>
    <w:rsid w:val="00E21760"/>
    <w:rsid w:val="00E21826"/>
    <w:rsid w:val="00E21B4F"/>
    <w:rsid w:val="00E22174"/>
    <w:rsid w:val="00E225CC"/>
    <w:rsid w:val="00E22DF2"/>
    <w:rsid w:val="00E237B0"/>
    <w:rsid w:val="00E237CF"/>
    <w:rsid w:val="00E23AA8"/>
    <w:rsid w:val="00E2413F"/>
    <w:rsid w:val="00E2444C"/>
    <w:rsid w:val="00E2489F"/>
    <w:rsid w:val="00E258DE"/>
    <w:rsid w:val="00E25D43"/>
    <w:rsid w:val="00E25E9A"/>
    <w:rsid w:val="00E25ED9"/>
    <w:rsid w:val="00E25F8D"/>
    <w:rsid w:val="00E26170"/>
    <w:rsid w:val="00E261A5"/>
    <w:rsid w:val="00E266E7"/>
    <w:rsid w:val="00E26B74"/>
    <w:rsid w:val="00E26DAB"/>
    <w:rsid w:val="00E275AB"/>
    <w:rsid w:val="00E27D2E"/>
    <w:rsid w:val="00E30300"/>
    <w:rsid w:val="00E30B21"/>
    <w:rsid w:val="00E31379"/>
    <w:rsid w:val="00E31D91"/>
    <w:rsid w:val="00E3218C"/>
    <w:rsid w:val="00E3247E"/>
    <w:rsid w:val="00E32EE9"/>
    <w:rsid w:val="00E331A0"/>
    <w:rsid w:val="00E339DC"/>
    <w:rsid w:val="00E33A9E"/>
    <w:rsid w:val="00E33DE7"/>
    <w:rsid w:val="00E33F4C"/>
    <w:rsid w:val="00E33F6D"/>
    <w:rsid w:val="00E341DF"/>
    <w:rsid w:val="00E341E1"/>
    <w:rsid w:val="00E3466B"/>
    <w:rsid w:val="00E35491"/>
    <w:rsid w:val="00E356DB"/>
    <w:rsid w:val="00E36344"/>
    <w:rsid w:val="00E36479"/>
    <w:rsid w:val="00E3693C"/>
    <w:rsid w:val="00E373B0"/>
    <w:rsid w:val="00E37690"/>
    <w:rsid w:val="00E37BC3"/>
    <w:rsid w:val="00E37F4E"/>
    <w:rsid w:val="00E400BD"/>
    <w:rsid w:val="00E404C8"/>
    <w:rsid w:val="00E409E1"/>
    <w:rsid w:val="00E41012"/>
    <w:rsid w:val="00E4142A"/>
    <w:rsid w:val="00E415B1"/>
    <w:rsid w:val="00E42101"/>
    <w:rsid w:val="00E42262"/>
    <w:rsid w:val="00E42611"/>
    <w:rsid w:val="00E426C3"/>
    <w:rsid w:val="00E42E07"/>
    <w:rsid w:val="00E43253"/>
    <w:rsid w:val="00E4329D"/>
    <w:rsid w:val="00E435E1"/>
    <w:rsid w:val="00E44163"/>
    <w:rsid w:val="00E4439E"/>
    <w:rsid w:val="00E44CE1"/>
    <w:rsid w:val="00E4549D"/>
    <w:rsid w:val="00E46528"/>
    <w:rsid w:val="00E46700"/>
    <w:rsid w:val="00E46716"/>
    <w:rsid w:val="00E46BD6"/>
    <w:rsid w:val="00E46C74"/>
    <w:rsid w:val="00E46CA6"/>
    <w:rsid w:val="00E4702F"/>
    <w:rsid w:val="00E471D8"/>
    <w:rsid w:val="00E475B1"/>
    <w:rsid w:val="00E475FC"/>
    <w:rsid w:val="00E47DD7"/>
    <w:rsid w:val="00E50159"/>
    <w:rsid w:val="00E50188"/>
    <w:rsid w:val="00E501D6"/>
    <w:rsid w:val="00E503A8"/>
    <w:rsid w:val="00E504C8"/>
    <w:rsid w:val="00E505F7"/>
    <w:rsid w:val="00E506BD"/>
    <w:rsid w:val="00E50944"/>
    <w:rsid w:val="00E50D5B"/>
    <w:rsid w:val="00E51601"/>
    <w:rsid w:val="00E51A4C"/>
    <w:rsid w:val="00E527E8"/>
    <w:rsid w:val="00E52BA6"/>
    <w:rsid w:val="00E52CCA"/>
    <w:rsid w:val="00E530A2"/>
    <w:rsid w:val="00E5313A"/>
    <w:rsid w:val="00E53668"/>
    <w:rsid w:val="00E539EE"/>
    <w:rsid w:val="00E53B92"/>
    <w:rsid w:val="00E5461B"/>
    <w:rsid w:val="00E54CD9"/>
    <w:rsid w:val="00E54CEA"/>
    <w:rsid w:val="00E54D1F"/>
    <w:rsid w:val="00E54D4E"/>
    <w:rsid w:val="00E55244"/>
    <w:rsid w:val="00E555AA"/>
    <w:rsid w:val="00E55618"/>
    <w:rsid w:val="00E55CC5"/>
    <w:rsid w:val="00E56BA2"/>
    <w:rsid w:val="00E5728A"/>
    <w:rsid w:val="00E5795A"/>
    <w:rsid w:val="00E57A7C"/>
    <w:rsid w:val="00E6019C"/>
    <w:rsid w:val="00E6023E"/>
    <w:rsid w:val="00E607ED"/>
    <w:rsid w:val="00E612E2"/>
    <w:rsid w:val="00E61317"/>
    <w:rsid w:val="00E6168F"/>
    <w:rsid w:val="00E61C85"/>
    <w:rsid w:val="00E61E5A"/>
    <w:rsid w:val="00E624D3"/>
    <w:rsid w:val="00E62625"/>
    <w:rsid w:val="00E6263B"/>
    <w:rsid w:val="00E6310E"/>
    <w:rsid w:val="00E63171"/>
    <w:rsid w:val="00E6364B"/>
    <w:rsid w:val="00E64852"/>
    <w:rsid w:val="00E649FD"/>
    <w:rsid w:val="00E64CA9"/>
    <w:rsid w:val="00E65228"/>
    <w:rsid w:val="00E6561E"/>
    <w:rsid w:val="00E658E0"/>
    <w:rsid w:val="00E668A7"/>
    <w:rsid w:val="00E66D5F"/>
    <w:rsid w:val="00E6759C"/>
    <w:rsid w:val="00E6762C"/>
    <w:rsid w:val="00E67CEC"/>
    <w:rsid w:val="00E67FDA"/>
    <w:rsid w:val="00E708F6"/>
    <w:rsid w:val="00E70931"/>
    <w:rsid w:val="00E70DBB"/>
    <w:rsid w:val="00E7188D"/>
    <w:rsid w:val="00E71DFE"/>
    <w:rsid w:val="00E72125"/>
    <w:rsid w:val="00E72DD0"/>
    <w:rsid w:val="00E735BB"/>
    <w:rsid w:val="00E73B1C"/>
    <w:rsid w:val="00E73DA4"/>
    <w:rsid w:val="00E73ECB"/>
    <w:rsid w:val="00E7407D"/>
    <w:rsid w:val="00E74357"/>
    <w:rsid w:val="00E748E0"/>
    <w:rsid w:val="00E74A2A"/>
    <w:rsid w:val="00E75112"/>
    <w:rsid w:val="00E7557C"/>
    <w:rsid w:val="00E761E5"/>
    <w:rsid w:val="00E766AD"/>
    <w:rsid w:val="00E76852"/>
    <w:rsid w:val="00E76B7B"/>
    <w:rsid w:val="00E76C02"/>
    <w:rsid w:val="00E76F6F"/>
    <w:rsid w:val="00E778CC"/>
    <w:rsid w:val="00E77BAB"/>
    <w:rsid w:val="00E77DBE"/>
    <w:rsid w:val="00E77ED8"/>
    <w:rsid w:val="00E80030"/>
    <w:rsid w:val="00E80DE4"/>
    <w:rsid w:val="00E81106"/>
    <w:rsid w:val="00E81421"/>
    <w:rsid w:val="00E814FC"/>
    <w:rsid w:val="00E81501"/>
    <w:rsid w:val="00E82D6A"/>
    <w:rsid w:val="00E82DE1"/>
    <w:rsid w:val="00E82DF7"/>
    <w:rsid w:val="00E831DD"/>
    <w:rsid w:val="00E83318"/>
    <w:rsid w:val="00E837A6"/>
    <w:rsid w:val="00E83AD8"/>
    <w:rsid w:val="00E83CAA"/>
    <w:rsid w:val="00E845EF"/>
    <w:rsid w:val="00E8574D"/>
    <w:rsid w:val="00E85A35"/>
    <w:rsid w:val="00E85DA4"/>
    <w:rsid w:val="00E85E46"/>
    <w:rsid w:val="00E8601C"/>
    <w:rsid w:val="00E866E7"/>
    <w:rsid w:val="00E86A53"/>
    <w:rsid w:val="00E86E69"/>
    <w:rsid w:val="00E874E6"/>
    <w:rsid w:val="00E87BD6"/>
    <w:rsid w:val="00E87F24"/>
    <w:rsid w:val="00E9019D"/>
    <w:rsid w:val="00E90553"/>
    <w:rsid w:val="00E90836"/>
    <w:rsid w:val="00E909C1"/>
    <w:rsid w:val="00E90DDD"/>
    <w:rsid w:val="00E91CC4"/>
    <w:rsid w:val="00E920D0"/>
    <w:rsid w:val="00E9214E"/>
    <w:rsid w:val="00E921A5"/>
    <w:rsid w:val="00E92E45"/>
    <w:rsid w:val="00E92EE4"/>
    <w:rsid w:val="00E92F18"/>
    <w:rsid w:val="00E93351"/>
    <w:rsid w:val="00E93359"/>
    <w:rsid w:val="00E93AEE"/>
    <w:rsid w:val="00E93B3C"/>
    <w:rsid w:val="00E93F19"/>
    <w:rsid w:val="00E943FE"/>
    <w:rsid w:val="00E94868"/>
    <w:rsid w:val="00E94B36"/>
    <w:rsid w:val="00E94CF8"/>
    <w:rsid w:val="00E969E5"/>
    <w:rsid w:val="00E96A9A"/>
    <w:rsid w:val="00E96EE5"/>
    <w:rsid w:val="00E96F29"/>
    <w:rsid w:val="00E973F1"/>
    <w:rsid w:val="00E97929"/>
    <w:rsid w:val="00EA0215"/>
    <w:rsid w:val="00EA04F3"/>
    <w:rsid w:val="00EA0DD8"/>
    <w:rsid w:val="00EA18C8"/>
    <w:rsid w:val="00EA1E5B"/>
    <w:rsid w:val="00EA267A"/>
    <w:rsid w:val="00EA2725"/>
    <w:rsid w:val="00EA279D"/>
    <w:rsid w:val="00EA2814"/>
    <w:rsid w:val="00EA2831"/>
    <w:rsid w:val="00EA2934"/>
    <w:rsid w:val="00EA35EB"/>
    <w:rsid w:val="00EA3723"/>
    <w:rsid w:val="00EA3E11"/>
    <w:rsid w:val="00EA4366"/>
    <w:rsid w:val="00EA451F"/>
    <w:rsid w:val="00EA4B2C"/>
    <w:rsid w:val="00EA4D02"/>
    <w:rsid w:val="00EA5003"/>
    <w:rsid w:val="00EA5918"/>
    <w:rsid w:val="00EA6207"/>
    <w:rsid w:val="00EA6882"/>
    <w:rsid w:val="00EA6E78"/>
    <w:rsid w:val="00EA6E9C"/>
    <w:rsid w:val="00EA6F5F"/>
    <w:rsid w:val="00EA7C4D"/>
    <w:rsid w:val="00EA7CF6"/>
    <w:rsid w:val="00EB005E"/>
    <w:rsid w:val="00EB023E"/>
    <w:rsid w:val="00EB06CC"/>
    <w:rsid w:val="00EB075D"/>
    <w:rsid w:val="00EB09AD"/>
    <w:rsid w:val="00EB0D15"/>
    <w:rsid w:val="00EB0D19"/>
    <w:rsid w:val="00EB1339"/>
    <w:rsid w:val="00EB1504"/>
    <w:rsid w:val="00EB1C9C"/>
    <w:rsid w:val="00EB2107"/>
    <w:rsid w:val="00EB2491"/>
    <w:rsid w:val="00EB2654"/>
    <w:rsid w:val="00EB26B9"/>
    <w:rsid w:val="00EB28A4"/>
    <w:rsid w:val="00EB2F39"/>
    <w:rsid w:val="00EB3728"/>
    <w:rsid w:val="00EB3DC6"/>
    <w:rsid w:val="00EB3EFF"/>
    <w:rsid w:val="00EB4461"/>
    <w:rsid w:val="00EB44A7"/>
    <w:rsid w:val="00EB5162"/>
    <w:rsid w:val="00EB58C6"/>
    <w:rsid w:val="00EB5992"/>
    <w:rsid w:val="00EB59D8"/>
    <w:rsid w:val="00EB5D27"/>
    <w:rsid w:val="00EB604E"/>
    <w:rsid w:val="00EB6182"/>
    <w:rsid w:val="00EB62D6"/>
    <w:rsid w:val="00EB69B2"/>
    <w:rsid w:val="00EB6C5D"/>
    <w:rsid w:val="00EB6CC4"/>
    <w:rsid w:val="00EB78D8"/>
    <w:rsid w:val="00EC00FD"/>
    <w:rsid w:val="00EC0255"/>
    <w:rsid w:val="00EC03E5"/>
    <w:rsid w:val="00EC0618"/>
    <w:rsid w:val="00EC0C62"/>
    <w:rsid w:val="00EC0C86"/>
    <w:rsid w:val="00EC0C8F"/>
    <w:rsid w:val="00EC12B4"/>
    <w:rsid w:val="00EC1A64"/>
    <w:rsid w:val="00EC1DAA"/>
    <w:rsid w:val="00EC2637"/>
    <w:rsid w:val="00EC2BC0"/>
    <w:rsid w:val="00EC37D6"/>
    <w:rsid w:val="00EC4030"/>
    <w:rsid w:val="00EC40FC"/>
    <w:rsid w:val="00EC4174"/>
    <w:rsid w:val="00EC45BE"/>
    <w:rsid w:val="00EC468C"/>
    <w:rsid w:val="00EC4F4D"/>
    <w:rsid w:val="00EC577D"/>
    <w:rsid w:val="00EC59D0"/>
    <w:rsid w:val="00EC5A67"/>
    <w:rsid w:val="00EC5D5C"/>
    <w:rsid w:val="00EC66E0"/>
    <w:rsid w:val="00EC68D7"/>
    <w:rsid w:val="00EC6C88"/>
    <w:rsid w:val="00EC6ED5"/>
    <w:rsid w:val="00EC76BD"/>
    <w:rsid w:val="00EC7906"/>
    <w:rsid w:val="00ED11A2"/>
    <w:rsid w:val="00ED14FA"/>
    <w:rsid w:val="00ED16F9"/>
    <w:rsid w:val="00ED1896"/>
    <w:rsid w:val="00ED1B1D"/>
    <w:rsid w:val="00ED1C3D"/>
    <w:rsid w:val="00ED1E32"/>
    <w:rsid w:val="00ED1ED1"/>
    <w:rsid w:val="00ED26D3"/>
    <w:rsid w:val="00ED3382"/>
    <w:rsid w:val="00ED33E3"/>
    <w:rsid w:val="00ED3EAC"/>
    <w:rsid w:val="00ED4173"/>
    <w:rsid w:val="00ED46D9"/>
    <w:rsid w:val="00ED509D"/>
    <w:rsid w:val="00ED5128"/>
    <w:rsid w:val="00ED55B9"/>
    <w:rsid w:val="00ED5922"/>
    <w:rsid w:val="00ED5A5E"/>
    <w:rsid w:val="00ED5DE1"/>
    <w:rsid w:val="00ED6625"/>
    <w:rsid w:val="00ED6916"/>
    <w:rsid w:val="00ED761A"/>
    <w:rsid w:val="00EE0413"/>
    <w:rsid w:val="00EE0AD1"/>
    <w:rsid w:val="00EE0CB0"/>
    <w:rsid w:val="00EE1338"/>
    <w:rsid w:val="00EE2529"/>
    <w:rsid w:val="00EE3481"/>
    <w:rsid w:val="00EE35E9"/>
    <w:rsid w:val="00EE3826"/>
    <w:rsid w:val="00EE3E6F"/>
    <w:rsid w:val="00EE40B9"/>
    <w:rsid w:val="00EE40FA"/>
    <w:rsid w:val="00EE4940"/>
    <w:rsid w:val="00EE4AD4"/>
    <w:rsid w:val="00EE5D01"/>
    <w:rsid w:val="00EE6136"/>
    <w:rsid w:val="00EE6155"/>
    <w:rsid w:val="00EE6728"/>
    <w:rsid w:val="00EE7760"/>
    <w:rsid w:val="00EE7838"/>
    <w:rsid w:val="00EE7C56"/>
    <w:rsid w:val="00EE7C68"/>
    <w:rsid w:val="00EE7CF2"/>
    <w:rsid w:val="00EF019B"/>
    <w:rsid w:val="00EF0214"/>
    <w:rsid w:val="00EF03FE"/>
    <w:rsid w:val="00EF0724"/>
    <w:rsid w:val="00EF0B71"/>
    <w:rsid w:val="00EF0EC2"/>
    <w:rsid w:val="00EF1416"/>
    <w:rsid w:val="00EF18D7"/>
    <w:rsid w:val="00EF1933"/>
    <w:rsid w:val="00EF196A"/>
    <w:rsid w:val="00EF1B97"/>
    <w:rsid w:val="00EF1E68"/>
    <w:rsid w:val="00EF20D2"/>
    <w:rsid w:val="00EF2AE4"/>
    <w:rsid w:val="00EF35E0"/>
    <w:rsid w:val="00EF375D"/>
    <w:rsid w:val="00EF49AF"/>
    <w:rsid w:val="00EF4CAE"/>
    <w:rsid w:val="00EF58B8"/>
    <w:rsid w:val="00EF5B30"/>
    <w:rsid w:val="00EF6B8D"/>
    <w:rsid w:val="00EF6C19"/>
    <w:rsid w:val="00EF70AD"/>
    <w:rsid w:val="00EF7225"/>
    <w:rsid w:val="00EF788A"/>
    <w:rsid w:val="00F0027A"/>
    <w:rsid w:val="00F004A0"/>
    <w:rsid w:val="00F00CF7"/>
    <w:rsid w:val="00F00D7D"/>
    <w:rsid w:val="00F0105F"/>
    <w:rsid w:val="00F01EF1"/>
    <w:rsid w:val="00F02109"/>
    <w:rsid w:val="00F022D0"/>
    <w:rsid w:val="00F026CC"/>
    <w:rsid w:val="00F027DC"/>
    <w:rsid w:val="00F02970"/>
    <w:rsid w:val="00F02BB0"/>
    <w:rsid w:val="00F02FF3"/>
    <w:rsid w:val="00F03439"/>
    <w:rsid w:val="00F0391A"/>
    <w:rsid w:val="00F03C3B"/>
    <w:rsid w:val="00F03CC7"/>
    <w:rsid w:val="00F04BC6"/>
    <w:rsid w:val="00F053C8"/>
    <w:rsid w:val="00F05DFF"/>
    <w:rsid w:val="00F05EFB"/>
    <w:rsid w:val="00F06E92"/>
    <w:rsid w:val="00F06EF3"/>
    <w:rsid w:val="00F077CF"/>
    <w:rsid w:val="00F07BFD"/>
    <w:rsid w:val="00F07E3F"/>
    <w:rsid w:val="00F1005C"/>
    <w:rsid w:val="00F104FD"/>
    <w:rsid w:val="00F1051A"/>
    <w:rsid w:val="00F10975"/>
    <w:rsid w:val="00F10B6B"/>
    <w:rsid w:val="00F10EF9"/>
    <w:rsid w:val="00F1159B"/>
    <w:rsid w:val="00F11CBC"/>
    <w:rsid w:val="00F12067"/>
    <w:rsid w:val="00F12447"/>
    <w:rsid w:val="00F126C4"/>
    <w:rsid w:val="00F12983"/>
    <w:rsid w:val="00F12C38"/>
    <w:rsid w:val="00F12F81"/>
    <w:rsid w:val="00F12FAF"/>
    <w:rsid w:val="00F133D6"/>
    <w:rsid w:val="00F13813"/>
    <w:rsid w:val="00F13DE0"/>
    <w:rsid w:val="00F13E8C"/>
    <w:rsid w:val="00F13EB3"/>
    <w:rsid w:val="00F140CE"/>
    <w:rsid w:val="00F141A8"/>
    <w:rsid w:val="00F14C57"/>
    <w:rsid w:val="00F14E52"/>
    <w:rsid w:val="00F15867"/>
    <w:rsid w:val="00F163A5"/>
    <w:rsid w:val="00F169D5"/>
    <w:rsid w:val="00F17C7D"/>
    <w:rsid w:val="00F17E47"/>
    <w:rsid w:val="00F20A96"/>
    <w:rsid w:val="00F211D8"/>
    <w:rsid w:val="00F21887"/>
    <w:rsid w:val="00F21A25"/>
    <w:rsid w:val="00F22015"/>
    <w:rsid w:val="00F22EC4"/>
    <w:rsid w:val="00F22F34"/>
    <w:rsid w:val="00F230CB"/>
    <w:rsid w:val="00F23678"/>
    <w:rsid w:val="00F23914"/>
    <w:rsid w:val="00F24056"/>
    <w:rsid w:val="00F248D6"/>
    <w:rsid w:val="00F24A64"/>
    <w:rsid w:val="00F24B27"/>
    <w:rsid w:val="00F24CF6"/>
    <w:rsid w:val="00F24E0A"/>
    <w:rsid w:val="00F25291"/>
    <w:rsid w:val="00F25AE0"/>
    <w:rsid w:val="00F25B52"/>
    <w:rsid w:val="00F25FAA"/>
    <w:rsid w:val="00F26343"/>
    <w:rsid w:val="00F26383"/>
    <w:rsid w:val="00F2686D"/>
    <w:rsid w:val="00F26BDB"/>
    <w:rsid w:val="00F26C19"/>
    <w:rsid w:val="00F27132"/>
    <w:rsid w:val="00F27247"/>
    <w:rsid w:val="00F27598"/>
    <w:rsid w:val="00F27963"/>
    <w:rsid w:val="00F30015"/>
    <w:rsid w:val="00F307DB"/>
    <w:rsid w:val="00F30C91"/>
    <w:rsid w:val="00F31744"/>
    <w:rsid w:val="00F31DBA"/>
    <w:rsid w:val="00F31E35"/>
    <w:rsid w:val="00F32324"/>
    <w:rsid w:val="00F32501"/>
    <w:rsid w:val="00F32DF1"/>
    <w:rsid w:val="00F331C9"/>
    <w:rsid w:val="00F33A11"/>
    <w:rsid w:val="00F33A8F"/>
    <w:rsid w:val="00F3489F"/>
    <w:rsid w:val="00F34957"/>
    <w:rsid w:val="00F34C54"/>
    <w:rsid w:val="00F34F38"/>
    <w:rsid w:val="00F35EA0"/>
    <w:rsid w:val="00F35EE7"/>
    <w:rsid w:val="00F3650B"/>
    <w:rsid w:val="00F37EB1"/>
    <w:rsid w:val="00F4012E"/>
    <w:rsid w:val="00F40306"/>
    <w:rsid w:val="00F40AE8"/>
    <w:rsid w:val="00F40DA4"/>
    <w:rsid w:val="00F414C2"/>
    <w:rsid w:val="00F41BCA"/>
    <w:rsid w:val="00F420A6"/>
    <w:rsid w:val="00F4218A"/>
    <w:rsid w:val="00F42253"/>
    <w:rsid w:val="00F424D1"/>
    <w:rsid w:val="00F4285E"/>
    <w:rsid w:val="00F42917"/>
    <w:rsid w:val="00F42F46"/>
    <w:rsid w:val="00F430E5"/>
    <w:rsid w:val="00F432FE"/>
    <w:rsid w:val="00F44610"/>
    <w:rsid w:val="00F44642"/>
    <w:rsid w:val="00F4476B"/>
    <w:rsid w:val="00F44C5D"/>
    <w:rsid w:val="00F44CFA"/>
    <w:rsid w:val="00F44D81"/>
    <w:rsid w:val="00F4526A"/>
    <w:rsid w:val="00F45538"/>
    <w:rsid w:val="00F45B4E"/>
    <w:rsid w:val="00F46402"/>
    <w:rsid w:val="00F46E09"/>
    <w:rsid w:val="00F46EB7"/>
    <w:rsid w:val="00F47515"/>
    <w:rsid w:val="00F47BC3"/>
    <w:rsid w:val="00F502DA"/>
    <w:rsid w:val="00F503EB"/>
    <w:rsid w:val="00F50418"/>
    <w:rsid w:val="00F5044A"/>
    <w:rsid w:val="00F5092F"/>
    <w:rsid w:val="00F50BD0"/>
    <w:rsid w:val="00F510FA"/>
    <w:rsid w:val="00F51796"/>
    <w:rsid w:val="00F519D6"/>
    <w:rsid w:val="00F52563"/>
    <w:rsid w:val="00F52976"/>
    <w:rsid w:val="00F52AF3"/>
    <w:rsid w:val="00F52AF4"/>
    <w:rsid w:val="00F52D2F"/>
    <w:rsid w:val="00F52DD8"/>
    <w:rsid w:val="00F52E7F"/>
    <w:rsid w:val="00F52ED1"/>
    <w:rsid w:val="00F53197"/>
    <w:rsid w:val="00F53406"/>
    <w:rsid w:val="00F53C65"/>
    <w:rsid w:val="00F5465D"/>
    <w:rsid w:val="00F548BA"/>
    <w:rsid w:val="00F54EE9"/>
    <w:rsid w:val="00F552A7"/>
    <w:rsid w:val="00F55BDB"/>
    <w:rsid w:val="00F55FDC"/>
    <w:rsid w:val="00F568CE"/>
    <w:rsid w:val="00F5704B"/>
    <w:rsid w:val="00F573A0"/>
    <w:rsid w:val="00F57DAE"/>
    <w:rsid w:val="00F604F0"/>
    <w:rsid w:val="00F6065B"/>
    <w:rsid w:val="00F607DD"/>
    <w:rsid w:val="00F60808"/>
    <w:rsid w:val="00F60AF6"/>
    <w:rsid w:val="00F61351"/>
    <w:rsid w:val="00F613E3"/>
    <w:rsid w:val="00F61985"/>
    <w:rsid w:val="00F61DE9"/>
    <w:rsid w:val="00F628AE"/>
    <w:rsid w:val="00F62D55"/>
    <w:rsid w:val="00F62D5A"/>
    <w:rsid w:val="00F632AE"/>
    <w:rsid w:val="00F639F9"/>
    <w:rsid w:val="00F63BE6"/>
    <w:rsid w:val="00F64505"/>
    <w:rsid w:val="00F64E93"/>
    <w:rsid w:val="00F65877"/>
    <w:rsid w:val="00F65BAE"/>
    <w:rsid w:val="00F65D3A"/>
    <w:rsid w:val="00F65E58"/>
    <w:rsid w:val="00F65F0C"/>
    <w:rsid w:val="00F66D09"/>
    <w:rsid w:val="00F67315"/>
    <w:rsid w:val="00F675EF"/>
    <w:rsid w:val="00F67870"/>
    <w:rsid w:val="00F679E8"/>
    <w:rsid w:val="00F7006E"/>
    <w:rsid w:val="00F70315"/>
    <w:rsid w:val="00F706C5"/>
    <w:rsid w:val="00F70A0D"/>
    <w:rsid w:val="00F70BA5"/>
    <w:rsid w:val="00F71040"/>
    <w:rsid w:val="00F71962"/>
    <w:rsid w:val="00F71A9F"/>
    <w:rsid w:val="00F71ED1"/>
    <w:rsid w:val="00F71FA5"/>
    <w:rsid w:val="00F721B9"/>
    <w:rsid w:val="00F723BA"/>
    <w:rsid w:val="00F72739"/>
    <w:rsid w:val="00F7288C"/>
    <w:rsid w:val="00F7304C"/>
    <w:rsid w:val="00F7377E"/>
    <w:rsid w:val="00F73795"/>
    <w:rsid w:val="00F73F00"/>
    <w:rsid w:val="00F73F44"/>
    <w:rsid w:val="00F744BB"/>
    <w:rsid w:val="00F748DF"/>
    <w:rsid w:val="00F74A14"/>
    <w:rsid w:val="00F750B4"/>
    <w:rsid w:val="00F751D8"/>
    <w:rsid w:val="00F760B2"/>
    <w:rsid w:val="00F76871"/>
    <w:rsid w:val="00F777D7"/>
    <w:rsid w:val="00F77D99"/>
    <w:rsid w:val="00F77FCC"/>
    <w:rsid w:val="00F8014F"/>
    <w:rsid w:val="00F80519"/>
    <w:rsid w:val="00F80C31"/>
    <w:rsid w:val="00F81546"/>
    <w:rsid w:val="00F81631"/>
    <w:rsid w:val="00F817BF"/>
    <w:rsid w:val="00F81D8D"/>
    <w:rsid w:val="00F81DC4"/>
    <w:rsid w:val="00F82415"/>
    <w:rsid w:val="00F82556"/>
    <w:rsid w:val="00F82D83"/>
    <w:rsid w:val="00F83170"/>
    <w:rsid w:val="00F83A72"/>
    <w:rsid w:val="00F83D57"/>
    <w:rsid w:val="00F8402D"/>
    <w:rsid w:val="00F84506"/>
    <w:rsid w:val="00F848BC"/>
    <w:rsid w:val="00F84A3E"/>
    <w:rsid w:val="00F850C1"/>
    <w:rsid w:val="00F850D3"/>
    <w:rsid w:val="00F85690"/>
    <w:rsid w:val="00F85813"/>
    <w:rsid w:val="00F85D0E"/>
    <w:rsid w:val="00F8657D"/>
    <w:rsid w:val="00F86BCA"/>
    <w:rsid w:val="00F8734A"/>
    <w:rsid w:val="00F87E8D"/>
    <w:rsid w:val="00F903A6"/>
    <w:rsid w:val="00F905CE"/>
    <w:rsid w:val="00F9064E"/>
    <w:rsid w:val="00F908B1"/>
    <w:rsid w:val="00F90DD1"/>
    <w:rsid w:val="00F90EAC"/>
    <w:rsid w:val="00F9124A"/>
    <w:rsid w:val="00F916E8"/>
    <w:rsid w:val="00F918BE"/>
    <w:rsid w:val="00F91ECF"/>
    <w:rsid w:val="00F9205C"/>
    <w:rsid w:val="00F920A9"/>
    <w:rsid w:val="00F92348"/>
    <w:rsid w:val="00F9283A"/>
    <w:rsid w:val="00F92E52"/>
    <w:rsid w:val="00F92F11"/>
    <w:rsid w:val="00F93304"/>
    <w:rsid w:val="00F93540"/>
    <w:rsid w:val="00F93571"/>
    <w:rsid w:val="00F93CD9"/>
    <w:rsid w:val="00F94157"/>
    <w:rsid w:val="00F94275"/>
    <w:rsid w:val="00F94C1B"/>
    <w:rsid w:val="00F94D17"/>
    <w:rsid w:val="00F957C5"/>
    <w:rsid w:val="00F958A3"/>
    <w:rsid w:val="00F95E57"/>
    <w:rsid w:val="00F963D9"/>
    <w:rsid w:val="00F96ABB"/>
    <w:rsid w:val="00F96DFA"/>
    <w:rsid w:val="00F97E8D"/>
    <w:rsid w:val="00FA0359"/>
    <w:rsid w:val="00FA0DEC"/>
    <w:rsid w:val="00FA0F52"/>
    <w:rsid w:val="00FA1062"/>
    <w:rsid w:val="00FA1357"/>
    <w:rsid w:val="00FA1949"/>
    <w:rsid w:val="00FA1C2E"/>
    <w:rsid w:val="00FA1C8B"/>
    <w:rsid w:val="00FA1E3E"/>
    <w:rsid w:val="00FA300C"/>
    <w:rsid w:val="00FA32F7"/>
    <w:rsid w:val="00FA3301"/>
    <w:rsid w:val="00FA33F0"/>
    <w:rsid w:val="00FA39B8"/>
    <w:rsid w:val="00FA4650"/>
    <w:rsid w:val="00FA4FC9"/>
    <w:rsid w:val="00FA529C"/>
    <w:rsid w:val="00FA5637"/>
    <w:rsid w:val="00FA5B48"/>
    <w:rsid w:val="00FA6E5B"/>
    <w:rsid w:val="00FA7231"/>
    <w:rsid w:val="00FA73F8"/>
    <w:rsid w:val="00FA75EF"/>
    <w:rsid w:val="00FA79A9"/>
    <w:rsid w:val="00FB00EA"/>
    <w:rsid w:val="00FB0BAB"/>
    <w:rsid w:val="00FB0D61"/>
    <w:rsid w:val="00FB0F9F"/>
    <w:rsid w:val="00FB1006"/>
    <w:rsid w:val="00FB18EB"/>
    <w:rsid w:val="00FB1DA8"/>
    <w:rsid w:val="00FB1F0F"/>
    <w:rsid w:val="00FB2C4B"/>
    <w:rsid w:val="00FB343A"/>
    <w:rsid w:val="00FB38D3"/>
    <w:rsid w:val="00FB3A31"/>
    <w:rsid w:val="00FB3BC4"/>
    <w:rsid w:val="00FB41D0"/>
    <w:rsid w:val="00FB440B"/>
    <w:rsid w:val="00FB4E47"/>
    <w:rsid w:val="00FB4F3B"/>
    <w:rsid w:val="00FB582F"/>
    <w:rsid w:val="00FB5ED8"/>
    <w:rsid w:val="00FB5F84"/>
    <w:rsid w:val="00FB6285"/>
    <w:rsid w:val="00FB62E6"/>
    <w:rsid w:val="00FB69D8"/>
    <w:rsid w:val="00FB6A9E"/>
    <w:rsid w:val="00FB6CE0"/>
    <w:rsid w:val="00FB6E52"/>
    <w:rsid w:val="00FB709E"/>
    <w:rsid w:val="00FB738D"/>
    <w:rsid w:val="00FB7CEF"/>
    <w:rsid w:val="00FB7EF5"/>
    <w:rsid w:val="00FC0264"/>
    <w:rsid w:val="00FC03CC"/>
    <w:rsid w:val="00FC0BB2"/>
    <w:rsid w:val="00FC1980"/>
    <w:rsid w:val="00FC245A"/>
    <w:rsid w:val="00FC2F5A"/>
    <w:rsid w:val="00FC377B"/>
    <w:rsid w:val="00FC3DB1"/>
    <w:rsid w:val="00FC4372"/>
    <w:rsid w:val="00FC4BFC"/>
    <w:rsid w:val="00FC517C"/>
    <w:rsid w:val="00FC5585"/>
    <w:rsid w:val="00FC57B3"/>
    <w:rsid w:val="00FC65D3"/>
    <w:rsid w:val="00FC6918"/>
    <w:rsid w:val="00FD0075"/>
    <w:rsid w:val="00FD058B"/>
    <w:rsid w:val="00FD0955"/>
    <w:rsid w:val="00FD0AA5"/>
    <w:rsid w:val="00FD0C0A"/>
    <w:rsid w:val="00FD1420"/>
    <w:rsid w:val="00FD14A3"/>
    <w:rsid w:val="00FD1D5F"/>
    <w:rsid w:val="00FD2124"/>
    <w:rsid w:val="00FD2274"/>
    <w:rsid w:val="00FD2932"/>
    <w:rsid w:val="00FD2DF3"/>
    <w:rsid w:val="00FD2F1E"/>
    <w:rsid w:val="00FD35D0"/>
    <w:rsid w:val="00FD3FCF"/>
    <w:rsid w:val="00FD447A"/>
    <w:rsid w:val="00FD4D99"/>
    <w:rsid w:val="00FD4FAA"/>
    <w:rsid w:val="00FD58AE"/>
    <w:rsid w:val="00FD5DA9"/>
    <w:rsid w:val="00FD6C1B"/>
    <w:rsid w:val="00FD6E7C"/>
    <w:rsid w:val="00FD700F"/>
    <w:rsid w:val="00FD7837"/>
    <w:rsid w:val="00FE02E3"/>
    <w:rsid w:val="00FE0575"/>
    <w:rsid w:val="00FE0716"/>
    <w:rsid w:val="00FE0A54"/>
    <w:rsid w:val="00FE1564"/>
    <w:rsid w:val="00FE1E9E"/>
    <w:rsid w:val="00FE2212"/>
    <w:rsid w:val="00FE2C37"/>
    <w:rsid w:val="00FE2D32"/>
    <w:rsid w:val="00FE4104"/>
    <w:rsid w:val="00FE457C"/>
    <w:rsid w:val="00FE45A3"/>
    <w:rsid w:val="00FE469F"/>
    <w:rsid w:val="00FE49B4"/>
    <w:rsid w:val="00FE4A57"/>
    <w:rsid w:val="00FE53FB"/>
    <w:rsid w:val="00FE5903"/>
    <w:rsid w:val="00FE60DA"/>
    <w:rsid w:val="00FE613D"/>
    <w:rsid w:val="00FE6AA3"/>
    <w:rsid w:val="00FE6C78"/>
    <w:rsid w:val="00FE6DCF"/>
    <w:rsid w:val="00FE6EEF"/>
    <w:rsid w:val="00FE6F1C"/>
    <w:rsid w:val="00FE7190"/>
    <w:rsid w:val="00FE78CC"/>
    <w:rsid w:val="00FE7B52"/>
    <w:rsid w:val="00FE7CFB"/>
    <w:rsid w:val="00FF0276"/>
    <w:rsid w:val="00FF0822"/>
    <w:rsid w:val="00FF0E60"/>
    <w:rsid w:val="00FF11C8"/>
    <w:rsid w:val="00FF2BC2"/>
    <w:rsid w:val="00FF2CE0"/>
    <w:rsid w:val="00FF2F5E"/>
    <w:rsid w:val="00FF3121"/>
    <w:rsid w:val="00FF3298"/>
    <w:rsid w:val="00FF3569"/>
    <w:rsid w:val="00FF4404"/>
    <w:rsid w:val="00FF525D"/>
    <w:rsid w:val="00FF57CE"/>
    <w:rsid w:val="00FF5AE8"/>
    <w:rsid w:val="00FF5C4F"/>
    <w:rsid w:val="00FF5DBA"/>
    <w:rsid w:val="00FF5E52"/>
    <w:rsid w:val="00FF5F2F"/>
    <w:rsid w:val="00FF6235"/>
    <w:rsid w:val="00FF623E"/>
    <w:rsid w:val="00FF7019"/>
    <w:rsid w:val="00FF7097"/>
    <w:rsid w:val="00FF7313"/>
    <w:rsid w:val="00FF76DD"/>
    <w:rsid w:val="00FF788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63"/>
    <o:shapelayout v:ext="edit">
      <o:idmap v:ext="edit" data="1"/>
    </o:shapelayout>
  </w:shapeDefaults>
  <w:decimalSymbol w:val="."/>
  <w:listSeparator w:val=","/>
  <w14:docId w14:val="3BC9EE24"/>
  <w15:docId w15:val="{B573EC43-9EA4-4DAF-8A2F-11CADC1D3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508"/>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rsid w:val="006C181F"/>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AB06E7"/>
    <w:pPr>
      <w:keepNext/>
      <w:keepLines/>
      <w:pageBreakBefore/>
      <w:numPr>
        <w:numId w:val="8"/>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AB06E7"/>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AB06E7"/>
    <w:pPr>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3B585C"/>
    <w:pPr>
      <w:keepNext/>
      <w:keepLines/>
      <w:spacing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3B585C"/>
    <w:rPr>
      <w:sz w:val="20"/>
      <w:szCs w:val="20"/>
    </w:rPr>
  </w:style>
  <w:style w:type="character" w:customStyle="1" w:styleId="CommentTextChar">
    <w:name w:val="Comment Text Char"/>
    <w:basedOn w:val="DefaultParagraphFont"/>
    <w:link w:val="CommentText"/>
    <w:uiPriority w:val="99"/>
    <w:rsid w:val="003B585C"/>
    <w:rPr>
      <w:rFonts w:eastAsiaTheme="minorHAnsi" w:cstheme="minorBidi"/>
      <w:lang w:eastAsia="en-US"/>
    </w:rPr>
  </w:style>
  <w:style w:type="paragraph" w:styleId="Header">
    <w:name w:val="header"/>
    <w:basedOn w:val="Normal"/>
    <w:link w:val="HeaderChar"/>
    <w:uiPriority w:val="99"/>
    <w:rsid w:val="003B585C"/>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99"/>
    <w:rsid w:val="003B585C"/>
    <w:rPr>
      <w:rFonts w:ascii="Calibri" w:eastAsiaTheme="minorHAnsi" w:hAnsi="Calibri" w:cstheme="minorBidi"/>
      <w:szCs w:val="22"/>
      <w:lang w:eastAsia="en-US"/>
    </w:rPr>
  </w:style>
  <w:style w:type="paragraph" w:styleId="Footer">
    <w:name w:val="footer"/>
    <w:basedOn w:val="Normal"/>
    <w:link w:val="FooterChar"/>
    <w:uiPriority w:val="99"/>
    <w:rsid w:val="003B585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3B585C"/>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3B585C"/>
    <w:rPr>
      <w:sz w:val="16"/>
      <w:szCs w:val="16"/>
    </w:rPr>
  </w:style>
  <w:style w:type="paragraph" w:styleId="CommentSubject">
    <w:name w:val="annotation subject"/>
    <w:basedOn w:val="CommentText"/>
    <w:next w:val="CommentText"/>
    <w:link w:val="CommentSubjectChar"/>
    <w:uiPriority w:val="99"/>
    <w:semiHidden/>
    <w:unhideWhenUsed/>
    <w:rsid w:val="003B585C"/>
    <w:rPr>
      <w:b/>
      <w:bCs/>
    </w:rPr>
  </w:style>
  <w:style w:type="character" w:customStyle="1" w:styleId="CommentSubjectChar">
    <w:name w:val="Comment Subject Char"/>
    <w:basedOn w:val="CommentTextChar"/>
    <w:link w:val="CommentSubject"/>
    <w:uiPriority w:val="99"/>
    <w:semiHidden/>
    <w:rsid w:val="003B585C"/>
    <w:rPr>
      <w:rFonts w:eastAsiaTheme="minorHAnsi" w:cstheme="minorBidi"/>
      <w:b/>
      <w:bCs/>
      <w:lang w:eastAsia="en-US"/>
    </w:rPr>
  </w:style>
  <w:style w:type="paragraph" w:styleId="BalloonText">
    <w:name w:val="Balloon Text"/>
    <w:basedOn w:val="Normal"/>
    <w:link w:val="BalloonTextChar"/>
    <w:uiPriority w:val="99"/>
    <w:semiHidden/>
    <w:unhideWhenUsed/>
    <w:rsid w:val="003B585C"/>
    <w:rPr>
      <w:rFonts w:ascii="Calibri" w:hAnsi="Calibri"/>
      <w:sz w:val="18"/>
      <w:szCs w:val="18"/>
    </w:rPr>
  </w:style>
  <w:style w:type="character" w:customStyle="1" w:styleId="BalloonTextChar">
    <w:name w:val="Balloon Text Char"/>
    <w:basedOn w:val="DefaultParagraphFont"/>
    <w:link w:val="BalloonText"/>
    <w:uiPriority w:val="99"/>
    <w:semiHidden/>
    <w:rsid w:val="003B585C"/>
    <w:rPr>
      <w:rFonts w:ascii="Calibri" w:eastAsiaTheme="minorHAnsi" w:hAnsi="Calibri" w:cstheme="minorBidi"/>
      <w:sz w:val="18"/>
      <w:szCs w:val="18"/>
      <w:lang w:eastAsia="en-US"/>
    </w:rPr>
  </w:style>
  <w:style w:type="table" w:styleId="TableGrid">
    <w:name w:val="Table Grid"/>
    <w:basedOn w:val="TableNormal"/>
    <w:uiPriority w:val="59"/>
    <w:rsid w:val="003B585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3B585C"/>
    <w:rPr>
      <w:sz w:val="16"/>
    </w:rPr>
  </w:style>
  <w:style w:type="character" w:customStyle="1" w:styleId="Heading1Char">
    <w:name w:val="Heading 1 Char"/>
    <w:basedOn w:val="DefaultParagraphFont"/>
    <w:link w:val="Heading1"/>
    <w:uiPriority w:val="1"/>
    <w:rsid w:val="006C181F"/>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21027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sid w:val="00AC663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AC663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3B585C"/>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3B585C"/>
    <w:pPr>
      <w:ind w:left="709" w:right="567"/>
    </w:pPr>
    <w:rPr>
      <w:iCs/>
      <w:color w:val="000000"/>
    </w:rPr>
  </w:style>
  <w:style w:type="character" w:customStyle="1" w:styleId="QuoteChar">
    <w:name w:val="Quote Char"/>
    <w:basedOn w:val="DefaultParagraphFont"/>
    <w:link w:val="Quote"/>
    <w:uiPriority w:val="18"/>
    <w:rsid w:val="003B585C"/>
    <w:rPr>
      <w:rFonts w:eastAsiaTheme="minorHAnsi" w:cstheme="minorBidi"/>
      <w:iCs/>
      <w:color w:val="000000"/>
      <w:sz w:val="22"/>
      <w:szCs w:val="22"/>
      <w:lang w:eastAsia="en-US"/>
    </w:rPr>
  </w:style>
  <w:style w:type="paragraph" w:customStyle="1" w:styleId="BoxText">
    <w:name w:val="Box Text"/>
    <w:basedOn w:val="Normal"/>
    <w:uiPriority w:val="19"/>
    <w:qFormat/>
    <w:rsid w:val="003B585C"/>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621D3E"/>
    <w:pPr>
      <w:keepNext/>
      <w:spacing w:after="120" w:line="240" w:lineRule="auto"/>
    </w:pPr>
    <w:rPr>
      <w:rFonts w:ascii="Calibri" w:hAnsi="Calibri"/>
      <w:b/>
      <w:bCs/>
      <w:szCs w:val="18"/>
    </w:rPr>
  </w:style>
  <w:style w:type="paragraph" w:customStyle="1" w:styleId="FigureTableNoteSource">
    <w:name w:val="Figure/Table Note/Source"/>
    <w:basedOn w:val="Normal"/>
    <w:next w:val="Normal"/>
    <w:uiPriority w:val="16"/>
    <w:qFormat/>
    <w:rsid w:val="003B585C"/>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F2744"/>
    <w:pPr>
      <w:spacing w:before="120"/>
    </w:pPr>
    <w:rPr>
      <w:b w:val="0"/>
      <w:sz w:val="56"/>
      <w:szCs w:val="56"/>
    </w:rPr>
  </w:style>
  <w:style w:type="character" w:customStyle="1" w:styleId="SubtitleChar">
    <w:name w:val="Subtitle Char"/>
    <w:basedOn w:val="DefaultParagraphFont"/>
    <w:link w:val="Subtitle"/>
    <w:uiPriority w:val="23"/>
    <w:rsid w:val="003F2744"/>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rsid w:val="003B585C"/>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rsid w:val="003B585C"/>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3B585C"/>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3B585C"/>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3B585C"/>
    <w:rPr>
      <w:color w:val="165788"/>
      <w:u w:val="single"/>
    </w:rPr>
  </w:style>
  <w:style w:type="paragraph" w:styleId="ListBullet">
    <w:name w:val="List Bullet"/>
    <w:basedOn w:val="Normal"/>
    <w:uiPriority w:val="7"/>
    <w:qFormat/>
    <w:rsid w:val="003B585C"/>
    <w:pPr>
      <w:numPr>
        <w:numId w:val="1"/>
      </w:numPr>
      <w:spacing w:before="120" w:after="120"/>
    </w:pPr>
  </w:style>
  <w:style w:type="paragraph" w:styleId="TableofFigures">
    <w:name w:val="table of figures"/>
    <w:basedOn w:val="Normal"/>
    <w:next w:val="Normal"/>
    <w:uiPriority w:val="99"/>
    <w:rsid w:val="003B585C"/>
    <w:pPr>
      <w:spacing w:before="120" w:after="120" w:line="240" w:lineRule="auto"/>
    </w:pPr>
  </w:style>
  <w:style w:type="paragraph" w:styleId="ListBullet2">
    <w:name w:val="List Bullet 2"/>
    <w:basedOn w:val="Normal"/>
    <w:uiPriority w:val="8"/>
    <w:qFormat/>
    <w:rsid w:val="003B585C"/>
    <w:pPr>
      <w:numPr>
        <w:numId w:val="2"/>
      </w:numPr>
      <w:spacing w:before="120" w:after="120"/>
      <w:contextualSpacing/>
    </w:pPr>
  </w:style>
  <w:style w:type="paragraph" w:styleId="ListNumber">
    <w:name w:val="List Number"/>
    <w:basedOn w:val="Normal"/>
    <w:uiPriority w:val="9"/>
    <w:qFormat/>
    <w:rsid w:val="00E735BB"/>
    <w:pPr>
      <w:numPr>
        <w:numId w:val="9"/>
      </w:numPr>
      <w:tabs>
        <w:tab w:val="left" w:pos="284"/>
        <w:tab w:val="left" w:pos="425"/>
      </w:tabs>
      <w:spacing w:before="120" w:after="120"/>
    </w:pPr>
  </w:style>
  <w:style w:type="paragraph" w:styleId="ListNumber2">
    <w:name w:val="List Number 2"/>
    <w:uiPriority w:val="10"/>
    <w:qFormat/>
    <w:rsid w:val="00680E84"/>
    <w:pPr>
      <w:numPr>
        <w:ilvl w:val="1"/>
        <w:numId w:val="9"/>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rsid w:val="00680E84"/>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sid w:val="003B585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3B585C"/>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3B585C"/>
    <w:pPr>
      <w:spacing w:before="60" w:after="60" w:line="240" w:lineRule="auto"/>
    </w:pPr>
    <w:rPr>
      <w:sz w:val="18"/>
    </w:rPr>
  </w:style>
  <w:style w:type="table" w:styleId="TableGrid1">
    <w:name w:val="Table Grid 1"/>
    <w:basedOn w:val="TableNormal"/>
    <w:uiPriority w:val="99"/>
    <w:semiHidden/>
    <w:unhideWhenUsed/>
    <w:rsid w:val="003B585C"/>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3B585C"/>
    <w:pPr>
      <w:keepNext/>
    </w:pPr>
    <w:rPr>
      <w:b/>
    </w:rPr>
  </w:style>
  <w:style w:type="character" w:styleId="PlaceholderText">
    <w:name w:val="Placeholder Text"/>
    <w:basedOn w:val="DefaultParagraphFont"/>
    <w:uiPriority w:val="99"/>
    <w:semiHidden/>
    <w:rsid w:val="003B585C"/>
    <w:rPr>
      <w:color w:val="808080"/>
    </w:rPr>
  </w:style>
  <w:style w:type="paragraph" w:customStyle="1" w:styleId="Author">
    <w:name w:val="Author"/>
    <w:basedOn w:val="Normal"/>
    <w:next w:val="Normal"/>
    <w:uiPriority w:val="24"/>
    <w:qFormat/>
    <w:rsid w:val="003B585C"/>
    <w:pPr>
      <w:spacing w:after="60"/>
    </w:pPr>
    <w:rPr>
      <w:b/>
      <w:sz w:val="28"/>
      <w:szCs w:val="28"/>
    </w:rPr>
  </w:style>
  <w:style w:type="paragraph" w:customStyle="1" w:styleId="AuthorOrganisationAffiliation">
    <w:name w:val="Author Organisation/Affiliation"/>
    <w:basedOn w:val="Normal"/>
    <w:next w:val="Normal"/>
    <w:uiPriority w:val="25"/>
    <w:qFormat/>
    <w:rsid w:val="003B585C"/>
    <w:pPr>
      <w:spacing w:after="720"/>
    </w:pPr>
  </w:style>
  <w:style w:type="character" w:styleId="Strong">
    <w:name w:val="Strong"/>
    <w:basedOn w:val="DefaultParagraphFont"/>
    <w:uiPriority w:val="22"/>
    <w:qFormat/>
    <w:rsid w:val="003B585C"/>
    <w:rPr>
      <w:b/>
      <w:bCs/>
    </w:rPr>
  </w:style>
  <w:style w:type="paragraph" w:customStyle="1" w:styleId="Glossary">
    <w:name w:val="Glossary"/>
    <w:basedOn w:val="Normal"/>
    <w:link w:val="GlossaryChar"/>
    <w:uiPriority w:val="28"/>
    <w:qFormat/>
    <w:rsid w:val="003B585C"/>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sid w:val="003B585C"/>
    <w:rPr>
      <w:rFonts w:eastAsia="Calibri" w:cstheme="minorBidi"/>
      <w:color w:val="000000"/>
      <w:sz w:val="22"/>
      <w:szCs w:val="22"/>
      <w:lang w:eastAsia="en-US"/>
    </w:rPr>
  </w:style>
  <w:style w:type="character" w:styleId="Emphasis">
    <w:name w:val="Emphasis"/>
    <w:basedOn w:val="DefaultParagraphFont"/>
    <w:uiPriority w:val="99"/>
    <w:qFormat/>
    <w:rsid w:val="003B585C"/>
    <w:rPr>
      <w:i/>
      <w:iCs/>
    </w:rPr>
  </w:style>
  <w:style w:type="paragraph" w:styleId="TOAHeading">
    <w:name w:val="toa heading"/>
    <w:basedOn w:val="Heading1"/>
    <w:next w:val="Normal"/>
    <w:uiPriority w:val="99"/>
    <w:semiHidden/>
    <w:unhideWhenUsed/>
    <w:rsid w:val="003B585C"/>
    <w:pPr>
      <w:spacing w:before="120"/>
    </w:pPr>
    <w:rPr>
      <w:bCs w:val="0"/>
      <w:sz w:val="24"/>
    </w:rPr>
  </w:style>
  <w:style w:type="paragraph" w:styleId="NormalWeb">
    <w:name w:val="Normal (Web)"/>
    <w:basedOn w:val="Normal"/>
    <w:uiPriority w:val="99"/>
    <w:semiHidden/>
    <w:unhideWhenUsed/>
    <w:rsid w:val="003B585C"/>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3B585C"/>
    <w:pPr>
      <w:numPr>
        <w:numId w:val="3"/>
      </w:numPr>
      <w:ind w:left="357" w:hanging="357"/>
    </w:pPr>
  </w:style>
  <w:style w:type="paragraph" w:customStyle="1" w:styleId="TableBullet">
    <w:name w:val="Table Bullet"/>
    <w:basedOn w:val="TableText"/>
    <w:uiPriority w:val="15"/>
    <w:qFormat/>
    <w:rsid w:val="003B585C"/>
    <w:pPr>
      <w:numPr>
        <w:numId w:val="4"/>
      </w:numPr>
      <w:ind w:left="284" w:hanging="284"/>
    </w:pPr>
  </w:style>
  <w:style w:type="paragraph" w:styleId="DocumentMap">
    <w:name w:val="Document Map"/>
    <w:basedOn w:val="Normal"/>
    <w:link w:val="DocumentMapChar"/>
    <w:uiPriority w:val="99"/>
    <w:semiHidden/>
    <w:unhideWhenUsed/>
    <w:rsid w:val="003B585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B585C"/>
    <w:rPr>
      <w:rFonts w:ascii="Tahoma" w:eastAsiaTheme="minorHAnsi" w:hAnsi="Tahoma" w:cs="Tahoma"/>
      <w:sz w:val="16"/>
      <w:szCs w:val="16"/>
      <w:lang w:eastAsia="en-US"/>
    </w:rPr>
  </w:style>
  <w:style w:type="paragraph" w:customStyle="1" w:styleId="BoxHeading">
    <w:name w:val="Box Heading"/>
    <w:basedOn w:val="BoxText"/>
    <w:uiPriority w:val="20"/>
    <w:qFormat/>
    <w:rsid w:val="003B585C"/>
    <w:pPr>
      <w:spacing w:line="240" w:lineRule="auto"/>
    </w:pPr>
    <w:rPr>
      <w:b/>
    </w:rPr>
  </w:style>
  <w:style w:type="paragraph" w:customStyle="1" w:styleId="Picture">
    <w:name w:val="Picture"/>
    <w:basedOn w:val="Normal"/>
    <w:uiPriority w:val="17"/>
    <w:qFormat/>
    <w:rsid w:val="003B585C"/>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3B585C"/>
    <w:pPr>
      <w:spacing w:after="0"/>
    </w:pPr>
    <w:rPr>
      <w:b/>
      <w:caps/>
      <w:color w:val="FF0000"/>
      <w:sz w:val="36"/>
      <w:szCs w:val="36"/>
    </w:rPr>
  </w:style>
  <w:style w:type="paragraph" w:customStyle="1" w:styleId="DisseminationLimitingMarker">
    <w:name w:val="Dissemination Limiting Marker"/>
    <w:basedOn w:val="Header"/>
    <w:next w:val="Header"/>
    <w:uiPriority w:val="27"/>
    <w:rsid w:val="003B585C"/>
    <w:pPr>
      <w:spacing w:after="0"/>
    </w:pPr>
    <w:rPr>
      <w:b/>
      <w:sz w:val="36"/>
      <w:szCs w:val="36"/>
    </w:rPr>
  </w:style>
  <w:style w:type="paragraph" w:styleId="FootnoteText">
    <w:name w:val="footnote text"/>
    <w:basedOn w:val="Normal"/>
    <w:link w:val="FootnoteTextChar"/>
    <w:uiPriority w:val="99"/>
    <w:unhideWhenUsed/>
    <w:rsid w:val="003B585C"/>
    <w:pPr>
      <w:spacing w:after="60" w:line="264" w:lineRule="auto"/>
    </w:pPr>
    <w:rPr>
      <w:sz w:val="20"/>
      <w:szCs w:val="20"/>
    </w:rPr>
  </w:style>
  <w:style w:type="character" w:customStyle="1" w:styleId="FootnoteTextChar">
    <w:name w:val="Footnote Text Char"/>
    <w:basedOn w:val="DefaultParagraphFont"/>
    <w:link w:val="FootnoteText"/>
    <w:uiPriority w:val="99"/>
    <w:rsid w:val="003B585C"/>
    <w:rPr>
      <w:rFonts w:eastAsiaTheme="minorHAnsi" w:cstheme="minorBidi"/>
      <w:lang w:eastAsia="en-US"/>
    </w:rPr>
  </w:style>
  <w:style w:type="character" w:styleId="FootnoteReference">
    <w:name w:val="footnote reference"/>
    <w:basedOn w:val="DefaultParagraphFont"/>
    <w:uiPriority w:val="99"/>
    <w:semiHidden/>
    <w:unhideWhenUsed/>
    <w:rsid w:val="003B585C"/>
    <w:rPr>
      <w:vertAlign w:val="superscript"/>
    </w:rPr>
  </w:style>
  <w:style w:type="paragraph" w:styleId="EndnoteText">
    <w:name w:val="endnote text"/>
    <w:basedOn w:val="Normal"/>
    <w:link w:val="EndnoteTextChar"/>
    <w:uiPriority w:val="99"/>
    <w:unhideWhenUsed/>
    <w:rsid w:val="003B585C"/>
    <w:pPr>
      <w:spacing w:after="60" w:line="264" w:lineRule="auto"/>
    </w:pPr>
    <w:rPr>
      <w:sz w:val="20"/>
      <w:szCs w:val="20"/>
    </w:rPr>
  </w:style>
  <w:style w:type="character" w:customStyle="1" w:styleId="EndnoteTextChar">
    <w:name w:val="Endnote Text Char"/>
    <w:basedOn w:val="DefaultParagraphFont"/>
    <w:link w:val="EndnoteText"/>
    <w:uiPriority w:val="99"/>
    <w:rsid w:val="003B585C"/>
    <w:rPr>
      <w:rFonts w:eastAsiaTheme="minorHAnsi" w:cstheme="minorBidi"/>
      <w:lang w:eastAsia="en-US"/>
    </w:rPr>
  </w:style>
  <w:style w:type="character" w:styleId="EndnoteReference">
    <w:name w:val="endnote reference"/>
    <w:basedOn w:val="DefaultParagraphFont"/>
    <w:uiPriority w:val="99"/>
    <w:semiHidden/>
    <w:unhideWhenUsed/>
    <w:rsid w:val="003B585C"/>
    <w:rPr>
      <w:vertAlign w:val="superscript"/>
    </w:rPr>
  </w:style>
  <w:style w:type="character" w:styleId="FollowedHyperlink">
    <w:name w:val="FollowedHyperlink"/>
    <w:basedOn w:val="DefaultParagraphFont"/>
    <w:uiPriority w:val="99"/>
    <w:semiHidden/>
    <w:unhideWhenUsed/>
    <w:rsid w:val="003B585C"/>
    <w:rPr>
      <w:color w:val="800080"/>
      <w:u w:val="single"/>
    </w:rPr>
  </w:style>
  <w:style w:type="paragraph" w:customStyle="1" w:styleId="BoxSource">
    <w:name w:val="Box Source"/>
    <w:basedOn w:val="FigureTableNoteSource"/>
    <w:uiPriority w:val="22"/>
    <w:qFormat/>
    <w:rsid w:val="003B585C"/>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rsid w:val="003B585C"/>
    <w:pPr>
      <w:numPr>
        <w:numId w:val="5"/>
      </w:numPr>
    </w:pPr>
  </w:style>
  <w:style w:type="paragraph" w:styleId="Title">
    <w:name w:val="Title"/>
    <w:basedOn w:val="Normal"/>
    <w:next w:val="Normal"/>
    <w:link w:val="TitleChar"/>
    <w:uiPriority w:val="10"/>
    <w:semiHidden/>
    <w:qFormat/>
    <w:rsid w:val="003B585C"/>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3B585C"/>
    <w:rPr>
      <w:rFonts w:eastAsiaTheme="majorEastAsia" w:cstheme="majorBidi"/>
      <w:b/>
      <w:spacing w:val="5"/>
      <w:kern w:val="28"/>
      <w:sz w:val="72"/>
      <w:szCs w:val="52"/>
      <w:lang w:eastAsia="en-US"/>
    </w:rPr>
  </w:style>
  <w:style w:type="paragraph" w:customStyle="1" w:styleId="TOCHeading2">
    <w:name w:val="TOC Heading 2"/>
    <w:next w:val="Normal"/>
    <w:qFormat/>
    <w:rsid w:val="00B91DEC"/>
    <w:rPr>
      <w:rFonts w:ascii="Calibri Light" w:eastAsiaTheme="minorHAnsi" w:hAnsi="Calibri Light" w:cstheme="minorBidi"/>
      <w:sz w:val="36"/>
      <w:szCs w:val="22"/>
      <w:lang w:eastAsia="en-US"/>
    </w:rPr>
  </w:style>
  <w:style w:type="numbering" w:customStyle="1" w:styleId="Numberlist">
    <w:name w:val="Number list"/>
    <w:uiPriority w:val="99"/>
    <w:rsid w:val="00680E84"/>
    <w:pPr>
      <w:numPr>
        <w:numId w:val="6"/>
      </w:numPr>
    </w:pPr>
  </w:style>
  <w:style w:type="numbering" w:customStyle="1" w:styleId="Headinglist">
    <w:name w:val="Heading list"/>
    <w:uiPriority w:val="99"/>
    <w:rsid w:val="00AB06E7"/>
    <w:pPr>
      <w:numPr>
        <w:numId w:val="7"/>
      </w:numPr>
    </w:pPr>
  </w:style>
  <w:style w:type="character" w:styleId="SubtleReference">
    <w:name w:val="Subtle Reference"/>
    <w:basedOn w:val="DefaultParagraphFont"/>
    <w:uiPriority w:val="31"/>
    <w:qFormat/>
    <w:rsid w:val="00E7557C"/>
    <w:rPr>
      <w:smallCaps/>
      <w:color w:val="5A5A5A" w:themeColor="text1" w:themeTint="A5"/>
    </w:rPr>
  </w:style>
  <w:style w:type="character" w:styleId="SubtleEmphasis">
    <w:name w:val="Subtle Emphasis"/>
    <w:basedOn w:val="DefaultParagraphFont"/>
    <w:uiPriority w:val="19"/>
    <w:qFormat/>
    <w:rsid w:val="00DC435D"/>
    <w:rPr>
      <w:i/>
      <w:iCs/>
      <w:color w:val="404040" w:themeColor="text1" w:themeTint="BF"/>
    </w:rPr>
  </w:style>
  <w:style w:type="paragraph" w:styleId="ListParagraph">
    <w:name w:val="List Paragraph"/>
    <w:basedOn w:val="Normal"/>
    <w:uiPriority w:val="99"/>
    <w:qFormat/>
    <w:rsid w:val="009F7A04"/>
    <w:pPr>
      <w:ind w:left="720"/>
      <w:contextualSpacing/>
    </w:pPr>
  </w:style>
  <w:style w:type="table" w:customStyle="1" w:styleId="TableGrid10">
    <w:name w:val="Table Grid1"/>
    <w:basedOn w:val="TableNormal"/>
    <w:next w:val="TableGrid"/>
    <w:uiPriority w:val="39"/>
    <w:rsid w:val="005F722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11A2"/>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C644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C644B"/>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C5CA0"/>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3388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D046E"/>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E21B4F"/>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105762">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11286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071418">
      <w:bodyDiv w:val="1"/>
      <w:marLeft w:val="0"/>
      <w:marRight w:val="0"/>
      <w:marTop w:val="0"/>
      <w:marBottom w:val="0"/>
      <w:divBdr>
        <w:top w:val="none" w:sz="0" w:space="0" w:color="auto"/>
        <w:left w:val="none" w:sz="0" w:space="0" w:color="auto"/>
        <w:bottom w:val="none" w:sz="0" w:space="0" w:color="auto"/>
        <w:right w:val="none" w:sz="0" w:space="0" w:color="auto"/>
      </w:divBdr>
    </w:div>
    <w:div w:id="1231040916">
      <w:bodyDiv w:val="1"/>
      <w:marLeft w:val="0"/>
      <w:marRight w:val="0"/>
      <w:marTop w:val="0"/>
      <w:marBottom w:val="0"/>
      <w:divBdr>
        <w:top w:val="none" w:sz="0" w:space="0" w:color="auto"/>
        <w:left w:val="none" w:sz="0" w:space="0" w:color="auto"/>
        <w:bottom w:val="none" w:sz="0" w:space="0" w:color="auto"/>
        <w:right w:val="none" w:sz="0" w:space="0" w:color="auto"/>
      </w:divBdr>
    </w:div>
    <w:div w:id="1238397607">
      <w:bodyDiv w:val="1"/>
      <w:marLeft w:val="0"/>
      <w:marRight w:val="0"/>
      <w:marTop w:val="0"/>
      <w:marBottom w:val="0"/>
      <w:divBdr>
        <w:top w:val="none" w:sz="0" w:space="0" w:color="auto"/>
        <w:left w:val="none" w:sz="0" w:space="0" w:color="auto"/>
        <w:bottom w:val="none" w:sz="0" w:space="0" w:color="auto"/>
        <w:right w:val="none" w:sz="0" w:space="0" w:color="auto"/>
      </w:divBdr>
    </w:div>
    <w:div w:id="1253586135">
      <w:bodyDiv w:val="1"/>
      <w:marLeft w:val="0"/>
      <w:marRight w:val="0"/>
      <w:marTop w:val="0"/>
      <w:marBottom w:val="0"/>
      <w:divBdr>
        <w:top w:val="none" w:sz="0" w:space="0" w:color="auto"/>
        <w:left w:val="none" w:sz="0" w:space="0" w:color="auto"/>
        <w:bottom w:val="none" w:sz="0" w:space="0" w:color="auto"/>
        <w:right w:val="none" w:sz="0" w:space="0" w:color="auto"/>
      </w:divBdr>
    </w:div>
    <w:div w:id="1275747314">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98017">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42630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17211">
      <w:bodyDiv w:val="1"/>
      <w:marLeft w:val="0"/>
      <w:marRight w:val="0"/>
      <w:marTop w:val="0"/>
      <w:marBottom w:val="0"/>
      <w:divBdr>
        <w:top w:val="none" w:sz="0" w:space="0" w:color="auto"/>
        <w:left w:val="none" w:sz="0" w:space="0" w:color="auto"/>
        <w:bottom w:val="none" w:sz="0" w:space="0" w:color="auto"/>
        <w:right w:val="none" w:sz="0" w:space="0" w:color="auto"/>
      </w:divBdr>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53104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image" Target="media/image2.jpeg"/><Relationship Id="rId42" Type="http://schemas.openxmlformats.org/officeDocument/2006/relationships/hyperlink" Target="http://www.science.gov.au/scienceGov/ScienceAndResearchPriorities/Pages/default.aspx" TargetMode="External"/><Relationship Id="rId47" Type="http://schemas.openxmlformats.org/officeDocument/2006/relationships/hyperlink" Target="http://horticulture.com.au/how-we-invest-2/sitplus/" TargetMode="External"/><Relationship Id="rId63" Type="http://schemas.openxmlformats.org/officeDocument/2006/relationships/header" Target="header8.xml"/><Relationship Id="rId68" Type="http://schemas.openxmlformats.org/officeDocument/2006/relationships/image" Target="media/image17.jpeg"/><Relationship Id="rId84" Type="http://schemas.openxmlformats.org/officeDocument/2006/relationships/footer" Target="footer9.xml"/><Relationship Id="rId89"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s://www.qfes.qld.gov.au/about/Pages/EmergencyManagementFireandRescue-Levy.aspx" TargetMode="External"/><Relationship Id="rId92"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hyperlink" Target="http://agriculture.gov.au/" TargetMode="External"/><Relationship Id="rId29" Type="http://schemas.openxmlformats.org/officeDocument/2006/relationships/image" Target="media/image7.pn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hyperlink" Target="http://www.planthealthaustralia.com.au/national-programs/grains-farm-biosecurity-program/" TargetMode="External"/><Relationship Id="rId32" Type="http://schemas.openxmlformats.org/officeDocument/2006/relationships/hyperlink" Target="http://www.interstatequarantine.org.au/producers/interstate-certification-assurance/" TargetMode="External"/><Relationship Id="rId37" Type="http://schemas.openxmlformats.org/officeDocument/2006/relationships/hyperlink" Target="http://www.pbcrc.com.au/research/project/1109" TargetMode="External"/><Relationship Id="rId40" Type="http://schemas.openxmlformats.org/officeDocument/2006/relationships/hyperlink" Target="http://www.dpi.nsw.gov.au/fishing/pests-diseases/freshwater-pests/species/tilapia" TargetMode="External"/><Relationship Id="rId45" Type="http://schemas.openxmlformats.org/officeDocument/2006/relationships/image" Target="media/image10.jpeg"/><Relationship Id="rId53" Type="http://schemas.openxmlformats.org/officeDocument/2006/relationships/header" Target="header4.xml"/><Relationship Id="rId58" Type="http://schemas.openxmlformats.org/officeDocument/2006/relationships/image" Target="media/image13.jpeg"/><Relationship Id="rId66" Type="http://schemas.openxmlformats.org/officeDocument/2006/relationships/image" Target="media/image15.jpeg"/><Relationship Id="rId74" Type="http://schemas.openxmlformats.org/officeDocument/2006/relationships/hyperlink" Target="http://www.lls.nsw.gov.au/about/annual-rates/rates-faqs" TargetMode="External"/><Relationship Id="rId79" Type="http://schemas.openxmlformats.org/officeDocument/2006/relationships/hyperlink" Target="https://portal.biosecurityportal.org.au/rwa/Documents/Russian%20Wheat%20Aphid%20Distribution%20Map.pdf" TargetMode="External"/><Relationship Id="rId87" Type="http://schemas.openxmlformats.org/officeDocument/2006/relationships/image" Target="media/image24.png"/><Relationship Id="rId102"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footer" Target="footer6.xml"/><Relationship Id="rId82" Type="http://schemas.openxmlformats.org/officeDocument/2006/relationships/header" Target="header9.xml"/><Relationship Id="rId90" Type="http://schemas.openxmlformats.org/officeDocument/2006/relationships/image" Target="media/image27.png"/><Relationship Id="rId95" Type="http://schemas.openxmlformats.org/officeDocument/2006/relationships/image" Target="media/image32.png"/><Relationship Id="rId19" Type="http://schemas.openxmlformats.org/officeDocument/2006/relationships/header" Target="header2.xml"/><Relationship Id="rId14" Type="http://schemas.openxmlformats.org/officeDocument/2006/relationships/hyperlink" Target="mailto:copyright@agriculture.gov.au" TargetMode="External"/><Relationship Id="rId22" Type="http://schemas.openxmlformats.org/officeDocument/2006/relationships/image" Target="media/image3.png"/><Relationship Id="rId27" Type="http://schemas.openxmlformats.org/officeDocument/2006/relationships/image" Target="media/image5.png"/><Relationship Id="rId30" Type="http://schemas.openxmlformats.org/officeDocument/2006/relationships/hyperlink" Target="http://www.tourism.australia.com/nature-based-tourism.aspx" TargetMode="External"/><Relationship Id="rId35" Type="http://schemas.openxmlformats.org/officeDocument/2006/relationships/hyperlink" Target="https://www.daf.qld.gov.au/plants/weeds-pest-animals-ants/invasive-ants/fire-ants/national-red-imported-eradication-program/fire-ant-eradication" TargetMode="External"/><Relationship Id="rId43" Type="http://schemas.openxmlformats.org/officeDocument/2006/relationships/hyperlink" Target="http://www.agriculture.gov.au/ag-farm-food/innovation/priorities" TargetMode="External"/><Relationship Id="rId48" Type="http://schemas.openxmlformats.org/officeDocument/2006/relationships/hyperlink" Target="http://www.agriculture.gov.au/ag-farm-food/innovation/rural-research-development-for-profit" TargetMode="External"/><Relationship Id="rId56" Type="http://schemas.openxmlformats.org/officeDocument/2006/relationships/header" Target="header5.xml"/><Relationship Id="rId64" Type="http://schemas.openxmlformats.org/officeDocument/2006/relationships/footer" Target="footer8.xml"/><Relationship Id="rId69" Type="http://schemas.openxmlformats.org/officeDocument/2006/relationships/image" Target="media/image18.jpeg"/><Relationship Id="rId77" Type="http://schemas.openxmlformats.org/officeDocument/2006/relationships/image" Target="media/image21.jpeg"/><Relationship Id="rId100" Type="http://schemas.openxmlformats.org/officeDocument/2006/relationships/image" Target="media/image37.png"/><Relationship Id="rId105" Type="http://schemas.openxmlformats.org/officeDocument/2006/relationships/header" Target="header14.xml"/><Relationship Id="rId8" Type="http://schemas.openxmlformats.org/officeDocument/2006/relationships/webSettings" Target="webSettings.xml"/><Relationship Id="rId51" Type="http://schemas.openxmlformats.org/officeDocument/2006/relationships/hyperlink" Target="http://www.agriculture.gov.au/biosecurity/partnerships/nbc" TargetMode="External"/><Relationship Id="rId72" Type="http://schemas.openxmlformats.org/officeDocument/2006/relationships/hyperlink" Target="http://www.firelevy.vic.gov.au/" TargetMode="External"/><Relationship Id="rId80" Type="http://schemas.openxmlformats.org/officeDocument/2006/relationships/hyperlink" Target="http://www.pestsmart.org.au/feralscan/" TargetMode="External"/><Relationship Id="rId85" Type="http://schemas.openxmlformats.org/officeDocument/2006/relationships/header" Target="header11.xml"/><Relationship Id="rId93" Type="http://schemas.openxmlformats.org/officeDocument/2006/relationships/image" Target="media/image30.png"/><Relationship Id="rId98"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creativecommons.org/licenses/by/3.0/au/deed.en" TargetMode="External"/><Relationship Id="rId17" Type="http://schemas.openxmlformats.org/officeDocument/2006/relationships/header" Target="header1.xml"/><Relationship Id="rId25" Type="http://schemas.openxmlformats.org/officeDocument/2006/relationships/hyperlink" Target="https://www.ngia.com.au/Category?Action=View&amp;Category_id=258" TargetMode="External"/><Relationship Id="rId33" Type="http://schemas.openxmlformats.org/officeDocument/2006/relationships/hyperlink" Target="http://www.border.gov.au/Busi/cargo-support-trade-and-goods/australian-trusted-trader" TargetMode="External"/><Relationship Id="rId38" Type="http://schemas.openxmlformats.org/officeDocument/2006/relationships/image" Target="media/image8.jpeg"/><Relationship Id="rId46" Type="http://schemas.openxmlformats.org/officeDocument/2006/relationships/image" Target="media/image11.jpeg"/><Relationship Id="rId59" Type="http://schemas.openxmlformats.org/officeDocument/2006/relationships/header" Target="header6.xml"/><Relationship Id="rId67" Type="http://schemas.openxmlformats.org/officeDocument/2006/relationships/image" Target="media/image16.png"/><Relationship Id="rId103" Type="http://schemas.openxmlformats.org/officeDocument/2006/relationships/header" Target="header13.xml"/><Relationship Id="rId20" Type="http://schemas.openxmlformats.org/officeDocument/2006/relationships/footer" Target="footer2.xml"/><Relationship Id="rId41" Type="http://schemas.openxmlformats.org/officeDocument/2006/relationships/hyperlink" Target="https://www.csiro.au/en/Research/BF/Areas/Protecting-Australias-agricultural-industries/Bio-inspired-products/CYBERNOSE-biosensor?ref=/CSIRO/Website/Research/Farming-food/Innovation-and-technology-for-the-future/CYBERNOSE-biosensor" TargetMode="External"/><Relationship Id="rId54" Type="http://schemas.openxmlformats.org/officeDocument/2006/relationships/footer" Target="footer3.xml"/><Relationship Id="rId62" Type="http://schemas.openxmlformats.org/officeDocument/2006/relationships/footer" Target="footer7.xml"/><Relationship Id="rId70" Type="http://schemas.openxmlformats.org/officeDocument/2006/relationships/image" Target="media/image19.jpeg"/><Relationship Id="rId75" Type="http://schemas.openxmlformats.org/officeDocument/2006/relationships/hyperlink" Target="http://agriculture.gov.au/ag-farm-food/levies/biosecurity-levies" TargetMode="External"/><Relationship Id="rId83" Type="http://schemas.openxmlformats.org/officeDocument/2006/relationships/header" Target="header10.xml"/><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griculture.gov.au/igabreview" TargetMode="External"/><Relationship Id="rId23" Type="http://schemas.openxmlformats.org/officeDocument/2006/relationships/hyperlink" Target="http://www.lbn.org.au/" TargetMode="External"/><Relationship Id="rId28" Type="http://schemas.openxmlformats.org/officeDocument/2006/relationships/image" Target="media/image6.png"/><Relationship Id="rId36" Type="http://schemas.openxmlformats.org/officeDocument/2006/relationships/hyperlink" Target="http://www.agriculture.gov.au/animal/aquatic/reporting/reportable-diseases" TargetMode="External"/><Relationship Id="rId49" Type="http://schemas.openxmlformats.org/officeDocument/2006/relationships/hyperlink" Target="http://cebra.unimelb.edu.au/about" TargetMode="External"/><Relationship Id="rId57" Type="http://schemas.openxmlformats.org/officeDocument/2006/relationships/footer" Target="footer5.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www.agriculture.gov.au/market-access-trade/agricultural-trade-matters/achievements" TargetMode="External"/><Relationship Id="rId44" Type="http://schemas.openxmlformats.org/officeDocument/2006/relationships/image" Target="media/image9.jpeg"/><Relationship Id="rId52" Type="http://schemas.openxmlformats.org/officeDocument/2006/relationships/header" Target="header3.xml"/><Relationship Id="rId60" Type="http://schemas.openxmlformats.org/officeDocument/2006/relationships/header" Target="header7.xml"/><Relationship Id="rId65" Type="http://schemas.openxmlformats.org/officeDocument/2006/relationships/image" Target="media/image14.png"/><Relationship Id="rId73" Type="http://schemas.openxmlformats.org/officeDocument/2006/relationships/hyperlink" Target="http://www.eslinsurancemonitor.nsw.gov.au/" TargetMode="External"/><Relationship Id="rId78" Type="http://schemas.openxmlformats.org/officeDocument/2006/relationships/image" Target="media/image22.tiff"/><Relationship Id="rId81" Type="http://schemas.openxmlformats.org/officeDocument/2006/relationships/image" Target="media/image23.png"/><Relationship Id="rId86" Type="http://schemas.openxmlformats.org/officeDocument/2006/relationships/footer" Target="footer10.xml"/><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hyperlink" Target="http://www.agriculture.gov.au/igabreview"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creativecommons.org/licenses/by/3.0/au/legalcode" TargetMode="External"/><Relationship Id="rId18" Type="http://schemas.openxmlformats.org/officeDocument/2006/relationships/footer" Target="footer1.xml"/><Relationship Id="rId39" Type="http://schemas.openxmlformats.org/officeDocument/2006/relationships/hyperlink" Target="http://www.outbreak.gov.au/" TargetMode="External"/><Relationship Id="rId34" Type="http://schemas.openxmlformats.org/officeDocument/2006/relationships/hyperlink" Target="http://www.environment.gov.au/biodiversity/invasive-species" TargetMode="External"/><Relationship Id="rId50" Type="http://schemas.openxmlformats.org/officeDocument/2006/relationships/image" Target="media/image12.png"/><Relationship Id="rId55" Type="http://schemas.openxmlformats.org/officeDocument/2006/relationships/footer" Target="footer4.xml"/><Relationship Id="rId76" Type="http://schemas.openxmlformats.org/officeDocument/2006/relationships/image" Target="media/image20.jpeg"/><Relationship Id="rId97" Type="http://schemas.openxmlformats.org/officeDocument/2006/relationships/image" Target="media/image34.png"/><Relationship Id="rId104"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file>

<file path=customXml/itemProps2.xml><?xml version="1.0" encoding="utf-8"?>
<ds:datastoreItem xmlns:ds="http://schemas.openxmlformats.org/officeDocument/2006/customXml" ds:itemID="{9D1CAD33-3B39-4665-A5E6-666D035120E9}"/>
</file>

<file path=customXml/itemProps3.xml><?xml version="1.0" encoding="utf-8"?>
<ds:datastoreItem xmlns:ds="http://schemas.openxmlformats.org/officeDocument/2006/customXml" ds:itemID="{DEFAB907-9E5D-473D-A92C-D9BD7B2B2E2D}"/>
</file>

<file path=customXml/itemProps4.xml><?xml version="1.0" encoding="utf-8"?>
<ds:datastoreItem xmlns:ds="http://schemas.openxmlformats.org/officeDocument/2006/customXml" ds:itemID="{A6A657D6-60A1-4957-BFAA-23FEDD6B2E36}"/>
</file>

<file path=docProps/app.xml><?xml version="1.0" encoding="utf-8"?>
<Properties xmlns="http://schemas.openxmlformats.org/officeDocument/2006/extended-properties" xmlns:vt="http://schemas.openxmlformats.org/officeDocument/2006/docPropsVTypes">
  <Template>Normal.dotm</Template>
  <TotalTime>14345</TotalTime>
  <Pages>166</Pages>
  <Words>72749</Words>
  <Characters>414670</Characters>
  <Application>Microsoft Office Word</Application>
  <DocSecurity>0</DocSecurity>
  <Lines>3455</Lines>
  <Paragraphs>972</Paragraphs>
  <ScaleCrop>false</ScaleCrop>
  <HeadingPairs>
    <vt:vector size="2" baseType="variant">
      <vt:variant>
        <vt:lpstr>Title</vt:lpstr>
      </vt:variant>
      <vt:variant>
        <vt:i4>1</vt:i4>
      </vt:variant>
    </vt:vector>
  </HeadingPairs>
  <TitlesOfParts>
    <vt:vector size="1" baseType="lpstr">
      <vt:lpstr>Draft report on the Intergovernmental Agreement on Biosecurity Review</vt:lpstr>
    </vt:vector>
  </TitlesOfParts>
  <Company>Department of Agriculture Fisheries &amp; Forestry</Company>
  <LinksUpToDate>false</LinksUpToDate>
  <CharactersWithSpaces>486447</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report on the Intergovernmental Agreement on Biosecurity Review</dc:title>
  <dc:subject/>
  <dc:creator>McMellon, Glenn</dc:creator>
  <cp:keywords/>
  <dc:description/>
  <cp:lastModifiedBy>Department</cp:lastModifiedBy>
  <cp:revision>1443</cp:revision>
  <cp:lastPrinted>2017-06-23T05:57:00Z</cp:lastPrinted>
  <dcterms:created xsi:type="dcterms:W3CDTF">2016-12-01T22:31:00Z</dcterms:created>
  <dcterms:modified xsi:type="dcterms:W3CDTF">2017-07-26T06:44:00Z</dcterms:modified>
  <cp:contentStatus>Updated June 2016</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