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74E4A" w14:textId="692273EA" w:rsidR="00D75646" w:rsidRPr="00D75646" w:rsidRDefault="00E97F02" w:rsidP="00A013DF">
      <w:pPr>
        <w:pStyle w:val="Heading1"/>
        <w:pBdr>
          <w:bottom w:val="none" w:sz="0" w:space="0" w:color="auto"/>
        </w:pBdr>
        <w:spacing w:before="240"/>
        <w:rPr>
          <w:sz w:val="44"/>
          <w:szCs w:val="44"/>
        </w:rPr>
      </w:pPr>
      <w:r w:rsidRPr="00D75646">
        <w:rPr>
          <w:sz w:val="44"/>
          <w:szCs w:val="44"/>
        </w:rPr>
        <w:t>Review of the biosecurity risks of, and import conditions for, prawns and prawn products</w:t>
      </w:r>
      <w:r w:rsidR="00A013DF">
        <w:rPr>
          <w:sz w:val="44"/>
          <w:szCs w:val="44"/>
        </w:rPr>
        <w:t xml:space="preserve"> imported for human consumption</w:t>
      </w:r>
    </w:p>
    <w:p w14:paraId="74B368BD" w14:textId="64F06DB4" w:rsidR="00D75646" w:rsidRPr="00A013DF" w:rsidRDefault="00D75646" w:rsidP="00A013DF">
      <w:pPr>
        <w:pStyle w:val="Subtitle"/>
      </w:pPr>
      <w:r w:rsidRPr="00A013DF">
        <w:t>Roundt</w:t>
      </w:r>
      <w:r w:rsidR="00A013DF" w:rsidRPr="00A013DF">
        <w:t xml:space="preserve">able discussion 8 </w:t>
      </w:r>
      <w:bookmarkStart w:id="0" w:name="_GoBack"/>
      <w:bookmarkEnd w:id="0"/>
      <w:r w:rsidR="00A013DF" w:rsidRPr="00A013DF">
        <w:t>February 2018</w:t>
      </w:r>
    </w:p>
    <w:p w14:paraId="21C5FE3E" w14:textId="77777777" w:rsidR="00E97F02" w:rsidRPr="00661CB9" w:rsidRDefault="00D75646" w:rsidP="00A013DF">
      <w:pPr>
        <w:pStyle w:val="Subtitle"/>
        <w:pBdr>
          <w:bottom w:val="single" w:sz="4" w:space="1" w:color="auto"/>
        </w:pBdr>
        <w:rPr>
          <w:b/>
        </w:rPr>
      </w:pPr>
      <w:r w:rsidRPr="00661CB9">
        <w:t>Meeting Summary Report</w:t>
      </w:r>
    </w:p>
    <w:p w14:paraId="43B7536F" w14:textId="77777777" w:rsidR="005F77E5" w:rsidRDefault="00F2159F">
      <w:pPr>
        <w:jc w:val="right"/>
      </w:pPr>
      <w:r w:rsidRPr="009E6E40">
        <w:t xml:space="preserve">March </w:t>
      </w:r>
      <w:r w:rsidR="00E97F02" w:rsidRPr="009E6E40">
        <w:t>2018</w:t>
      </w:r>
    </w:p>
    <w:p w14:paraId="6B08AB07" w14:textId="77777777" w:rsidR="005F77E5" w:rsidRDefault="00F90962">
      <w:pPr>
        <w:pStyle w:val="Picture"/>
      </w:pPr>
      <w:r>
        <w:drawing>
          <wp:inline distT="0" distB="0" distL="0" distR="0" wp14:anchorId="25353F69" wp14:editId="4242E337">
            <wp:extent cx="5758862" cy="5701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cstate="print"/>
                    <a:srcRect/>
                    <a:stretch>
                      <a:fillRect/>
                    </a:stretch>
                  </pic:blipFill>
                  <pic:spPr bwMode="auto">
                    <a:xfrm>
                      <a:off x="0" y="0"/>
                      <a:ext cx="5759433" cy="5701650"/>
                    </a:xfrm>
                    <a:prstGeom prst="rect">
                      <a:avLst/>
                    </a:prstGeom>
                    <a:noFill/>
                    <a:ln w="9525">
                      <a:noFill/>
                      <a:miter lim="800000"/>
                      <a:headEnd/>
                      <a:tailEnd/>
                    </a:ln>
                  </pic:spPr>
                </pic:pic>
              </a:graphicData>
            </a:graphic>
          </wp:inline>
        </w:drawing>
      </w:r>
    </w:p>
    <w:p w14:paraId="4696265A" w14:textId="77777777" w:rsidR="005F77E5" w:rsidRDefault="005F77E5">
      <w:pPr>
        <w:pStyle w:val="Picture"/>
      </w:pPr>
    </w:p>
    <w:p w14:paraId="094A1973" w14:textId="77777777" w:rsidR="005F77E5" w:rsidRDefault="005F77E5">
      <w:pPr>
        <w:pStyle w:val="Picture"/>
        <w:sectPr w:rsidR="005F77E5">
          <w:headerReference w:type="default" r:id="rId12"/>
          <w:footerReference w:type="default" r:id="rId13"/>
          <w:headerReference w:type="first" r:id="rId14"/>
          <w:footerReference w:type="first" r:id="rId15"/>
          <w:type w:val="oddPage"/>
          <w:pgSz w:w="11906" w:h="16838"/>
          <w:pgMar w:top="1418" w:right="1418" w:bottom="1418" w:left="1418" w:header="567" w:footer="283" w:gutter="0"/>
          <w:cols w:space="708"/>
          <w:docGrid w:linePitch="360"/>
        </w:sectPr>
      </w:pPr>
    </w:p>
    <w:p w14:paraId="3A286FBD" w14:textId="77777777" w:rsidR="00125BAB" w:rsidRDefault="00125BAB" w:rsidP="00125BAB">
      <w:pPr>
        <w:pStyle w:val="Normalsmall"/>
      </w:pPr>
      <w:r>
        <w:lastRenderedPageBreak/>
        <w:t>© Commonwealth of Australia 2018</w:t>
      </w:r>
    </w:p>
    <w:p w14:paraId="3C536846" w14:textId="77777777" w:rsidR="00125BAB" w:rsidRDefault="00125BAB" w:rsidP="00125BAB">
      <w:pPr>
        <w:pStyle w:val="Normalsmall"/>
        <w:rPr>
          <w:rStyle w:val="Strong"/>
        </w:rPr>
      </w:pPr>
      <w:r>
        <w:rPr>
          <w:rStyle w:val="Strong"/>
        </w:rPr>
        <w:t>Ownership of intellectual property rights</w:t>
      </w:r>
    </w:p>
    <w:p w14:paraId="66D40B43" w14:textId="77777777" w:rsidR="00125BAB" w:rsidRDefault="00125BAB" w:rsidP="00125BAB">
      <w:pPr>
        <w:pStyle w:val="Normalsmall"/>
      </w:pPr>
      <w:r>
        <w:t>Unless otherwise noted, copyright (and any other intellectual property rights, if any) in this publication is owned by the Commonwealth of Australia (referred to as the Commonwealth).</w:t>
      </w:r>
    </w:p>
    <w:p w14:paraId="6FC0EE44" w14:textId="77777777" w:rsidR="00125BAB" w:rsidRDefault="00125BAB" w:rsidP="00125BAB">
      <w:pPr>
        <w:pStyle w:val="Normalsmall"/>
        <w:rPr>
          <w:rStyle w:val="Strong"/>
        </w:rPr>
      </w:pPr>
      <w:proofErr w:type="gramStart"/>
      <w:r>
        <w:rPr>
          <w:rStyle w:val="Strong"/>
        </w:rPr>
        <w:t>Creative Commons</w:t>
      </w:r>
      <w:proofErr w:type="gramEnd"/>
      <w:r>
        <w:rPr>
          <w:rStyle w:val="Strong"/>
        </w:rPr>
        <w:t xml:space="preserve"> licence</w:t>
      </w:r>
    </w:p>
    <w:p w14:paraId="57819A3E" w14:textId="77777777" w:rsidR="00125BAB" w:rsidRDefault="00125BAB" w:rsidP="00125BAB">
      <w:pPr>
        <w:pStyle w:val="Normalsmall"/>
      </w:pPr>
      <w:r>
        <w:t xml:space="preserve">All material in this publication is licensed under a Creative </w:t>
      </w:r>
      <w:hyperlink r:id="rId16" w:history="1">
        <w:r>
          <w:rPr>
            <w:rStyle w:val="Hyperlink"/>
          </w:rPr>
          <w:t>Commons Attribution 4.0 International Licence</w:t>
        </w:r>
      </w:hyperlink>
      <w:r>
        <w:t xml:space="preserve"> except content supplied by third parties, logos and the Commonwealth Coat of Arms.</w:t>
      </w:r>
    </w:p>
    <w:p w14:paraId="220719F6" w14:textId="77777777" w:rsidR="00125BAB" w:rsidRDefault="00125BAB" w:rsidP="00125BAB">
      <w:pPr>
        <w:pStyle w:val="Normalsmall"/>
      </w:pPr>
      <w:r>
        <w:t xml:space="preserve">Inquiries about the licence and any use of this document should be emailed to </w:t>
      </w:r>
      <w:hyperlink r:id="rId17" w:history="1">
        <w:r>
          <w:rPr>
            <w:rStyle w:val="Hyperlink"/>
          </w:rPr>
          <w:t>copyright@agriculture.gov.au</w:t>
        </w:r>
      </w:hyperlink>
      <w:r>
        <w:t>.</w:t>
      </w:r>
    </w:p>
    <w:p w14:paraId="057BB941" w14:textId="77777777" w:rsidR="00125BAB" w:rsidRDefault="00125BAB" w:rsidP="00125BAB">
      <w:pPr>
        <w:pStyle w:val="Normalsmall"/>
      </w:pPr>
      <w:r>
        <w:rPr>
          <w:noProof/>
          <w:lang w:eastAsia="en-AU"/>
        </w:rPr>
        <w:drawing>
          <wp:inline distT="0" distB="0" distL="0" distR="0" wp14:anchorId="211CFEB4" wp14:editId="7063F3EA">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8"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7E9FA4" w14:textId="77777777" w:rsidR="00125BAB" w:rsidRDefault="00125BAB" w:rsidP="00125BAB">
      <w:pPr>
        <w:pStyle w:val="Normalsmall"/>
        <w:rPr>
          <w:rStyle w:val="Strong"/>
        </w:rPr>
      </w:pPr>
      <w:r>
        <w:rPr>
          <w:rStyle w:val="Strong"/>
        </w:rPr>
        <w:t>Cataloguing data</w:t>
      </w:r>
    </w:p>
    <w:p w14:paraId="72BF5D26" w14:textId="55F30049" w:rsidR="00125BAB" w:rsidRDefault="00125BAB" w:rsidP="00125BAB">
      <w:pPr>
        <w:pStyle w:val="Normalsmall"/>
      </w:pPr>
      <w:r>
        <w:t xml:space="preserve">This publication (and any material sourced from it) should be attributed as: Australian Department of Agriculture and Water Resources 2018, </w:t>
      </w:r>
      <w:r>
        <w:rPr>
          <w:i/>
        </w:rPr>
        <w:t xml:space="preserve">Review of the biosecurity risks of, and import conditions for, prawns and prawn products imported for human consumption. Roundtable discussion 8 February 2018. Meeting summary report. </w:t>
      </w:r>
      <w:r>
        <w:t>CC BY 4.0.</w:t>
      </w:r>
    </w:p>
    <w:p w14:paraId="75BA80AF" w14:textId="556DAE96" w:rsidR="00125BAB" w:rsidRDefault="00125BAB" w:rsidP="00125BAB">
      <w:pPr>
        <w:pStyle w:val="Normalsmall"/>
      </w:pPr>
      <w:r>
        <w:t xml:space="preserve">This publication is available at </w:t>
      </w:r>
      <w:hyperlink r:id="rId19" w:history="1">
        <w:r>
          <w:rPr>
            <w:rStyle w:val="Hyperlink"/>
          </w:rPr>
          <w:t>agriculture.gov.au/biosecurity/risk-analysis</w:t>
        </w:r>
      </w:hyperlink>
      <w:r>
        <w:t>.</w:t>
      </w:r>
    </w:p>
    <w:p w14:paraId="0EE7AE9E" w14:textId="77777777" w:rsidR="00125BAB" w:rsidRDefault="00125BAB" w:rsidP="00125BAB">
      <w:pPr>
        <w:pStyle w:val="Normalsmall"/>
        <w:spacing w:after="0"/>
      </w:pPr>
      <w:r>
        <w:t>Department of Agriculture and Water Resources</w:t>
      </w:r>
    </w:p>
    <w:p w14:paraId="69228C62" w14:textId="77777777" w:rsidR="00125BAB" w:rsidRDefault="00125BAB" w:rsidP="00125BAB">
      <w:pPr>
        <w:pStyle w:val="Normalsmall"/>
        <w:spacing w:after="0"/>
      </w:pPr>
      <w:r>
        <w:t>GPO Box 858 Canberra ACT 2601</w:t>
      </w:r>
    </w:p>
    <w:p w14:paraId="6D707326" w14:textId="77777777" w:rsidR="00125BAB" w:rsidRDefault="00125BAB" w:rsidP="00125BAB">
      <w:pPr>
        <w:pStyle w:val="Normalsmall"/>
        <w:spacing w:after="0"/>
      </w:pPr>
      <w:r>
        <w:t>Telephone 1800 900 090</w:t>
      </w:r>
    </w:p>
    <w:p w14:paraId="0DFE7A0F" w14:textId="77777777" w:rsidR="00125BAB" w:rsidRDefault="00125BAB" w:rsidP="00125BAB">
      <w:pPr>
        <w:pStyle w:val="Normalsmall"/>
      </w:pPr>
      <w:r>
        <w:t xml:space="preserve">Web </w:t>
      </w:r>
      <w:hyperlink r:id="rId20" w:history="1">
        <w:r>
          <w:rPr>
            <w:rStyle w:val="Hyperlink"/>
          </w:rPr>
          <w:t>agriculture.gov.au</w:t>
        </w:r>
      </w:hyperlink>
    </w:p>
    <w:p w14:paraId="769D51A9" w14:textId="77777777" w:rsidR="00125BAB" w:rsidRDefault="00125BAB" w:rsidP="00125BAB">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C388CC6" w14:textId="4FA46158" w:rsidR="005F77E5" w:rsidRDefault="005F77E5" w:rsidP="0018206C">
      <w:pPr>
        <w:pStyle w:val="TableText"/>
      </w:pPr>
    </w:p>
    <w:p w14:paraId="407D4BAA" w14:textId="77777777" w:rsidR="005F77E5" w:rsidRDefault="005F77E5" w:rsidP="0018206C">
      <w:pPr>
        <w:pStyle w:val="TableText"/>
        <w:sectPr w:rsidR="005F77E5" w:rsidSect="003A0143">
          <w:headerReference w:type="default" r:id="rId21"/>
          <w:footerReference w:type="default" r:id="rId22"/>
          <w:pgSz w:w="11906" w:h="16838"/>
          <w:pgMar w:top="1418" w:right="1418" w:bottom="1418" w:left="1418" w:header="567" w:footer="283" w:gutter="0"/>
          <w:pgNumType w:fmt="lowerRoman"/>
          <w:cols w:space="708"/>
          <w:docGrid w:linePitch="360"/>
        </w:sectPr>
      </w:pPr>
    </w:p>
    <w:p w14:paraId="21CC9A64" w14:textId="77777777" w:rsidR="005F77E5" w:rsidRPr="007945EC" w:rsidRDefault="00F90962" w:rsidP="007945EC">
      <w:pPr>
        <w:pStyle w:val="TOCHeading"/>
      </w:pPr>
      <w:r>
        <w:lastRenderedPageBreak/>
        <w:t>Contents</w:t>
      </w:r>
    </w:p>
    <w:p w14:paraId="42E22966" w14:textId="77777777" w:rsidR="005F12C8" w:rsidRDefault="004B6D4B">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rsidR="005F12C8">
        <w:t>Acronyms and abbreviations</w:t>
      </w:r>
      <w:r w:rsidR="005F12C8">
        <w:tab/>
      </w:r>
      <w:r w:rsidR="005F12C8">
        <w:fldChar w:fldCharType="begin"/>
      </w:r>
      <w:r w:rsidR="005F12C8">
        <w:instrText xml:space="preserve"> PAGEREF _Toc508797184 \h </w:instrText>
      </w:r>
      <w:r w:rsidR="005F12C8">
        <w:fldChar w:fldCharType="separate"/>
      </w:r>
      <w:r w:rsidR="00EE1C5F">
        <w:t>iv</w:t>
      </w:r>
      <w:r w:rsidR="005F12C8">
        <w:fldChar w:fldCharType="end"/>
      </w:r>
    </w:p>
    <w:p w14:paraId="795AF4C9" w14:textId="77777777" w:rsidR="005F12C8" w:rsidRDefault="005F12C8">
      <w:pPr>
        <w:pStyle w:val="TOC1"/>
        <w:rPr>
          <w:rFonts w:eastAsiaTheme="minorEastAsia"/>
          <w:b w:val="0"/>
          <w:lang w:eastAsia="en-AU"/>
        </w:rPr>
      </w:pPr>
      <w:r>
        <w:t>Summary</w:t>
      </w:r>
      <w:r>
        <w:tab/>
      </w:r>
      <w:r>
        <w:fldChar w:fldCharType="begin"/>
      </w:r>
      <w:r>
        <w:instrText xml:space="preserve"> PAGEREF _Toc508797185 \h </w:instrText>
      </w:r>
      <w:r>
        <w:fldChar w:fldCharType="separate"/>
      </w:r>
      <w:r w:rsidR="00EE1C5F">
        <w:t>1</w:t>
      </w:r>
      <w:r>
        <w:fldChar w:fldCharType="end"/>
      </w:r>
    </w:p>
    <w:p w14:paraId="316DBA4E" w14:textId="77777777" w:rsidR="005F12C8" w:rsidRDefault="005F12C8">
      <w:pPr>
        <w:pStyle w:val="TOC1"/>
        <w:rPr>
          <w:rFonts w:eastAsiaTheme="minorEastAsia"/>
          <w:b w:val="0"/>
          <w:lang w:eastAsia="en-AU"/>
        </w:rPr>
      </w:pPr>
      <w:r>
        <w:t>Opening statement</w:t>
      </w:r>
      <w:r>
        <w:tab/>
      </w:r>
      <w:r>
        <w:fldChar w:fldCharType="begin"/>
      </w:r>
      <w:r>
        <w:instrText xml:space="preserve"> PAGEREF _Toc508797186 \h </w:instrText>
      </w:r>
      <w:r>
        <w:fldChar w:fldCharType="separate"/>
      </w:r>
      <w:r w:rsidR="00EE1C5F">
        <w:t>2</w:t>
      </w:r>
      <w:r>
        <w:fldChar w:fldCharType="end"/>
      </w:r>
    </w:p>
    <w:p w14:paraId="599122C4" w14:textId="77777777" w:rsidR="005F12C8" w:rsidRDefault="005F12C8">
      <w:pPr>
        <w:pStyle w:val="TOC1"/>
        <w:rPr>
          <w:rFonts w:eastAsiaTheme="minorEastAsia"/>
          <w:b w:val="0"/>
          <w:lang w:eastAsia="en-AU"/>
        </w:rPr>
      </w:pPr>
      <w:r>
        <w:t>Roundtable presentations</w:t>
      </w:r>
      <w:r>
        <w:tab/>
      </w:r>
      <w:r>
        <w:fldChar w:fldCharType="begin"/>
      </w:r>
      <w:r>
        <w:instrText xml:space="preserve"> PAGEREF _Toc508797187 \h </w:instrText>
      </w:r>
      <w:r>
        <w:fldChar w:fldCharType="separate"/>
      </w:r>
      <w:r w:rsidR="00EE1C5F">
        <w:t>3</w:t>
      </w:r>
      <w:r>
        <w:fldChar w:fldCharType="end"/>
      </w:r>
    </w:p>
    <w:p w14:paraId="2FEFB0A4" w14:textId="77777777" w:rsidR="005F12C8" w:rsidRDefault="005F12C8">
      <w:pPr>
        <w:pStyle w:val="TOC2"/>
        <w:tabs>
          <w:tab w:val="left" w:pos="1100"/>
        </w:tabs>
        <w:rPr>
          <w:rFonts w:eastAsiaTheme="minorEastAsia"/>
          <w:lang w:eastAsia="en-AU"/>
        </w:rPr>
      </w:pPr>
      <w:r>
        <w:t>1.1</w:t>
      </w:r>
      <w:r>
        <w:rPr>
          <w:rFonts w:eastAsiaTheme="minorEastAsia"/>
          <w:lang w:eastAsia="en-AU"/>
        </w:rPr>
        <w:tab/>
      </w:r>
      <w:r>
        <w:t>Presentation by the Department of Agriculture and Water Resources</w:t>
      </w:r>
      <w:r>
        <w:tab/>
      </w:r>
      <w:r>
        <w:fldChar w:fldCharType="begin"/>
      </w:r>
      <w:r>
        <w:instrText xml:space="preserve"> PAGEREF _Toc508797188 \h </w:instrText>
      </w:r>
      <w:r>
        <w:fldChar w:fldCharType="separate"/>
      </w:r>
      <w:r w:rsidR="00EE1C5F">
        <w:t>3</w:t>
      </w:r>
      <w:r>
        <w:fldChar w:fldCharType="end"/>
      </w:r>
    </w:p>
    <w:p w14:paraId="19584B96" w14:textId="77777777" w:rsidR="005F12C8" w:rsidRDefault="005F12C8">
      <w:pPr>
        <w:pStyle w:val="TOC2"/>
        <w:tabs>
          <w:tab w:val="left" w:pos="1100"/>
        </w:tabs>
        <w:rPr>
          <w:rFonts w:eastAsiaTheme="minorEastAsia"/>
          <w:lang w:eastAsia="en-AU"/>
        </w:rPr>
      </w:pPr>
      <w:r>
        <w:t>1.2</w:t>
      </w:r>
      <w:r>
        <w:rPr>
          <w:rFonts w:eastAsiaTheme="minorEastAsia"/>
          <w:lang w:eastAsia="en-AU"/>
        </w:rPr>
        <w:tab/>
      </w:r>
      <w:r>
        <w:t>Presentations by industry</w:t>
      </w:r>
      <w:r>
        <w:tab/>
      </w:r>
      <w:r>
        <w:fldChar w:fldCharType="begin"/>
      </w:r>
      <w:r>
        <w:instrText xml:space="preserve"> PAGEREF _Toc508797189 \h </w:instrText>
      </w:r>
      <w:r>
        <w:fldChar w:fldCharType="separate"/>
      </w:r>
      <w:r w:rsidR="00EE1C5F">
        <w:t>3</w:t>
      </w:r>
      <w:r>
        <w:fldChar w:fldCharType="end"/>
      </w:r>
    </w:p>
    <w:p w14:paraId="6B588252" w14:textId="77777777" w:rsidR="005F12C8" w:rsidRDefault="005F12C8">
      <w:pPr>
        <w:pStyle w:val="TOC1"/>
        <w:rPr>
          <w:rFonts w:eastAsiaTheme="minorEastAsia"/>
          <w:b w:val="0"/>
          <w:lang w:eastAsia="en-AU"/>
        </w:rPr>
      </w:pPr>
      <w:r>
        <w:t>Facilitated discussion session</w:t>
      </w:r>
      <w:r>
        <w:tab/>
      </w:r>
      <w:r>
        <w:fldChar w:fldCharType="begin"/>
      </w:r>
      <w:r>
        <w:instrText xml:space="preserve"> PAGEREF _Toc508797190 \h </w:instrText>
      </w:r>
      <w:r>
        <w:fldChar w:fldCharType="separate"/>
      </w:r>
      <w:r w:rsidR="00EE1C5F">
        <w:t>5</w:t>
      </w:r>
      <w:r>
        <w:fldChar w:fldCharType="end"/>
      </w:r>
    </w:p>
    <w:p w14:paraId="3D8C72E8" w14:textId="77777777" w:rsidR="005F12C8" w:rsidRDefault="005F12C8">
      <w:pPr>
        <w:pStyle w:val="TOC1"/>
        <w:rPr>
          <w:rFonts w:eastAsiaTheme="minorEastAsia"/>
          <w:b w:val="0"/>
          <w:lang w:eastAsia="en-AU"/>
        </w:rPr>
      </w:pPr>
      <w:r>
        <w:t>Appendix A. List of attendees</w:t>
      </w:r>
      <w:r>
        <w:tab/>
      </w:r>
      <w:r>
        <w:fldChar w:fldCharType="begin"/>
      </w:r>
      <w:r>
        <w:instrText xml:space="preserve"> PAGEREF _Toc508797191 \h </w:instrText>
      </w:r>
      <w:r>
        <w:fldChar w:fldCharType="separate"/>
      </w:r>
      <w:r w:rsidR="00EE1C5F">
        <w:t>9</w:t>
      </w:r>
      <w:r>
        <w:fldChar w:fldCharType="end"/>
      </w:r>
    </w:p>
    <w:p w14:paraId="50211681" w14:textId="77777777" w:rsidR="005F12C8" w:rsidRDefault="005F12C8">
      <w:pPr>
        <w:pStyle w:val="TOC1"/>
        <w:rPr>
          <w:rFonts w:eastAsiaTheme="minorEastAsia"/>
          <w:b w:val="0"/>
          <w:lang w:eastAsia="en-AU"/>
        </w:rPr>
      </w:pPr>
      <w:r>
        <w:t>Appendix B. Questionnaire to inform the roundtable agenda</w:t>
      </w:r>
      <w:r>
        <w:tab/>
      </w:r>
      <w:r>
        <w:fldChar w:fldCharType="begin"/>
      </w:r>
      <w:r>
        <w:instrText xml:space="preserve"> PAGEREF _Toc508797192 \h </w:instrText>
      </w:r>
      <w:r>
        <w:fldChar w:fldCharType="separate"/>
      </w:r>
      <w:r w:rsidR="00EE1C5F">
        <w:t>11</w:t>
      </w:r>
      <w:r>
        <w:fldChar w:fldCharType="end"/>
      </w:r>
    </w:p>
    <w:p w14:paraId="2069461B" w14:textId="77777777" w:rsidR="005F12C8" w:rsidRDefault="005F12C8">
      <w:pPr>
        <w:pStyle w:val="TOC1"/>
        <w:rPr>
          <w:rFonts w:eastAsiaTheme="minorEastAsia"/>
          <w:b w:val="0"/>
          <w:lang w:eastAsia="en-AU"/>
        </w:rPr>
      </w:pPr>
      <w:r>
        <w:t>Appendix C. Final Agenda</w:t>
      </w:r>
      <w:r>
        <w:tab/>
      </w:r>
      <w:r>
        <w:fldChar w:fldCharType="begin"/>
      </w:r>
      <w:r>
        <w:instrText xml:space="preserve"> PAGEREF _Toc508797193 \h </w:instrText>
      </w:r>
      <w:r>
        <w:fldChar w:fldCharType="separate"/>
      </w:r>
      <w:r w:rsidR="00EE1C5F">
        <w:t>12</w:t>
      </w:r>
      <w:r>
        <w:fldChar w:fldCharType="end"/>
      </w:r>
    </w:p>
    <w:p w14:paraId="01B33B3A" w14:textId="77777777" w:rsidR="005F12C8" w:rsidRDefault="005F12C8">
      <w:pPr>
        <w:pStyle w:val="TOC1"/>
        <w:rPr>
          <w:rFonts w:eastAsiaTheme="minorEastAsia"/>
          <w:b w:val="0"/>
          <w:lang w:eastAsia="en-AU"/>
        </w:rPr>
      </w:pPr>
      <w:r>
        <w:t>Appendix D. Next steps</w:t>
      </w:r>
      <w:r>
        <w:tab/>
      </w:r>
      <w:r>
        <w:fldChar w:fldCharType="begin"/>
      </w:r>
      <w:r>
        <w:instrText xml:space="preserve"> PAGEREF _Toc508797194 \h </w:instrText>
      </w:r>
      <w:r>
        <w:fldChar w:fldCharType="separate"/>
      </w:r>
      <w:r w:rsidR="00EE1C5F">
        <w:t>13</w:t>
      </w:r>
      <w:r>
        <w:fldChar w:fldCharType="end"/>
      </w:r>
    </w:p>
    <w:p w14:paraId="53F3C323" w14:textId="77777777" w:rsidR="005F12C8" w:rsidRDefault="005F12C8">
      <w:pPr>
        <w:pStyle w:val="TOC1"/>
        <w:rPr>
          <w:rFonts w:eastAsiaTheme="minorEastAsia"/>
          <w:b w:val="0"/>
          <w:lang w:eastAsia="en-AU"/>
        </w:rPr>
      </w:pPr>
      <w:r>
        <w:t>Appendix E. Consultation activities</w:t>
      </w:r>
      <w:r>
        <w:tab/>
      </w:r>
      <w:r>
        <w:fldChar w:fldCharType="begin"/>
      </w:r>
      <w:r>
        <w:instrText xml:space="preserve"> PAGEREF _Toc508797195 \h </w:instrText>
      </w:r>
      <w:r>
        <w:fldChar w:fldCharType="separate"/>
      </w:r>
      <w:r w:rsidR="00EE1C5F">
        <w:t>14</w:t>
      </w:r>
      <w:r>
        <w:fldChar w:fldCharType="end"/>
      </w:r>
    </w:p>
    <w:p w14:paraId="41A8BA88" w14:textId="77777777" w:rsidR="00003AB6" w:rsidRDefault="004B6D4B" w:rsidP="003124CB">
      <w:pPr>
        <w:sectPr w:rsidR="00003AB6">
          <w:headerReference w:type="default" r:id="rId23"/>
          <w:pgSz w:w="11906" w:h="16838"/>
          <w:pgMar w:top="1418" w:right="1418" w:bottom="1418" w:left="1418" w:header="567" w:footer="283" w:gutter="0"/>
          <w:pgNumType w:fmt="lowerRoman"/>
          <w:cols w:space="708"/>
          <w:docGrid w:linePitch="360"/>
        </w:sectPr>
      </w:pPr>
      <w:r>
        <w:rPr>
          <w:rFonts w:asciiTheme="minorHAnsi" w:hAnsiTheme="minorHAnsi"/>
          <w:bCs/>
          <w:noProof/>
          <w:szCs w:val="24"/>
        </w:rPr>
        <w:fldChar w:fldCharType="end"/>
      </w:r>
      <w:r w:rsidR="00DA6878">
        <w:t xml:space="preserve"> </w:t>
      </w:r>
    </w:p>
    <w:p w14:paraId="0108CE4C" w14:textId="5C45EC42" w:rsidR="005F77E5" w:rsidRDefault="00F90962" w:rsidP="001017BA">
      <w:pPr>
        <w:pStyle w:val="Heading2"/>
      </w:pPr>
      <w:bookmarkStart w:id="1" w:name="_Toc508797184"/>
      <w:r>
        <w:lastRenderedPageBreak/>
        <w:t>Acronyms and abbreviations</w:t>
      </w:r>
      <w:bookmarkEnd w:id="1"/>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5F77E5" w:rsidRPr="00912FCE" w14:paraId="08CBE423" w14:textId="77777777">
        <w:trPr>
          <w:trHeight w:val="414"/>
          <w:tblHeader/>
        </w:trPr>
        <w:tc>
          <w:tcPr>
            <w:tcW w:w="1335" w:type="pct"/>
          </w:tcPr>
          <w:p w14:paraId="49DEF9BF" w14:textId="77777777" w:rsidR="005F77E5" w:rsidRPr="00FE15AC" w:rsidRDefault="00F90962" w:rsidP="0018206C">
            <w:pPr>
              <w:pStyle w:val="TableHeading"/>
            </w:pPr>
            <w:r w:rsidRPr="00FE15AC">
              <w:t>Term or abbreviation</w:t>
            </w:r>
          </w:p>
        </w:tc>
        <w:tc>
          <w:tcPr>
            <w:tcW w:w="3665" w:type="pct"/>
          </w:tcPr>
          <w:p w14:paraId="0A2000D0" w14:textId="77777777" w:rsidR="005F77E5" w:rsidRPr="00FE15AC" w:rsidRDefault="00F90962" w:rsidP="0018206C">
            <w:pPr>
              <w:pStyle w:val="TableHeading"/>
            </w:pPr>
            <w:r w:rsidRPr="00FE15AC">
              <w:t>Definition</w:t>
            </w:r>
          </w:p>
        </w:tc>
      </w:tr>
      <w:tr w:rsidR="005F77E5" w:rsidRPr="00912FCE" w14:paraId="75EBB495" w14:textId="77777777">
        <w:trPr>
          <w:trHeight w:val="414"/>
        </w:trPr>
        <w:tc>
          <w:tcPr>
            <w:tcW w:w="1335" w:type="pct"/>
          </w:tcPr>
          <w:p w14:paraId="10FBCB84" w14:textId="77777777" w:rsidR="005F77E5" w:rsidRPr="00FE15AC" w:rsidRDefault="00F90962" w:rsidP="0018206C">
            <w:pPr>
              <w:pStyle w:val="TableText"/>
            </w:pPr>
            <w:r w:rsidRPr="00FE15AC">
              <w:t>ALOP</w:t>
            </w:r>
          </w:p>
        </w:tc>
        <w:tc>
          <w:tcPr>
            <w:tcW w:w="3665" w:type="pct"/>
          </w:tcPr>
          <w:p w14:paraId="26BB2E4B" w14:textId="77777777" w:rsidR="005F77E5" w:rsidRPr="00FE15AC" w:rsidRDefault="00F90962" w:rsidP="0018206C">
            <w:pPr>
              <w:pStyle w:val="TableText"/>
            </w:pPr>
            <w:r w:rsidRPr="00FE15AC">
              <w:t>Appropriate level of protection</w:t>
            </w:r>
          </w:p>
        </w:tc>
      </w:tr>
      <w:tr w:rsidR="005F77E5" w:rsidRPr="00912FCE" w14:paraId="36ABDAAC" w14:textId="77777777">
        <w:trPr>
          <w:trHeight w:val="414"/>
        </w:trPr>
        <w:tc>
          <w:tcPr>
            <w:tcW w:w="1335" w:type="pct"/>
          </w:tcPr>
          <w:p w14:paraId="6E7BA0F3" w14:textId="77777777" w:rsidR="005F77E5" w:rsidRPr="00FE15AC" w:rsidRDefault="00F90962" w:rsidP="0018206C">
            <w:pPr>
              <w:pStyle w:val="TableText"/>
            </w:pPr>
            <w:r w:rsidRPr="00FE15AC">
              <w:t>BA</w:t>
            </w:r>
          </w:p>
        </w:tc>
        <w:tc>
          <w:tcPr>
            <w:tcW w:w="3665" w:type="pct"/>
          </w:tcPr>
          <w:p w14:paraId="17DA8EFA" w14:textId="77777777" w:rsidR="005F77E5" w:rsidRPr="00FE15AC" w:rsidRDefault="00F90962" w:rsidP="0018206C">
            <w:pPr>
              <w:pStyle w:val="TableText"/>
            </w:pPr>
            <w:r w:rsidRPr="00FE15AC">
              <w:t>Biosecurity Advice</w:t>
            </w:r>
          </w:p>
        </w:tc>
      </w:tr>
      <w:tr w:rsidR="005F77E5" w:rsidRPr="00912FCE" w14:paraId="2D55A489" w14:textId="77777777">
        <w:trPr>
          <w:trHeight w:val="414"/>
        </w:trPr>
        <w:tc>
          <w:tcPr>
            <w:tcW w:w="1335" w:type="pct"/>
          </w:tcPr>
          <w:p w14:paraId="79F0C7C1" w14:textId="77777777" w:rsidR="005F77E5" w:rsidRPr="00FE15AC" w:rsidRDefault="000519CD" w:rsidP="0018206C">
            <w:pPr>
              <w:pStyle w:val="TableText"/>
            </w:pPr>
            <w:r w:rsidRPr="00FE15AC">
              <w:t>BIRA</w:t>
            </w:r>
          </w:p>
        </w:tc>
        <w:tc>
          <w:tcPr>
            <w:tcW w:w="3665" w:type="pct"/>
          </w:tcPr>
          <w:p w14:paraId="252C3E10" w14:textId="77777777" w:rsidR="005F77E5" w:rsidRPr="00FE15AC" w:rsidRDefault="00DD0D91" w:rsidP="00DD0D91">
            <w:pPr>
              <w:pStyle w:val="TableText"/>
            </w:pPr>
            <w:r>
              <w:t>Biosecurity i</w:t>
            </w:r>
            <w:r w:rsidR="000519CD" w:rsidRPr="00FE15AC">
              <w:t xml:space="preserve">mport </w:t>
            </w:r>
            <w:r>
              <w:t>r</w:t>
            </w:r>
            <w:r w:rsidR="000519CD" w:rsidRPr="00FE15AC">
              <w:t xml:space="preserve">isk </w:t>
            </w:r>
            <w:r>
              <w:t>a</w:t>
            </w:r>
            <w:r w:rsidR="000519CD" w:rsidRPr="00FE15AC">
              <w:t>nalysis</w:t>
            </w:r>
          </w:p>
        </w:tc>
      </w:tr>
      <w:tr w:rsidR="004915DD" w:rsidRPr="00912FCE" w14:paraId="4627163D" w14:textId="77777777">
        <w:trPr>
          <w:trHeight w:val="414"/>
        </w:trPr>
        <w:tc>
          <w:tcPr>
            <w:tcW w:w="1335" w:type="pct"/>
          </w:tcPr>
          <w:p w14:paraId="4995E280" w14:textId="77777777" w:rsidR="004915DD" w:rsidRPr="00FE15AC" w:rsidRDefault="004915DD" w:rsidP="0018206C">
            <w:pPr>
              <w:pStyle w:val="TableText"/>
            </w:pPr>
            <w:r w:rsidRPr="00FE15AC">
              <w:t>DAWR</w:t>
            </w:r>
          </w:p>
        </w:tc>
        <w:tc>
          <w:tcPr>
            <w:tcW w:w="3665" w:type="pct"/>
          </w:tcPr>
          <w:p w14:paraId="161F3453" w14:textId="77777777" w:rsidR="004915DD" w:rsidRPr="00FE15AC" w:rsidRDefault="004915DD" w:rsidP="0018206C">
            <w:pPr>
              <w:pStyle w:val="TableText"/>
            </w:pPr>
            <w:r w:rsidRPr="00FE15AC">
              <w:t>Department of Agriculture and Water Resources</w:t>
            </w:r>
          </w:p>
        </w:tc>
      </w:tr>
      <w:tr w:rsidR="005F77E5" w:rsidRPr="00912FCE" w14:paraId="0BBA414A" w14:textId="77777777">
        <w:trPr>
          <w:trHeight w:val="414"/>
        </w:trPr>
        <w:tc>
          <w:tcPr>
            <w:tcW w:w="1335" w:type="pct"/>
          </w:tcPr>
          <w:p w14:paraId="648D03F1" w14:textId="77777777" w:rsidR="005F77E5" w:rsidRPr="00FE15AC" w:rsidRDefault="00F90962" w:rsidP="0018206C">
            <w:pPr>
              <w:pStyle w:val="TableText"/>
            </w:pPr>
            <w:r w:rsidRPr="00FE15AC">
              <w:t>IRA</w:t>
            </w:r>
          </w:p>
        </w:tc>
        <w:tc>
          <w:tcPr>
            <w:tcW w:w="3665" w:type="pct"/>
          </w:tcPr>
          <w:p w14:paraId="10DD0FF7" w14:textId="77777777" w:rsidR="005F77E5" w:rsidRPr="00FE15AC" w:rsidRDefault="00F90962" w:rsidP="0018206C">
            <w:pPr>
              <w:pStyle w:val="TableText"/>
            </w:pPr>
            <w:r w:rsidRPr="00FE15AC">
              <w:t>Import risk analysis</w:t>
            </w:r>
          </w:p>
        </w:tc>
      </w:tr>
      <w:tr w:rsidR="005F77E5" w:rsidRPr="00912FCE" w14:paraId="3F48F516" w14:textId="77777777">
        <w:trPr>
          <w:trHeight w:val="414"/>
        </w:trPr>
        <w:tc>
          <w:tcPr>
            <w:tcW w:w="1335" w:type="pct"/>
          </w:tcPr>
          <w:p w14:paraId="03675D19" w14:textId="77777777" w:rsidR="005F77E5" w:rsidRPr="00FE15AC" w:rsidRDefault="00F90962" w:rsidP="0018206C">
            <w:pPr>
              <w:pStyle w:val="TableText"/>
            </w:pPr>
            <w:r w:rsidRPr="00FE15AC">
              <w:t>NSW</w:t>
            </w:r>
          </w:p>
        </w:tc>
        <w:tc>
          <w:tcPr>
            <w:tcW w:w="3665" w:type="pct"/>
          </w:tcPr>
          <w:p w14:paraId="2F6B37D0" w14:textId="77777777" w:rsidR="005F77E5" w:rsidRPr="00FE15AC" w:rsidRDefault="00F90962" w:rsidP="0018206C">
            <w:pPr>
              <w:pStyle w:val="TableText"/>
            </w:pPr>
            <w:r w:rsidRPr="00FE15AC">
              <w:t>New South Wales</w:t>
            </w:r>
          </w:p>
        </w:tc>
      </w:tr>
      <w:tr w:rsidR="005F77E5" w:rsidRPr="00912FCE" w14:paraId="51CC6725" w14:textId="77777777">
        <w:trPr>
          <w:trHeight w:val="414"/>
        </w:trPr>
        <w:tc>
          <w:tcPr>
            <w:tcW w:w="1335" w:type="pct"/>
          </w:tcPr>
          <w:p w14:paraId="6CEF349E" w14:textId="77777777" w:rsidR="005F77E5" w:rsidRPr="00FE15AC" w:rsidRDefault="00F90962" w:rsidP="0018206C">
            <w:pPr>
              <w:pStyle w:val="TableText"/>
            </w:pPr>
            <w:r w:rsidRPr="00FE15AC">
              <w:t>NT</w:t>
            </w:r>
          </w:p>
        </w:tc>
        <w:tc>
          <w:tcPr>
            <w:tcW w:w="3665" w:type="pct"/>
          </w:tcPr>
          <w:p w14:paraId="2FC27342" w14:textId="77777777" w:rsidR="005F77E5" w:rsidRPr="00FE15AC" w:rsidRDefault="00F90962" w:rsidP="0018206C">
            <w:pPr>
              <w:pStyle w:val="TableText"/>
            </w:pPr>
            <w:r w:rsidRPr="00FE15AC">
              <w:t>Northern Territory</w:t>
            </w:r>
          </w:p>
        </w:tc>
      </w:tr>
      <w:tr w:rsidR="005F77E5" w:rsidRPr="00912FCE" w14:paraId="61260B63" w14:textId="77777777">
        <w:trPr>
          <w:trHeight w:val="414"/>
        </w:trPr>
        <w:tc>
          <w:tcPr>
            <w:tcW w:w="1335" w:type="pct"/>
          </w:tcPr>
          <w:p w14:paraId="299DCAD0" w14:textId="77777777" w:rsidR="005F77E5" w:rsidRPr="00FE15AC" w:rsidRDefault="009C7B3B" w:rsidP="0018206C">
            <w:pPr>
              <w:pStyle w:val="TableText"/>
            </w:pPr>
            <w:r w:rsidRPr="00FE15AC">
              <w:t>OIE</w:t>
            </w:r>
          </w:p>
        </w:tc>
        <w:tc>
          <w:tcPr>
            <w:tcW w:w="3665" w:type="pct"/>
          </w:tcPr>
          <w:p w14:paraId="257A5545" w14:textId="77777777" w:rsidR="005F77E5" w:rsidRPr="00FE15AC" w:rsidRDefault="009C7B3B" w:rsidP="0018206C">
            <w:pPr>
              <w:pStyle w:val="TableText"/>
            </w:pPr>
            <w:r w:rsidRPr="00FE15AC">
              <w:t>World Organisation for Animal Health</w:t>
            </w:r>
          </w:p>
        </w:tc>
      </w:tr>
      <w:tr w:rsidR="005F77E5" w:rsidRPr="00912FCE" w14:paraId="7D31937D" w14:textId="77777777">
        <w:trPr>
          <w:trHeight w:val="414"/>
        </w:trPr>
        <w:tc>
          <w:tcPr>
            <w:tcW w:w="1335" w:type="pct"/>
          </w:tcPr>
          <w:p w14:paraId="0B8FAE35" w14:textId="77777777" w:rsidR="005F77E5" w:rsidRPr="00FE15AC" w:rsidRDefault="00F90962" w:rsidP="0018206C">
            <w:pPr>
              <w:pStyle w:val="TableText"/>
            </w:pPr>
            <w:r w:rsidRPr="00FE15AC">
              <w:t>Qld</w:t>
            </w:r>
            <w:r w:rsidR="00CF40F7">
              <w:rPr>
                <w:rFonts w:asciiTheme="minorHAnsi" w:hAnsiTheme="minorHAnsi"/>
                <w:sz w:val="22"/>
              </w:rPr>
              <w:t>.</w:t>
            </w:r>
          </w:p>
        </w:tc>
        <w:tc>
          <w:tcPr>
            <w:tcW w:w="3665" w:type="pct"/>
          </w:tcPr>
          <w:p w14:paraId="221AE78B" w14:textId="77777777" w:rsidR="005F77E5" w:rsidRPr="00FE15AC" w:rsidRDefault="00F90962" w:rsidP="0018206C">
            <w:pPr>
              <w:pStyle w:val="TableText"/>
            </w:pPr>
            <w:r w:rsidRPr="00FE15AC">
              <w:t>Queensland</w:t>
            </w:r>
          </w:p>
        </w:tc>
      </w:tr>
      <w:tr w:rsidR="005F77E5" w:rsidRPr="00912FCE" w14:paraId="7091FA89" w14:textId="77777777">
        <w:trPr>
          <w:trHeight w:val="414"/>
        </w:trPr>
        <w:tc>
          <w:tcPr>
            <w:tcW w:w="1335" w:type="pct"/>
          </w:tcPr>
          <w:p w14:paraId="71F41400" w14:textId="77777777" w:rsidR="005F77E5" w:rsidRPr="00FE15AC" w:rsidRDefault="00F90962" w:rsidP="0018206C">
            <w:pPr>
              <w:pStyle w:val="TableText"/>
            </w:pPr>
            <w:r w:rsidRPr="00FE15AC">
              <w:t>SA</w:t>
            </w:r>
          </w:p>
        </w:tc>
        <w:tc>
          <w:tcPr>
            <w:tcW w:w="3665" w:type="pct"/>
          </w:tcPr>
          <w:p w14:paraId="3BB02BED" w14:textId="77777777" w:rsidR="005F77E5" w:rsidRPr="00FE15AC" w:rsidRDefault="00F90962" w:rsidP="0018206C">
            <w:pPr>
              <w:pStyle w:val="TableText"/>
            </w:pPr>
            <w:r w:rsidRPr="00FE15AC">
              <w:t>South Australia</w:t>
            </w:r>
          </w:p>
        </w:tc>
      </w:tr>
      <w:tr w:rsidR="005F77E5" w:rsidRPr="00912FCE" w14:paraId="66EE658A" w14:textId="77777777">
        <w:trPr>
          <w:trHeight w:val="414"/>
        </w:trPr>
        <w:tc>
          <w:tcPr>
            <w:tcW w:w="1335" w:type="pct"/>
          </w:tcPr>
          <w:p w14:paraId="2B455900" w14:textId="77777777" w:rsidR="005F77E5" w:rsidRPr="00FE15AC" w:rsidRDefault="00F90962" w:rsidP="0018206C">
            <w:pPr>
              <w:pStyle w:val="TableText"/>
            </w:pPr>
            <w:r w:rsidRPr="00FE15AC">
              <w:t>SPS</w:t>
            </w:r>
            <w:r w:rsidR="009C7B3B" w:rsidRPr="00FE15AC">
              <w:t xml:space="preserve"> Agreement</w:t>
            </w:r>
          </w:p>
        </w:tc>
        <w:tc>
          <w:tcPr>
            <w:tcW w:w="3665" w:type="pct"/>
          </w:tcPr>
          <w:p w14:paraId="1E7418F6" w14:textId="77777777" w:rsidR="005F77E5" w:rsidRPr="00FE15AC" w:rsidRDefault="00804C32" w:rsidP="00804C32">
            <w:pPr>
              <w:pStyle w:val="TableText"/>
            </w:pPr>
            <w:r>
              <w:t>WTO Agreement on the a</w:t>
            </w:r>
            <w:r w:rsidR="009C7B3B" w:rsidRPr="00FE15AC">
              <w:t xml:space="preserve">pplication of </w:t>
            </w:r>
            <w:r>
              <w:t>s</w:t>
            </w:r>
            <w:r w:rsidR="00F90962" w:rsidRPr="00FE15AC">
              <w:t xml:space="preserve">anitary and </w:t>
            </w:r>
            <w:r>
              <w:t>p</w:t>
            </w:r>
            <w:r w:rsidR="00F90962" w:rsidRPr="00FE15AC">
              <w:t>hytosanitary</w:t>
            </w:r>
            <w:r w:rsidR="009C7B3B" w:rsidRPr="00FE15AC">
              <w:t xml:space="preserve"> </w:t>
            </w:r>
            <w:r>
              <w:t>m</w:t>
            </w:r>
            <w:r w:rsidR="009C7B3B" w:rsidRPr="00FE15AC">
              <w:t>easures</w:t>
            </w:r>
          </w:p>
        </w:tc>
      </w:tr>
      <w:tr w:rsidR="005F77E5" w:rsidRPr="00912FCE" w14:paraId="1AF1657B" w14:textId="77777777">
        <w:trPr>
          <w:trHeight w:val="414"/>
        </w:trPr>
        <w:tc>
          <w:tcPr>
            <w:tcW w:w="1335" w:type="pct"/>
          </w:tcPr>
          <w:p w14:paraId="62BA469B" w14:textId="77777777" w:rsidR="005F77E5" w:rsidRPr="00FE15AC" w:rsidRDefault="00F90962" w:rsidP="0018206C">
            <w:pPr>
              <w:pStyle w:val="TableText"/>
            </w:pPr>
            <w:r w:rsidRPr="00FE15AC">
              <w:t>Tas.</w:t>
            </w:r>
          </w:p>
        </w:tc>
        <w:tc>
          <w:tcPr>
            <w:tcW w:w="3665" w:type="pct"/>
          </w:tcPr>
          <w:p w14:paraId="1F33A298" w14:textId="77777777" w:rsidR="005F77E5" w:rsidRPr="00FE15AC" w:rsidRDefault="00F90962" w:rsidP="0018206C">
            <w:pPr>
              <w:pStyle w:val="TableText"/>
            </w:pPr>
            <w:r w:rsidRPr="00FE15AC">
              <w:t>Tasmania</w:t>
            </w:r>
          </w:p>
        </w:tc>
      </w:tr>
      <w:tr w:rsidR="005F77E5" w:rsidRPr="00912FCE" w14:paraId="708B207E" w14:textId="77777777">
        <w:trPr>
          <w:trHeight w:val="414"/>
        </w:trPr>
        <w:tc>
          <w:tcPr>
            <w:tcW w:w="1335" w:type="pct"/>
          </w:tcPr>
          <w:p w14:paraId="39CEE55E" w14:textId="77777777" w:rsidR="005F77E5" w:rsidRPr="00FE15AC" w:rsidRDefault="00F90962" w:rsidP="0018206C">
            <w:pPr>
              <w:pStyle w:val="TableText"/>
            </w:pPr>
            <w:r w:rsidRPr="00FE15AC">
              <w:t>Vic.</w:t>
            </w:r>
          </w:p>
        </w:tc>
        <w:tc>
          <w:tcPr>
            <w:tcW w:w="3665" w:type="pct"/>
          </w:tcPr>
          <w:p w14:paraId="51421E24" w14:textId="77777777" w:rsidR="005F77E5" w:rsidRPr="00FE15AC" w:rsidRDefault="00F90962" w:rsidP="0018206C">
            <w:pPr>
              <w:pStyle w:val="TableText"/>
            </w:pPr>
            <w:r w:rsidRPr="00FE15AC">
              <w:t>Victoria</w:t>
            </w:r>
          </w:p>
        </w:tc>
      </w:tr>
      <w:tr w:rsidR="005F77E5" w:rsidRPr="00912FCE" w14:paraId="6CD9F018" w14:textId="77777777">
        <w:trPr>
          <w:trHeight w:val="414"/>
        </w:trPr>
        <w:tc>
          <w:tcPr>
            <w:tcW w:w="1335" w:type="pct"/>
          </w:tcPr>
          <w:p w14:paraId="246A84AD" w14:textId="77777777" w:rsidR="005F77E5" w:rsidRPr="00FE15AC" w:rsidRDefault="00F90962" w:rsidP="0018206C">
            <w:pPr>
              <w:pStyle w:val="TableText"/>
            </w:pPr>
            <w:r w:rsidRPr="00FE15AC">
              <w:t>W</w:t>
            </w:r>
            <w:r w:rsidR="00D85501" w:rsidRPr="00FE15AC">
              <w:t>SD</w:t>
            </w:r>
          </w:p>
        </w:tc>
        <w:tc>
          <w:tcPr>
            <w:tcW w:w="3665" w:type="pct"/>
          </w:tcPr>
          <w:p w14:paraId="2570A0EA" w14:textId="77777777" w:rsidR="005F77E5" w:rsidRPr="00FE15AC" w:rsidRDefault="00DD0D91" w:rsidP="0018206C">
            <w:pPr>
              <w:pStyle w:val="TableText"/>
            </w:pPr>
            <w:r>
              <w:t>White spot d</w:t>
            </w:r>
            <w:r w:rsidR="00D85501" w:rsidRPr="00FE15AC">
              <w:t>isease</w:t>
            </w:r>
          </w:p>
        </w:tc>
      </w:tr>
      <w:tr w:rsidR="005F77E5" w:rsidRPr="00912FCE" w14:paraId="525B0165" w14:textId="77777777">
        <w:trPr>
          <w:trHeight w:val="414"/>
        </w:trPr>
        <w:tc>
          <w:tcPr>
            <w:tcW w:w="1335" w:type="pct"/>
          </w:tcPr>
          <w:p w14:paraId="7FDCC6AB" w14:textId="77777777" w:rsidR="005F77E5" w:rsidRPr="00FE15AC" w:rsidRDefault="00F90962" w:rsidP="0018206C">
            <w:pPr>
              <w:pStyle w:val="TableText"/>
            </w:pPr>
            <w:r w:rsidRPr="00FE15AC">
              <w:t>WTO</w:t>
            </w:r>
          </w:p>
        </w:tc>
        <w:tc>
          <w:tcPr>
            <w:tcW w:w="3665" w:type="pct"/>
          </w:tcPr>
          <w:p w14:paraId="53BE9B5C" w14:textId="77777777" w:rsidR="005F77E5" w:rsidRPr="00FE15AC" w:rsidRDefault="00F90962" w:rsidP="0018206C">
            <w:pPr>
              <w:pStyle w:val="TableText"/>
            </w:pPr>
            <w:r w:rsidRPr="00FE15AC">
              <w:t>World Trade Organization</w:t>
            </w:r>
          </w:p>
        </w:tc>
      </w:tr>
    </w:tbl>
    <w:p w14:paraId="08516BE4" w14:textId="77777777" w:rsidR="005F77E5" w:rsidRPr="00FE15AC" w:rsidRDefault="005F77E5"/>
    <w:p w14:paraId="36A4C865" w14:textId="77777777" w:rsidR="005F77E5" w:rsidRDefault="005F77E5">
      <w:pPr>
        <w:sectPr w:rsidR="005F77E5">
          <w:headerReference w:type="default" r:id="rId24"/>
          <w:pgSz w:w="11906" w:h="16838"/>
          <w:pgMar w:top="1418" w:right="1418" w:bottom="1418" w:left="1418" w:header="567" w:footer="283" w:gutter="0"/>
          <w:pgNumType w:fmt="lowerRoman"/>
          <w:cols w:space="708"/>
          <w:docGrid w:linePitch="360"/>
        </w:sectPr>
      </w:pPr>
    </w:p>
    <w:p w14:paraId="6AA897DE" w14:textId="77777777" w:rsidR="005F77E5" w:rsidRDefault="00F90962" w:rsidP="00707829">
      <w:pPr>
        <w:pStyle w:val="Heading2"/>
      </w:pPr>
      <w:bookmarkStart w:id="2" w:name="_Toc508797185"/>
      <w:r>
        <w:lastRenderedPageBreak/>
        <w:t>Summary</w:t>
      </w:r>
      <w:bookmarkEnd w:id="2"/>
    </w:p>
    <w:p w14:paraId="32B23C22" w14:textId="3700FEB7" w:rsidR="003914EA" w:rsidRPr="007C5BDA" w:rsidRDefault="003914EA" w:rsidP="003914EA">
      <w:r w:rsidRPr="007C5BDA">
        <w:t xml:space="preserve">Animal Biosecurity hosted a </w:t>
      </w:r>
      <w:r w:rsidR="007618C1" w:rsidRPr="007C5BDA">
        <w:t>roundtable</w:t>
      </w:r>
      <w:r w:rsidRPr="007C5BDA">
        <w:t xml:space="preserve"> discussion </w:t>
      </w:r>
      <w:r w:rsidR="00890C3C">
        <w:t xml:space="preserve">in Canberra </w:t>
      </w:r>
      <w:r w:rsidR="005F08A3">
        <w:t xml:space="preserve">with stakeholders (domestic, </w:t>
      </w:r>
      <w:r w:rsidRPr="007C5BDA">
        <w:t xml:space="preserve">industry, </w:t>
      </w:r>
      <w:r w:rsidR="001E5A01" w:rsidRPr="007C5BDA">
        <w:t>S</w:t>
      </w:r>
      <w:r w:rsidRPr="007C5BDA">
        <w:t xml:space="preserve">tate and </w:t>
      </w:r>
      <w:r w:rsidR="001E5A01" w:rsidRPr="007C5BDA">
        <w:t>T</w:t>
      </w:r>
      <w:r w:rsidRPr="007C5BDA">
        <w:t>erritory government representatives and representatives from Australia’s major prawn trading partners</w:t>
      </w:r>
      <w:r w:rsidR="00223DB4" w:rsidRPr="007C5BDA">
        <w:t>,</w:t>
      </w:r>
      <w:r w:rsidR="005D15DA">
        <w:t xml:space="preserve"> refer</w:t>
      </w:r>
      <w:r w:rsidR="00223DB4" w:rsidRPr="007C5BDA">
        <w:t xml:space="preserve"> </w:t>
      </w:r>
      <w:r w:rsidR="004447FC">
        <w:fldChar w:fldCharType="begin"/>
      </w:r>
      <w:r w:rsidR="004447FC">
        <w:instrText xml:space="preserve"> REF _Ref508793907 \h </w:instrText>
      </w:r>
      <w:r w:rsidR="004447FC">
        <w:fldChar w:fldCharType="separate"/>
      </w:r>
      <w:r w:rsidR="00EE1C5F">
        <w:t>Appendix A. List of a</w:t>
      </w:r>
      <w:r w:rsidR="00EE1C5F" w:rsidRPr="00D75646">
        <w:t>ttendees</w:t>
      </w:r>
      <w:r w:rsidR="004447FC">
        <w:fldChar w:fldCharType="end"/>
      </w:r>
      <w:r w:rsidRPr="007C5BDA">
        <w:t>) on 8</w:t>
      </w:r>
      <w:r w:rsidR="006946E9">
        <w:t> </w:t>
      </w:r>
      <w:r w:rsidRPr="007C5BDA">
        <w:t>February</w:t>
      </w:r>
      <w:r w:rsidR="006946E9">
        <w:t> </w:t>
      </w:r>
      <w:r w:rsidRPr="007C5BDA">
        <w:t xml:space="preserve">2018 about the </w:t>
      </w:r>
      <w:r w:rsidRPr="007C5BDA">
        <w:rPr>
          <w:i/>
        </w:rPr>
        <w:t>Review of the biosecurity risks of, and import conditions for, prawns and prawn products imported for human consumption</w:t>
      </w:r>
      <w:r w:rsidRPr="007C5BDA">
        <w:t xml:space="preserve"> (the review).</w:t>
      </w:r>
    </w:p>
    <w:p w14:paraId="7AB9BFFC" w14:textId="77777777" w:rsidR="003914EA" w:rsidRPr="007C5BDA" w:rsidRDefault="003914EA" w:rsidP="00F80E57">
      <w:r w:rsidRPr="007C5BDA">
        <w:t xml:space="preserve">The purpose of the </w:t>
      </w:r>
      <w:r w:rsidR="007618C1" w:rsidRPr="007C5BDA">
        <w:t>roundtable</w:t>
      </w:r>
      <w:r w:rsidRPr="007C5BDA">
        <w:t xml:space="preserve"> was to provide stakeholders with an opportunity to discuss the risk analysis and future direction of the review, ask questions, hear differing views and voice any concerns they may have about the review process.</w:t>
      </w:r>
    </w:p>
    <w:p w14:paraId="43072C5E" w14:textId="2754C598" w:rsidR="003914EA" w:rsidRPr="007C5BDA" w:rsidRDefault="003914EA" w:rsidP="003914EA">
      <w:r w:rsidRPr="007C5BDA">
        <w:t xml:space="preserve">The format of the </w:t>
      </w:r>
      <w:r w:rsidR="007618C1" w:rsidRPr="007C5BDA">
        <w:t>roundtable</w:t>
      </w:r>
      <w:r w:rsidRPr="007C5BDA">
        <w:t xml:space="preserve"> included </w:t>
      </w:r>
      <w:r w:rsidR="00356E2D">
        <w:t xml:space="preserve">a </w:t>
      </w:r>
      <w:r w:rsidR="00356E2D" w:rsidRPr="007C5BDA">
        <w:t>departmental presentation</w:t>
      </w:r>
      <w:r w:rsidR="00356E2D">
        <w:t>,</w:t>
      </w:r>
      <w:r w:rsidR="00356E2D" w:rsidRPr="007C5BDA">
        <w:t xml:space="preserve"> </w:t>
      </w:r>
      <w:r w:rsidRPr="007C5BDA">
        <w:t>industry presentations by the Australian Council of Prawn Fisheries, Australian Prawn Farmers Association</w:t>
      </w:r>
      <w:r w:rsidR="00356E2D">
        <w:t xml:space="preserve"> and the</w:t>
      </w:r>
      <w:r w:rsidRPr="007C5BDA">
        <w:t xml:space="preserve"> Seafood Importers Association of Australasia, followed by a </w:t>
      </w:r>
      <w:r w:rsidR="007618C1" w:rsidRPr="007C5BDA">
        <w:t>roundtable</w:t>
      </w:r>
      <w:r w:rsidRPr="007C5BDA">
        <w:t xml:space="preserve"> discussion that covered key areas of interest as raised by attendees through a pre-</w:t>
      </w:r>
      <w:r w:rsidR="007618C1" w:rsidRPr="007C5BDA">
        <w:t>roundtable</w:t>
      </w:r>
      <w:r w:rsidRPr="007C5BDA">
        <w:t xml:space="preserve"> questionnaire</w:t>
      </w:r>
      <w:r w:rsidR="005A0168" w:rsidRPr="007C5BDA">
        <w:t xml:space="preserve"> (</w:t>
      </w:r>
      <w:r w:rsidR="006946E9">
        <w:t xml:space="preserve">refer </w:t>
      </w:r>
      <w:r w:rsidR="004447FC">
        <w:fldChar w:fldCharType="begin"/>
      </w:r>
      <w:r w:rsidR="004447FC">
        <w:instrText xml:space="preserve"> REF _Ref508793961 \h </w:instrText>
      </w:r>
      <w:r w:rsidR="004447FC">
        <w:fldChar w:fldCharType="separate"/>
      </w:r>
      <w:r w:rsidR="00EE1C5F" w:rsidRPr="00D54120">
        <w:t xml:space="preserve">Appendix </w:t>
      </w:r>
      <w:r w:rsidR="00EE1C5F">
        <w:t>B</w:t>
      </w:r>
      <w:r w:rsidR="00EE1C5F" w:rsidRPr="00D54120">
        <w:t xml:space="preserve">. </w:t>
      </w:r>
      <w:r w:rsidR="00EE1C5F" w:rsidRPr="0097593B">
        <w:t>Questionnaire to inform the roundtable agenda</w:t>
      </w:r>
      <w:r w:rsidR="004447FC">
        <w:fldChar w:fldCharType="end"/>
      </w:r>
      <w:r w:rsidR="005A0168" w:rsidRPr="007C5BDA">
        <w:t>)</w:t>
      </w:r>
      <w:r w:rsidRPr="007C5BDA">
        <w:t>.</w:t>
      </w:r>
      <w:r w:rsidR="00CD6069">
        <w:t xml:space="preserve"> Seafood Industry Australia, </w:t>
      </w:r>
      <w:r w:rsidR="00CD6069" w:rsidRPr="00F74786">
        <w:t>a newly formed</w:t>
      </w:r>
      <w:r w:rsidR="00ED6531">
        <w:t xml:space="preserve"> </w:t>
      </w:r>
      <w:r w:rsidR="005755D8" w:rsidRPr="005755D8">
        <w:t>national peak body which represents the Australian seafood industry as a whole</w:t>
      </w:r>
      <w:r w:rsidR="005755D8">
        <w:t xml:space="preserve">, </w:t>
      </w:r>
      <w:r w:rsidR="00CD6069">
        <w:t xml:space="preserve">also </w:t>
      </w:r>
      <w:r w:rsidR="0038354F">
        <w:t>outlin</w:t>
      </w:r>
      <w:r w:rsidR="00CD6069">
        <w:t>ed their views on the review and future engagement with the department.</w:t>
      </w:r>
      <w:r w:rsidRPr="007C5BDA">
        <w:t xml:space="preserve"> Issues other than the review raised by stakeholders </w:t>
      </w:r>
      <w:r w:rsidR="00890C3C">
        <w:t>in</w:t>
      </w:r>
      <w:r w:rsidRPr="007C5BDA">
        <w:t xml:space="preserve"> </w:t>
      </w:r>
      <w:r w:rsidR="00356E2D">
        <w:t xml:space="preserve">the </w:t>
      </w:r>
      <w:r w:rsidRPr="007C5BDA">
        <w:t>question</w:t>
      </w:r>
      <w:r w:rsidR="006946E9">
        <w:t>naire</w:t>
      </w:r>
      <w:r w:rsidRPr="007C5BDA">
        <w:t>, will be followed-up</w:t>
      </w:r>
      <w:r w:rsidR="00356E2D">
        <w:t xml:space="preserve"> </w:t>
      </w:r>
      <w:r w:rsidR="006946E9">
        <w:t>by the department</w:t>
      </w:r>
      <w:r w:rsidRPr="007C5BDA">
        <w:t>.</w:t>
      </w:r>
      <w:r w:rsidR="00782213" w:rsidRPr="007C5BDA">
        <w:t xml:space="preserve"> The roundtable agenda </w:t>
      </w:r>
      <w:r w:rsidR="006946E9">
        <w:t xml:space="preserve">can be found at </w:t>
      </w:r>
      <w:r w:rsidR="004447FC">
        <w:fldChar w:fldCharType="begin"/>
      </w:r>
      <w:r w:rsidR="004447FC">
        <w:instrText xml:space="preserve"> REF _Ref508793990 \h </w:instrText>
      </w:r>
      <w:r w:rsidR="004447FC">
        <w:fldChar w:fldCharType="separate"/>
      </w:r>
      <w:r w:rsidR="00EE1C5F">
        <w:t>Appendix C. Final Agenda</w:t>
      </w:r>
      <w:r w:rsidR="004447FC">
        <w:fldChar w:fldCharType="end"/>
      </w:r>
      <w:r w:rsidR="00782213" w:rsidRPr="007C5BDA">
        <w:t>.</w:t>
      </w:r>
    </w:p>
    <w:p w14:paraId="053DFBE0" w14:textId="65B0803C" w:rsidR="003914EA" w:rsidRPr="007C5BDA" w:rsidRDefault="003914EA" w:rsidP="003914EA">
      <w:r w:rsidRPr="007C5BDA">
        <w:t xml:space="preserve">The </w:t>
      </w:r>
      <w:r w:rsidR="007618C1" w:rsidRPr="007C5BDA">
        <w:t>roundtable</w:t>
      </w:r>
      <w:r w:rsidRPr="007C5BDA">
        <w:t xml:space="preserve"> established a base for communication and consultation with stakeholders and </w:t>
      </w:r>
      <w:r w:rsidR="00EC184A">
        <w:t>outlined</w:t>
      </w:r>
      <w:r w:rsidRPr="007C5BDA">
        <w:t xml:space="preserve"> stakehold</w:t>
      </w:r>
      <w:r w:rsidR="003124CB">
        <w:t>er expectations for the review.</w:t>
      </w:r>
    </w:p>
    <w:p w14:paraId="7FBF5056" w14:textId="2013EE91" w:rsidR="003914EA" w:rsidRDefault="003914EA" w:rsidP="00C60015">
      <w:r w:rsidRPr="007C5BDA">
        <w:t xml:space="preserve">Stakeholders </w:t>
      </w:r>
      <w:r w:rsidR="00061CEF">
        <w:t>noted</w:t>
      </w:r>
      <w:r w:rsidR="00061CEF" w:rsidRPr="007C5BDA">
        <w:t xml:space="preserve"> </w:t>
      </w:r>
      <w:r w:rsidRPr="007C5BDA">
        <w:t xml:space="preserve">that </w:t>
      </w:r>
      <w:r w:rsidR="00223DB4" w:rsidRPr="007C5BDA">
        <w:t xml:space="preserve">regular and transparent </w:t>
      </w:r>
      <w:r w:rsidRPr="007C5BDA">
        <w:t>communication was essential during the review process and that they were looking forward to working with Animal Biosecurity and being part of the review process</w:t>
      </w:r>
      <w:r w:rsidR="00995F28" w:rsidRPr="007C5BDA">
        <w:t>.</w:t>
      </w:r>
    </w:p>
    <w:p w14:paraId="6979EA87" w14:textId="77777777" w:rsidR="003914EA" w:rsidRDefault="003914EA" w:rsidP="00C60015"/>
    <w:p w14:paraId="05271D7B" w14:textId="77777777" w:rsidR="00C60015" w:rsidRPr="00C60015" w:rsidRDefault="00C60015" w:rsidP="00C60015">
      <w:pPr>
        <w:sectPr w:rsidR="00C60015" w:rsidRPr="00C60015">
          <w:headerReference w:type="default" r:id="rId25"/>
          <w:footerReference w:type="default" r:id="rId26"/>
          <w:pgSz w:w="11906" w:h="16838"/>
          <w:pgMar w:top="1418" w:right="1418" w:bottom="1418" w:left="1418" w:header="567" w:footer="283" w:gutter="0"/>
          <w:pgNumType w:start="1"/>
          <w:cols w:space="708"/>
          <w:docGrid w:linePitch="360"/>
        </w:sectPr>
      </w:pPr>
    </w:p>
    <w:p w14:paraId="48A2A264" w14:textId="77777777" w:rsidR="00F854D3" w:rsidRDefault="00F854D3" w:rsidP="00707829">
      <w:pPr>
        <w:pStyle w:val="Heading2"/>
      </w:pPr>
      <w:bookmarkStart w:id="3" w:name="_Toc508797186"/>
      <w:r>
        <w:lastRenderedPageBreak/>
        <w:t>Opening statement</w:t>
      </w:r>
      <w:bookmarkEnd w:id="3"/>
    </w:p>
    <w:p w14:paraId="1052CFDC" w14:textId="0AC74278" w:rsidR="00396174" w:rsidRDefault="00396174" w:rsidP="00396174">
      <w:r>
        <w:t xml:space="preserve">The </w:t>
      </w:r>
      <w:r w:rsidR="00703C86">
        <w:t>opening statement was made by</w:t>
      </w:r>
      <w:r w:rsidR="00617200">
        <w:t xml:space="preserve"> </w:t>
      </w:r>
      <w:r w:rsidR="00DE24AB">
        <w:t xml:space="preserve">Mr </w:t>
      </w:r>
      <w:r w:rsidR="00617200">
        <w:t xml:space="preserve">Tim Chapman, </w:t>
      </w:r>
      <w:r w:rsidR="00116358" w:rsidRPr="00617200">
        <w:t>First Assistant Secretary</w:t>
      </w:r>
      <w:r w:rsidR="00116358">
        <w:t xml:space="preserve">, </w:t>
      </w:r>
      <w:r w:rsidR="00617200">
        <w:t>Biosecurity Animal</w:t>
      </w:r>
      <w:r w:rsidR="00116358">
        <w:t xml:space="preserve"> Division, Department of Agriculture and Water Resources</w:t>
      </w:r>
      <w:r w:rsidR="00617200">
        <w:t xml:space="preserve">, </w:t>
      </w:r>
      <w:r w:rsidR="00E50F2B" w:rsidRPr="002763D5">
        <w:t>where</w:t>
      </w:r>
      <w:r w:rsidR="00617200">
        <w:t xml:space="preserve"> he stated that the </w:t>
      </w:r>
      <w:r w:rsidRPr="00D30483">
        <w:t xml:space="preserve">roundtable discussion </w:t>
      </w:r>
      <w:r>
        <w:t xml:space="preserve">on prawns was </w:t>
      </w:r>
      <w:r w:rsidRPr="007C5BDA">
        <w:t xml:space="preserve">about the </w:t>
      </w:r>
      <w:r w:rsidRPr="00A9599B">
        <w:rPr>
          <w:i/>
        </w:rPr>
        <w:t>Review of the biosecurity risks of, and import conditions for, prawns and prawn products imported for human consumption</w:t>
      </w:r>
      <w:r w:rsidRPr="00D30483">
        <w:t>.</w:t>
      </w:r>
    </w:p>
    <w:p w14:paraId="53FCF3AD" w14:textId="77777777" w:rsidR="00396174" w:rsidRDefault="00DE24AB" w:rsidP="00396174">
      <w:r>
        <w:t>Mr Chapman discussed t</w:t>
      </w:r>
      <w:r w:rsidR="00396174">
        <w:t xml:space="preserve">he purpose of the roundtable </w:t>
      </w:r>
      <w:r>
        <w:t xml:space="preserve">which </w:t>
      </w:r>
      <w:r w:rsidR="00396174">
        <w:t>was to gather domestic, government and international stakeholders to discuss the review.</w:t>
      </w:r>
    </w:p>
    <w:p w14:paraId="2A1D1C00" w14:textId="77777777" w:rsidR="00396174" w:rsidRDefault="00DE24AB" w:rsidP="00396174">
      <w:r>
        <w:t xml:space="preserve">Mr Chapman </w:t>
      </w:r>
      <w:r w:rsidR="004E7C74">
        <w:t xml:space="preserve">stated that the </w:t>
      </w:r>
      <w:r w:rsidR="00396174">
        <w:t>roundtable was intended to be a forward-focussed discussion, where the department outlined the process for conducting a risk analysis, including mechanisms for consultation with interested parties, and stakeholders had the opportunity to ask questions and express their views.</w:t>
      </w:r>
    </w:p>
    <w:p w14:paraId="39C7F1E9" w14:textId="16B11885" w:rsidR="00396174" w:rsidRDefault="003F60B5" w:rsidP="0019278F">
      <w:r>
        <w:t>Mr Chapman wen</w:t>
      </w:r>
      <w:r w:rsidR="00DF4B77">
        <w:t>t</w:t>
      </w:r>
      <w:r>
        <w:t xml:space="preserve"> on to state that t</w:t>
      </w:r>
      <w:r w:rsidR="00396174">
        <w:t>he roundtable was the first formal consul</w:t>
      </w:r>
      <w:r w:rsidR="00116358">
        <w:t>tation activity for the review</w:t>
      </w:r>
      <w:r w:rsidR="00F77813">
        <w:t xml:space="preserve"> </w:t>
      </w:r>
      <w:r w:rsidR="00EC655A">
        <w:t>a</w:t>
      </w:r>
      <w:r w:rsidR="00F77813">
        <w:t>nd that</w:t>
      </w:r>
      <w:r w:rsidR="004E7C74">
        <w:t xml:space="preserve"> </w:t>
      </w:r>
      <w:r>
        <w:t>f</w:t>
      </w:r>
      <w:r w:rsidR="00396174">
        <w:t xml:space="preserve">urther formal consultation activities are planned </w:t>
      </w:r>
      <w:r w:rsidR="0078683B">
        <w:t>throughout</w:t>
      </w:r>
      <w:r w:rsidR="00396174">
        <w:t xml:space="preserve"> the review process. </w:t>
      </w:r>
      <w:r>
        <w:t>Mr Chapman also encouraged</w:t>
      </w:r>
      <w:r w:rsidR="00396174">
        <w:t xml:space="preserve"> stakeholders to contact the department whenever </w:t>
      </w:r>
      <w:r>
        <w:t>they</w:t>
      </w:r>
      <w:r w:rsidR="00396174">
        <w:t xml:space="preserve"> wishe</w:t>
      </w:r>
      <w:r>
        <w:t>d</w:t>
      </w:r>
      <w:r w:rsidR="00396174">
        <w:t xml:space="preserve"> to discuss the review outside of a formal consultation process.</w:t>
      </w:r>
    </w:p>
    <w:p w14:paraId="46983D2E" w14:textId="77777777" w:rsidR="003F60B5" w:rsidRDefault="003F60B5" w:rsidP="0019278F"/>
    <w:p w14:paraId="596FD6C4" w14:textId="77777777" w:rsidR="003F60B5" w:rsidRDefault="003F60B5" w:rsidP="0019278F">
      <w:pPr>
        <w:sectPr w:rsidR="003F60B5">
          <w:headerReference w:type="default" r:id="rId27"/>
          <w:pgSz w:w="11906" w:h="16838"/>
          <w:pgMar w:top="1418" w:right="1418" w:bottom="1418" w:left="1418" w:header="567" w:footer="283" w:gutter="0"/>
          <w:cols w:space="708"/>
          <w:docGrid w:linePitch="360"/>
        </w:sectPr>
      </w:pPr>
    </w:p>
    <w:p w14:paraId="328EFADD" w14:textId="77777777" w:rsidR="005F77E5" w:rsidRDefault="00006624" w:rsidP="00707829">
      <w:pPr>
        <w:pStyle w:val="Heading2"/>
      </w:pPr>
      <w:bookmarkStart w:id="4" w:name="_Toc508797187"/>
      <w:r>
        <w:lastRenderedPageBreak/>
        <w:t>Roundtable</w:t>
      </w:r>
      <w:r w:rsidR="004D0484">
        <w:t xml:space="preserve"> presentations</w:t>
      </w:r>
      <w:bookmarkEnd w:id="4"/>
    </w:p>
    <w:p w14:paraId="14B3BBF0" w14:textId="6947C93F" w:rsidR="004D0484" w:rsidRPr="007C5BDA" w:rsidRDefault="00DF32F7" w:rsidP="004D0484">
      <w:r w:rsidRPr="007C5BDA">
        <w:t>The round</w:t>
      </w:r>
      <w:r w:rsidR="004D0484" w:rsidRPr="007C5BDA">
        <w:t>table included</w:t>
      </w:r>
      <w:r w:rsidR="00F0388E" w:rsidRPr="007C5BDA">
        <w:t xml:space="preserve"> a departmental presentation and</w:t>
      </w:r>
      <w:r w:rsidR="004D0484" w:rsidRPr="007C5BDA">
        <w:t xml:space="preserve"> industry presentations by the Australian Council of Prawn Fisheries</w:t>
      </w:r>
      <w:r w:rsidR="000E4777" w:rsidRPr="007C5BDA">
        <w:t xml:space="preserve"> (ACPF)</w:t>
      </w:r>
      <w:r w:rsidR="004D0484" w:rsidRPr="007C5BDA">
        <w:t>, Australian Prawn Farmers Association</w:t>
      </w:r>
      <w:r w:rsidR="001B715F" w:rsidRPr="007C5BDA">
        <w:t xml:space="preserve"> (APFA)</w:t>
      </w:r>
      <w:r w:rsidR="006946E9">
        <w:t xml:space="preserve"> and</w:t>
      </w:r>
      <w:r w:rsidR="004D0484" w:rsidRPr="007C5BDA">
        <w:t xml:space="preserve"> Seafood Importers Association of Australasia</w:t>
      </w:r>
      <w:r w:rsidR="009D0B45" w:rsidRPr="007C5BDA">
        <w:t xml:space="preserve"> (SIAA)</w:t>
      </w:r>
      <w:r w:rsidR="00F0388E" w:rsidRPr="007C5BDA">
        <w:t>.</w:t>
      </w:r>
    </w:p>
    <w:p w14:paraId="4E3DA128" w14:textId="77777777" w:rsidR="005F77E5" w:rsidRDefault="00890C3C" w:rsidP="002F4C32">
      <w:pPr>
        <w:pStyle w:val="Heading3"/>
      </w:pPr>
      <w:bookmarkStart w:id="5" w:name="_Toc508797188"/>
      <w:r>
        <w:t xml:space="preserve">Presentation by the </w:t>
      </w:r>
      <w:r w:rsidR="002F4C32">
        <w:t>Department</w:t>
      </w:r>
      <w:r w:rsidR="00FB17DA">
        <w:t xml:space="preserve"> of Agriculture and Water Resources</w:t>
      </w:r>
      <w:bookmarkEnd w:id="5"/>
    </w:p>
    <w:p w14:paraId="08076719" w14:textId="77777777" w:rsidR="00C36A16" w:rsidRDefault="00A843F9" w:rsidP="00890C3C">
      <w:r w:rsidRPr="007C5BDA">
        <w:t xml:space="preserve">The presentation by the department </w:t>
      </w:r>
      <w:r w:rsidR="00C80BBD">
        <w:t>provided</w:t>
      </w:r>
      <w:r w:rsidRPr="007C5BDA">
        <w:t xml:space="preserve"> </w:t>
      </w:r>
      <w:r w:rsidR="00422623">
        <w:t>information about</w:t>
      </w:r>
      <w:r w:rsidRPr="007C5BDA">
        <w:t xml:space="preserve"> Australia’s biosecurity risk management framework</w:t>
      </w:r>
      <w:r w:rsidR="00FC0FC4">
        <w:t xml:space="preserve">, </w:t>
      </w:r>
      <w:r w:rsidRPr="007C5BDA">
        <w:t>international obligations for establishing risk management measures</w:t>
      </w:r>
      <w:r w:rsidR="00D91EDD">
        <w:t>,</w:t>
      </w:r>
      <w:r w:rsidR="00EE7341">
        <w:t xml:space="preserve"> </w:t>
      </w:r>
      <w:r w:rsidRPr="007C5BDA">
        <w:t>the risk analysis process</w:t>
      </w:r>
      <w:r w:rsidR="00C429F2">
        <w:t xml:space="preserve">, </w:t>
      </w:r>
      <w:r w:rsidR="00995F28" w:rsidRPr="007C5BDA">
        <w:t>next steps after the roundtable (</w:t>
      </w:r>
      <w:r w:rsidR="004447FC">
        <w:fldChar w:fldCharType="begin"/>
      </w:r>
      <w:r w:rsidR="004447FC">
        <w:instrText xml:space="preserve"> REF _Ref508794024 \h </w:instrText>
      </w:r>
      <w:r w:rsidR="004447FC">
        <w:fldChar w:fldCharType="separate"/>
      </w:r>
      <w:r w:rsidR="00EE1C5F" w:rsidRPr="00D54120">
        <w:t xml:space="preserve">Appendix </w:t>
      </w:r>
      <w:r w:rsidR="00EE1C5F">
        <w:t>D</w:t>
      </w:r>
      <w:r w:rsidR="00EE1C5F" w:rsidRPr="00D54120">
        <w:t xml:space="preserve">. </w:t>
      </w:r>
      <w:r w:rsidR="00EE1C5F" w:rsidRPr="000D76D6">
        <w:t>Next steps</w:t>
      </w:r>
      <w:r w:rsidR="004447FC">
        <w:fldChar w:fldCharType="end"/>
      </w:r>
      <w:r w:rsidR="00995F28" w:rsidRPr="007C5BDA">
        <w:t>) and the consultation activities that are planned during the review (</w:t>
      </w:r>
      <w:r w:rsidR="004447FC">
        <w:fldChar w:fldCharType="begin"/>
      </w:r>
      <w:r w:rsidR="004447FC">
        <w:instrText xml:space="preserve"> REF _Ref508794042 \h </w:instrText>
      </w:r>
      <w:r w:rsidR="004447FC">
        <w:fldChar w:fldCharType="separate"/>
      </w:r>
      <w:r w:rsidR="00EE1C5F" w:rsidRPr="00D54120">
        <w:t xml:space="preserve">Appendix </w:t>
      </w:r>
      <w:r w:rsidR="00EE1C5F" w:rsidRPr="00CC1604">
        <w:t>E. Consultation activities</w:t>
      </w:r>
      <w:r w:rsidR="004447FC">
        <w:fldChar w:fldCharType="end"/>
      </w:r>
      <w:r w:rsidR="00995F28" w:rsidRPr="007C5BDA">
        <w:t>).</w:t>
      </w:r>
      <w:r w:rsidR="00EA26F8">
        <w:t xml:space="preserve"> A copy of the department’s presentation </w:t>
      </w:r>
      <w:r w:rsidR="003F60B5">
        <w:t>is</w:t>
      </w:r>
      <w:r w:rsidR="00EA26F8">
        <w:t xml:space="preserve"> available on request through the</w:t>
      </w:r>
      <w:r w:rsidR="003F60B5">
        <w:t xml:space="preserve"> Prawn Review</w:t>
      </w:r>
      <w:r w:rsidR="00EA26F8" w:rsidRPr="00EA26F8">
        <w:t xml:space="preserve"> </w:t>
      </w:r>
      <w:r w:rsidR="003F60B5">
        <w:t>L</w:t>
      </w:r>
      <w:r w:rsidR="00EA26F8" w:rsidRPr="00EA26F8">
        <w:t xml:space="preserve">iaison </w:t>
      </w:r>
      <w:r w:rsidR="003F60B5">
        <w:t>O</w:t>
      </w:r>
      <w:r w:rsidR="00EA26F8" w:rsidRPr="00EA26F8">
        <w:t xml:space="preserve">fficer who can be contacted via email: </w:t>
      </w:r>
      <w:hyperlink r:id="rId28" w:history="1">
        <w:r w:rsidR="0077604C" w:rsidRPr="00F159DD">
          <w:rPr>
            <w:rStyle w:val="Hyperlink"/>
          </w:rPr>
          <w:t>prawnreview@agriculture.gov.au</w:t>
        </w:r>
      </w:hyperlink>
      <w:r w:rsidR="0077604C">
        <w:t>.</w:t>
      </w:r>
    </w:p>
    <w:p w14:paraId="665B6032" w14:textId="075CA3DF" w:rsidR="00890C3C" w:rsidRDefault="00890C3C" w:rsidP="00C429F2">
      <w:pPr>
        <w:pStyle w:val="Heading3"/>
      </w:pPr>
      <w:bookmarkStart w:id="6" w:name="_Toc508797189"/>
      <w:r>
        <w:t>Presentations by industry</w:t>
      </w:r>
      <w:bookmarkEnd w:id="6"/>
    </w:p>
    <w:p w14:paraId="019A2954" w14:textId="77777777" w:rsidR="00C36A16" w:rsidRDefault="00890C3C" w:rsidP="00912FCE">
      <w:r w:rsidRPr="007C5BDA">
        <w:t xml:space="preserve">Industry presentations provided an overview of each industry </w:t>
      </w:r>
      <w:r w:rsidR="00AC0CC3">
        <w:t>and</w:t>
      </w:r>
      <w:r w:rsidRPr="007C5BDA">
        <w:t xml:space="preserve"> </w:t>
      </w:r>
      <w:r w:rsidR="00D91EDD">
        <w:t xml:space="preserve">outlined </w:t>
      </w:r>
      <w:r w:rsidRPr="007C5BDA">
        <w:t>the</w:t>
      </w:r>
      <w:r w:rsidR="00AC0CC3">
        <w:t>ir</w:t>
      </w:r>
      <w:r w:rsidRPr="007C5BDA">
        <w:t xml:space="preserve"> priorities and expectations </w:t>
      </w:r>
      <w:r w:rsidR="00EC184A">
        <w:t>regarding the review</w:t>
      </w:r>
      <w:r w:rsidRPr="007C5BDA">
        <w:t>.</w:t>
      </w:r>
    </w:p>
    <w:p w14:paraId="3E1E394B" w14:textId="1F0AEFB1" w:rsidR="005F77E5" w:rsidRDefault="002F4C32" w:rsidP="00C429F2">
      <w:pPr>
        <w:pStyle w:val="Heading4"/>
      </w:pPr>
      <w:r w:rsidRPr="002F4C32">
        <w:t>Australian Council of Prawn Fisheries</w:t>
      </w:r>
    </w:p>
    <w:p w14:paraId="22D67BFE" w14:textId="77777777" w:rsidR="000E4777" w:rsidRPr="007C5BDA" w:rsidRDefault="005E79CC" w:rsidP="000E4777">
      <w:r w:rsidRPr="007C5BDA">
        <w:t>The presentation</w:t>
      </w:r>
      <w:r w:rsidR="000E4777" w:rsidRPr="007C5BDA">
        <w:t xml:space="preserve"> by the ACPF provided an outline of the organisation and the wild catch prawn sector</w:t>
      </w:r>
      <w:r w:rsidR="000D4F10" w:rsidRPr="007C5BDA">
        <w:t>. ACPF shared its mission:</w:t>
      </w:r>
      <w:r w:rsidR="000E4777" w:rsidRPr="007C5BDA">
        <w:t xml:space="preserve"> to support members in the responsible sustainable production of high quality prawns from healthy productive marine ecosystems; to provide safe, high quality prawn products to consumers; and to be a professional, cooperative and profitable industry, respected and valued by the Australian community.</w:t>
      </w:r>
    </w:p>
    <w:p w14:paraId="195F961E" w14:textId="4392FFD6" w:rsidR="0015458F" w:rsidRPr="007C5BDA" w:rsidRDefault="0015458F" w:rsidP="000E4777">
      <w:r w:rsidRPr="007C5BDA">
        <w:t xml:space="preserve">ACPF’s presentation provided data on the value (GVP) of </w:t>
      </w:r>
      <w:r w:rsidR="000D4F10" w:rsidRPr="007C5BDA">
        <w:t>A</w:t>
      </w:r>
      <w:r w:rsidRPr="007C5BDA">
        <w:t>ustra</w:t>
      </w:r>
      <w:r w:rsidR="00116358">
        <w:t xml:space="preserve">lian wild catch sector, </w:t>
      </w:r>
      <w:r w:rsidR="00AE65DC">
        <w:t xml:space="preserve">which was </w:t>
      </w:r>
      <w:r w:rsidR="00116358">
        <w:t>$301.5M</w:t>
      </w:r>
      <w:r w:rsidRPr="007C5BDA">
        <w:t>/19,751 tonnes and a</w:t>
      </w:r>
      <w:r w:rsidR="00116358">
        <w:t>pproximately 500 </w:t>
      </w:r>
      <w:r w:rsidRPr="007C5BDA">
        <w:t xml:space="preserve">boats during 2016. </w:t>
      </w:r>
      <w:r w:rsidR="00440124" w:rsidRPr="007C5BDA">
        <w:t xml:space="preserve">The presentation also expressed ACPF’s goals and strategies: an effective and targeted national promotion of Australian wild catch prawns to consumers through the </w:t>
      </w:r>
      <w:r w:rsidR="00440124" w:rsidRPr="007C5BDA">
        <w:rPr>
          <w:i/>
        </w:rPr>
        <w:t xml:space="preserve">Love Australian </w:t>
      </w:r>
      <w:r w:rsidR="00087A82">
        <w:rPr>
          <w:i/>
        </w:rPr>
        <w:t>p</w:t>
      </w:r>
      <w:r w:rsidR="00440124" w:rsidRPr="007C5BDA">
        <w:rPr>
          <w:i/>
        </w:rPr>
        <w:t>rawns</w:t>
      </w:r>
      <w:r w:rsidR="00440124" w:rsidRPr="007C5BDA">
        <w:t xml:space="preserve"> campaign, and </w:t>
      </w:r>
      <w:r w:rsidR="00731F9B">
        <w:t>r</w:t>
      </w:r>
      <w:r w:rsidR="00731F9B" w:rsidRPr="007C5BDA">
        <w:t xml:space="preserve">esearch </w:t>
      </w:r>
      <w:r w:rsidR="00440124" w:rsidRPr="007C5BDA">
        <w:t xml:space="preserve">&amp; </w:t>
      </w:r>
      <w:r w:rsidR="00731F9B">
        <w:t>d</w:t>
      </w:r>
      <w:r w:rsidR="00731F9B" w:rsidRPr="007C5BDA">
        <w:t xml:space="preserve">evelopment </w:t>
      </w:r>
      <w:r w:rsidR="00440124" w:rsidRPr="007C5BDA">
        <w:t>investment.</w:t>
      </w:r>
    </w:p>
    <w:p w14:paraId="030EC462" w14:textId="77777777" w:rsidR="00440124" w:rsidRDefault="00440124" w:rsidP="00440124">
      <w:r w:rsidRPr="007C5BDA">
        <w:t>ACPF communicated that its expectations of the review are a robust, transparent and inclusive process with clear co</w:t>
      </w:r>
      <w:r w:rsidR="000D4F10" w:rsidRPr="007C5BDA">
        <w:t>nsultation points and timelines</w:t>
      </w:r>
      <w:r w:rsidR="00AC7737">
        <w:t>. ACPF also expects</w:t>
      </w:r>
      <w:r w:rsidRPr="007C5BDA">
        <w:t xml:space="preserve"> </w:t>
      </w:r>
      <w:r w:rsidR="004E5F1E">
        <w:t xml:space="preserve">a </w:t>
      </w:r>
      <w:r w:rsidRPr="007C5BDA">
        <w:t xml:space="preserve">revised biosecurity regime and implementation protocols that are risk-management based, </w:t>
      </w:r>
      <w:r w:rsidR="005426C5" w:rsidRPr="007C5BDA">
        <w:t>can be properly funded, resourced and enforced,</w:t>
      </w:r>
      <w:r w:rsidR="005426C5" w:rsidRPr="005426C5">
        <w:t xml:space="preserve"> </w:t>
      </w:r>
      <w:r w:rsidR="005426C5" w:rsidRPr="007C5BDA">
        <w:t xml:space="preserve">are not prone to loopholes, </w:t>
      </w:r>
      <w:r w:rsidRPr="007C5BDA">
        <w:t>protect Australia’s waterways and fisheries from the risk of exotic diseases, and are responsive to new and emerging risks.</w:t>
      </w:r>
    </w:p>
    <w:p w14:paraId="6890A204" w14:textId="77777777" w:rsidR="005E79CC" w:rsidRDefault="005E79CC" w:rsidP="00C429F2">
      <w:pPr>
        <w:pStyle w:val="Heading4"/>
      </w:pPr>
      <w:r w:rsidRPr="005E79CC">
        <w:t>Australian Prawn Farmers Association</w:t>
      </w:r>
    </w:p>
    <w:p w14:paraId="2EF96A9E" w14:textId="29B7745F" w:rsidR="000E4777" w:rsidRPr="007C5BDA" w:rsidRDefault="005E79CC" w:rsidP="005E79CC">
      <w:r w:rsidRPr="007C5BDA">
        <w:t>The presentation</w:t>
      </w:r>
      <w:r w:rsidR="00553C64" w:rsidRPr="007C5BDA">
        <w:t xml:space="preserve"> by the </w:t>
      </w:r>
      <w:r w:rsidR="001B715F" w:rsidRPr="007C5BDA">
        <w:t>APFA</w:t>
      </w:r>
      <w:r w:rsidR="00A843F9" w:rsidRPr="007C5BDA">
        <w:t xml:space="preserve"> first provided an outline of the a</w:t>
      </w:r>
      <w:r w:rsidR="00553C64" w:rsidRPr="007C5BDA">
        <w:t xml:space="preserve">ssociation </w:t>
      </w:r>
      <w:r w:rsidR="00A843F9" w:rsidRPr="007C5BDA">
        <w:t>and i</w:t>
      </w:r>
      <w:r w:rsidR="00553C64" w:rsidRPr="007C5BDA">
        <w:t xml:space="preserve">ndustry </w:t>
      </w:r>
      <w:r w:rsidR="000D4F10" w:rsidRPr="007C5BDA">
        <w:t>they represent,</w:t>
      </w:r>
      <w:r w:rsidR="00E52ED5" w:rsidRPr="007C5BDA">
        <w:t xml:space="preserve"> a prawn aquaculture industry of a </w:t>
      </w:r>
      <w:r w:rsidR="00116358">
        <w:t>total $86.4M</w:t>
      </w:r>
      <w:r w:rsidR="000E4777" w:rsidRPr="007C5BDA">
        <w:t>/4,682</w:t>
      </w:r>
      <w:r w:rsidR="0015458F" w:rsidRPr="007C5BDA">
        <w:t xml:space="preserve"> </w:t>
      </w:r>
      <w:r w:rsidR="000E4777" w:rsidRPr="007C5BDA">
        <w:t>t</w:t>
      </w:r>
      <w:r w:rsidR="0015458F" w:rsidRPr="007C5BDA">
        <w:t>onnes</w:t>
      </w:r>
      <w:r w:rsidR="000E4777" w:rsidRPr="007C5BDA">
        <w:t xml:space="preserve"> </w:t>
      </w:r>
      <w:r w:rsidR="00E52ED5" w:rsidRPr="007C5BDA">
        <w:t>during 2015-16 and which provide more than 300 direct jobs (mostly regional).</w:t>
      </w:r>
      <w:r w:rsidR="00101FA0">
        <w:t xml:space="preserve"> </w:t>
      </w:r>
      <w:r w:rsidR="00101FA0" w:rsidRPr="00101FA0">
        <w:t>APFA also outlined the 5 year projected growth (based on already approved expansion by government) estimating value at $500M and providing approximately 1</w:t>
      </w:r>
      <w:r w:rsidR="00087A82">
        <w:t>,</w:t>
      </w:r>
      <w:r w:rsidR="00101FA0" w:rsidRPr="00101FA0">
        <w:t>500 direct regional jobs.</w:t>
      </w:r>
    </w:p>
    <w:p w14:paraId="317C04E5" w14:textId="77777777" w:rsidR="005E79CC" w:rsidRPr="007C5BDA" w:rsidRDefault="00E52ED5" w:rsidP="007C5BDA">
      <w:r w:rsidRPr="007C5BDA">
        <w:t>APFA’s</w:t>
      </w:r>
      <w:r w:rsidR="00A843F9" w:rsidRPr="007C5BDA">
        <w:t xml:space="preserve"> presentation also provided an overview </w:t>
      </w:r>
      <w:r w:rsidR="0015458F" w:rsidRPr="007C5BDA">
        <w:t>of</w:t>
      </w:r>
      <w:r w:rsidR="00A843F9" w:rsidRPr="007C5BDA">
        <w:t xml:space="preserve"> the activities carried out by prawn farmer</w:t>
      </w:r>
      <w:r w:rsidR="0015458F" w:rsidRPr="007C5BDA">
        <w:t>s</w:t>
      </w:r>
      <w:r w:rsidR="00A843F9" w:rsidRPr="007C5BDA">
        <w:t xml:space="preserve"> to protect the industry and environment, </w:t>
      </w:r>
      <w:r w:rsidR="005426C5">
        <w:t>and</w:t>
      </w:r>
      <w:r w:rsidR="005426C5" w:rsidRPr="007C5BDA">
        <w:t xml:space="preserve"> </w:t>
      </w:r>
      <w:r w:rsidR="00A843F9" w:rsidRPr="007C5BDA">
        <w:t>include</w:t>
      </w:r>
      <w:r w:rsidR="005426C5">
        <w:t>d</w:t>
      </w:r>
      <w:r w:rsidR="00A843F9" w:rsidRPr="007C5BDA">
        <w:t xml:space="preserve"> translocation protocols to test </w:t>
      </w:r>
      <w:r w:rsidR="00F0388E" w:rsidRPr="007C5BDA">
        <w:t>wild-</w:t>
      </w:r>
      <w:r w:rsidR="00A843F9" w:rsidRPr="007C5BDA">
        <w:t xml:space="preserve">caught </w:t>
      </w:r>
      <w:proofErr w:type="spellStart"/>
      <w:r w:rsidR="00A843F9" w:rsidRPr="007C5BDA">
        <w:t>broodstock</w:t>
      </w:r>
      <w:proofErr w:type="spellEnd"/>
      <w:r w:rsidR="00AB4B13" w:rsidRPr="007C5BDA">
        <w:t xml:space="preserve">, </w:t>
      </w:r>
      <w:r w:rsidR="00A843F9" w:rsidRPr="007C5BDA">
        <w:t xml:space="preserve">regulation and treatment of </w:t>
      </w:r>
      <w:r w:rsidR="00AB4B13" w:rsidRPr="007C5BDA">
        <w:t xml:space="preserve">prawn </w:t>
      </w:r>
      <w:r w:rsidR="00A843F9" w:rsidRPr="007C5BDA">
        <w:t xml:space="preserve">feed, </w:t>
      </w:r>
      <w:r w:rsidR="00AB4B13" w:rsidRPr="007C5BDA">
        <w:t xml:space="preserve">and </w:t>
      </w:r>
      <w:r w:rsidR="005426C5">
        <w:t>g</w:t>
      </w:r>
      <w:r w:rsidR="005426C5" w:rsidRPr="007C5BDA">
        <w:t xml:space="preserve">eneral </w:t>
      </w:r>
      <w:r w:rsidR="005426C5">
        <w:t>b</w:t>
      </w:r>
      <w:r w:rsidR="005426C5" w:rsidRPr="007C5BDA">
        <w:t xml:space="preserve">iosecurity </w:t>
      </w:r>
      <w:r w:rsidR="005426C5">
        <w:t>o</w:t>
      </w:r>
      <w:r w:rsidR="005426C5" w:rsidRPr="007C5BDA">
        <w:t>bligations</w:t>
      </w:r>
      <w:r w:rsidR="00AB4B13" w:rsidRPr="007C5BDA">
        <w:t xml:space="preserve">. In addition, after the </w:t>
      </w:r>
      <w:r w:rsidR="00DD0D91">
        <w:t>white spot disease (</w:t>
      </w:r>
      <w:r w:rsidR="00AB4B13" w:rsidRPr="007C5BDA">
        <w:t>WSD</w:t>
      </w:r>
      <w:r w:rsidR="00DD0D91">
        <w:t>)</w:t>
      </w:r>
      <w:r w:rsidR="00AB4B13" w:rsidRPr="007C5BDA">
        <w:t xml:space="preserve"> outbreak</w:t>
      </w:r>
      <w:r w:rsidR="00A843F9" w:rsidRPr="007C5BDA">
        <w:t>,</w:t>
      </w:r>
      <w:r w:rsidR="00AB4B13" w:rsidRPr="007C5BDA">
        <w:t xml:space="preserve"> further on-farm biosecurity measures have been voluntarily implemented.</w:t>
      </w:r>
    </w:p>
    <w:p w14:paraId="7DD48254" w14:textId="0352C3EB" w:rsidR="00A843F9" w:rsidRDefault="001B715F" w:rsidP="005E79CC">
      <w:r w:rsidRPr="007C5BDA">
        <w:lastRenderedPageBreak/>
        <w:t>During the presentation, APFA expressed the</w:t>
      </w:r>
      <w:r w:rsidR="00EC184A">
        <w:t>ir</w:t>
      </w:r>
      <w:r w:rsidRPr="007C5BDA">
        <w:t xml:space="preserve"> view that infected imported raw prawns entering Australia</w:t>
      </w:r>
      <w:r w:rsidR="000E4777" w:rsidRPr="007C5BDA">
        <w:t xml:space="preserve"> </w:t>
      </w:r>
      <w:r w:rsidRPr="007C5BDA">
        <w:t>pose</w:t>
      </w:r>
      <w:r w:rsidR="00F62483">
        <w:t>s</w:t>
      </w:r>
      <w:r w:rsidRPr="007C5BDA">
        <w:t xml:space="preserve"> the h</w:t>
      </w:r>
      <w:r w:rsidR="00A843F9" w:rsidRPr="007C5BDA">
        <w:t>ighest risk</w:t>
      </w:r>
      <w:r w:rsidR="00F62483">
        <w:t xml:space="preserve"> </w:t>
      </w:r>
      <w:r w:rsidR="00F62483" w:rsidRPr="00F62483">
        <w:t>and ideally should be cooked. APFA also highlighted the ease by which imported infected prawns are exposed to Australia’s waterways</w:t>
      </w:r>
      <w:r w:rsidRPr="007C5BDA">
        <w:t xml:space="preserve">. APFA stated that it is important to recognise the emphasis </w:t>
      </w:r>
      <w:r w:rsidR="000D4F10" w:rsidRPr="007C5BDA">
        <w:t>on free trade between countries</w:t>
      </w:r>
      <w:r w:rsidRPr="007C5BDA">
        <w:t xml:space="preserve"> but that it must be balanced with the </w:t>
      </w:r>
      <w:r w:rsidR="00152724">
        <w:t>appropriate level of protection (</w:t>
      </w:r>
      <w:r w:rsidRPr="007C5BDA">
        <w:t>ALOP</w:t>
      </w:r>
      <w:r w:rsidR="00152724">
        <w:t>)</w:t>
      </w:r>
      <w:r w:rsidRPr="007C5BDA">
        <w:t xml:space="preserve"> against disease and antimicrobials for Australia</w:t>
      </w:r>
      <w:r w:rsidR="00E033C2" w:rsidRPr="007C5BDA">
        <w:t>. APFA</w:t>
      </w:r>
      <w:r w:rsidR="00D5034B">
        <w:t xml:space="preserve"> noted </w:t>
      </w:r>
      <w:r w:rsidR="00F62483">
        <w:t xml:space="preserve">they </w:t>
      </w:r>
      <w:r w:rsidR="00F62483" w:rsidRPr="00F62483">
        <w:t>are not against imported prawns and</w:t>
      </w:r>
      <w:r w:rsidR="00F62483">
        <w:t xml:space="preserve"> </w:t>
      </w:r>
      <w:r w:rsidR="00D5034B">
        <w:t xml:space="preserve">their </w:t>
      </w:r>
      <w:r w:rsidR="00E033C2" w:rsidRPr="007C5BDA">
        <w:t xml:space="preserve">aim is to reduce the </w:t>
      </w:r>
      <w:r w:rsidR="004915DD" w:rsidRPr="007C5BDA">
        <w:t xml:space="preserve">biosecurity </w:t>
      </w:r>
      <w:r w:rsidR="00E033C2" w:rsidRPr="007C5BDA">
        <w:t xml:space="preserve">risk </w:t>
      </w:r>
      <w:r w:rsidR="004915DD" w:rsidRPr="007C5BDA">
        <w:t xml:space="preserve">posed </w:t>
      </w:r>
      <w:r w:rsidR="00E033C2" w:rsidRPr="007C5BDA">
        <w:t xml:space="preserve">to the prawn aquaculture industry by working collaboratively with government, relevant departments and other impacted parties such as the wild catch sector and </w:t>
      </w:r>
      <w:r w:rsidR="004915DD" w:rsidRPr="007C5BDA">
        <w:t>SIAA.</w:t>
      </w:r>
    </w:p>
    <w:p w14:paraId="5C98D91C" w14:textId="77777777" w:rsidR="005E79CC" w:rsidRDefault="005E79CC" w:rsidP="00C429F2">
      <w:pPr>
        <w:pStyle w:val="Heading4"/>
      </w:pPr>
      <w:r w:rsidRPr="005E79CC">
        <w:t>Seafood Importers Association of Australasia</w:t>
      </w:r>
    </w:p>
    <w:p w14:paraId="6C0178F7" w14:textId="77777777" w:rsidR="009D0B45" w:rsidRPr="007C5BDA" w:rsidRDefault="005E79CC" w:rsidP="009D0B45">
      <w:r w:rsidRPr="007C5BDA">
        <w:t>The presentation</w:t>
      </w:r>
      <w:r w:rsidR="009D0B45" w:rsidRPr="007C5BDA">
        <w:t xml:space="preserve"> by the SIAA first provided an outline of the seafood import sector, which supplies 70-80 per cent of Australian seafood consumption and generates about $5 billion in revenue for Australian businesses. The presentation also </w:t>
      </w:r>
      <w:r w:rsidR="00D45583">
        <w:t>outlined</w:t>
      </w:r>
      <w:r w:rsidR="00D45583" w:rsidRPr="007C5BDA">
        <w:t xml:space="preserve"> </w:t>
      </w:r>
      <w:r w:rsidR="009D0B45" w:rsidRPr="007C5BDA">
        <w:t>SIAA’s goals</w:t>
      </w:r>
      <w:r w:rsidR="000D4F10" w:rsidRPr="007C5BDA">
        <w:t>,</w:t>
      </w:r>
      <w:r w:rsidR="009D0B45" w:rsidRPr="007C5BDA">
        <w:t xml:space="preserve"> which include</w:t>
      </w:r>
      <w:r w:rsidR="008B212D">
        <w:t>d</w:t>
      </w:r>
      <w:r w:rsidR="009D0B45" w:rsidRPr="007C5BDA">
        <w:t xml:space="preserve"> to ensure safe, responsibly sourced</w:t>
      </w:r>
      <w:r w:rsidR="008B212D">
        <w:t xml:space="preserve"> and</w:t>
      </w:r>
      <w:r w:rsidR="008B212D" w:rsidRPr="007C5BDA">
        <w:t xml:space="preserve"> </w:t>
      </w:r>
      <w:r w:rsidR="009D0B45" w:rsidRPr="007C5BDA">
        <w:t>affordable seafood for all Australians</w:t>
      </w:r>
      <w:r w:rsidR="008B212D">
        <w:t>,</w:t>
      </w:r>
      <w:r w:rsidR="009D0B45" w:rsidRPr="007C5BDA">
        <w:t xml:space="preserve"> to advance good practice</w:t>
      </w:r>
      <w:r w:rsidR="008B212D">
        <w:t>s</w:t>
      </w:r>
      <w:r w:rsidR="009D0B45" w:rsidRPr="007C5BDA">
        <w:t xml:space="preserve"> in the import sector</w:t>
      </w:r>
      <w:r w:rsidR="008B212D">
        <w:t>, and</w:t>
      </w:r>
      <w:r w:rsidR="008B212D" w:rsidRPr="007C5BDA">
        <w:t xml:space="preserve"> </w:t>
      </w:r>
      <w:r w:rsidR="009D0B45" w:rsidRPr="007C5BDA">
        <w:t>to secure Australia’s long-term trade channels and access to global seafood supply.</w:t>
      </w:r>
    </w:p>
    <w:p w14:paraId="0F8A8FF3" w14:textId="44D51C3F" w:rsidR="005D31F1" w:rsidRDefault="009D0B45" w:rsidP="00DA764D">
      <w:r w:rsidRPr="007C5BDA">
        <w:t>SIAA expressed that its expectations of the review are a reasonable balance between border controls and other risk mitigation, addressing all probable pathways</w:t>
      </w:r>
      <w:r w:rsidR="00DA764D" w:rsidRPr="007C5BDA">
        <w:t xml:space="preserve">, </w:t>
      </w:r>
      <w:r w:rsidR="008B212D">
        <w:t xml:space="preserve">and </w:t>
      </w:r>
      <w:r w:rsidR="00DA764D" w:rsidRPr="007C5BDA">
        <w:t>the most cost-effective import conditions relevant to risk and mitigation potential across the whole biosecurity continuum</w:t>
      </w:r>
      <w:r w:rsidR="008B212D">
        <w:t>. SIA</w:t>
      </w:r>
      <w:r w:rsidR="004E5F1E">
        <w:t>A</w:t>
      </w:r>
      <w:r w:rsidR="008B212D">
        <w:t xml:space="preserve"> also expects</w:t>
      </w:r>
      <w:r w:rsidR="00DA764D" w:rsidRPr="007C5BDA">
        <w:t xml:space="preserve"> import conditions and inspection</w:t>
      </w:r>
      <w:r w:rsidR="008B212D">
        <w:t>s</w:t>
      </w:r>
      <w:r w:rsidR="00DA764D" w:rsidRPr="007C5BDA">
        <w:t xml:space="preserve"> that are matched by sufficient </w:t>
      </w:r>
      <w:r w:rsidR="008B212D">
        <w:t>department</w:t>
      </w:r>
      <w:r w:rsidR="00746A7C">
        <w:t>al</w:t>
      </w:r>
      <w:r w:rsidR="008B212D" w:rsidRPr="007C5BDA">
        <w:t xml:space="preserve"> </w:t>
      </w:r>
      <w:r w:rsidR="00DA764D" w:rsidRPr="007C5BDA">
        <w:t>resources to meet service delivery standards.</w:t>
      </w:r>
    </w:p>
    <w:p w14:paraId="51C10643" w14:textId="77777777" w:rsidR="00422623" w:rsidRDefault="00422623" w:rsidP="00DA764D"/>
    <w:p w14:paraId="751A1FE3" w14:textId="77777777" w:rsidR="00422623" w:rsidRPr="007C5BDA" w:rsidRDefault="00422623" w:rsidP="00DA764D">
      <w:pPr>
        <w:sectPr w:rsidR="00422623" w:rsidRPr="007C5BDA">
          <w:headerReference w:type="default" r:id="rId29"/>
          <w:pgSz w:w="11906" w:h="16838"/>
          <w:pgMar w:top="1418" w:right="1418" w:bottom="1418" w:left="1418" w:header="567" w:footer="283" w:gutter="0"/>
          <w:cols w:space="708"/>
          <w:docGrid w:linePitch="360"/>
        </w:sectPr>
      </w:pPr>
    </w:p>
    <w:p w14:paraId="064648B8" w14:textId="77777777" w:rsidR="00116358" w:rsidRPr="00116358" w:rsidRDefault="001D2D9F" w:rsidP="007C5BDA">
      <w:pPr>
        <w:pStyle w:val="Heading2"/>
      </w:pPr>
      <w:bookmarkStart w:id="7" w:name="_Toc508797190"/>
      <w:r w:rsidRPr="001D2D9F">
        <w:lastRenderedPageBreak/>
        <w:t>Facilitated discussion session</w:t>
      </w:r>
      <w:bookmarkEnd w:id="7"/>
    </w:p>
    <w:p w14:paraId="5D7C1876" w14:textId="77777777" w:rsidR="00C36A16" w:rsidRDefault="002879AF" w:rsidP="007C5BDA">
      <w:r w:rsidRPr="00846AFA">
        <w:t xml:space="preserve">The facilitated discussion session covered key areas of interest which were raised </w:t>
      </w:r>
      <w:r w:rsidR="0052758B">
        <w:t xml:space="preserve">by </w:t>
      </w:r>
      <w:r w:rsidR="00422623">
        <w:t xml:space="preserve">stakeholders </w:t>
      </w:r>
      <w:r w:rsidRPr="00846AFA">
        <w:t>in response to the questionnaire</w:t>
      </w:r>
      <w:r w:rsidR="0020415E">
        <w:t xml:space="preserve"> which was sent out before the roundtable</w:t>
      </w:r>
      <w:r w:rsidR="00D91389">
        <w:t>.</w:t>
      </w:r>
      <w:r w:rsidR="00C72DE3" w:rsidRPr="00846AFA">
        <w:t xml:space="preserve"> These topics included: </w:t>
      </w:r>
      <w:r w:rsidRPr="00846AFA">
        <w:t>international obligations, risk analysis methodology and consultation.</w:t>
      </w:r>
    </w:p>
    <w:p w14:paraId="0FEE06AC" w14:textId="12302EB2" w:rsidR="00FC0FC4" w:rsidRDefault="002879AF" w:rsidP="007C5BDA">
      <w:r w:rsidRPr="00846AFA">
        <w:t>During the facilitated discussion</w:t>
      </w:r>
      <w:r w:rsidR="00C72DE3" w:rsidRPr="00846AFA">
        <w:t xml:space="preserve"> session, </w:t>
      </w:r>
      <w:r w:rsidRPr="00846AFA">
        <w:t xml:space="preserve">stakeholders </w:t>
      </w:r>
      <w:r w:rsidR="00FC0FC4">
        <w:t xml:space="preserve">also </w:t>
      </w:r>
      <w:r w:rsidRPr="00846AFA">
        <w:t xml:space="preserve">had the opportunity to ask questions and </w:t>
      </w:r>
      <w:r w:rsidR="00902B6E" w:rsidRPr="00846AFA">
        <w:t>discuss issues relating to the review</w:t>
      </w:r>
      <w:r w:rsidR="0015344B">
        <w:t>.</w:t>
      </w:r>
    </w:p>
    <w:p w14:paraId="3982B5BF" w14:textId="2216AA03" w:rsidR="00FC0FC4" w:rsidRDefault="00C72DE3" w:rsidP="007C5BDA">
      <w:r w:rsidRPr="00846AFA">
        <w:t>The department</w:t>
      </w:r>
      <w:r w:rsidR="002879AF" w:rsidRPr="00846AFA">
        <w:t xml:space="preserve"> respond</w:t>
      </w:r>
      <w:r w:rsidR="00D91389">
        <w:t>ed</w:t>
      </w:r>
      <w:r w:rsidR="002879AF" w:rsidRPr="00846AFA">
        <w:t xml:space="preserve"> </w:t>
      </w:r>
      <w:r w:rsidRPr="00846AFA">
        <w:t>to qu</w:t>
      </w:r>
      <w:r w:rsidR="00902B6E" w:rsidRPr="00846AFA">
        <w:t>eries</w:t>
      </w:r>
      <w:r w:rsidRPr="00846AFA">
        <w:t xml:space="preserve"> </w:t>
      </w:r>
      <w:r w:rsidR="002879AF" w:rsidRPr="00846AFA">
        <w:t>and provide</w:t>
      </w:r>
      <w:r w:rsidR="00D91389">
        <w:t>d</w:t>
      </w:r>
      <w:r w:rsidR="002879AF" w:rsidRPr="00846AFA">
        <w:t xml:space="preserve"> clarification as necessary.</w:t>
      </w:r>
    </w:p>
    <w:p w14:paraId="6683423E" w14:textId="77777777" w:rsidR="004D19FB" w:rsidRPr="00846AFA" w:rsidRDefault="00C72DE3" w:rsidP="007C5BDA">
      <w:r w:rsidRPr="00846AFA">
        <w:t>A s</w:t>
      </w:r>
      <w:r w:rsidR="002879AF" w:rsidRPr="00846AFA">
        <w:t xml:space="preserve">ummary of questions and responses </w:t>
      </w:r>
      <w:r w:rsidR="00846AFA">
        <w:t>is</w:t>
      </w:r>
      <w:r w:rsidR="00846AFA" w:rsidRPr="00846AFA">
        <w:t xml:space="preserve"> </w:t>
      </w:r>
      <w:r w:rsidRPr="00846AFA">
        <w:t>provided below</w:t>
      </w:r>
      <w:r w:rsidR="004D19FB" w:rsidRPr="00846AFA">
        <w:t>.</w:t>
      </w:r>
    </w:p>
    <w:tbl>
      <w:tblPr>
        <w:tblStyle w:val="PlainTable2"/>
        <w:tblW w:w="0" w:type="auto"/>
        <w:tblLook w:val="04A0" w:firstRow="1" w:lastRow="0" w:firstColumn="1" w:lastColumn="0" w:noHBand="0" w:noVBand="1"/>
      </w:tblPr>
      <w:tblGrid>
        <w:gridCol w:w="2689"/>
        <w:gridCol w:w="6327"/>
      </w:tblGrid>
      <w:tr w:rsidR="004D19FB" w:rsidRPr="00912FCE" w14:paraId="72EE346D" w14:textId="77777777" w:rsidTr="007407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549126E7" w14:textId="77777777" w:rsidR="004D19FB" w:rsidRPr="00686354" w:rsidRDefault="004D19FB" w:rsidP="0018206C">
            <w:pPr>
              <w:pStyle w:val="TableHeading"/>
              <w:rPr>
                <w:b/>
              </w:rPr>
            </w:pPr>
            <w:r w:rsidRPr="00686354">
              <w:rPr>
                <w:b/>
              </w:rPr>
              <w:t xml:space="preserve">Questions </w:t>
            </w:r>
          </w:p>
        </w:tc>
        <w:tc>
          <w:tcPr>
            <w:tcW w:w="6327" w:type="dxa"/>
          </w:tcPr>
          <w:p w14:paraId="5F8E58B6" w14:textId="77777777" w:rsidR="004D19FB" w:rsidRPr="00686354" w:rsidRDefault="004D19FB" w:rsidP="0018206C">
            <w:pPr>
              <w:pStyle w:val="TableHeading"/>
              <w:cnfStyle w:val="100000000000" w:firstRow="1" w:lastRow="0" w:firstColumn="0" w:lastColumn="0" w:oddVBand="0" w:evenVBand="0" w:oddHBand="0" w:evenHBand="0" w:firstRowFirstColumn="0" w:firstRowLastColumn="0" w:lastRowFirstColumn="0" w:lastRowLastColumn="0"/>
              <w:rPr>
                <w:b/>
              </w:rPr>
            </w:pPr>
            <w:r w:rsidRPr="00686354">
              <w:rPr>
                <w:b/>
              </w:rPr>
              <w:t>Responses</w:t>
            </w:r>
          </w:p>
        </w:tc>
      </w:tr>
      <w:tr w:rsidR="004D19FB" w:rsidRPr="00912FCE" w14:paraId="746DF418" w14:textId="77777777"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75E3288" w14:textId="77777777" w:rsidR="004D19FB" w:rsidRPr="00C57433" w:rsidRDefault="004D19FB" w:rsidP="00C57433">
            <w:pPr>
              <w:pStyle w:val="TableText"/>
              <w:rPr>
                <w:b w:val="0"/>
              </w:rPr>
            </w:pPr>
            <w:r w:rsidRPr="00AD4157">
              <w:rPr>
                <w:b w:val="0"/>
              </w:rPr>
              <w:t xml:space="preserve">What are the next steps after the </w:t>
            </w:r>
            <w:r w:rsidR="00DF32F7" w:rsidRPr="00AD4157">
              <w:rPr>
                <w:b w:val="0"/>
              </w:rPr>
              <w:t>roundtable</w:t>
            </w:r>
            <w:r w:rsidRPr="00AD4157">
              <w:rPr>
                <w:b w:val="0"/>
              </w:rPr>
              <w:t>?</w:t>
            </w:r>
          </w:p>
        </w:tc>
        <w:tc>
          <w:tcPr>
            <w:tcW w:w="6327" w:type="dxa"/>
          </w:tcPr>
          <w:p w14:paraId="6DB691EF" w14:textId="77777777" w:rsidR="00C36A16" w:rsidRDefault="004D19FB" w:rsidP="0018206C">
            <w:pPr>
              <w:pStyle w:val="TableText"/>
              <w:cnfStyle w:val="000000100000" w:firstRow="0" w:lastRow="0" w:firstColumn="0" w:lastColumn="0" w:oddVBand="0" w:evenVBand="0" w:oddHBand="1" w:evenHBand="0" w:firstRowFirstColumn="0" w:firstRowLastColumn="0" w:lastRowFirstColumn="0" w:lastRowLastColumn="0"/>
            </w:pPr>
            <w:r w:rsidRPr="00686354">
              <w:t>The next step is the release of a Biosecurity Advice</w:t>
            </w:r>
            <w:r w:rsidR="007B0316" w:rsidRPr="00686354">
              <w:t xml:space="preserve"> (BA)</w:t>
            </w:r>
            <w:r w:rsidRPr="00686354">
              <w:t xml:space="preserve"> notice requesting submissions on specific issues that stakeholders have with Australia’s current prawn import </w:t>
            </w:r>
            <w:r w:rsidR="00422623">
              <w:t>policy</w:t>
            </w:r>
            <w:r w:rsidR="0020415E">
              <w:t>.</w:t>
            </w:r>
            <w:r w:rsidRPr="00686354">
              <w:t xml:space="preserve"> </w:t>
            </w:r>
            <w:r w:rsidR="0020415E">
              <w:t>T</w:t>
            </w:r>
            <w:r w:rsidRPr="00686354">
              <w:t>his is a formal consultation with stakeholders.</w:t>
            </w:r>
          </w:p>
          <w:p w14:paraId="37C6E82E" w14:textId="7CC35C3D" w:rsidR="004D19FB" w:rsidRPr="007C5BDA" w:rsidRDefault="004D19FB" w:rsidP="0018206C">
            <w:pPr>
              <w:pStyle w:val="TableText"/>
              <w:cnfStyle w:val="000000100000" w:firstRow="0" w:lastRow="0" w:firstColumn="0" w:lastColumn="0" w:oddVBand="0" w:evenVBand="0" w:oddHBand="1" w:evenHBand="0" w:firstRowFirstColumn="0" w:firstRowLastColumn="0" w:lastRowFirstColumn="0" w:lastRowLastColumn="0"/>
            </w:pPr>
            <w:r w:rsidRPr="007C5BDA">
              <w:t xml:space="preserve">Ongoing consultation at other times when stakeholders wish to discuss the review can be done through the </w:t>
            </w:r>
            <w:r w:rsidR="00B33548">
              <w:t>p</w:t>
            </w:r>
            <w:r w:rsidRPr="007C5BDA">
              <w:t xml:space="preserve">rawn review team, which are the first point of contact or </w:t>
            </w:r>
            <w:r w:rsidR="00B33548">
              <w:t xml:space="preserve">the </w:t>
            </w:r>
            <w:r w:rsidR="00746A7C">
              <w:t xml:space="preserve">prawn review </w:t>
            </w:r>
            <w:r w:rsidR="00B33548">
              <w:t>l</w:t>
            </w:r>
            <w:r w:rsidRPr="007C5BDA">
              <w:t xml:space="preserve">iaison officer, </w:t>
            </w:r>
            <w:r w:rsidR="00B33548">
              <w:t>who</w:t>
            </w:r>
            <w:r w:rsidRPr="007C5BDA">
              <w:t xml:space="preserve"> can be contacted </w:t>
            </w:r>
            <w:r w:rsidR="00C72DE3" w:rsidRPr="007C5BDA">
              <w:t>via</w:t>
            </w:r>
            <w:r w:rsidRPr="007C5BDA">
              <w:t xml:space="preserve"> email: </w:t>
            </w:r>
            <w:hyperlink r:id="rId30" w:history="1">
              <w:r w:rsidRPr="007C5BDA">
                <w:rPr>
                  <w:rStyle w:val="Hyperlink"/>
                  <w:rFonts w:ascii="Cambria" w:hAnsi="Cambria"/>
                </w:rPr>
                <w:t>prawnreview@agriculture.gov.au</w:t>
              </w:r>
            </w:hyperlink>
            <w:r w:rsidRPr="007C5BDA">
              <w:t>.</w:t>
            </w:r>
          </w:p>
          <w:p w14:paraId="64C5F4B7" w14:textId="61412D01" w:rsidR="00D4366F" w:rsidRDefault="004D19FB" w:rsidP="0018206C">
            <w:pPr>
              <w:pStyle w:val="TableText"/>
              <w:cnfStyle w:val="000000100000" w:firstRow="0" w:lastRow="0" w:firstColumn="0" w:lastColumn="0" w:oddVBand="0" w:evenVBand="0" w:oddHBand="1" w:evenHBand="0" w:firstRowFirstColumn="0" w:firstRowLastColumn="0" w:lastRowFirstColumn="0" w:lastRowLastColumn="0"/>
            </w:pPr>
            <w:r w:rsidRPr="007C5BDA">
              <w:t xml:space="preserve">The department </w:t>
            </w:r>
            <w:r w:rsidR="00B33548">
              <w:t xml:space="preserve">also </w:t>
            </w:r>
            <w:r w:rsidR="000A5CF8">
              <w:t xml:space="preserve">has a </w:t>
            </w:r>
            <w:r w:rsidRPr="007C5BDA">
              <w:t xml:space="preserve">stakeholder register. Stakeholders who wish to receive notifications and updates regarding the review should register on the </w:t>
            </w:r>
            <w:hyperlink r:id="rId31" w:history="1">
              <w:r w:rsidRPr="00087A82">
                <w:rPr>
                  <w:rStyle w:val="Hyperlink"/>
                </w:rPr>
                <w:t>department’s website</w:t>
              </w:r>
            </w:hyperlink>
            <w:r w:rsidRPr="007C5BDA">
              <w:t>.</w:t>
            </w:r>
          </w:p>
          <w:p w14:paraId="1949FFAD" w14:textId="77777777" w:rsidR="004D19FB" w:rsidRPr="007C5BDA" w:rsidRDefault="00B33548" w:rsidP="0018206C">
            <w:pPr>
              <w:pStyle w:val="TableText"/>
              <w:cnfStyle w:val="000000100000" w:firstRow="0" w:lastRow="0" w:firstColumn="0" w:lastColumn="0" w:oddVBand="0" w:evenVBand="0" w:oddHBand="1" w:evenHBand="0" w:firstRowFirstColumn="0" w:firstRowLastColumn="0" w:lastRowFirstColumn="0" w:lastRowLastColumn="0"/>
            </w:pPr>
            <w:r>
              <w:t>Future</w:t>
            </w:r>
            <w:r w:rsidRPr="007C5BDA">
              <w:t xml:space="preserve"> </w:t>
            </w:r>
            <w:r w:rsidR="00DF32F7" w:rsidRPr="007C5BDA">
              <w:t>roundtable</w:t>
            </w:r>
            <w:r w:rsidR="004D19FB" w:rsidRPr="007C5BDA">
              <w:t xml:space="preserve">s will be </w:t>
            </w:r>
            <w:r w:rsidR="00C72DE3" w:rsidRPr="007C5BDA">
              <w:t xml:space="preserve">organised </w:t>
            </w:r>
            <w:r w:rsidR="004D19FB" w:rsidRPr="007C5BDA">
              <w:t>on a</w:t>
            </w:r>
            <w:r>
              <w:t>n as</w:t>
            </w:r>
            <w:r w:rsidR="004D19FB" w:rsidRPr="007C5BDA">
              <w:t xml:space="preserve"> need</w:t>
            </w:r>
            <w:r>
              <w:t>s</w:t>
            </w:r>
            <w:r w:rsidR="004D19FB" w:rsidRPr="007C5BDA">
              <w:t xml:space="preserve"> basis.</w:t>
            </w:r>
          </w:p>
          <w:p w14:paraId="46E2589A" w14:textId="77777777" w:rsidR="004D19FB" w:rsidRPr="007C5BDA" w:rsidRDefault="004D19FB" w:rsidP="0018206C">
            <w:pPr>
              <w:pStyle w:val="TableText"/>
              <w:cnfStyle w:val="000000100000" w:firstRow="0" w:lastRow="0" w:firstColumn="0" w:lastColumn="0" w:oddVBand="0" w:evenVBand="0" w:oddHBand="1" w:evenHBand="0" w:firstRowFirstColumn="0" w:firstRowLastColumn="0" w:lastRowFirstColumn="0" w:lastRowLastColumn="0"/>
            </w:pPr>
            <w:r w:rsidRPr="007C5BDA">
              <w:t>Other formal consultation</w:t>
            </w:r>
            <w:r w:rsidR="00B33548">
              <w:t xml:space="preserve"> activities</w:t>
            </w:r>
            <w:r w:rsidR="00AC7391">
              <w:t xml:space="preserve"> </w:t>
            </w:r>
            <w:r w:rsidRPr="007C5BDA">
              <w:t xml:space="preserve">with stakeholders </w:t>
            </w:r>
            <w:r w:rsidR="00B33548">
              <w:t xml:space="preserve">will </w:t>
            </w:r>
            <w:r w:rsidRPr="007C5BDA">
              <w:t xml:space="preserve">include the request for stakeholder suggestions for members of the scientific advisory group </w:t>
            </w:r>
            <w:r w:rsidR="00C72DE3" w:rsidRPr="007C5BDA">
              <w:t xml:space="preserve">(SAG) </w:t>
            </w:r>
            <w:r w:rsidRPr="007C5BDA">
              <w:t xml:space="preserve">and the requests for stakeholder comment on </w:t>
            </w:r>
            <w:r w:rsidR="00DA1C3D" w:rsidRPr="007C5BDA">
              <w:t xml:space="preserve">the </w:t>
            </w:r>
            <w:r w:rsidRPr="007C5BDA">
              <w:t>draft report.</w:t>
            </w:r>
          </w:p>
        </w:tc>
      </w:tr>
      <w:tr w:rsidR="004D19FB" w:rsidRPr="00912FCE" w14:paraId="3B67E02A" w14:textId="77777777" w:rsidTr="007407DC">
        <w:tc>
          <w:tcPr>
            <w:cnfStyle w:val="001000000000" w:firstRow="0" w:lastRow="0" w:firstColumn="1" w:lastColumn="0" w:oddVBand="0" w:evenVBand="0" w:oddHBand="0" w:evenHBand="0" w:firstRowFirstColumn="0" w:firstRowLastColumn="0" w:lastRowFirstColumn="0" w:lastRowLastColumn="0"/>
            <w:tcW w:w="2689" w:type="dxa"/>
          </w:tcPr>
          <w:p w14:paraId="07435DE3" w14:textId="260B1B6E" w:rsidR="004D19FB" w:rsidRPr="00AD4157" w:rsidRDefault="004D19FB" w:rsidP="00C57433">
            <w:pPr>
              <w:pStyle w:val="TableText"/>
              <w:rPr>
                <w:b w:val="0"/>
              </w:rPr>
            </w:pPr>
            <w:r w:rsidRPr="00AD4157">
              <w:rPr>
                <w:b w:val="0"/>
              </w:rPr>
              <w:t>Can industry request a specific external expert to be consulted (acknowledging they must have experience in a relevant scientific field) during the review process?</w:t>
            </w:r>
          </w:p>
        </w:tc>
        <w:tc>
          <w:tcPr>
            <w:tcW w:w="6327" w:type="dxa"/>
          </w:tcPr>
          <w:p w14:paraId="3E757720" w14:textId="729DFE3D" w:rsidR="004D19FB" w:rsidRPr="007C5BDA" w:rsidRDefault="00C73FE0" w:rsidP="006F1152">
            <w:pPr>
              <w:pStyle w:val="TableText"/>
              <w:cnfStyle w:val="000000000000" w:firstRow="0" w:lastRow="0" w:firstColumn="0" w:lastColumn="0" w:oddVBand="0" w:evenVBand="0" w:oddHBand="0" w:evenHBand="0" w:firstRowFirstColumn="0" w:firstRowLastColumn="0" w:lastRowFirstColumn="0" w:lastRowLastColumn="0"/>
            </w:pPr>
            <w:r>
              <w:t xml:space="preserve">The department will use external resources and experts as necessary to undertake the review. </w:t>
            </w:r>
            <w:r w:rsidR="004D19FB" w:rsidRPr="007C5BDA">
              <w:t xml:space="preserve">As part of the consultation activities during the review, the department will request stakeholder suggestions for members of the SAG. </w:t>
            </w:r>
            <w:r w:rsidR="00965969">
              <w:t xml:space="preserve">Experts </w:t>
            </w:r>
            <w:r w:rsidR="00E2510C">
              <w:t>proposed</w:t>
            </w:r>
            <w:r w:rsidR="00965969">
              <w:t xml:space="preserve"> by industry must be independent. T</w:t>
            </w:r>
            <w:r w:rsidR="004D19FB" w:rsidRPr="007C5BDA">
              <w:t xml:space="preserve">he department </w:t>
            </w:r>
            <w:r w:rsidR="00116358" w:rsidRPr="007C5BDA">
              <w:t>cannot</w:t>
            </w:r>
            <w:r w:rsidR="004D19FB" w:rsidRPr="007C5BDA">
              <w:t xml:space="preserve"> guarantee that expert</w:t>
            </w:r>
            <w:r w:rsidR="00965969">
              <w:t>s</w:t>
            </w:r>
            <w:r w:rsidR="004D19FB" w:rsidRPr="007C5BDA">
              <w:t xml:space="preserve"> proposed</w:t>
            </w:r>
            <w:r w:rsidR="003977FD" w:rsidRPr="007C5BDA">
              <w:t xml:space="preserve"> by stakeholders</w:t>
            </w:r>
            <w:r w:rsidR="004D19FB" w:rsidRPr="007C5BDA">
              <w:t xml:space="preserve"> will be </w:t>
            </w:r>
            <w:r w:rsidR="00C72DE3" w:rsidRPr="007C5BDA">
              <w:t xml:space="preserve">included as part of </w:t>
            </w:r>
            <w:r w:rsidR="004D19FB" w:rsidRPr="007C5BDA">
              <w:t>the SAG</w:t>
            </w:r>
            <w:r w:rsidR="00965969">
              <w:t>.</w:t>
            </w:r>
            <w:r w:rsidR="0037532F">
              <w:t xml:space="preserve"> </w:t>
            </w:r>
            <w:r w:rsidR="006F1152">
              <w:t>D</w:t>
            </w:r>
            <w:r w:rsidR="004D19FB" w:rsidRPr="007C5BDA">
              <w:t>uring the review</w:t>
            </w:r>
            <w:r w:rsidR="00B33548">
              <w:t xml:space="preserve"> process</w:t>
            </w:r>
            <w:r w:rsidR="004D19FB" w:rsidRPr="007C5BDA">
              <w:t>, industry consultants will have an opportunity to express their view</w:t>
            </w:r>
            <w:r w:rsidR="00965969">
              <w:t xml:space="preserve">s through the preparation of </w:t>
            </w:r>
            <w:r w:rsidR="004D19FB" w:rsidRPr="007C5BDA">
              <w:t>science-based submissions</w:t>
            </w:r>
            <w:r w:rsidR="00965969">
              <w:t xml:space="preserve"> which will be considered by </w:t>
            </w:r>
            <w:r>
              <w:t>the department</w:t>
            </w:r>
            <w:r w:rsidR="004D19FB" w:rsidRPr="007C5BDA">
              <w:t xml:space="preserve"> when </w:t>
            </w:r>
            <w:r w:rsidR="00B33548">
              <w:t>conducting the review</w:t>
            </w:r>
            <w:r w:rsidR="004D19FB" w:rsidRPr="007C5BDA">
              <w:t>.</w:t>
            </w:r>
          </w:p>
        </w:tc>
      </w:tr>
      <w:tr w:rsidR="004D19FB" w:rsidRPr="00912FCE" w14:paraId="4BA71B8C" w14:textId="77777777"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B0F876C" w14:textId="77777777" w:rsidR="004D19FB" w:rsidRPr="00AD4157" w:rsidRDefault="004D19FB" w:rsidP="00C57433">
            <w:pPr>
              <w:pStyle w:val="TableText"/>
              <w:rPr>
                <w:b w:val="0"/>
              </w:rPr>
            </w:pPr>
            <w:r w:rsidRPr="00AD4157">
              <w:rPr>
                <w:b w:val="0"/>
              </w:rPr>
              <w:t>How broad will this review</w:t>
            </w:r>
            <w:r w:rsidR="00C72DE3" w:rsidRPr="00AD4157">
              <w:rPr>
                <w:b w:val="0"/>
              </w:rPr>
              <w:t xml:space="preserve"> be?</w:t>
            </w:r>
          </w:p>
        </w:tc>
        <w:tc>
          <w:tcPr>
            <w:tcW w:w="6327" w:type="dxa"/>
          </w:tcPr>
          <w:p w14:paraId="3DCAFDBF" w14:textId="77777777" w:rsidR="00006624" w:rsidRPr="0018206C" w:rsidRDefault="004D19FB" w:rsidP="0018206C">
            <w:pPr>
              <w:pStyle w:val="TableText"/>
              <w:cnfStyle w:val="000000100000" w:firstRow="0" w:lastRow="0" w:firstColumn="0" w:lastColumn="0" w:oddVBand="0" w:evenVBand="0" w:oddHBand="1" w:evenHBand="0" w:firstRowFirstColumn="0" w:firstRowLastColumn="0" w:lastRowFirstColumn="0" w:lastRowLastColumn="0"/>
            </w:pPr>
            <w:r w:rsidRPr="0018206C">
              <w:t xml:space="preserve">This is a review of the biosecurity risks of, and import conditions for, prawns and prawn products </w:t>
            </w:r>
            <w:r w:rsidR="00006624" w:rsidRPr="0018206C">
              <w:t>imported for human consumption.</w:t>
            </w:r>
          </w:p>
          <w:p w14:paraId="2F75551D" w14:textId="77777777" w:rsidR="004D19FB" w:rsidRPr="0018206C" w:rsidRDefault="004D19FB" w:rsidP="0018206C">
            <w:pPr>
              <w:pStyle w:val="TableText"/>
              <w:cnfStyle w:val="000000100000" w:firstRow="0" w:lastRow="0" w:firstColumn="0" w:lastColumn="0" w:oddVBand="0" w:evenVBand="0" w:oddHBand="1" w:evenHBand="0" w:firstRowFirstColumn="0" w:firstRowLastColumn="0" w:lastRowFirstColumn="0" w:lastRowLastColumn="0"/>
            </w:pPr>
            <w:r w:rsidRPr="0018206C">
              <w:t>Other disease pathways and vectors are out of scope (</w:t>
            </w:r>
            <w:r w:rsidR="00CF40F7" w:rsidRPr="0018206C">
              <w:t xml:space="preserve">e.g. </w:t>
            </w:r>
            <w:r w:rsidRPr="0018206C">
              <w:t>ballast water)</w:t>
            </w:r>
            <w:r w:rsidR="00D8174A">
              <w:t>.</w:t>
            </w:r>
          </w:p>
          <w:p w14:paraId="434F1360" w14:textId="77777777" w:rsidR="004D19FB" w:rsidRPr="0018206C" w:rsidRDefault="004D19FB" w:rsidP="00D91EDD">
            <w:pPr>
              <w:pStyle w:val="TableText"/>
              <w:cnfStyle w:val="000000100000" w:firstRow="0" w:lastRow="0" w:firstColumn="0" w:lastColumn="0" w:oddVBand="0" w:evenVBand="0" w:oddHBand="1" w:evenHBand="0" w:firstRowFirstColumn="0" w:firstRowLastColumn="0" w:lastRowFirstColumn="0" w:lastRowLastColumn="0"/>
            </w:pPr>
            <w:r w:rsidRPr="0018206C">
              <w:t xml:space="preserve">Other aquatic species that may be affected by pathogens carried by imported prawns are considered </w:t>
            </w:r>
            <w:r w:rsidR="00B33548">
              <w:t xml:space="preserve">during the </w:t>
            </w:r>
            <w:r w:rsidR="00D91EDD">
              <w:t xml:space="preserve">impact </w:t>
            </w:r>
            <w:r w:rsidR="00B33548">
              <w:t>analysis</w:t>
            </w:r>
            <w:r w:rsidR="00D91EDD">
              <w:t xml:space="preserve"> part of the review</w:t>
            </w:r>
            <w:r w:rsidR="00B33548">
              <w:t>.</w:t>
            </w:r>
          </w:p>
        </w:tc>
      </w:tr>
      <w:tr w:rsidR="004D19FB" w:rsidRPr="00912FCE" w14:paraId="4B0B64E1" w14:textId="77777777" w:rsidTr="007407DC">
        <w:tc>
          <w:tcPr>
            <w:cnfStyle w:val="001000000000" w:firstRow="0" w:lastRow="0" w:firstColumn="1" w:lastColumn="0" w:oddVBand="0" w:evenVBand="0" w:oddHBand="0" w:evenHBand="0" w:firstRowFirstColumn="0" w:firstRowLastColumn="0" w:lastRowFirstColumn="0" w:lastRowLastColumn="0"/>
            <w:tcW w:w="2689" w:type="dxa"/>
          </w:tcPr>
          <w:p w14:paraId="64D8A33F" w14:textId="77777777" w:rsidR="004D19FB" w:rsidRPr="00C57433" w:rsidRDefault="004D19FB" w:rsidP="00C57433">
            <w:pPr>
              <w:pStyle w:val="TableText"/>
              <w:rPr>
                <w:b w:val="0"/>
              </w:rPr>
            </w:pPr>
            <w:r w:rsidRPr="00AD4157">
              <w:rPr>
                <w:b w:val="0"/>
              </w:rPr>
              <w:t xml:space="preserve">What actions are being taken in other sectors of the seafood industry to review biosecurity risk assessments? </w:t>
            </w:r>
            <w:r w:rsidR="00493DB1" w:rsidRPr="00AD4157">
              <w:rPr>
                <w:b w:val="0"/>
              </w:rPr>
              <w:t>What action is being taken in relat</w:t>
            </w:r>
            <w:r w:rsidR="0018206C" w:rsidRPr="00AD4157">
              <w:rPr>
                <w:b w:val="0"/>
              </w:rPr>
              <w:t>i</w:t>
            </w:r>
            <w:r w:rsidR="00493DB1" w:rsidRPr="00AD4157">
              <w:rPr>
                <w:b w:val="0"/>
              </w:rPr>
              <w:t xml:space="preserve">on to </w:t>
            </w:r>
            <w:r w:rsidRPr="00AD4157">
              <w:rPr>
                <w:b w:val="0"/>
              </w:rPr>
              <w:t>pathways that are not fully understood and need to be considered?</w:t>
            </w:r>
          </w:p>
        </w:tc>
        <w:tc>
          <w:tcPr>
            <w:tcW w:w="6327" w:type="dxa"/>
          </w:tcPr>
          <w:p w14:paraId="00AEC014" w14:textId="4C630D2F" w:rsidR="004D19FB" w:rsidRPr="007C5BDA" w:rsidRDefault="004D19FB" w:rsidP="00087A82">
            <w:pPr>
              <w:pStyle w:val="TableText"/>
              <w:cnfStyle w:val="000000000000" w:firstRow="0" w:lastRow="0" w:firstColumn="0" w:lastColumn="0" w:oddVBand="0" w:evenVBand="0" w:oddHBand="0" w:evenHBand="0" w:firstRowFirstColumn="0" w:firstRowLastColumn="0" w:lastRowFirstColumn="0" w:lastRowLastColumn="0"/>
            </w:pPr>
            <w:r w:rsidRPr="0018206C">
              <w:t xml:space="preserve">If </w:t>
            </w:r>
            <w:r w:rsidR="00C73FE0">
              <w:t>the department</w:t>
            </w:r>
            <w:r w:rsidRPr="0018206C">
              <w:t xml:space="preserve"> becomes aware of potential risks or that the risk </w:t>
            </w:r>
            <w:r w:rsidR="00B33548">
              <w:t>changes</w:t>
            </w:r>
            <w:r w:rsidR="00B33548" w:rsidRPr="0018206C">
              <w:t xml:space="preserve"> </w:t>
            </w:r>
            <w:r w:rsidR="00B33548">
              <w:t>for a particular commodity</w:t>
            </w:r>
            <w:r w:rsidRPr="0018206C">
              <w:t>, mechanisms</w:t>
            </w:r>
            <w:r w:rsidR="00E079C1">
              <w:t xml:space="preserve"> are available</w:t>
            </w:r>
            <w:r w:rsidRPr="0018206C">
              <w:t xml:space="preserve"> to </w:t>
            </w:r>
            <w:r w:rsidR="001E5A01" w:rsidRPr="0018206C">
              <w:t xml:space="preserve">prioritise </w:t>
            </w:r>
            <w:r w:rsidRPr="0018206C">
              <w:t xml:space="preserve">a review, and/or put conditions in place to </w:t>
            </w:r>
            <w:r w:rsidR="00C73FE0">
              <w:t>manage</w:t>
            </w:r>
            <w:r w:rsidR="00C73FE0" w:rsidRPr="0018206C">
              <w:t xml:space="preserve"> </w:t>
            </w:r>
            <w:r w:rsidRPr="0018206C">
              <w:t>the risk.</w:t>
            </w:r>
          </w:p>
        </w:tc>
      </w:tr>
      <w:tr w:rsidR="004D19FB" w:rsidRPr="00912FCE" w14:paraId="247113D3" w14:textId="77777777" w:rsidTr="00087A8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Pr>
          <w:p w14:paraId="0F29ECA0" w14:textId="04D3CCC3" w:rsidR="004D19FB" w:rsidRPr="00AD4157" w:rsidRDefault="00493DB1" w:rsidP="00C57433">
            <w:pPr>
              <w:pStyle w:val="TableText"/>
              <w:rPr>
                <w:b w:val="0"/>
              </w:rPr>
            </w:pPr>
            <w:r w:rsidRPr="00AD4157">
              <w:rPr>
                <w:b w:val="0"/>
              </w:rPr>
              <w:lastRenderedPageBreak/>
              <w:t>What</w:t>
            </w:r>
            <w:r w:rsidR="004D19FB" w:rsidRPr="00AD4157">
              <w:rPr>
                <w:b w:val="0"/>
              </w:rPr>
              <w:t xml:space="preserve"> is the process for the identification of changing risks, and how do you perform ongoing scrutiny without having to perfo</w:t>
            </w:r>
            <w:r w:rsidR="00087A82" w:rsidRPr="00AD4157">
              <w:rPr>
                <w:b w:val="0"/>
              </w:rPr>
              <w:t>rm a major review?</w:t>
            </w:r>
          </w:p>
        </w:tc>
        <w:tc>
          <w:tcPr>
            <w:tcW w:w="6327" w:type="dxa"/>
          </w:tcPr>
          <w:p w14:paraId="54EA3EAC" w14:textId="77777777" w:rsidR="00C36A16" w:rsidRDefault="004D19FB" w:rsidP="0018206C">
            <w:pPr>
              <w:pStyle w:val="TableText"/>
              <w:cnfStyle w:val="000000100000" w:firstRow="0" w:lastRow="0" w:firstColumn="0" w:lastColumn="0" w:oddVBand="0" w:evenVBand="0" w:oddHBand="1" w:evenHBand="0" w:firstRowFirstColumn="0" w:firstRowLastColumn="0" w:lastRowFirstColumn="0" w:lastRowLastColumn="0"/>
            </w:pPr>
            <w:r w:rsidRPr="007C5BDA">
              <w:t>Animal Biosecurity has ongoing media</w:t>
            </w:r>
            <w:r w:rsidR="00D8174A">
              <w:t xml:space="preserve"> and scientific literature</w:t>
            </w:r>
            <w:r w:rsidRPr="007C5BDA">
              <w:t xml:space="preserve"> feeds about biosecurity issues for all animal species, those feeds are reviewed by technical experts and if </w:t>
            </w:r>
            <w:r w:rsidR="00493DB1" w:rsidRPr="007C5BDA">
              <w:t xml:space="preserve">an </w:t>
            </w:r>
            <w:r w:rsidRPr="007C5BDA">
              <w:t>alarm is raised, the department will review the risk and / or take immediate action.</w:t>
            </w:r>
          </w:p>
          <w:p w14:paraId="5936C003" w14:textId="10096EBF" w:rsidR="004D19FB" w:rsidRPr="007C5BDA" w:rsidRDefault="004D19FB" w:rsidP="00337BF8">
            <w:pPr>
              <w:pStyle w:val="TableText"/>
              <w:cnfStyle w:val="000000100000" w:firstRow="0" w:lastRow="0" w:firstColumn="0" w:lastColumn="0" w:oddVBand="0" w:evenVBand="0" w:oddHBand="1" w:evenHBand="0" w:firstRowFirstColumn="0" w:firstRowLastColumn="0" w:lastRowFirstColumn="0" w:lastRowLastColumn="0"/>
            </w:pPr>
            <w:r w:rsidRPr="007C5BDA">
              <w:t xml:space="preserve">Also, under the funding for the biosecurity white paper the department </w:t>
            </w:r>
            <w:r w:rsidR="00B33548">
              <w:t>is conducting a review</w:t>
            </w:r>
            <w:r w:rsidRPr="007C5BDA">
              <w:t xml:space="preserve"> of the import conditions for all animal commodities</w:t>
            </w:r>
            <w:r w:rsidR="00337BF8">
              <w:t>, which allows the department</w:t>
            </w:r>
            <w:r w:rsidR="003F60B5">
              <w:t xml:space="preserve"> to</w:t>
            </w:r>
            <w:r w:rsidR="00EA0E41">
              <w:t xml:space="preserve"> </w:t>
            </w:r>
            <w:r w:rsidR="00337BF8">
              <w:t xml:space="preserve">identify gaps, </w:t>
            </w:r>
            <w:r w:rsidR="00EA0E41">
              <w:t xml:space="preserve">as well as </w:t>
            </w:r>
            <w:r w:rsidR="00337BF8">
              <w:t>streamline and tighten import conditions</w:t>
            </w:r>
            <w:r w:rsidR="00A0461F">
              <w:t xml:space="preserve"> without having to conduct a formal review process</w:t>
            </w:r>
            <w:r w:rsidR="00A82954">
              <w:t xml:space="preserve"> over a number of years</w:t>
            </w:r>
            <w:r w:rsidR="003F60B5">
              <w:t>.</w:t>
            </w:r>
          </w:p>
        </w:tc>
      </w:tr>
      <w:tr w:rsidR="004D19FB" w:rsidRPr="00912FCE" w14:paraId="5E133EE7" w14:textId="77777777" w:rsidTr="007407DC">
        <w:tc>
          <w:tcPr>
            <w:cnfStyle w:val="001000000000" w:firstRow="0" w:lastRow="0" w:firstColumn="1" w:lastColumn="0" w:oddVBand="0" w:evenVBand="0" w:oddHBand="0" w:evenHBand="0" w:firstRowFirstColumn="0" w:firstRowLastColumn="0" w:lastRowFirstColumn="0" w:lastRowLastColumn="0"/>
            <w:tcW w:w="2689" w:type="dxa"/>
          </w:tcPr>
          <w:p w14:paraId="21124C3D" w14:textId="77777777" w:rsidR="004D19FB" w:rsidRPr="00AD4157" w:rsidRDefault="004D19FB" w:rsidP="00C57433">
            <w:pPr>
              <w:pStyle w:val="TableText"/>
              <w:rPr>
                <w:b w:val="0"/>
              </w:rPr>
            </w:pPr>
            <w:r w:rsidRPr="00AD4157">
              <w:rPr>
                <w:b w:val="0"/>
              </w:rPr>
              <w:t xml:space="preserve">During the review do you consider </w:t>
            </w:r>
            <w:r w:rsidR="00493DB1" w:rsidRPr="00AD4157">
              <w:rPr>
                <w:b w:val="0"/>
              </w:rPr>
              <w:t xml:space="preserve">the </w:t>
            </w:r>
            <w:r w:rsidRPr="00AD4157">
              <w:rPr>
                <w:b w:val="0"/>
              </w:rPr>
              <w:t>cost associated with the eradication of an exotic disease?</w:t>
            </w:r>
          </w:p>
        </w:tc>
        <w:tc>
          <w:tcPr>
            <w:tcW w:w="6327" w:type="dxa"/>
          </w:tcPr>
          <w:p w14:paraId="560377AE" w14:textId="3609C45E" w:rsidR="004D19FB" w:rsidRPr="0018206C" w:rsidRDefault="004D19FB" w:rsidP="00E2510C">
            <w:pPr>
              <w:pStyle w:val="TableText"/>
              <w:cnfStyle w:val="000000000000" w:firstRow="0" w:lastRow="0" w:firstColumn="0" w:lastColumn="0" w:oddVBand="0" w:evenVBand="0" w:oddHBand="0" w:evenHBand="0" w:firstRowFirstColumn="0" w:firstRowLastColumn="0" w:lastRowFirstColumn="0" w:lastRowLastColumn="0"/>
            </w:pPr>
            <w:r w:rsidRPr="007C5BDA">
              <w:t>The cost associated with the eradication of an exotic disease is considered in the consequence assessment</w:t>
            </w:r>
            <w:r w:rsidR="00493DB1" w:rsidRPr="007C5BDA">
              <w:t xml:space="preserve"> </w:t>
            </w:r>
            <w:r w:rsidR="00087A82">
              <w:t>part of the review.</w:t>
            </w:r>
          </w:p>
        </w:tc>
      </w:tr>
      <w:tr w:rsidR="004D19FB" w:rsidRPr="007C5BDA" w14:paraId="4E2D4B81" w14:textId="77777777"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36104F4" w14:textId="77777777" w:rsidR="004D19FB" w:rsidRPr="00AD4157" w:rsidRDefault="004D19FB" w:rsidP="00C57433">
            <w:pPr>
              <w:pStyle w:val="TableText"/>
              <w:rPr>
                <w:b w:val="0"/>
              </w:rPr>
            </w:pPr>
            <w:r w:rsidRPr="00AD4157">
              <w:rPr>
                <w:b w:val="0"/>
              </w:rPr>
              <w:t xml:space="preserve">What systems are used (and their accuracy) to verify correct labelling and </w:t>
            </w:r>
            <w:r w:rsidR="00493DB1" w:rsidRPr="00AD4157">
              <w:rPr>
                <w:b w:val="0"/>
              </w:rPr>
              <w:t>trace-</w:t>
            </w:r>
            <w:r w:rsidRPr="00AD4157">
              <w:rPr>
                <w:b w:val="0"/>
              </w:rPr>
              <w:t>back systems?</w:t>
            </w:r>
          </w:p>
        </w:tc>
        <w:tc>
          <w:tcPr>
            <w:tcW w:w="6327" w:type="dxa"/>
          </w:tcPr>
          <w:p w14:paraId="5C07C0BB" w14:textId="4EFD5ED0" w:rsidR="00E2510C" w:rsidRDefault="004D19FB" w:rsidP="0018206C">
            <w:pPr>
              <w:pStyle w:val="TableText"/>
              <w:cnfStyle w:val="000000100000" w:firstRow="0" w:lastRow="0" w:firstColumn="0" w:lastColumn="0" w:oddVBand="0" w:evenVBand="0" w:oddHBand="1" w:evenHBand="0" w:firstRowFirstColumn="0" w:firstRowLastColumn="0" w:lastRowFirstColumn="0" w:lastRowLastColumn="0"/>
            </w:pPr>
            <w:r w:rsidRPr="007C5BDA">
              <w:t xml:space="preserve">Animal Biosecurity </w:t>
            </w:r>
            <w:r w:rsidR="00D91389">
              <w:t>is undertaking</w:t>
            </w:r>
            <w:r w:rsidRPr="007C5BDA">
              <w:t xml:space="preserve"> familiarisation visits to trading partners to discuss pre-border controls and</w:t>
            </w:r>
            <w:r w:rsidR="00E2510C">
              <w:t xml:space="preserve"> better</w:t>
            </w:r>
            <w:r w:rsidRPr="007C5BDA">
              <w:t xml:space="preserve"> understand the systems in place to manage biosecurity risks fo</w:t>
            </w:r>
            <w:r w:rsidR="00087A82">
              <w:t>r prawns exported to Australia.</w:t>
            </w:r>
          </w:p>
          <w:p w14:paraId="3079B9B3" w14:textId="77777777" w:rsidR="004D19FB" w:rsidRPr="007C5BDA" w:rsidRDefault="004D19FB" w:rsidP="0018206C">
            <w:pPr>
              <w:pStyle w:val="TableText"/>
              <w:cnfStyle w:val="000000100000" w:firstRow="0" w:lastRow="0" w:firstColumn="0" w:lastColumn="0" w:oddVBand="0" w:evenVBand="0" w:oddHBand="1" w:evenHBand="0" w:firstRowFirstColumn="0" w:firstRowLastColumn="0" w:lastRowFirstColumn="0" w:lastRowLastColumn="0"/>
            </w:pPr>
            <w:r w:rsidRPr="007C5BDA">
              <w:t>One possible outcome of the review is that Animal Biosecurity undertakes verification visits</w:t>
            </w:r>
            <w:r w:rsidR="00D91EDD">
              <w:t xml:space="preserve"> to major trading partners</w:t>
            </w:r>
            <w:r w:rsidRPr="007C5BDA">
              <w:t xml:space="preserve"> </w:t>
            </w:r>
            <w:r w:rsidR="00D91EDD">
              <w:t>to confirm</w:t>
            </w:r>
            <w:r w:rsidRPr="007C5BDA">
              <w:t xml:space="preserve"> that the systems in the exporting county meet Australia’s requirements</w:t>
            </w:r>
            <w:r w:rsidR="003F60B5">
              <w:t xml:space="preserve">, which may include aspects such as in-country </w:t>
            </w:r>
            <w:r w:rsidR="00A0461F">
              <w:t xml:space="preserve">controls and oversight of </w:t>
            </w:r>
            <w:r w:rsidR="003F60B5">
              <w:t xml:space="preserve">verification of labelling and trace-back </w:t>
            </w:r>
            <w:r w:rsidR="00EC655A">
              <w:t>mechanisms</w:t>
            </w:r>
            <w:r w:rsidRPr="007C5BDA">
              <w:t>.</w:t>
            </w:r>
          </w:p>
          <w:p w14:paraId="48D5D3DB" w14:textId="071CC529" w:rsidR="004D19FB" w:rsidRPr="007C5BDA" w:rsidRDefault="004D19FB" w:rsidP="00F77813">
            <w:pPr>
              <w:pStyle w:val="TableText"/>
              <w:cnfStyle w:val="000000100000" w:firstRow="0" w:lastRow="0" w:firstColumn="0" w:lastColumn="0" w:oddVBand="0" w:evenVBand="0" w:oddHBand="1" w:evenHBand="0" w:firstRowFirstColumn="0" w:firstRowLastColumn="0" w:lastRowFirstColumn="0" w:lastRowLastColumn="0"/>
            </w:pPr>
            <w:r w:rsidRPr="007C5BDA">
              <w:t xml:space="preserve">Also, when import conditions are developed to manage biosecurity risks, Animal Biosecurity works with </w:t>
            </w:r>
            <w:r w:rsidR="00B33548">
              <w:t>the</w:t>
            </w:r>
            <w:r w:rsidRPr="007C5BDA">
              <w:t xml:space="preserve"> operational areas to ensure that risk management measures are operationally viable and practical</w:t>
            </w:r>
            <w:r w:rsidR="00A0461F">
              <w:t>.</w:t>
            </w:r>
            <w:r w:rsidR="003F60B5">
              <w:t xml:space="preserve"> </w:t>
            </w:r>
            <w:r w:rsidR="00A0461F">
              <w:t>T</w:t>
            </w:r>
            <w:r w:rsidR="003F60B5">
              <w:t>hereby</w:t>
            </w:r>
            <w:r w:rsidR="00A0461F">
              <w:t xml:space="preserve"> </w:t>
            </w:r>
            <w:r w:rsidR="00D071A2">
              <w:t>reducing</w:t>
            </w:r>
            <w:r w:rsidR="003F60B5">
              <w:t xml:space="preserve"> </w:t>
            </w:r>
            <w:r w:rsidR="00853F07">
              <w:t xml:space="preserve">the risk that </w:t>
            </w:r>
            <w:r w:rsidR="003F60B5">
              <w:t xml:space="preserve">the </w:t>
            </w:r>
            <w:r w:rsidR="00853F07">
              <w:t>measures are not applied as intended</w:t>
            </w:r>
            <w:r w:rsidR="00D071A2">
              <w:t xml:space="preserve"> and</w:t>
            </w:r>
            <w:r w:rsidR="00A0461F">
              <w:t xml:space="preserve"> </w:t>
            </w:r>
            <w:r w:rsidR="00D35502">
              <w:t xml:space="preserve">reducing </w:t>
            </w:r>
            <w:r w:rsidR="00A0461F">
              <w:t>the o</w:t>
            </w:r>
            <w:r w:rsidR="00D071A2">
              <w:t xml:space="preserve">pportunities for </w:t>
            </w:r>
            <w:r w:rsidR="00C31BA2">
              <w:t>non-compliance</w:t>
            </w:r>
            <w:r w:rsidR="0016357D">
              <w:t xml:space="preserve"> and </w:t>
            </w:r>
            <w:r w:rsidR="00746A7C">
              <w:t>fraudulent activity</w:t>
            </w:r>
            <w:r w:rsidR="00D071A2">
              <w:t>.</w:t>
            </w:r>
          </w:p>
        </w:tc>
      </w:tr>
      <w:tr w:rsidR="004D19FB" w:rsidRPr="00912FCE" w14:paraId="5D6E3806" w14:textId="77777777" w:rsidTr="007407DC">
        <w:tc>
          <w:tcPr>
            <w:cnfStyle w:val="001000000000" w:firstRow="0" w:lastRow="0" w:firstColumn="1" w:lastColumn="0" w:oddVBand="0" w:evenVBand="0" w:oddHBand="0" w:evenHBand="0" w:firstRowFirstColumn="0" w:firstRowLastColumn="0" w:lastRowFirstColumn="0" w:lastRowLastColumn="0"/>
            <w:tcW w:w="2689" w:type="dxa"/>
          </w:tcPr>
          <w:p w14:paraId="3AB670A0" w14:textId="77777777" w:rsidR="004D19FB" w:rsidRPr="00AD4157" w:rsidRDefault="004D19FB" w:rsidP="00C57433">
            <w:pPr>
              <w:pStyle w:val="TableText"/>
              <w:rPr>
                <w:b w:val="0"/>
              </w:rPr>
            </w:pPr>
            <w:r w:rsidRPr="00AD4157">
              <w:rPr>
                <w:b w:val="0"/>
              </w:rPr>
              <w:t>In relation to pathways across jurisdictions and management measures - How to manage the risk that recreational fishers will fish near inlet channels to aquaculture farms?</w:t>
            </w:r>
          </w:p>
        </w:tc>
        <w:tc>
          <w:tcPr>
            <w:tcW w:w="6327" w:type="dxa"/>
          </w:tcPr>
          <w:p w14:paraId="040B7F06" w14:textId="591781D6" w:rsidR="004D19FB" w:rsidRPr="0018206C" w:rsidRDefault="004D19FB" w:rsidP="0018206C">
            <w:pPr>
              <w:pStyle w:val="TableText"/>
              <w:cnfStyle w:val="000000000000" w:firstRow="0" w:lastRow="0" w:firstColumn="0" w:lastColumn="0" w:oddVBand="0" w:evenVBand="0" w:oddHBand="0" w:evenHBand="0" w:firstRowFirstColumn="0" w:firstRowLastColumn="0" w:lastRowFirstColumn="0" w:lastRowLastColumn="0"/>
            </w:pPr>
            <w:r w:rsidRPr="0018206C">
              <w:t>There are</w:t>
            </w:r>
            <w:r w:rsidR="006F1152">
              <w:t xml:space="preserve"> clear</w:t>
            </w:r>
            <w:r w:rsidRPr="0018206C">
              <w:t xml:space="preserve"> jurisdictional </w:t>
            </w:r>
            <w:r w:rsidR="001B5481">
              <w:t>responsibilities</w:t>
            </w:r>
            <w:r w:rsidR="00862CB9">
              <w:t xml:space="preserve"> </w:t>
            </w:r>
            <w:r w:rsidR="00C73FE0">
              <w:t>regarding</w:t>
            </w:r>
            <w:r w:rsidR="00862CB9">
              <w:t xml:space="preserve"> managing</w:t>
            </w:r>
            <w:r w:rsidR="00C73FE0">
              <w:t xml:space="preserve"> biosecurity</w:t>
            </w:r>
            <w:r w:rsidR="00862CB9">
              <w:t xml:space="preserve"> risks post-border</w:t>
            </w:r>
            <w:r w:rsidRPr="0018206C">
              <w:t xml:space="preserve">. </w:t>
            </w:r>
            <w:r w:rsidR="00862CB9">
              <w:t xml:space="preserve">The review may provide </w:t>
            </w:r>
            <w:r w:rsidRPr="0018206C">
              <w:t>recommendations to manage risk post-border</w:t>
            </w:r>
            <w:r w:rsidR="00D45583">
              <w:t xml:space="preserve"> which </w:t>
            </w:r>
            <w:r w:rsidRPr="0018206C">
              <w:t>State and Territory jurisdictions will have a chance to comment</w:t>
            </w:r>
            <w:r w:rsidR="00D45583">
              <w:t xml:space="preserve"> on</w:t>
            </w:r>
            <w:r w:rsidR="00C73FE0">
              <w:t xml:space="preserve"> as part of the review process</w:t>
            </w:r>
            <w:r w:rsidRPr="0018206C">
              <w:t>.</w:t>
            </w:r>
          </w:p>
          <w:p w14:paraId="4814B4F0" w14:textId="77777777" w:rsidR="004D19FB" w:rsidRPr="0018206C" w:rsidRDefault="004D19FB" w:rsidP="00FF6459">
            <w:pPr>
              <w:pStyle w:val="TableText"/>
              <w:cnfStyle w:val="000000000000" w:firstRow="0" w:lastRow="0" w:firstColumn="0" w:lastColumn="0" w:oddVBand="0" w:evenVBand="0" w:oddHBand="0" w:evenHBand="0" w:firstRowFirstColumn="0" w:firstRowLastColumn="0" w:lastRowFirstColumn="0" w:lastRowLastColumn="0"/>
            </w:pPr>
            <w:r w:rsidRPr="0018206C">
              <w:t xml:space="preserve">State and </w:t>
            </w:r>
            <w:r w:rsidR="001E5A01" w:rsidRPr="0018206C">
              <w:t xml:space="preserve">Territory </w:t>
            </w:r>
            <w:r w:rsidRPr="0018206C">
              <w:t xml:space="preserve">representatives added that </w:t>
            </w:r>
            <w:r w:rsidR="00FE3724" w:rsidRPr="0018206C">
              <w:t>Qld</w:t>
            </w:r>
            <w:r w:rsidRPr="0018206C">
              <w:t xml:space="preserve"> and NSW have some jurisdiction around fishing in channels</w:t>
            </w:r>
            <w:r w:rsidR="001E5A01" w:rsidRPr="0018206C">
              <w:t xml:space="preserve"> near prawn farms</w:t>
            </w:r>
            <w:r w:rsidRPr="0018206C">
              <w:t xml:space="preserve">. </w:t>
            </w:r>
          </w:p>
        </w:tc>
      </w:tr>
      <w:tr w:rsidR="004D19FB" w:rsidRPr="00912FCE" w14:paraId="328CEC1C" w14:textId="77777777"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8681A0A" w14:textId="77777777" w:rsidR="004D19FB" w:rsidRPr="00AD4157" w:rsidRDefault="004D19FB" w:rsidP="00C57433">
            <w:pPr>
              <w:pStyle w:val="TableText"/>
              <w:rPr>
                <w:b w:val="0"/>
              </w:rPr>
            </w:pPr>
            <w:r w:rsidRPr="00AD4157">
              <w:rPr>
                <w:b w:val="0"/>
              </w:rPr>
              <w:t xml:space="preserve">During a risk assessment how </w:t>
            </w:r>
            <w:r w:rsidR="0029764A" w:rsidRPr="00AD4157">
              <w:rPr>
                <w:b w:val="0"/>
              </w:rPr>
              <w:t xml:space="preserve">do you </w:t>
            </w:r>
            <w:r w:rsidR="00D071A2" w:rsidRPr="00AD4157">
              <w:rPr>
                <w:b w:val="0"/>
              </w:rPr>
              <w:t>consider</w:t>
            </w:r>
            <w:r w:rsidR="0029764A" w:rsidRPr="00AD4157">
              <w:rPr>
                <w:b w:val="0"/>
              </w:rPr>
              <w:t xml:space="preserve"> </w:t>
            </w:r>
            <w:r w:rsidR="00D071A2" w:rsidRPr="00AD4157">
              <w:rPr>
                <w:b w:val="0"/>
              </w:rPr>
              <w:t>un</w:t>
            </w:r>
            <w:r w:rsidR="0029764A" w:rsidRPr="00AD4157">
              <w:rPr>
                <w:b w:val="0"/>
              </w:rPr>
              <w:t xml:space="preserve">intended end-use </w:t>
            </w:r>
            <w:r w:rsidRPr="00AD4157">
              <w:rPr>
                <w:b w:val="0"/>
              </w:rPr>
              <w:t>of an imported product?</w:t>
            </w:r>
          </w:p>
        </w:tc>
        <w:tc>
          <w:tcPr>
            <w:tcW w:w="6327" w:type="dxa"/>
          </w:tcPr>
          <w:p w14:paraId="7CBBE5FE" w14:textId="77777777" w:rsidR="0029764A" w:rsidRDefault="0029764A" w:rsidP="0029764A">
            <w:pPr>
              <w:pStyle w:val="TableText"/>
              <w:cnfStyle w:val="000000100000" w:firstRow="0" w:lastRow="0" w:firstColumn="0" w:lastColumn="0" w:oddVBand="0" w:evenVBand="0" w:oddHBand="1" w:evenHBand="0" w:firstRowFirstColumn="0" w:firstRowLastColumn="0" w:lastRowFirstColumn="0" w:lastRowLastColumn="0"/>
            </w:pPr>
            <w:r w:rsidRPr="007C5BDA">
              <w:t xml:space="preserve">Unintended end-use is considered </w:t>
            </w:r>
            <w:r w:rsidR="00D35502">
              <w:t>d</w:t>
            </w:r>
            <w:r w:rsidR="00D071A2">
              <w:t>uring t</w:t>
            </w:r>
            <w:r w:rsidRPr="0029764A">
              <w:t xml:space="preserve">he exposure assessment </w:t>
            </w:r>
            <w:r w:rsidR="00D35502">
              <w:t>step of the risk assessment;</w:t>
            </w:r>
            <w:r w:rsidR="00D071A2">
              <w:t xml:space="preserve"> </w:t>
            </w:r>
            <w:r w:rsidR="00A82954">
              <w:t xml:space="preserve">including </w:t>
            </w:r>
            <w:r w:rsidRPr="0029764A">
              <w:t>the key distribution pathways and end-uses of imported prawns</w:t>
            </w:r>
            <w:r w:rsidR="00D071A2">
              <w:t xml:space="preserve"> are considered. The end-uses considered are not just the intended end-use, but also how </w:t>
            </w:r>
            <w:r w:rsidR="00EC655A">
              <w:t>susceptible</w:t>
            </w:r>
            <w:r w:rsidR="00D071A2">
              <w:t xml:space="preserve"> populations may be exposed to the commodity through unintended end-uses.</w:t>
            </w:r>
          </w:p>
          <w:p w14:paraId="4F7344D9" w14:textId="120DAA44" w:rsidR="0029764A" w:rsidRDefault="00D071A2" w:rsidP="0029764A">
            <w:pPr>
              <w:pStyle w:val="TableText"/>
              <w:cnfStyle w:val="000000100000" w:firstRow="0" w:lastRow="0" w:firstColumn="0" w:lastColumn="0" w:oddVBand="0" w:evenVBand="0" w:oddHBand="1" w:evenHBand="0" w:firstRowFirstColumn="0" w:firstRowLastColumn="0" w:lastRowFirstColumn="0" w:lastRowLastColumn="0"/>
            </w:pPr>
            <w:r>
              <w:t xml:space="preserve">When unintended end-uses are considered </w:t>
            </w:r>
            <w:r w:rsidR="00D50FDE">
              <w:t xml:space="preserve">as </w:t>
            </w:r>
            <w:r>
              <w:t>risks in the risk assessment, r</w:t>
            </w:r>
            <w:r w:rsidR="0029764A" w:rsidRPr="007C5BDA">
              <w:t xml:space="preserve">isk management measures </w:t>
            </w:r>
            <w:r>
              <w:t>may be put in</w:t>
            </w:r>
            <w:r w:rsidR="0029764A" w:rsidRPr="007C5BDA">
              <w:t xml:space="preserve"> place to reduce the risk</w:t>
            </w:r>
            <w:r>
              <w:t>,</w:t>
            </w:r>
            <w:r w:rsidR="00D50FDE">
              <w:t xml:space="preserve"> </w:t>
            </w:r>
            <w:r>
              <w:t>such as</w:t>
            </w:r>
            <w:r w:rsidR="0029764A" w:rsidRPr="007C5BDA">
              <w:t xml:space="preserve"> </w:t>
            </w:r>
            <w:r>
              <w:t xml:space="preserve">labelling requirements. </w:t>
            </w:r>
            <w:r w:rsidR="00350574">
              <w:t>For example, l</w:t>
            </w:r>
            <w:r w:rsidR="0029764A" w:rsidRPr="007C5BDA">
              <w:t xml:space="preserve">abelling of imported prawns “for human consumption only” and “not to be used as bait or feed for aquatic animals” </w:t>
            </w:r>
            <w:r>
              <w:t xml:space="preserve">is a risk management measure intended to </w:t>
            </w:r>
            <w:r w:rsidR="0029764A" w:rsidRPr="007C5BDA">
              <w:t xml:space="preserve">reduce the likelihood of exposure </w:t>
            </w:r>
            <w:r>
              <w:t>of susceptible</w:t>
            </w:r>
            <w:r w:rsidR="00C36A16">
              <w:t xml:space="preserve"> populations to imported prawns.</w:t>
            </w:r>
          </w:p>
          <w:p w14:paraId="1425112D" w14:textId="77777777" w:rsidR="0029764A" w:rsidRDefault="00D50FDE" w:rsidP="0029764A">
            <w:pPr>
              <w:pStyle w:val="TableText"/>
              <w:cnfStyle w:val="000000100000" w:firstRow="0" w:lastRow="0" w:firstColumn="0" w:lastColumn="0" w:oddVBand="0" w:evenVBand="0" w:oddHBand="1" w:evenHBand="0" w:firstRowFirstColumn="0" w:firstRowLastColumn="0" w:lastRowFirstColumn="0" w:lastRowLastColumn="0"/>
            </w:pPr>
            <w:r>
              <w:t>S</w:t>
            </w:r>
            <w:r w:rsidR="00D071A2">
              <w:t>urveys</w:t>
            </w:r>
            <w:r>
              <w:t xml:space="preserve"> conducted in 2002 and 2007</w:t>
            </w:r>
            <w:r w:rsidR="00D071A2">
              <w:t xml:space="preserve"> investigating the use of prawns</w:t>
            </w:r>
            <w:r>
              <w:t>,</w:t>
            </w:r>
            <w:r w:rsidR="00D071A2">
              <w:t xml:space="preserve"> </w:t>
            </w:r>
            <w:r>
              <w:t xml:space="preserve">intended for human consumption, </w:t>
            </w:r>
            <w:r w:rsidR="00D071A2">
              <w:t>for</w:t>
            </w:r>
            <w:r w:rsidR="0029764A">
              <w:t xml:space="preserve"> bait and burley provided significant data inputs for the exposure assessment component </w:t>
            </w:r>
            <w:r w:rsidR="00D071A2">
              <w:t>in</w:t>
            </w:r>
            <w:r w:rsidR="0029764A">
              <w:t xml:space="preserve"> the Prawn IRA</w:t>
            </w:r>
            <w:r>
              <w:t xml:space="preserve"> 2009</w:t>
            </w:r>
            <w:r w:rsidR="0029764A">
              <w:t xml:space="preserve">. The use of </w:t>
            </w:r>
            <w:r>
              <w:t>prawns, intended for human consumption,</w:t>
            </w:r>
            <w:r w:rsidR="0029764A">
              <w:t xml:space="preserve"> as bait</w:t>
            </w:r>
            <w:r>
              <w:t xml:space="preserve"> and </w:t>
            </w:r>
            <w:r w:rsidR="0029764A">
              <w:t xml:space="preserve">burley </w:t>
            </w:r>
            <w:r>
              <w:t>was</w:t>
            </w:r>
            <w:r w:rsidR="0029764A">
              <w:t xml:space="preserve"> identified as a pathway for the potential introduction of pathogens and diseases they may carry into the Australian aquatic environment.</w:t>
            </w:r>
          </w:p>
          <w:p w14:paraId="6D10A4BE" w14:textId="77777777" w:rsidR="004D19FB" w:rsidRPr="00717548" w:rsidRDefault="0029764A" w:rsidP="0029764A">
            <w:pPr>
              <w:pStyle w:val="TableText"/>
              <w:cnfStyle w:val="000000100000" w:firstRow="0" w:lastRow="0" w:firstColumn="0" w:lastColumn="0" w:oddVBand="0" w:evenVBand="0" w:oddHBand="1" w:evenHBand="0" w:firstRowFirstColumn="0" w:firstRowLastColumn="0" w:lastRowFirstColumn="0" w:lastRowLastColumn="0"/>
            </w:pPr>
            <w:r w:rsidRPr="00717548">
              <w:t>The department is working to design a new bait and burley use survey, and its outputs will provide scientifically robust data in regards to unintended end-use, such as for recreational fishing bait</w:t>
            </w:r>
            <w:r w:rsidR="00D50FDE">
              <w:t xml:space="preserve"> for consideration during the review</w:t>
            </w:r>
            <w:r>
              <w:t>.</w:t>
            </w:r>
          </w:p>
        </w:tc>
      </w:tr>
      <w:tr w:rsidR="004D19FB" w:rsidRPr="00912FCE" w14:paraId="6BA6E827" w14:textId="77777777" w:rsidTr="00087A82">
        <w:trPr>
          <w:cantSplit/>
        </w:trPr>
        <w:tc>
          <w:tcPr>
            <w:cnfStyle w:val="001000000000" w:firstRow="0" w:lastRow="0" w:firstColumn="1" w:lastColumn="0" w:oddVBand="0" w:evenVBand="0" w:oddHBand="0" w:evenHBand="0" w:firstRowFirstColumn="0" w:firstRowLastColumn="0" w:lastRowFirstColumn="0" w:lastRowLastColumn="0"/>
            <w:tcW w:w="2689" w:type="dxa"/>
          </w:tcPr>
          <w:p w14:paraId="634AB4FA" w14:textId="77777777" w:rsidR="004D19FB" w:rsidRPr="00AD4157" w:rsidRDefault="004D19FB" w:rsidP="00C57433">
            <w:pPr>
              <w:pStyle w:val="TableText"/>
              <w:rPr>
                <w:b w:val="0"/>
              </w:rPr>
            </w:pPr>
            <w:r w:rsidRPr="00AD4157">
              <w:rPr>
                <w:b w:val="0"/>
              </w:rPr>
              <w:lastRenderedPageBreak/>
              <w:t>How do you get around the current perception of the use of prawns ‘for human consumption’ as bait for recreational fishing in the new Bait and Burley Use Survey? As many education campaigns to alert fishermen to the risks of such practices had been done recently</w:t>
            </w:r>
          </w:p>
        </w:tc>
        <w:tc>
          <w:tcPr>
            <w:tcW w:w="6327" w:type="dxa"/>
          </w:tcPr>
          <w:p w14:paraId="440DCD9C" w14:textId="77777777" w:rsidR="004D19FB" w:rsidRPr="007C5BDA" w:rsidRDefault="004D19FB" w:rsidP="0018206C">
            <w:pPr>
              <w:pStyle w:val="TableText"/>
              <w:cnfStyle w:val="000000000000" w:firstRow="0" w:lastRow="0" w:firstColumn="0" w:lastColumn="0" w:oddVBand="0" w:evenVBand="0" w:oddHBand="0" w:evenHBand="0" w:firstRowFirstColumn="0" w:firstRowLastColumn="0" w:lastRowFirstColumn="0" w:lastRowLastColumn="0"/>
            </w:pPr>
            <w:r w:rsidRPr="007C5BDA">
              <w:t xml:space="preserve">Animal </w:t>
            </w:r>
            <w:r w:rsidR="0062150A" w:rsidRPr="007C5BDA">
              <w:t xml:space="preserve">Biosecurity </w:t>
            </w:r>
            <w:r w:rsidRPr="007C5BDA">
              <w:t xml:space="preserve">is working </w:t>
            </w:r>
            <w:r w:rsidR="00BA3DC4">
              <w:t xml:space="preserve">with relevant experts </w:t>
            </w:r>
            <w:r w:rsidRPr="007C5BDA">
              <w:t xml:space="preserve">to design </w:t>
            </w:r>
            <w:r w:rsidR="00BA3DC4">
              <w:t>a</w:t>
            </w:r>
            <w:r w:rsidR="00BA3DC4" w:rsidRPr="007C5BDA">
              <w:t xml:space="preserve"> </w:t>
            </w:r>
            <w:r w:rsidRPr="007C5BDA">
              <w:t xml:space="preserve">new </w:t>
            </w:r>
            <w:r w:rsidR="00D8174A">
              <w:t>bait and burley use survey</w:t>
            </w:r>
            <w:r w:rsidR="00BA3DC4">
              <w:t>.</w:t>
            </w:r>
            <w:r w:rsidRPr="007C5BDA">
              <w:t xml:space="preserve"> </w:t>
            </w:r>
            <w:r w:rsidR="00BA3DC4">
              <w:t>This includes</w:t>
            </w:r>
            <w:r w:rsidRPr="007C5BDA">
              <w:t xml:space="preserve"> the consultants from </w:t>
            </w:r>
            <w:proofErr w:type="spellStart"/>
            <w:r w:rsidRPr="007C5BDA">
              <w:t>Kewagama</w:t>
            </w:r>
            <w:proofErr w:type="spellEnd"/>
            <w:r w:rsidRPr="007C5BDA">
              <w:t xml:space="preserve"> research, who executed the 2002 and 2007 surveys, and the Australian Bureau of Agricultural and Resource Economics (ABARES).</w:t>
            </w:r>
          </w:p>
          <w:p w14:paraId="6095BE00" w14:textId="77777777" w:rsidR="004D19FB" w:rsidRPr="007C5BDA" w:rsidRDefault="004D19FB" w:rsidP="00931F10">
            <w:pPr>
              <w:pStyle w:val="TableText"/>
              <w:cnfStyle w:val="000000000000" w:firstRow="0" w:lastRow="0" w:firstColumn="0" w:lastColumn="0" w:oddVBand="0" w:evenVBand="0" w:oddHBand="0" w:evenHBand="0" w:firstRowFirstColumn="0" w:firstRowLastColumn="0" w:lastRowFirstColumn="0" w:lastRowLastColumn="0"/>
            </w:pPr>
            <w:r w:rsidRPr="007C5BDA">
              <w:t xml:space="preserve">The potential bias in the survey responses as a result of recent education campaigns is an issue </w:t>
            </w:r>
            <w:r w:rsidR="00931F10">
              <w:t>that must be carefully considered in the design of the survey.</w:t>
            </w:r>
            <w:r w:rsidRPr="007C5BDA">
              <w:t xml:space="preserve"> </w:t>
            </w:r>
          </w:p>
        </w:tc>
      </w:tr>
      <w:tr w:rsidR="004D19FB" w:rsidRPr="00912FCE" w14:paraId="04705E82" w14:textId="77777777"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251E6B" w14:textId="77777777" w:rsidR="004D19FB" w:rsidRPr="00AD4157" w:rsidRDefault="004D19FB" w:rsidP="00C57433">
            <w:pPr>
              <w:pStyle w:val="TableText"/>
              <w:rPr>
                <w:b w:val="0"/>
              </w:rPr>
            </w:pPr>
            <w:r w:rsidRPr="00AD4157">
              <w:rPr>
                <w:b w:val="0"/>
              </w:rPr>
              <w:t>How</w:t>
            </w:r>
            <w:r w:rsidR="00931F10" w:rsidRPr="00AD4157">
              <w:rPr>
                <w:b w:val="0"/>
              </w:rPr>
              <w:t xml:space="preserve"> will</w:t>
            </w:r>
            <w:r w:rsidRPr="00AD4157">
              <w:rPr>
                <w:b w:val="0"/>
              </w:rPr>
              <w:t xml:space="preserve"> the IRA process become more responsive to changing risks?</w:t>
            </w:r>
          </w:p>
        </w:tc>
        <w:tc>
          <w:tcPr>
            <w:tcW w:w="6327" w:type="dxa"/>
          </w:tcPr>
          <w:p w14:paraId="140CF1A0" w14:textId="77777777" w:rsidR="00EA4E58" w:rsidRDefault="002604E8" w:rsidP="00EA4E58">
            <w:pPr>
              <w:pStyle w:val="TableText"/>
              <w:cnfStyle w:val="000000100000" w:firstRow="0" w:lastRow="0" w:firstColumn="0" w:lastColumn="0" w:oddVBand="0" w:evenVBand="0" w:oddHBand="1" w:evenHBand="0" w:firstRowFirstColumn="0" w:firstRowLastColumn="0" w:lastRowFirstColumn="0" w:lastRowLastColumn="0"/>
            </w:pPr>
            <w:r>
              <w:t xml:space="preserve">The department </w:t>
            </w:r>
            <w:r w:rsidR="00EA4E58">
              <w:t>applies a process of risk review to the biosecurity risks associated with the importation of a commodity (animal product or live animal) for which current biosecurity measures exist.</w:t>
            </w:r>
          </w:p>
          <w:p w14:paraId="73984BF0" w14:textId="77777777" w:rsidR="00C36A16" w:rsidRDefault="00EA4E58" w:rsidP="00EA4E58">
            <w:pPr>
              <w:pStyle w:val="TableText"/>
              <w:cnfStyle w:val="000000100000" w:firstRow="0" w:lastRow="0" w:firstColumn="0" w:lastColumn="0" w:oddVBand="0" w:evenVBand="0" w:oddHBand="1" w:evenHBand="0" w:firstRowFirstColumn="0" w:firstRowLastColumn="0" w:lastRowFirstColumn="0" w:lastRowLastColumn="0"/>
            </w:pPr>
            <w:r>
              <w:t>Risk review is recognised as an essential component of the risk analysis process. Each component of the risk analysis process (hazard identification, risk assessment and risk management) is reviewed and communicated under the risk review process.</w:t>
            </w:r>
          </w:p>
          <w:p w14:paraId="040739F3" w14:textId="3149B457" w:rsidR="005214CD" w:rsidRDefault="00EA4E58" w:rsidP="00EA4E58">
            <w:pPr>
              <w:pStyle w:val="TableText"/>
              <w:cnfStyle w:val="000000100000" w:firstRow="0" w:lastRow="0" w:firstColumn="0" w:lastColumn="0" w:oddVBand="0" w:evenVBand="0" w:oddHBand="1" w:evenHBand="0" w:firstRowFirstColumn="0" w:firstRowLastColumn="0" w:lastRowFirstColumn="0" w:lastRowLastColumn="0"/>
            </w:pPr>
            <w:r>
              <w:t>If a change in the biosecurity risk is identified based on updated scientific information, risk management measures may be revised accordingly.</w:t>
            </w:r>
          </w:p>
          <w:p w14:paraId="2446CFC2" w14:textId="77777777" w:rsidR="005214CD" w:rsidRDefault="005214CD" w:rsidP="0018206C">
            <w:pPr>
              <w:pStyle w:val="TableText"/>
              <w:cnfStyle w:val="000000100000" w:firstRow="0" w:lastRow="0" w:firstColumn="0" w:lastColumn="0" w:oddVBand="0" w:evenVBand="0" w:oddHBand="1" w:evenHBand="0" w:firstRowFirstColumn="0" w:firstRowLastColumn="0" w:lastRowFirstColumn="0" w:lastRowLastColumn="0"/>
            </w:pPr>
            <w:r w:rsidRPr="005214CD">
              <w:t>There are two main types of risk analyses used by the department</w:t>
            </w:r>
            <w:r>
              <w:t>:</w:t>
            </w:r>
          </w:p>
          <w:p w14:paraId="4B9D0CF5" w14:textId="77777777" w:rsidR="005214CD" w:rsidRDefault="005214CD" w:rsidP="005214CD">
            <w:pPr>
              <w:pStyle w:val="TableText"/>
              <w:numPr>
                <w:ilvl w:val="0"/>
                <w:numId w:val="61"/>
              </w:numPr>
              <w:cnfStyle w:val="000000100000" w:firstRow="0" w:lastRow="0" w:firstColumn="0" w:lastColumn="0" w:oddVBand="0" w:evenVBand="0" w:oddHBand="1" w:evenHBand="0" w:firstRowFirstColumn="0" w:firstRowLastColumn="0" w:lastRowFirstColumn="0" w:lastRowLastColumn="0"/>
            </w:pPr>
            <w:r>
              <w:t>a b</w:t>
            </w:r>
            <w:r w:rsidRPr="00FE15AC">
              <w:t xml:space="preserve">iosecurity </w:t>
            </w:r>
            <w:r>
              <w:t>i</w:t>
            </w:r>
            <w:r w:rsidRPr="00FE15AC">
              <w:t xml:space="preserve">mport </w:t>
            </w:r>
            <w:r>
              <w:t>r</w:t>
            </w:r>
            <w:r w:rsidRPr="00FE15AC">
              <w:t xml:space="preserve">isk </w:t>
            </w:r>
            <w:r>
              <w:t>a</w:t>
            </w:r>
            <w:r w:rsidRPr="00FE15AC">
              <w:t>nalysis</w:t>
            </w:r>
            <w:r>
              <w:t xml:space="preserve"> (BIRA) which is conducted through a regulated process provided for in the Biosecurity Act and the Biosecurity Regulation</w:t>
            </w:r>
          </w:p>
          <w:p w14:paraId="65B2A0F8" w14:textId="77777777" w:rsidR="00C36A16" w:rsidRDefault="005214CD" w:rsidP="005214CD">
            <w:pPr>
              <w:pStyle w:val="TableText"/>
              <w:numPr>
                <w:ilvl w:val="0"/>
                <w:numId w:val="61"/>
              </w:numPr>
              <w:cnfStyle w:val="000000100000" w:firstRow="0" w:lastRow="0" w:firstColumn="0" w:lastColumn="0" w:oddVBand="0" w:evenVBand="0" w:oddHBand="1" w:evenHBand="0" w:firstRowFirstColumn="0" w:firstRowLastColumn="0" w:lastRowFirstColumn="0" w:lastRowLastColumn="0"/>
            </w:pPr>
            <w:r>
              <w:t>a non-regulated risk analysis, such as scientific reviews of existing policy and import conditions</w:t>
            </w:r>
          </w:p>
          <w:p w14:paraId="1D5C9943" w14:textId="34A62A54" w:rsidR="005214CD" w:rsidRPr="007C5BDA" w:rsidRDefault="004D19FB" w:rsidP="00CB7258">
            <w:pPr>
              <w:pStyle w:val="TableText"/>
              <w:cnfStyle w:val="000000100000" w:firstRow="0" w:lastRow="0" w:firstColumn="0" w:lastColumn="0" w:oddVBand="0" w:evenVBand="0" w:oddHBand="1" w:evenHBand="0" w:firstRowFirstColumn="0" w:firstRowLastColumn="0" w:lastRowFirstColumn="0" w:lastRowLastColumn="0"/>
            </w:pPr>
            <w:r w:rsidRPr="007C5BDA">
              <w:t>The review will be conducted as a non-regulated risk analysis of existing import conditions and policy and not as a legislated</w:t>
            </w:r>
            <w:r w:rsidR="00DD0D91">
              <w:t xml:space="preserve"> </w:t>
            </w:r>
            <w:r w:rsidR="00B071EE" w:rsidRPr="007C5BDA">
              <w:t>BIRA</w:t>
            </w:r>
            <w:r w:rsidRPr="007C5BDA">
              <w:t xml:space="preserve">. This is because relevant risk management measures have already been established for prawns and prawn products. </w:t>
            </w:r>
            <w:r w:rsidR="00CB7258">
              <w:t>As for</w:t>
            </w:r>
            <w:r w:rsidRPr="007C5BDA">
              <w:t xml:space="preserve"> a BIRA, the OIE standards for risk analysis are applied including consulting with stakeholders, reviewing hazard identification and consequences. At present</w:t>
            </w:r>
            <w:r w:rsidR="00E86B67">
              <w:t xml:space="preserve"> the</w:t>
            </w:r>
            <w:r w:rsidRPr="007C5BDA">
              <w:t xml:space="preserve"> hazard analysis is being </w:t>
            </w:r>
            <w:r w:rsidR="00F56E8B">
              <w:t>conducted</w:t>
            </w:r>
            <w:r w:rsidR="00BA3DC4">
              <w:t>.</w:t>
            </w:r>
          </w:p>
        </w:tc>
      </w:tr>
      <w:tr w:rsidR="00DC43BB" w:rsidRPr="00912FCE" w14:paraId="3DD60150" w14:textId="77777777" w:rsidTr="007407DC">
        <w:tc>
          <w:tcPr>
            <w:cnfStyle w:val="001000000000" w:firstRow="0" w:lastRow="0" w:firstColumn="1" w:lastColumn="0" w:oddVBand="0" w:evenVBand="0" w:oddHBand="0" w:evenHBand="0" w:firstRowFirstColumn="0" w:firstRowLastColumn="0" w:lastRowFirstColumn="0" w:lastRowLastColumn="0"/>
            <w:tcW w:w="2689" w:type="dxa"/>
          </w:tcPr>
          <w:p w14:paraId="65E6596C" w14:textId="77777777" w:rsidR="00DC43BB" w:rsidRPr="00AD4157" w:rsidRDefault="009301B5" w:rsidP="00C57433">
            <w:pPr>
              <w:pStyle w:val="TableText"/>
              <w:rPr>
                <w:b w:val="0"/>
                <w:highlight w:val="yellow"/>
              </w:rPr>
            </w:pPr>
            <w:r w:rsidRPr="00AD4157">
              <w:rPr>
                <w:b w:val="0"/>
              </w:rPr>
              <w:t>Is it possible for stake</w:t>
            </w:r>
            <w:r w:rsidR="00717548" w:rsidRPr="00AD4157">
              <w:rPr>
                <w:b w:val="0"/>
              </w:rPr>
              <w:t>ho</w:t>
            </w:r>
            <w:r w:rsidRPr="00AD4157">
              <w:rPr>
                <w:b w:val="0"/>
              </w:rPr>
              <w:t xml:space="preserve">lders to have access to the draft for the Hazard </w:t>
            </w:r>
            <w:r w:rsidR="002A16DF" w:rsidRPr="00AD4157">
              <w:rPr>
                <w:b w:val="0"/>
              </w:rPr>
              <w:t>i</w:t>
            </w:r>
            <w:r w:rsidRPr="00AD4157">
              <w:rPr>
                <w:b w:val="0"/>
              </w:rPr>
              <w:t>dentification?</w:t>
            </w:r>
          </w:p>
        </w:tc>
        <w:tc>
          <w:tcPr>
            <w:tcW w:w="6327" w:type="dxa"/>
          </w:tcPr>
          <w:p w14:paraId="510166EA" w14:textId="2A3A7175" w:rsidR="00DC43BB" w:rsidRPr="007C5BDA" w:rsidRDefault="00717548" w:rsidP="00CB7258">
            <w:pPr>
              <w:pStyle w:val="TableText"/>
              <w:cnfStyle w:val="000000000000" w:firstRow="0" w:lastRow="0" w:firstColumn="0" w:lastColumn="0" w:oddVBand="0" w:evenVBand="0" w:oddHBand="0" w:evenHBand="0" w:firstRowFirstColumn="0" w:firstRowLastColumn="0" w:lastRowFirstColumn="0" w:lastRowLastColumn="0"/>
            </w:pPr>
            <w:r>
              <w:t xml:space="preserve">Yes, </w:t>
            </w:r>
            <w:r w:rsidR="00F56E8B">
              <w:t>once</w:t>
            </w:r>
            <w:r w:rsidR="00931F10">
              <w:t xml:space="preserve"> completed</w:t>
            </w:r>
            <w:r w:rsidR="00F56E8B">
              <w:t>, the</w:t>
            </w:r>
            <w:r>
              <w:t xml:space="preserve"> </w:t>
            </w:r>
            <w:r w:rsidR="00F56E8B">
              <w:t xml:space="preserve">draft </w:t>
            </w:r>
            <w:r>
              <w:t>h</w:t>
            </w:r>
            <w:r w:rsidR="009301B5" w:rsidRPr="009301B5">
              <w:t>azard identification</w:t>
            </w:r>
            <w:r>
              <w:t xml:space="preserve"> table </w:t>
            </w:r>
            <w:r w:rsidR="009301B5" w:rsidRPr="009301B5">
              <w:t>can be made available to stakeholders</w:t>
            </w:r>
            <w:r w:rsidR="002A16DF">
              <w:t>.</w:t>
            </w:r>
          </w:p>
        </w:tc>
      </w:tr>
      <w:tr w:rsidR="004D19FB" w:rsidRPr="00912FCE" w14:paraId="714F06C0" w14:textId="77777777"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5FD3FE4" w14:textId="77777777" w:rsidR="004D19FB" w:rsidRPr="00AD4157" w:rsidRDefault="009F674D" w:rsidP="00C57433">
            <w:pPr>
              <w:pStyle w:val="TableText"/>
              <w:rPr>
                <w:b w:val="0"/>
              </w:rPr>
            </w:pPr>
            <w:r w:rsidRPr="00AD4157">
              <w:rPr>
                <w:b w:val="0"/>
              </w:rPr>
              <w:t xml:space="preserve">When reviewing </w:t>
            </w:r>
            <w:r w:rsidR="00717548" w:rsidRPr="00AD4157">
              <w:rPr>
                <w:b w:val="0"/>
              </w:rPr>
              <w:t xml:space="preserve">the </w:t>
            </w:r>
            <w:r w:rsidRPr="00AD4157">
              <w:rPr>
                <w:b w:val="0"/>
              </w:rPr>
              <w:t xml:space="preserve">IRA, how do you deal with absence of information in relation to susceptible endemic crustaceans and </w:t>
            </w:r>
            <w:r w:rsidR="00116358" w:rsidRPr="00AD4157">
              <w:rPr>
                <w:b w:val="0"/>
              </w:rPr>
              <w:t>native</w:t>
            </w:r>
            <w:r w:rsidRPr="00AD4157">
              <w:rPr>
                <w:b w:val="0"/>
              </w:rPr>
              <w:t>-populations?</w:t>
            </w:r>
          </w:p>
        </w:tc>
        <w:tc>
          <w:tcPr>
            <w:tcW w:w="6327" w:type="dxa"/>
          </w:tcPr>
          <w:p w14:paraId="6F88E1E5" w14:textId="692B20E9" w:rsidR="004D19FB" w:rsidRPr="007C5BDA" w:rsidRDefault="004D19FB" w:rsidP="002B1A71">
            <w:pPr>
              <w:pStyle w:val="TableText"/>
              <w:cnfStyle w:val="000000100000" w:firstRow="0" w:lastRow="0" w:firstColumn="0" w:lastColumn="0" w:oddVBand="0" w:evenVBand="0" w:oddHBand="1" w:evenHBand="0" w:firstRowFirstColumn="0" w:firstRowLastColumn="0" w:lastRowFirstColumn="0" w:lastRowLastColumn="0"/>
            </w:pPr>
            <w:r w:rsidRPr="007C5BDA">
              <w:t xml:space="preserve">Animal Biosecurity will take into account current scientific information when completing the review. During the consultation process, </w:t>
            </w:r>
            <w:r w:rsidR="00E86B67">
              <w:t xml:space="preserve">stakeholders and </w:t>
            </w:r>
            <w:r w:rsidRPr="007C5BDA">
              <w:t xml:space="preserve">scientists can let us know about new information. New scientific information can be provided to the department at any time, including after a risk analysis has been completed. Animal Biosecurity is open to </w:t>
            </w:r>
            <w:r w:rsidR="004A70F7">
              <w:t xml:space="preserve">receiving </w:t>
            </w:r>
            <w:r w:rsidRPr="007C5BDA">
              <w:t xml:space="preserve">new scientific information. </w:t>
            </w:r>
            <w:r w:rsidR="00E86B67">
              <w:t>With respect to emerging diseases, u</w:t>
            </w:r>
            <w:r w:rsidRPr="007C5BDA">
              <w:t xml:space="preserve">nder the WTO SPS agreement, Australia can only regulate </w:t>
            </w:r>
            <w:r w:rsidR="0099124D" w:rsidRPr="0099124D">
              <w:t>pathogenic agent</w:t>
            </w:r>
            <w:r w:rsidR="0099124D">
              <w:t>s</w:t>
            </w:r>
            <w:r w:rsidR="00931F10">
              <w:t xml:space="preserve"> that </w:t>
            </w:r>
            <w:r w:rsidR="0099124D" w:rsidRPr="0099124D">
              <w:t>could potentially produce adverse consequences</w:t>
            </w:r>
            <w:r w:rsidR="002B1A71">
              <w:t xml:space="preserve"> and </w:t>
            </w:r>
            <w:r w:rsidR="00931F10">
              <w:t>are</w:t>
            </w:r>
            <w:r w:rsidRPr="007C5BDA">
              <w:t xml:space="preserve"> </w:t>
            </w:r>
            <w:r w:rsidR="0099124D">
              <w:t xml:space="preserve">not </w:t>
            </w:r>
            <w:r w:rsidR="0099124D" w:rsidRPr="0099124D">
              <w:t xml:space="preserve">present in </w:t>
            </w:r>
            <w:r w:rsidR="0099124D">
              <w:t xml:space="preserve">Australia, </w:t>
            </w:r>
            <w:r w:rsidR="002B1A71">
              <w:t>or</w:t>
            </w:r>
            <w:r w:rsidR="0099124D">
              <w:t xml:space="preserve"> i</w:t>
            </w:r>
            <w:r w:rsidR="0099124D" w:rsidRPr="0099124D">
              <w:t xml:space="preserve">f present, </w:t>
            </w:r>
            <w:r w:rsidR="0099124D">
              <w:t>are</w:t>
            </w:r>
            <w:r w:rsidR="0099124D" w:rsidRPr="0099124D">
              <w:t xml:space="preserve"> associated with a notifiable disease, or </w:t>
            </w:r>
            <w:r w:rsidR="0099124D">
              <w:t>are</w:t>
            </w:r>
            <w:r w:rsidR="0099124D" w:rsidRPr="0099124D">
              <w:t xml:space="preserve"> subject to control or eradication measures</w:t>
            </w:r>
            <w:r w:rsidR="0099124D">
              <w:t>.</w:t>
            </w:r>
          </w:p>
        </w:tc>
      </w:tr>
      <w:tr w:rsidR="004D19FB" w:rsidRPr="007C5BDA" w14:paraId="250BC4BA" w14:textId="77777777" w:rsidTr="007407DC">
        <w:tc>
          <w:tcPr>
            <w:tcW w:w="2689" w:type="dxa"/>
          </w:tcPr>
          <w:p w14:paraId="7FC2D7A0" w14:textId="77777777" w:rsidR="004D19FB" w:rsidRPr="00AD4157" w:rsidRDefault="004D19FB" w:rsidP="00C57433">
            <w:pPr>
              <w:pStyle w:val="TableText"/>
              <w:cnfStyle w:val="001000000000" w:firstRow="0" w:lastRow="0" w:firstColumn="1" w:lastColumn="0" w:oddVBand="0" w:evenVBand="0" w:oddHBand="0" w:evenHBand="0" w:firstRowFirstColumn="0" w:firstRowLastColumn="0" w:lastRowFirstColumn="0" w:lastRowLastColumn="0"/>
              <w:rPr>
                <w:b w:val="0"/>
              </w:rPr>
            </w:pPr>
            <w:r w:rsidRPr="00AD4157">
              <w:rPr>
                <w:b w:val="0"/>
              </w:rPr>
              <w:t>How do you incorporate new and emerging diseases in the review process?</w:t>
            </w:r>
          </w:p>
        </w:tc>
        <w:tc>
          <w:tcPr>
            <w:tcW w:w="6327" w:type="dxa"/>
          </w:tcPr>
          <w:p w14:paraId="70D71A45" w14:textId="77777777" w:rsidR="004D19FB" w:rsidRPr="007C5BDA" w:rsidRDefault="004D19FB" w:rsidP="0018206C">
            <w:pPr>
              <w:pStyle w:val="TableText"/>
            </w:pPr>
            <w:r w:rsidRPr="007C5BDA">
              <w:t>The review will assess known pathogens of biosecurity concern that may be associated with imported prawns. The incorporation of new and emerging diseases depends on the extent o</w:t>
            </w:r>
            <w:r w:rsidR="0015344B">
              <w:t>f</w:t>
            </w:r>
            <w:r w:rsidRPr="007C5BDA">
              <w:t xml:space="preserve"> knowledge and impact.</w:t>
            </w:r>
          </w:p>
          <w:p w14:paraId="05E4CEB1" w14:textId="77777777" w:rsidR="00C36A16" w:rsidRDefault="00E86B67" w:rsidP="00E86B67">
            <w:pPr>
              <w:pStyle w:val="TableText"/>
            </w:pPr>
            <w:r>
              <w:t>The department can commission research projects when required to fill critical information gaps.</w:t>
            </w:r>
          </w:p>
          <w:p w14:paraId="0C175A63" w14:textId="77777777" w:rsidR="00C36A16" w:rsidRDefault="004D19FB" w:rsidP="0018206C">
            <w:pPr>
              <w:pStyle w:val="TableText"/>
            </w:pPr>
            <w:r w:rsidRPr="007C5BDA">
              <w:t xml:space="preserve">We </w:t>
            </w:r>
            <w:r w:rsidR="00E86B67">
              <w:t xml:space="preserve">have </w:t>
            </w:r>
            <w:r w:rsidRPr="007C5BDA">
              <w:t xml:space="preserve">commissioned research in the past i.e. during the development of the </w:t>
            </w:r>
            <w:r w:rsidR="00090BBD">
              <w:t xml:space="preserve">Prawn </w:t>
            </w:r>
            <w:r w:rsidRPr="007C5BDA">
              <w:t xml:space="preserve">IRA, the University of Arizona was commissioned to undertake research into the susceptibility of Australian species of prawns to </w:t>
            </w:r>
            <w:proofErr w:type="spellStart"/>
            <w:r w:rsidRPr="007C5BDA">
              <w:t>Taura</w:t>
            </w:r>
            <w:proofErr w:type="spellEnd"/>
            <w:r w:rsidRPr="007C5BDA">
              <w:t xml:space="preserve"> </w:t>
            </w:r>
            <w:r w:rsidR="0062150A" w:rsidRPr="007C5BDA">
              <w:t xml:space="preserve">syndrome </w:t>
            </w:r>
            <w:r w:rsidRPr="007C5BDA">
              <w:t>virus (TSV)</w:t>
            </w:r>
            <w:r w:rsidR="00090BBD">
              <w:t>.</w:t>
            </w:r>
          </w:p>
          <w:p w14:paraId="5DD6C649" w14:textId="35DA2056" w:rsidR="005B0C0C" w:rsidRDefault="00C80BBD" w:rsidP="00BA3DC4">
            <w:pPr>
              <w:pStyle w:val="TableText"/>
            </w:pPr>
            <w:r>
              <w:t xml:space="preserve">These types of issues regarding unknowns can have significant impacts on the time-frames for completing </w:t>
            </w:r>
            <w:r w:rsidR="00BA3DC4">
              <w:t>risk analyses</w:t>
            </w:r>
            <w:r>
              <w:t>.</w:t>
            </w:r>
          </w:p>
          <w:p w14:paraId="5F3C3D62" w14:textId="4FE8F414" w:rsidR="00C80BBD" w:rsidRPr="007C5BDA" w:rsidRDefault="005B0C0C" w:rsidP="00F11629">
            <w:pPr>
              <w:pStyle w:val="TableText"/>
            </w:pPr>
            <w:r>
              <w:t xml:space="preserve">The department also monitors international disease </w:t>
            </w:r>
            <w:r w:rsidR="00F11629">
              <w:t xml:space="preserve">alerts and </w:t>
            </w:r>
            <w:r w:rsidR="001B5481">
              <w:t>reports to keep up-to-</w:t>
            </w:r>
            <w:r>
              <w:t>date with emerging disease risks.</w:t>
            </w:r>
          </w:p>
        </w:tc>
      </w:tr>
      <w:tr w:rsidR="004D19FB" w:rsidRPr="00912FCE" w14:paraId="36AF7148" w14:textId="77777777" w:rsidTr="00740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F86CB2B" w14:textId="291985F0" w:rsidR="004D19FB" w:rsidRPr="00AD4157" w:rsidRDefault="00902B6E" w:rsidP="00C57433">
            <w:pPr>
              <w:pStyle w:val="TableText"/>
              <w:rPr>
                <w:b w:val="0"/>
              </w:rPr>
            </w:pPr>
            <w:r w:rsidRPr="00AD4157">
              <w:rPr>
                <w:b w:val="0"/>
              </w:rPr>
              <w:lastRenderedPageBreak/>
              <w:t xml:space="preserve">Next steps </w:t>
            </w:r>
            <w:r w:rsidR="00E86B67" w:rsidRPr="00AD4157">
              <w:rPr>
                <w:b w:val="0"/>
              </w:rPr>
              <w:t xml:space="preserve">for </w:t>
            </w:r>
            <w:r w:rsidRPr="00AD4157">
              <w:rPr>
                <w:b w:val="0"/>
              </w:rPr>
              <w:t xml:space="preserve">the </w:t>
            </w:r>
            <w:r w:rsidR="00087A82" w:rsidRPr="00AD4157">
              <w:rPr>
                <w:b w:val="0"/>
              </w:rPr>
              <w:t>r</w:t>
            </w:r>
            <w:r w:rsidRPr="00AD4157">
              <w:rPr>
                <w:b w:val="0"/>
              </w:rPr>
              <w:t>eview team immediately following the roundtable discussion</w:t>
            </w:r>
          </w:p>
        </w:tc>
        <w:tc>
          <w:tcPr>
            <w:tcW w:w="6327" w:type="dxa"/>
          </w:tcPr>
          <w:p w14:paraId="012D01EC" w14:textId="77777777" w:rsidR="004D19FB" w:rsidRPr="007C5BDA" w:rsidRDefault="004D19FB" w:rsidP="00E51D87">
            <w:pPr>
              <w:pStyle w:val="TableText"/>
              <w:cnfStyle w:val="000000100000" w:firstRow="0" w:lastRow="0" w:firstColumn="0" w:lastColumn="0" w:oddVBand="0" w:evenVBand="0" w:oddHBand="1" w:evenHBand="0" w:firstRowFirstColumn="0" w:firstRowLastColumn="0" w:lastRowFirstColumn="0" w:lastRowLastColumn="0"/>
            </w:pPr>
            <w:r w:rsidRPr="007C5BDA">
              <w:t xml:space="preserve">Animal Biosecurity will release a </w:t>
            </w:r>
            <w:r w:rsidR="00920196">
              <w:t>BA</w:t>
            </w:r>
            <w:r w:rsidRPr="007C5BDA">
              <w:t xml:space="preserve"> requesting science-based submissions on specific issues that stakeholders have with Australia’s current prawn import </w:t>
            </w:r>
            <w:r w:rsidR="00C80BBD">
              <w:t>policy</w:t>
            </w:r>
            <w:r w:rsidRPr="007C5BDA">
              <w:t xml:space="preserve">. </w:t>
            </w:r>
            <w:r w:rsidR="00C80BBD">
              <w:t xml:space="preserve">Animal Biosecurity indicated that </w:t>
            </w:r>
            <w:r w:rsidR="00E52505">
              <w:t xml:space="preserve">the intended release date for the BA will be within the next </w:t>
            </w:r>
            <w:r w:rsidR="00C80BBD">
              <w:t>3 to 6 months</w:t>
            </w:r>
            <w:r w:rsidR="00E51D87">
              <w:rPr>
                <w:rStyle w:val="FootnoteReference"/>
              </w:rPr>
              <w:footnoteReference w:id="2"/>
            </w:r>
            <w:r w:rsidR="00E52505">
              <w:t>.</w:t>
            </w:r>
            <w:r w:rsidR="0056140E">
              <w:t xml:space="preserve"> </w:t>
            </w:r>
            <w:r w:rsidRPr="007C5BDA">
              <w:t xml:space="preserve">There will be a period of </w:t>
            </w:r>
            <w:r w:rsidR="00C24DC3" w:rsidRPr="007C5BDA">
              <w:t xml:space="preserve">at least </w:t>
            </w:r>
            <w:r w:rsidRPr="007C5BDA">
              <w:t xml:space="preserve">60 calendar days for submissions to be made. </w:t>
            </w:r>
          </w:p>
        </w:tc>
      </w:tr>
    </w:tbl>
    <w:p w14:paraId="3B80F441" w14:textId="77777777" w:rsidR="00D02E5F" w:rsidRPr="007C5BDA" w:rsidRDefault="00D02E5F" w:rsidP="00D02E5F">
      <w:pPr>
        <w:rPr>
          <w:rFonts w:asciiTheme="minorHAnsi" w:hAnsiTheme="minorHAnsi"/>
        </w:rPr>
      </w:pPr>
    </w:p>
    <w:p w14:paraId="5D27372E" w14:textId="77777777" w:rsidR="00FC74D0" w:rsidRDefault="00FC74D0" w:rsidP="002E694D">
      <w:pPr>
        <w:pStyle w:val="TableofFigures"/>
        <w:spacing w:before="0" w:after="200" w:line="276" w:lineRule="auto"/>
        <w:sectPr w:rsidR="00FC74D0">
          <w:headerReference w:type="default" r:id="rId32"/>
          <w:pgSz w:w="11906" w:h="16838"/>
          <w:pgMar w:top="1418" w:right="1418" w:bottom="1418" w:left="1418" w:header="567" w:footer="283" w:gutter="0"/>
          <w:cols w:space="708"/>
          <w:docGrid w:linePitch="360"/>
        </w:sectPr>
      </w:pPr>
    </w:p>
    <w:p w14:paraId="447CCA2F" w14:textId="77777777" w:rsidR="005F77E5" w:rsidRDefault="001415ED" w:rsidP="001415ED">
      <w:pPr>
        <w:pStyle w:val="Heading2"/>
      </w:pPr>
      <w:bookmarkStart w:id="8" w:name="_Ref508793907"/>
      <w:bookmarkStart w:id="9" w:name="_Toc508797191"/>
      <w:r>
        <w:lastRenderedPageBreak/>
        <w:t>Appendix A</w:t>
      </w:r>
      <w:r w:rsidR="00D75646">
        <w:t xml:space="preserve">. </w:t>
      </w:r>
      <w:r w:rsidR="00990DFE">
        <w:t>List of a</w:t>
      </w:r>
      <w:r w:rsidR="00D75646" w:rsidRPr="00D75646">
        <w:t>ttendees</w:t>
      </w:r>
      <w:bookmarkEnd w:id="8"/>
      <w:bookmarkEnd w:id="9"/>
    </w:p>
    <w:p w14:paraId="03022950" w14:textId="77777777" w:rsidR="005F77E5" w:rsidRPr="007C5BDA" w:rsidRDefault="00D75646" w:rsidP="003C32C4">
      <w:pPr>
        <w:rPr>
          <w:rFonts w:asciiTheme="minorHAnsi" w:hAnsiTheme="minorHAnsi"/>
        </w:rPr>
      </w:pPr>
      <w:r w:rsidRPr="007C5BDA">
        <w:rPr>
          <w:rFonts w:asciiTheme="minorHAnsi" w:hAnsiTheme="minorHAnsi"/>
        </w:rPr>
        <w:t xml:space="preserve">A total of 43 people attended the </w:t>
      </w:r>
      <w:r w:rsidR="00DF32F7" w:rsidRPr="007C5BDA">
        <w:rPr>
          <w:rFonts w:asciiTheme="minorHAnsi" w:hAnsiTheme="minorHAnsi"/>
        </w:rPr>
        <w:t>roundtable</w:t>
      </w:r>
      <w:r w:rsidRPr="007C5BDA">
        <w:rPr>
          <w:rFonts w:asciiTheme="minorHAnsi" w:hAnsiTheme="minorHAnsi"/>
        </w:rPr>
        <w:t xml:space="preserve">, attendees included domestic industry stakeholders (10), </w:t>
      </w:r>
      <w:r w:rsidR="001E5A01" w:rsidRPr="007C5BDA">
        <w:rPr>
          <w:rFonts w:asciiTheme="minorHAnsi" w:hAnsiTheme="minorHAnsi"/>
        </w:rPr>
        <w:t xml:space="preserve">State </w:t>
      </w:r>
      <w:r w:rsidRPr="007C5BDA">
        <w:rPr>
          <w:rFonts w:asciiTheme="minorHAnsi" w:hAnsiTheme="minorHAnsi"/>
        </w:rPr>
        <w:t xml:space="preserve">and </w:t>
      </w:r>
      <w:r w:rsidR="001E5A01" w:rsidRPr="007C5BDA">
        <w:rPr>
          <w:rFonts w:asciiTheme="minorHAnsi" w:hAnsiTheme="minorHAnsi"/>
        </w:rPr>
        <w:t>T</w:t>
      </w:r>
      <w:r w:rsidRPr="007C5BDA">
        <w:rPr>
          <w:rFonts w:asciiTheme="minorHAnsi" w:hAnsiTheme="minorHAnsi"/>
        </w:rPr>
        <w:t>erritory government representatives (9) and representatives from our major trading partners Embassies in Canberra (8).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6509"/>
      </w:tblGrid>
      <w:tr w:rsidR="00990DFE" w:rsidRPr="00912FCE" w14:paraId="140D9814" w14:textId="77777777" w:rsidTr="002879AF">
        <w:tc>
          <w:tcPr>
            <w:tcW w:w="1412" w:type="pct"/>
          </w:tcPr>
          <w:p w14:paraId="04F79060" w14:textId="77777777" w:rsidR="00990DFE" w:rsidRPr="007C5BDA" w:rsidRDefault="00990DFE" w:rsidP="00564A61">
            <w:pPr>
              <w:pStyle w:val="TableText"/>
            </w:pPr>
            <w:r w:rsidRPr="007C5BDA">
              <w:t>Amber Parr</w:t>
            </w:r>
          </w:p>
        </w:tc>
        <w:tc>
          <w:tcPr>
            <w:tcW w:w="3588" w:type="pct"/>
          </w:tcPr>
          <w:p w14:paraId="286A60BA" w14:textId="77777777" w:rsidR="00990DFE" w:rsidRPr="007C5BDA" w:rsidRDefault="00990DFE" w:rsidP="00564A61">
            <w:pPr>
              <w:pStyle w:val="TableText"/>
            </w:pPr>
            <w:r w:rsidRPr="007C5BDA">
              <w:t>Facilitator</w:t>
            </w:r>
          </w:p>
        </w:tc>
      </w:tr>
      <w:tr w:rsidR="00990DFE" w:rsidRPr="00912FCE" w14:paraId="3BFB54B2" w14:textId="77777777" w:rsidTr="002879AF">
        <w:tc>
          <w:tcPr>
            <w:tcW w:w="1412" w:type="pct"/>
          </w:tcPr>
          <w:p w14:paraId="688FEF1F" w14:textId="77777777" w:rsidR="00990DFE" w:rsidRPr="007C5BDA" w:rsidRDefault="00990DFE" w:rsidP="00564A61">
            <w:pPr>
              <w:pStyle w:val="TableText"/>
            </w:pPr>
            <w:r w:rsidRPr="007C5BDA">
              <w:t>Tim Chapman</w:t>
            </w:r>
          </w:p>
        </w:tc>
        <w:tc>
          <w:tcPr>
            <w:tcW w:w="3588" w:type="pct"/>
          </w:tcPr>
          <w:p w14:paraId="74D57520" w14:textId="77777777" w:rsidR="00990DFE" w:rsidRPr="007C5BDA" w:rsidRDefault="00990DFE" w:rsidP="00564A61">
            <w:pPr>
              <w:pStyle w:val="TableText"/>
            </w:pPr>
            <w:r w:rsidRPr="007C5BDA">
              <w:t>DAWR - Biosecurity Animal Division</w:t>
            </w:r>
          </w:p>
        </w:tc>
      </w:tr>
      <w:tr w:rsidR="00990DFE" w:rsidRPr="00912FCE" w14:paraId="73244107" w14:textId="77777777" w:rsidTr="002879AF">
        <w:tc>
          <w:tcPr>
            <w:tcW w:w="1412" w:type="pct"/>
          </w:tcPr>
          <w:p w14:paraId="33ED051C" w14:textId="77777777" w:rsidR="00990DFE" w:rsidRPr="007C5BDA" w:rsidRDefault="00990DFE" w:rsidP="00564A61">
            <w:pPr>
              <w:pStyle w:val="TableText"/>
            </w:pPr>
            <w:r w:rsidRPr="007C5BDA">
              <w:t>Carol Sheridan</w:t>
            </w:r>
          </w:p>
        </w:tc>
        <w:tc>
          <w:tcPr>
            <w:tcW w:w="3588" w:type="pct"/>
          </w:tcPr>
          <w:p w14:paraId="26E9D1D9" w14:textId="77777777" w:rsidR="00990DFE" w:rsidRPr="007C5BDA" w:rsidRDefault="00990DFE" w:rsidP="00564A61">
            <w:pPr>
              <w:pStyle w:val="TableText"/>
            </w:pPr>
            <w:r w:rsidRPr="007C5BDA">
              <w:t>DAWR - Biosecurity Animal Division</w:t>
            </w:r>
          </w:p>
        </w:tc>
      </w:tr>
      <w:tr w:rsidR="00990DFE" w:rsidRPr="00912FCE" w14:paraId="0B70992C" w14:textId="77777777" w:rsidTr="002879AF">
        <w:tc>
          <w:tcPr>
            <w:tcW w:w="1412" w:type="pct"/>
          </w:tcPr>
          <w:p w14:paraId="50DFA985" w14:textId="77777777" w:rsidR="00990DFE" w:rsidRPr="007C5BDA" w:rsidRDefault="00990DFE" w:rsidP="00564A61">
            <w:pPr>
              <w:pStyle w:val="TableText"/>
            </w:pPr>
            <w:r w:rsidRPr="007C5BDA">
              <w:t>Jackie South</w:t>
            </w:r>
          </w:p>
        </w:tc>
        <w:tc>
          <w:tcPr>
            <w:tcW w:w="3588" w:type="pct"/>
          </w:tcPr>
          <w:p w14:paraId="2F773673" w14:textId="77777777" w:rsidR="00990DFE" w:rsidRPr="007C5BDA" w:rsidRDefault="00990DFE" w:rsidP="00564A61">
            <w:pPr>
              <w:pStyle w:val="TableText"/>
            </w:pPr>
            <w:r w:rsidRPr="007C5BDA">
              <w:t>DAWR - Biosecurity Animal Division</w:t>
            </w:r>
          </w:p>
        </w:tc>
      </w:tr>
      <w:tr w:rsidR="00990DFE" w:rsidRPr="00912FCE" w14:paraId="02B3961D" w14:textId="77777777" w:rsidTr="002879AF">
        <w:tc>
          <w:tcPr>
            <w:tcW w:w="1412" w:type="pct"/>
          </w:tcPr>
          <w:p w14:paraId="79B0D3B8" w14:textId="77777777" w:rsidR="00990DFE" w:rsidRPr="007C5BDA" w:rsidRDefault="00990DFE" w:rsidP="00564A61">
            <w:pPr>
              <w:pStyle w:val="TableText"/>
            </w:pPr>
            <w:r w:rsidRPr="007C5BDA">
              <w:t>Peter Stoutjesdijk</w:t>
            </w:r>
          </w:p>
        </w:tc>
        <w:tc>
          <w:tcPr>
            <w:tcW w:w="3588" w:type="pct"/>
          </w:tcPr>
          <w:p w14:paraId="0FB73687" w14:textId="77777777" w:rsidR="00990DFE" w:rsidRPr="007C5BDA" w:rsidRDefault="00990DFE" w:rsidP="00564A61">
            <w:pPr>
              <w:pStyle w:val="TableText"/>
            </w:pPr>
            <w:r w:rsidRPr="007C5BDA">
              <w:t>DAWR - Biosecurity Animal Division</w:t>
            </w:r>
          </w:p>
        </w:tc>
      </w:tr>
      <w:tr w:rsidR="00990DFE" w:rsidRPr="00912FCE" w14:paraId="5D3E1327" w14:textId="77777777" w:rsidTr="002879AF">
        <w:tc>
          <w:tcPr>
            <w:tcW w:w="1412" w:type="pct"/>
          </w:tcPr>
          <w:p w14:paraId="3E928B6F" w14:textId="77777777" w:rsidR="00990DFE" w:rsidRPr="007C5BDA" w:rsidRDefault="00990DFE" w:rsidP="00564A61">
            <w:pPr>
              <w:pStyle w:val="TableText"/>
            </w:pPr>
            <w:r w:rsidRPr="007C5BDA">
              <w:t>Chris Starkey</w:t>
            </w:r>
          </w:p>
        </w:tc>
        <w:tc>
          <w:tcPr>
            <w:tcW w:w="3588" w:type="pct"/>
          </w:tcPr>
          <w:p w14:paraId="16FC044F" w14:textId="77777777" w:rsidR="00990DFE" w:rsidRPr="007C5BDA" w:rsidRDefault="00990DFE" w:rsidP="00564A61">
            <w:pPr>
              <w:pStyle w:val="TableText"/>
            </w:pPr>
            <w:r w:rsidRPr="007C5BDA">
              <w:t>DAWR - Biosecurity Animal Division</w:t>
            </w:r>
          </w:p>
        </w:tc>
      </w:tr>
      <w:tr w:rsidR="00990DFE" w:rsidRPr="00912FCE" w14:paraId="4D851341" w14:textId="77777777" w:rsidTr="002879AF">
        <w:tc>
          <w:tcPr>
            <w:tcW w:w="1412" w:type="pct"/>
          </w:tcPr>
          <w:p w14:paraId="3171B1CF" w14:textId="77777777" w:rsidR="00990DFE" w:rsidRPr="007C5BDA" w:rsidRDefault="00990DFE" w:rsidP="00564A61">
            <w:pPr>
              <w:pStyle w:val="TableText"/>
            </w:pPr>
            <w:r w:rsidRPr="007C5BDA">
              <w:t>Scott Turner</w:t>
            </w:r>
          </w:p>
        </w:tc>
        <w:tc>
          <w:tcPr>
            <w:tcW w:w="3588" w:type="pct"/>
          </w:tcPr>
          <w:p w14:paraId="71BF2897" w14:textId="77777777" w:rsidR="00990DFE" w:rsidRPr="007C5BDA" w:rsidRDefault="00990DFE" w:rsidP="00564A61">
            <w:pPr>
              <w:pStyle w:val="TableText"/>
            </w:pPr>
            <w:r w:rsidRPr="007C5BDA">
              <w:t>DAWR - Biosecurity Animal Division</w:t>
            </w:r>
          </w:p>
        </w:tc>
      </w:tr>
      <w:tr w:rsidR="00990DFE" w:rsidRPr="00912FCE" w14:paraId="2D7895E4" w14:textId="77777777" w:rsidTr="002879AF">
        <w:tc>
          <w:tcPr>
            <w:tcW w:w="1412" w:type="pct"/>
          </w:tcPr>
          <w:p w14:paraId="05407BC2" w14:textId="77777777" w:rsidR="00990DFE" w:rsidRPr="007C5BDA" w:rsidRDefault="00990DFE" w:rsidP="00564A61">
            <w:pPr>
              <w:pStyle w:val="TableText"/>
            </w:pPr>
            <w:r w:rsidRPr="007C5BDA">
              <w:t>Steve Malone</w:t>
            </w:r>
          </w:p>
        </w:tc>
        <w:tc>
          <w:tcPr>
            <w:tcW w:w="3588" w:type="pct"/>
          </w:tcPr>
          <w:p w14:paraId="15D87E79" w14:textId="77777777" w:rsidR="00990DFE" w:rsidRPr="007C5BDA" w:rsidRDefault="00990DFE" w:rsidP="00564A61">
            <w:pPr>
              <w:pStyle w:val="TableText"/>
            </w:pPr>
            <w:r w:rsidRPr="007C5BDA">
              <w:t>DAWR - Biosecurity Animal Division</w:t>
            </w:r>
          </w:p>
        </w:tc>
      </w:tr>
      <w:tr w:rsidR="00990DFE" w:rsidRPr="00912FCE" w14:paraId="4F64CDC3" w14:textId="77777777" w:rsidTr="002879AF">
        <w:tc>
          <w:tcPr>
            <w:tcW w:w="1412" w:type="pct"/>
          </w:tcPr>
          <w:p w14:paraId="061B0C92" w14:textId="77777777" w:rsidR="00990DFE" w:rsidRPr="007C5BDA" w:rsidRDefault="00990DFE" w:rsidP="00564A61">
            <w:pPr>
              <w:pStyle w:val="TableText"/>
            </w:pPr>
            <w:r w:rsidRPr="007C5BDA">
              <w:t>Kally Gross</w:t>
            </w:r>
          </w:p>
        </w:tc>
        <w:tc>
          <w:tcPr>
            <w:tcW w:w="3588" w:type="pct"/>
          </w:tcPr>
          <w:p w14:paraId="56BDEE1E" w14:textId="77777777" w:rsidR="00990DFE" w:rsidRPr="007C5BDA" w:rsidRDefault="00990DFE" w:rsidP="00564A61">
            <w:pPr>
              <w:pStyle w:val="TableText"/>
            </w:pPr>
            <w:r w:rsidRPr="007C5BDA">
              <w:t>DAWR - Biosecurity Animal Division</w:t>
            </w:r>
          </w:p>
        </w:tc>
      </w:tr>
      <w:tr w:rsidR="00990DFE" w:rsidRPr="00912FCE" w14:paraId="3B8FDAA8" w14:textId="77777777" w:rsidTr="002879AF">
        <w:tc>
          <w:tcPr>
            <w:tcW w:w="1412" w:type="pct"/>
          </w:tcPr>
          <w:p w14:paraId="69369C03" w14:textId="77777777" w:rsidR="00990DFE" w:rsidRPr="007C5BDA" w:rsidRDefault="00990DFE" w:rsidP="00564A61">
            <w:pPr>
              <w:pStyle w:val="TableText"/>
            </w:pPr>
            <w:r w:rsidRPr="007C5BDA">
              <w:t>Alex Brazenor</w:t>
            </w:r>
          </w:p>
        </w:tc>
        <w:tc>
          <w:tcPr>
            <w:tcW w:w="3588" w:type="pct"/>
          </w:tcPr>
          <w:p w14:paraId="6F0C07B0" w14:textId="77777777" w:rsidR="00990DFE" w:rsidRPr="007C5BDA" w:rsidRDefault="00990DFE" w:rsidP="00564A61">
            <w:pPr>
              <w:pStyle w:val="TableText"/>
            </w:pPr>
            <w:r w:rsidRPr="007C5BDA">
              <w:t>DAWR - Biosecurity Animal Division</w:t>
            </w:r>
          </w:p>
        </w:tc>
      </w:tr>
      <w:tr w:rsidR="00990DFE" w:rsidRPr="00912FCE" w14:paraId="070E7097" w14:textId="77777777" w:rsidTr="002879AF">
        <w:tc>
          <w:tcPr>
            <w:tcW w:w="1412" w:type="pct"/>
          </w:tcPr>
          <w:p w14:paraId="18C43248" w14:textId="77777777" w:rsidR="00990DFE" w:rsidRPr="007C5BDA" w:rsidRDefault="00990DFE" w:rsidP="00564A61">
            <w:pPr>
              <w:pStyle w:val="TableText"/>
            </w:pPr>
            <w:r w:rsidRPr="007C5BDA">
              <w:t>Yvonne Gonzalez-Cendales</w:t>
            </w:r>
          </w:p>
        </w:tc>
        <w:tc>
          <w:tcPr>
            <w:tcW w:w="3588" w:type="pct"/>
          </w:tcPr>
          <w:p w14:paraId="39C9A011" w14:textId="77777777" w:rsidR="00990DFE" w:rsidRPr="007C5BDA" w:rsidRDefault="00990DFE" w:rsidP="00564A61">
            <w:pPr>
              <w:pStyle w:val="TableText"/>
            </w:pPr>
            <w:r w:rsidRPr="007C5BDA">
              <w:t>DAWR - Biosecurity Animal Division</w:t>
            </w:r>
          </w:p>
        </w:tc>
      </w:tr>
      <w:tr w:rsidR="00990DFE" w:rsidRPr="00912FCE" w14:paraId="48335FB0" w14:textId="77777777" w:rsidTr="002879AF">
        <w:tc>
          <w:tcPr>
            <w:tcW w:w="1412" w:type="pct"/>
          </w:tcPr>
          <w:p w14:paraId="5001FE1D" w14:textId="77777777" w:rsidR="00990DFE" w:rsidRPr="007C5BDA" w:rsidRDefault="00990DFE" w:rsidP="00564A61">
            <w:pPr>
              <w:pStyle w:val="TableText"/>
            </w:pPr>
            <w:r w:rsidRPr="007C5BDA">
              <w:t>Sally Grimes</w:t>
            </w:r>
          </w:p>
        </w:tc>
        <w:tc>
          <w:tcPr>
            <w:tcW w:w="3588" w:type="pct"/>
          </w:tcPr>
          <w:p w14:paraId="777E6D48" w14:textId="77777777" w:rsidR="00990DFE" w:rsidRPr="007C5BDA" w:rsidRDefault="00990DFE" w:rsidP="00564A61">
            <w:pPr>
              <w:pStyle w:val="TableText"/>
            </w:pPr>
            <w:r w:rsidRPr="007C5BDA">
              <w:t>DAWR - Trade and Market Access Division</w:t>
            </w:r>
          </w:p>
        </w:tc>
      </w:tr>
      <w:tr w:rsidR="00990DFE" w:rsidRPr="00912FCE" w14:paraId="54938664" w14:textId="77777777" w:rsidTr="002879AF">
        <w:tc>
          <w:tcPr>
            <w:tcW w:w="1412" w:type="pct"/>
          </w:tcPr>
          <w:p w14:paraId="75EAB894" w14:textId="77777777" w:rsidR="00990DFE" w:rsidRPr="007C5BDA" w:rsidRDefault="00990DFE" w:rsidP="00564A61">
            <w:pPr>
              <w:pStyle w:val="TableText"/>
            </w:pPr>
            <w:r w:rsidRPr="007C5BDA">
              <w:t xml:space="preserve">Leah </w:t>
            </w:r>
            <w:proofErr w:type="spellStart"/>
            <w:r w:rsidRPr="007C5BDA">
              <w:t>Cuttriss</w:t>
            </w:r>
            <w:proofErr w:type="spellEnd"/>
          </w:p>
        </w:tc>
        <w:tc>
          <w:tcPr>
            <w:tcW w:w="3588" w:type="pct"/>
          </w:tcPr>
          <w:p w14:paraId="48B7F735" w14:textId="77777777" w:rsidR="00990DFE" w:rsidRPr="007C5BDA" w:rsidRDefault="00990DFE" w:rsidP="00564A61">
            <w:pPr>
              <w:pStyle w:val="TableText"/>
            </w:pPr>
            <w:r w:rsidRPr="007C5BDA">
              <w:t>DAWR - Trade and Market Access Division</w:t>
            </w:r>
          </w:p>
        </w:tc>
      </w:tr>
      <w:tr w:rsidR="00990DFE" w:rsidRPr="00912FCE" w14:paraId="70CADAE1" w14:textId="77777777" w:rsidTr="002879AF">
        <w:tc>
          <w:tcPr>
            <w:tcW w:w="1412" w:type="pct"/>
          </w:tcPr>
          <w:p w14:paraId="3A9797E0" w14:textId="77777777" w:rsidR="00990DFE" w:rsidRPr="007C5BDA" w:rsidRDefault="00990DFE" w:rsidP="00564A61">
            <w:pPr>
              <w:pStyle w:val="TableText"/>
            </w:pPr>
            <w:r w:rsidRPr="007C5BDA">
              <w:t xml:space="preserve">Alice </w:t>
            </w:r>
            <w:proofErr w:type="spellStart"/>
            <w:r w:rsidRPr="007C5BDA">
              <w:t>Slevison</w:t>
            </w:r>
            <w:proofErr w:type="spellEnd"/>
          </w:p>
        </w:tc>
        <w:tc>
          <w:tcPr>
            <w:tcW w:w="3588" w:type="pct"/>
          </w:tcPr>
          <w:p w14:paraId="64AA3547" w14:textId="77777777" w:rsidR="00990DFE" w:rsidRPr="007C5BDA" w:rsidRDefault="00990DFE" w:rsidP="00564A61">
            <w:pPr>
              <w:pStyle w:val="TableText"/>
            </w:pPr>
            <w:r w:rsidRPr="007C5BDA">
              <w:t>DAWR - Trade and Market Access Division</w:t>
            </w:r>
          </w:p>
        </w:tc>
      </w:tr>
      <w:tr w:rsidR="00990DFE" w:rsidRPr="00912FCE" w14:paraId="01FC8115" w14:textId="77777777" w:rsidTr="002879AF">
        <w:tc>
          <w:tcPr>
            <w:tcW w:w="1412" w:type="pct"/>
          </w:tcPr>
          <w:p w14:paraId="313BCDC5" w14:textId="77777777" w:rsidR="00990DFE" w:rsidRPr="007C5BDA" w:rsidRDefault="00990DFE" w:rsidP="00564A61">
            <w:pPr>
              <w:pStyle w:val="TableText"/>
            </w:pPr>
            <w:r w:rsidRPr="007C5BDA">
              <w:t>Matt Koval</w:t>
            </w:r>
          </w:p>
        </w:tc>
        <w:tc>
          <w:tcPr>
            <w:tcW w:w="3588" w:type="pct"/>
          </w:tcPr>
          <w:p w14:paraId="5E51C4EC" w14:textId="77777777" w:rsidR="00990DFE" w:rsidRPr="007C5BDA" w:rsidRDefault="00990DFE" w:rsidP="00564A61">
            <w:pPr>
              <w:pStyle w:val="TableText"/>
            </w:pPr>
            <w:r w:rsidRPr="007C5BDA">
              <w:t>DAWR - Biosecurity Policy Division</w:t>
            </w:r>
          </w:p>
        </w:tc>
      </w:tr>
      <w:tr w:rsidR="00990DFE" w:rsidRPr="00912FCE" w14:paraId="54DD2EAB" w14:textId="77777777" w:rsidTr="002879AF">
        <w:tc>
          <w:tcPr>
            <w:tcW w:w="1412" w:type="pct"/>
          </w:tcPr>
          <w:p w14:paraId="4EF0B2F5" w14:textId="77777777" w:rsidR="00990DFE" w:rsidRPr="007C5BDA" w:rsidRDefault="00990DFE" w:rsidP="00564A61">
            <w:pPr>
              <w:pStyle w:val="TableText"/>
            </w:pPr>
            <w:r w:rsidRPr="007C5BDA">
              <w:t>Naveen Bhatia</w:t>
            </w:r>
          </w:p>
        </w:tc>
        <w:tc>
          <w:tcPr>
            <w:tcW w:w="3588" w:type="pct"/>
          </w:tcPr>
          <w:p w14:paraId="030E40EB" w14:textId="77777777" w:rsidR="00990DFE" w:rsidRPr="007C5BDA" w:rsidRDefault="00990DFE" w:rsidP="00564A61">
            <w:pPr>
              <w:pStyle w:val="TableText"/>
            </w:pPr>
            <w:r w:rsidRPr="007C5BDA">
              <w:t>Office of Inspector-General of Biosecurity</w:t>
            </w:r>
          </w:p>
        </w:tc>
      </w:tr>
      <w:tr w:rsidR="00990DFE" w:rsidRPr="00912FCE" w14:paraId="707A0C79" w14:textId="77777777" w:rsidTr="002879AF">
        <w:tc>
          <w:tcPr>
            <w:tcW w:w="1412" w:type="pct"/>
          </w:tcPr>
          <w:p w14:paraId="445431E9" w14:textId="77777777" w:rsidR="00990DFE" w:rsidRPr="007C5BDA" w:rsidRDefault="00990DFE" w:rsidP="00564A61">
            <w:pPr>
              <w:pStyle w:val="TableText"/>
            </w:pPr>
            <w:r w:rsidRPr="007C5BDA">
              <w:t>Wayne Hutchinson</w:t>
            </w:r>
          </w:p>
        </w:tc>
        <w:tc>
          <w:tcPr>
            <w:tcW w:w="3588" w:type="pct"/>
          </w:tcPr>
          <w:p w14:paraId="6D0B95AD" w14:textId="77777777" w:rsidR="00990DFE" w:rsidRPr="007C5BDA" w:rsidRDefault="00990DFE" w:rsidP="00564A61">
            <w:pPr>
              <w:pStyle w:val="TableText"/>
            </w:pPr>
            <w:r w:rsidRPr="007C5BDA">
              <w:t>Fisheries Research and Development Corporation</w:t>
            </w:r>
          </w:p>
        </w:tc>
      </w:tr>
      <w:tr w:rsidR="00990DFE" w:rsidRPr="00912FCE" w14:paraId="2B8DC940" w14:textId="77777777" w:rsidTr="002879AF">
        <w:tc>
          <w:tcPr>
            <w:tcW w:w="1412" w:type="pct"/>
          </w:tcPr>
          <w:p w14:paraId="153D7D43" w14:textId="77777777" w:rsidR="00990DFE" w:rsidRPr="007C5BDA" w:rsidRDefault="00990DFE" w:rsidP="00564A61">
            <w:pPr>
              <w:pStyle w:val="TableText"/>
            </w:pPr>
            <w:proofErr w:type="spellStart"/>
            <w:r w:rsidRPr="007C5BDA">
              <w:t>Silke</w:t>
            </w:r>
            <w:proofErr w:type="spellEnd"/>
            <w:r w:rsidRPr="007C5BDA">
              <w:t xml:space="preserve"> Speier</w:t>
            </w:r>
          </w:p>
        </w:tc>
        <w:tc>
          <w:tcPr>
            <w:tcW w:w="3588" w:type="pct"/>
          </w:tcPr>
          <w:p w14:paraId="72FB3E31" w14:textId="77777777" w:rsidR="00990DFE" w:rsidRPr="007C5BDA" w:rsidRDefault="00990DFE" w:rsidP="00564A61">
            <w:pPr>
              <w:pStyle w:val="TableText"/>
            </w:pPr>
            <w:r w:rsidRPr="007C5BDA">
              <w:t>Department of Foreign Affairs and Trade</w:t>
            </w:r>
          </w:p>
        </w:tc>
      </w:tr>
      <w:tr w:rsidR="00990DFE" w:rsidRPr="00912FCE" w14:paraId="57306562" w14:textId="77777777" w:rsidTr="002879AF">
        <w:tc>
          <w:tcPr>
            <w:tcW w:w="1412" w:type="pct"/>
          </w:tcPr>
          <w:p w14:paraId="796E6201" w14:textId="77777777" w:rsidR="00990DFE" w:rsidRPr="007C5BDA" w:rsidRDefault="00990DFE" w:rsidP="00564A61">
            <w:pPr>
              <w:pStyle w:val="TableText"/>
            </w:pPr>
            <w:r w:rsidRPr="007C5BDA">
              <w:t>Daniel Sim</w:t>
            </w:r>
          </w:p>
        </w:tc>
        <w:tc>
          <w:tcPr>
            <w:tcW w:w="3588" w:type="pct"/>
          </w:tcPr>
          <w:p w14:paraId="1AB2C4B0" w14:textId="77777777" w:rsidR="00990DFE" w:rsidRPr="007C5BDA" w:rsidRDefault="00990DFE" w:rsidP="00564A61">
            <w:pPr>
              <w:pStyle w:val="TableText"/>
            </w:pPr>
            <w:r w:rsidRPr="007C5BDA">
              <w:t>Department of Foreign Affairs and Trade</w:t>
            </w:r>
          </w:p>
        </w:tc>
      </w:tr>
      <w:tr w:rsidR="00990DFE" w:rsidRPr="00912FCE" w14:paraId="3D84C1DA" w14:textId="77777777" w:rsidTr="002879AF">
        <w:tc>
          <w:tcPr>
            <w:tcW w:w="1412" w:type="pct"/>
          </w:tcPr>
          <w:p w14:paraId="76AE4B72" w14:textId="77777777" w:rsidR="00990DFE" w:rsidRPr="007C5BDA" w:rsidRDefault="00990DFE" w:rsidP="00564A61">
            <w:pPr>
              <w:pStyle w:val="TableText"/>
            </w:pPr>
            <w:r w:rsidRPr="007C5BDA">
              <w:t>Matt West</w:t>
            </w:r>
          </w:p>
        </w:tc>
        <w:tc>
          <w:tcPr>
            <w:tcW w:w="3588" w:type="pct"/>
          </w:tcPr>
          <w:p w14:paraId="1791555E" w14:textId="77777777" w:rsidR="00990DFE" w:rsidRPr="007C5BDA" w:rsidRDefault="00990DFE" w:rsidP="00564A61">
            <w:pPr>
              <w:pStyle w:val="TableText"/>
            </w:pPr>
            <w:r w:rsidRPr="007C5BDA">
              <w:t>Australian Prawn Farmers Association</w:t>
            </w:r>
          </w:p>
        </w:tc>
      </w:tr>
      <w:tr w:rsidR="00990DFE" w:rsidRPr="00912FCE" w14:paraId="4F5AAF95" w14:textId="77777777" w:rsidTr="002879AF">
        <w:tc>
          <w:tcPr>
            <w:tcW w:w="1412" w:type="pct"/>
          </w:tcPr>
          <w:p w14:paraId="290DA5B5" w14:textId="77777777" w:rsidR="00990DFE" w:rsidRPr="007C5BDA" w:rsidRDefault="00990DFE" w:rsidP="00564A61">
            <w:pPr>
              <w:pStyle w:val="TableText"/>
            </w:pPr>
            <w:r w:rsidRPr="007C5BDA">
              <w:t>Kim Hooper</w:t>
            </w:r>
          </w:p>
        </w:tc>
        <w:tc>
          <w:tcPr>
            <w:tcW w:w="3588" w:type="pct"/>
          </w:tcPr>
          <w:p w14:paraId="0B9ADE9C" w14:textId="77777777" w:rsidR="00990DFE" w:rsidRPr="007C5BDA" w:rsidRDefault="00990DFE" w:rsidP="00564A61">
            <w:pPr>
              <w:pStyle w:val="TableText"/>
            </w:pPr>
            <w:r w:rsidRPr="007C5BDA">
              <w:t>Australian Prawn Farmers Association</w:t>
            </w:r>
          </w:p>
        </w:tc>
      </w:tr>
      <w:tr w:rsidR="00990DFE" w:rsidRPr="00912FCE" w14:paraId="28AA61C1" w14:textId="77777777" w:rsidTr="002879AF">
        <w:tc>
          <w:tcPr>
            <w:tcW w:w="1412" w:type="pct"/>
          </w:tcPr>
          <w:p w14:paraId="650EC7B6" w14:textId="77777777" w:rsidR="00990DFE" w:rsidRPr="007C5BDA" w:rsidRDefault="00990DFE" w:rsidP="00564A61">
            <w:pPr>
              <w:pStyle w:val="TableText"/>
            </w:pPr>
            <w:r w:rsidRPr="007C5BDA">
              <w:t>Aaron Irving</w:t>
            </w:r>
          </w:p>
        </w:tc>
        <w:tc>
          <w:tcPr>
            <w:tcW w:w="3588" w:type="pct"/>
          </w:tcPr>
          <w:p w14:paraId="03107021" w14:textId="77777777" w:rsidR="00990DFE" w:rsidRPr="007C5BDA" w:rsidRDefault="00990DFE" w:rsidP="00564A61">
            <w:pPr>
              <w:pStyle w:val="TableText"/>
            </w:pPr>
            <w:r w:rsidRPr="007C5BDA">
              <w:t>National Aquaculture Council</w:t>
            </w:r>
          </w:p>
        </w:tc>
      </w:tr>
      <w:tr w:rsidR="00990DFE" w:rsidRPr="00912FCE" w14:paraId="59B0B879" w14:textId="77777777" w:rsidTr="002879AF">
        <w:tc>
          <w:tcPr>
            <w:tcW w:w="1412" w:type="pct"/>
          </w:tcPr>
          <w:p w14:paraId="2B74F2B2" w14:textId="77777777" w:rsidR="00990DFE" w:rsidRPr="007C5BDA" w:rsidRDefault="00990DFE" w:rsidP="00564A61">
            <w:pPr>
              <w:pStyle w:val="TableText"/>
            </w:pPr>
            <w:r w:rsidRPr="007C5BDA">
              <w:t>Jane Lovell</w:t>
            </w:r>
          </w:p>
        </w:tc>
        <w:tc>
          <w:tcPr>
            <w:tcW w:w="3588" w:type="pct"/>
          </w:tcPr>
          <w:p w14:paraId="408F6F61" w14:textId="77777777" w:rsidR="00990DFE" w:rsidRPr="007C5BDA" w:rsidRDefault="00990DFE" w:rsidP="00564A61">
            <w:pPr>
              <w:pStyle w:val="TableText"/>
            </w:pPr>
            <w:r w:rsidRPr="007C5BDA">
              <w:t>Seafood Industry Australia</w:t>
            </w:r>
          </w:p>
        </w:tc>
      </w:tr>
      <w:tr w:rsidR="00990DFE" w:rsidRPr="00912FCE" w14:paraId="10E6708F" w14:textId="77777777" w:rsidTr="002879AF">
        <w:tc>
          <w:tcPr>
            <w:tcW w:w="1412" w:type="pct"/>
          </w:tcPr>
          <w:p w14:paraId="6BA1EACC" w14:textId="77777777" w:rsidR="00990DFE" w:rsidRPr="007C5BDA" w:rsidRDefault="00990DFE" w:rsidP="00564A61">
            <w:pPr>
              <w:pStyle w:val="TableText"/>
            </w:pPr>
            <w:r w:rsidRPr="007C5BDA">
              <w:t>Annie Jarrett</w:t>
            </w:r>
          </w:p>
        </w:tc>
        <w:tc>
          <w:tcPr>
            <w:tcW w:w="3588" w:type="pct"/>
          </w:tcPr>
          <w:p w14:paraId="3DB98314" w14:textId="77777777" w:rsidR="00990DFE" w:rsidRPr="007C5BDA" w:rsidRDefault="00990DFE" w:rsidP="00564A61">
            <w:pPr>
              <w:pStyle w:val="TableText"/>
            </w:pPr>
            <w:r w:rsidRPr="007C5BDA">
              <w:t>Australian Council of Prawn Fisheries</w:t>
            </w:r>
          </w:p>
        </w:tc>
      </w:tr>
      <w:tr w:rsidR="00990DFE" w:rsidRPr="00912FCE" w14:paraId="704D656B" w14:textId="77777777" w:rsidTr="002879AF">
        <w:tc>
          <w:tcPr>
            <w:tcW w:w="1412" w:type="pct"/>
          </w:tcPr>
          <w:p w14:paraId="7378CCB4" w14:textId="77777777" w:rsidR="00990DFE" w:rsidRPr="007C5BDA" w:rsidRDefault="00990DFE" w:rsidP="00564A61">
            <w:pPr>
              <w:pStyle w:val="TableText"/>
            </w:pPr>
            <w:r w:rsidRPr="007C5BDA">
              <w:t>Rachel King</w:t>
            </w:r>
          </w:p>
        </w:tc>
        <w:tc>
          <w:tcPr>
            <w:tcW w:w="3588" w:type="pct"/>
          </w:tcPr>
          <w:p w14:paraId="7C51FC6A" w14:textId="77777777" w:rsidR="00990DFE" w:rsidRPr="007C5BDA" w:rsidRDefault="00990DFE" w:rsidP="00564A61">
            <w:pPr>
              <w:pStyle w:val="TableText"/>
            </w:pPr>
            <w:r w:rsidRPr="007C5BDA">
              <w:t>Australian Council of Prawn Fisheries</w:t>
            </w:r>
          </w:p>
        </w:tc>
      </w:tr>
      <w:tr w:rsidR="00990DFE" w:rsidRPr="00912FCE" w14:paraId="238305C6" w14:textId="77777777" w:rsidTr="002879AF">
        <w:tc>
          <w:tcPr>
            <w:tcW w:w="1412" w:type="pct"/>
          </w:tcPr>
          <w:p w14:paraId="64389DE6" w14:textId="77777777" w:rsidR="00990DFE" w:rsidRPr="007C5BDA" w:rsidRDefault="00990DFE" w:rsidP="00564A61">
            <w:pPr>
              <w:pStyle w:val="TableText"/>
            </w:pPr>
            <w:r w:rsidRPr="007C5BDA">
              <w:t>Norman Grant</w:t>
            </w:r>
          </w:p>
        </w:tc>
        <w:tc>
          <w:tcPr>
            <w:tcW w:w="3588" w:type="pct"/>
          </w:tcPr>
          <w:p w14:paraId="6B0E6D46" w14:textId="77777777" w:rsidR="00990DFE" w:rsidRPr="007C5BDA" w:rsidRDefault="00990DFE" w:rsidP="00564A61">
            <w:pPr>
              <w:pStyle w:val="TableText"/>
            </w:pPr>
            <w:r w:rsidRPr="007C5BDA">
              <w:t>Seafood Importers Association of Australasia</w:t>
            </w:r>
          </w:p>
        </w:tc>
      </w:tr>
      <w:tr w:rsidR="00990DFE" w:rsidRPr="00912FCE" w14:paraId="276B9313" w14:textId="77777777" w:rsidTr="002879AF">
        <w:tc>
          <w:tcPr>
            <w:tcW w:w="1412" w:type="pct"/>
          </w:tcPr>
          <w:p w14:paraId="748153C5" w14:textId="77777777" w:rsidR="00990DFE" w:rsidRPr="007C5BDA" w:rsidRDefault="00990DFE" w:rsidP="00564A61">
            <w:pPr>
              <w:pStyle w:val="TableText"/>
            </w:pPr>
            <w:r w:rsidRPr="007C5BDA">
              <w:t>Mark Boulter</w:t>
            </w:r>
          </w:p>
        </w:tc>
        <w:tc>
          <w:tcPr>
            <w:tcW w:w="3588" w:type="pct"/>
          </w:tcPr>
          <w:p w14:paraId="20779A6A" w14:textId="77777777" w:rsidR="00990DFE" w:rsidRPr="007C5BDA" w:rsidRDefault="00990DFE" w:rsidP="00564A61">
            <w:pPr>
              <w:pStyle w:val="TableText"/>
            </w:pPr>
            <w:r w:rsidRPr="007C5BDA">
              <w:t>Seafood Importers Association of Australasia</w:t>
            </w:r>
          </w:p>
        </w:tc>
      </w:tr>
      <w:tr w:rsidR="00990DFE" w:rsidRPr="00912FCE" w14:paraId="6A562187" w14:textId="77777777" w:rsidTr="002879AF">
        <w:tc>
          <w:tcPr>
            <w:tcW w:w="1412" w:type="pct"/>
          </w:tcPr>
          <w:p w14:paraId="64F60D14" w14:textId="77777777" w:rsidR="00990DFE" w:rsidRPr="007C5BDA" w:rsidRDefault="00990DFE" w:rsidP="00564A61">
            <w:pPr>
              <w:pStyle w:val="TableText"/>
            </w:pPr>
            <w:r w:rsidRPr="007C5BDA">
              <w:t xml:space="preserve">Marcel </w:t>
            </w:r>
            <w:proofErr w:type="spellStart"/>
            <w:r w:rsidRPr="007C5BDA">
              <w:t>Jadouin</w:t>
            </w:r>
            <w:proofErr w:type="spellEnd"/>
          </w:p>
        </w:tc>
        <w:tc>
          <w:tcPr>
            <w:tcW w:w="3588" w:type="pct"/>
          </w:tcPr>
          <w:p w14:paraId="4E60958D" w14:textId="77777777" w:rsidR="00990DFE" w:rsidRPr="007C5BDA" w:rsidRDefault="00990DFE" w:rsidP="00564A61">
            <w:pPr>
              <w:pStyle w:val="TableText"/>
            </w:pPr>
            <w:r w:rsidRPr="007C5BDA">
              <w:t>Food and Beverage Importers Association</w:t>
            </w:r>
          </w:p>
        </w:tc>
      </w:tr>
      <w:tr w:rsidR="00990DFE" w:rsidRPr="00912FCE" w14:paraId="01BB26B8" w14:textId="77777777" w:rsidTr="002879AF">
        <w:tc>
          <w:tcPr>
            <w:tcW w:w="1412" w:type="pct"/>
          </w:tcPr>
          <w:p w14:paraId="05513A0C" w14:textId="77777777" w:rsidR="00990DFE" w:rsidRPr="007C5BDA" w:rsidRDefault="00990DFE" w:rsidP="00564A61">
            <w:pPr>
              <w:pStyle w:val="TableText"/>
            </w:pPr>
            <w:r w:rsidRPr="007C5BDA">
              <w:t>Karen Dowd</w:t>
            </w:r>
          </w:p>
        </w:tc>
        <w:tc>
          <w:tcPr>
            <w:tcW w:w="3588" w:type="pct"/>
          </w:tcPr>
          <w:p w14:paraId="182C9775" w14:textId="77777777" w:rsidR="00990DFE" w:rsidRPr="007C5BDA" w:rsidRDefault="00990DFE" w:rsidP="00564A61">
            <w:pPr>
              <w:pStyle w:val="TableText"/>
            </w:pPr>
            <w:r w:rsidRPr="007C5BDA">
              <w:t>Department Primary Industries and Regional Development, Western Australia</w:t>
            </w:r>
          </w:p>
        </w:tc>
      </w:tr>
      <w:tr w:rsidR="00990DFE" w:rsidRPr="00912FCE" w14:paraId="7243A813" w14:textId="77777777" w:rsidTr="002879AF">
        <w:tc>
          <w:tcPr>
            <w:tcW w:w="1412" w:type="pct"/>
          </w:tcPr>
          <w:p w14:paraId="03C911B3" w14:textId="77777777" w:rsidR="00990DFE" w:rsidRPr="007C5BDA" w:rsidRDefault="00990DFE" w:rsidP="00564A61">
            <w:pPr>
              <w:pStyle w:val="TableText"/>
            </w:pPr>
            <w:r w:rsidRPr="007C5BDA">
              <w:t>Juliet Corish</w:t>
            </w:r>
          </w:p>
        </w:tc>
        <w:tc>
          <w:tcPr>
            <w:tcW w:w="3588" w:type="pct"/>
          </w:tcPr>
          <w:p w14:paraId="53B8C3FD" w14:textId="77777777" w:rsidR="00990DFE" w:rsidRPr="007C5BDA" w:rsidRDefault="00990DFE" w:rsidP="00564A61">
            <w:pPr>
              <w:pStyle w:val="TableText"/>
            </w:pPr>
            <w:r w:rsidRPr="007C5BDA">
              <w:t>Department of Primary Industries, New South Wales</w:t>
            </w:r>
          </w:p>
        </w:tc>
      </w:tr>
      <w:tr w:rsidR="00990DFE" w:rsidRPr="00912FCE" w14:paraId="3FF113B5" w14:textId="77777777" w:rsidTr="002879AF">
        <w:tc>
          <w:tcPr>
            <w:tcW w:w="1412" w:type="pct"/>
          </w:tcPr>
          <w:p w14:paraId="2893D664" w14:textId="77777777" w:rsidR="00990DFE" w:rsidRPr="007C5BDA" w:rsidRDefault="00990DFE" w:rsidP="00564A61">
            <w:pPr>
              <w:pStyle w:val="TableText"/>
            </w:pPr>
            <w:r w:rsidRPr="007C5BDA">
              <w:t xml:space="preserve">Michelle </w:t>
            </w:r>
            <w:proofErr w:type="spellStart"/>
            <w:r w:rsidRPr="007C5BDA">
              <w:t>Rodan</w:t>
            </w:r>
            <w:proofErr w:type="spellEnd"/>
          </w:p>
        </w:tc>
        <w:tc>
          <w:tcPr>
            <w:tcW w:w="3588" w:type="pct"/>
          </w:tcPr>
          <w:p w14:paraId="4A948CF9" w14:textId="77777777" w:rsidR="00990DFE" w:rsidRPr="007C5BDA" w:rsidRDefault="00990DFE" w:rsidP="00564A61">
            <w:pPr>
              <w:pStyle w:val="TableText"/>
            </w:pPr>
            <w:r w:rsidRPr="007C5BDA">
              <w:t>Department of Primary Industry and Resources, Northern Territory</w:t>
            </w:r>
          </w:p>
        </w:tc>
      </w:tr>
      <w:tr w:rsidR="00990DFE" w:rsidRPr="00912FCE" w14:paraId="71CDCF61" w14:textId="77777777" w:rsidTr="002879AF">
        <w:tc>
          <w:tcPr>
            <w:tcW w:w="1412" w:type="pct"/>
          </w:tcPr>
          <w:p w14:paraId="1E8DEC22" w14:textId="77777777" w:rsidR="00990DFE" w:rsidRPr="007C5BDA" w:rsidRDefault="00990DFE" w:rsidP="00564A61">
            <w:pPr>
              <w:pStyle w:val="TableText"/>
            </w:pPr>
            <w:r w:rsidRPr="007C5BDA">
              <w:t>Allison Crook</w:t>
            </w:r>
          </w:p>
        </w:tc>
        <w:tc>
          <w:tcPr>
            <w:tcW w:w="3588" w:type="pct"/>
          </w:tcPr>
          <w:p w14:paraId="45A8A4F9" w14:textId="77777777" w:rsidR="00990DFE" w:rsidRPr="007C5BDA" w:rsidRDefault="00990DFE" w:rsidP="00564A61">
            <w:pPr>
              <w:pStyle w:val="TableText"/>
            </w:pPr>
            <w:r w:rsidRPr="007C5BDA">
              <w:t>Biosecurity Queensland</w:t>
            </w:r>
          </w:p>
        </w:tc>
      </w:tr>
      <w:tr w:rsidR="00990DFE" w:rsidRPr="00912FCE" w14:paraId="247E8122" w14:textId="77777777" w:rsidTr="002879AF">
        <w:tc>
          <w:tcPr>
            <w:tcW w:w="1412" w:type="pct"/>
          </w:tcPr>
          <w:p w14:paraId="7F999DCB" w14:textId="77777777" w:rsidR="00990DFE" w:rsidRPr="007C5BDA" w:rsidRDefault="00990DFE" w:rsidP="00564A61">
            <w:pPr>
              <w:pStyle w:val="TableText"/>
            </w:pPr>
            <w:r w:rsidRPr="007C5BDA">
              <w:t>Pat Bell</w:t>
            </w:r>
          </w:p>
        </w:tc>
        <w:tc>
          <w:tcPr>
            <w:tcW w:w="3588" w:type="pct"/>
          </w:tcPr>
          <w:p w14:paraId="434761C4" w14:textId="77777777" w:rsidR="00990DFE" w:rsidRPr="007C5BDA" w:rsidRDefault="00990DFE" w:rsidP="00564A61">
            <w:pPr>
              <w:pStyle w:val="TableText"/>
            </w:pPr>
            <w:r w:rsidRPr="007C5BDA">
              <w:t>Biosecurity Queensland</w:t>
            </w:r>
          </w:p>
        </w:tc>
      </w:tr>
      <w:tr w:rsidR="00990DFE" w:rsidRPr="00912FCE" w14:paraId="100D7FD4" w14:textId="77777777" w:rsidTr="002879AF">
        <w:tc>
          <w:tcPr>
            <w:tcW w:w="1412" w:type="pct"/>
          </w:tcPr>
          <w:p w14:paraId="242CC288" w14:textId="77777777" w:rsidR="00990DFE" w:rsidRPr="007C5BDA" w:rsidRDefault="00990DFE" w:rsidP="00564A61">
            <w:pPr>
              <w:pStyle w:val="TableText"/>
            </w:pPr>
            <w:r w:rsidRPr="007C5BDA">
              <w:t>Shane Roberts</w:t>
            </w:r>
          </w:p>
        </w:tc>
        <w:tc>
          <w:tcPr>
            <w:tcW w:w="3588" w:type="pct"/>
          </w:tcPr>
          <w:p w14:paraId="642F9254" w14:textId="77777777" w:rsidR="00990DFE" w:rsidRPr="007C5BDA" w:rsidRDefault="00990DFE" w:rsidP="00564A61">
            <w:pPr>
              <w:pStyle w:val="TableText"/>
            </w:pPr>
            <w:r w:rsidRPr="007C5BDA">
              <w:t>Department of Primary Industries and Regions South Australia</w:t>
            </w:r>
          </w:p>
        </w:tc>
      </w:tr>
      <w:tr w:rsidR="00990DFE" w:rsidRPr="00912FCE" w14:paraId="3BCB9654" w14:textId="77777777" w:rsidTr="002879AF">
        <w:tc>
          <w:tcPr>
            <w:tcW w:w="1412" w:type="pct"/>
          </w:tcPr>
          <w:p w14:paraId="70ED9D49" w14:textId="77777777" w:rsidR="00990DFE" w:rsidRPr="007C5BDA" w:rsidRDefault="00990DFE" w:rsidP="00564A61">
            <w:pPr>
              <w:pStyle w:val="TableText"/>
            </w:pPr>
            <w:r w:rsidRPr="007C5BDA">
              <w:t>Viet Doan</w:t>
            </w:r>
          </w:p>
        </w:tc>
        <w:tc>
          <w:tcPr>
            <w:tcW w:w="3588" w:type="pct"/>
          </w:tcPr>
          <w:p w14:paraId="66B7FF57" w14:textId="77777777" w:rsidR="00990DFE" w:rsidRPr="007C5BDA" w:rsidRDefault="00990DFE" w:rsidP="00564A61">
            <w:pPr>
              <w:pStyle w:val="TableText"/>
            </w:pPr>
            <w:r w:rsidRPr="007C5BDA">
              <w:t xml:space="preserve">Viet Nam Trade Office in Australia </w:t>
            </w:r>
          </w:p>
        </w:tc>
      </w:tr>
      <w:tr w:rsidR="00990DFE" w:rsidRPr="00912FCE" w14:paraId="655856D0" w14:textId="77777777" w:rsidTr="002879AF">
        <w:tc>
          <w:tcPr>
            <w:tcW w:w="1412" w:type="pct"/>
          </w:tcPr>
          <w:p w14:paraId="0C52F9AC" w14:textId="77777777" w:rsidR="00990DFE" w:rsidRPr="007C5BDA" w:rsidRDefault="00990DFE" w:rsidP="00564A61">
            <w:pPr>
              <w:pStyle w:val="TableText"/>
            </w:pPr>
            <w:proofErr w:type="spellStart"/>
            <w:r w:rsidRPr="007C5BDA">
              <w:t>Mutia</w:t>
            </w:r>
            <w:proofErr w:type="spellEnd"/>
            <w:r w:rsidRPr="007C5BDA">
              <w:t xml:space="preserve"> </w:t>
            </w:r>
            <w:proofErr w:type="spellStart"/>
            <w:r w:rsidRPr="007C5BDA">
              <w:t>Azura</w:t>
            </w:r>
            <w:proofErr w:type="spellEnd"/>
            <w:r w:rsidRPr="007C5BDA">
              <w:t xml:space="preserve"> Mohamed</w:t>
            </w:r>
          </w:p>
        </w:tc>
        <w:tc>
          <w:tcPr>
            <w:tcW w:w="3588" w:type="pct"/>
          </w:tcPr>
          <w:p w14:paraId="6640F733" w14:textId="77777777" w:rsidR="00990DFE" w:rsidRPr="007C5BDA" w:rsidRDefault="00990DFE" w:rsidP="00564A61">
            <w:pPr>
              <w:pStyle w:val="TableText"/>
            </w:pPr>
            <w:r w:rsidRPr="007C5BDA">
              <w:t>Consulate of Malaysia</w:t>
            </w:r>
          </w:p>
        </w:tc>
      </w:tr>
      <w:tr w:rsidR="00990DFE" w:rsidRPr="00912FCE" w14:paraId="7E58EA1F" w14:textId="77777777" w:rsidTr="002879AF">
        <w:tc>
          <w:tcPr>
            <w:tcW w:w="1412" w:type="pct"/>
          </w:tcPr>
          <w:p w14:paraId="09074A00" w14:textId="77777777" w:rsidR="00990DFE" w:rsidRPr="007C5BDA" w:rsidRDefault="00990DFE" w:rsidP="00564A61">
            <w:pPr>
              <w:pStyle w:val="TableText"/>
            </w:pPr>
            <w:r w:rsidRPr="007C5BDA">
              <w:t xml:space="preserve">Ahmad </w:t>
            </w:r>
            <w:proofErr w:type="spellStart"/>
            <w:r w:rsidRPr="007C5BDA">
              <w:t>Suafiq</w:t>
            </w:r>
            <w:proofErr w:type="spellEnd"/>
            <w:r w:rsidRPr="007C5BDA">
              <w:t xml:space="preserve"> </w:t>
            </w:r>
            <w:proofErr w:type="spellStart"/>
            <w:r w:rsidRPr="007C5BDA">
              <w:t>Nazmi</w:t>
            </w:r>
            <w:proofErr w:type="spellEnd"/>
          </w:p>
        </w:tc>
        <w:tc>
          <w:tcPr>
            <w:tcW w:w="3588" w:type="pct"/>
          </w:tcPr>
          <w:p w14:paraId="77AE8CB5" w14:textId="77777777" w:rsidR="00990DFE" w:rsidRPr="007C5BDA" w:rsidRDefault="00990DFE" w:rsidP="00564A61">
            <w:pPr>
              <w:pStyle w:val="TableText"/>
            </w:pPr>
            <w:r w:rsidRPr="007C5BDA">
              <w:t>Consulate of Malaysia</w:t>
            </w:r>
          </w:p>
        </w:tc>
      </w:tr>
      <w:tr w:rsidR="00990DFE" w:rsidRPr="00912FCE" w14:paraId="570748E3" w14:textId="77777777" w:rsidTr="002879AF">
        <w:tc>
          <w:tcPr>
            <w:tcW w:w="1412" w:type="pct"/>
          </w:tcPr>
          <w:p w14:paraId="341A9688" w14:textId="77777777" w:rsidR="00990DFE" w:rsidRPr="007C5BDA" w:rsidRDefault="00990DFE" w:rsidP="00564A61">
            <w:pPr>
              <w:pStyle w:val="TableText"/>
            </w:pPr>
            <w:proofErr w:type="spellStart"/>
            <w:r w:rsidRPr="007C5BDA">
              <w:lastRenderedPageBreak/>
              <w:t>Krissana</w:t>
            </w:r>
            <w:proofErr w:type="spellEnd"/>
            <w:r w:rsidRPr="007C5BDA">
              <w:t xml:space="preserve"> </w:t>
            </w:r>
            <w:proofErr w:type="spellStart"/>
            <w:r w:rsidRPr="007C5BDA">
              <w:t>Sukhumparnich</w:t>
            </w:r>
            <w:proofErr w:type="spellEnd"/>
          </w:p>
        </w:tc>
        <w:tc>
          <w:tcPr>
            <w:tcW w:w="3588" w:type="pct"/>
          </w:tcPr>
          <w:p w14:paraId="7B0DAF34" w14:textId="77777777" w:rsidR="00990DFE" w:rsidRPr="007C5BDA" w:rsidRDefault="00990DFE" w:rsidP="00564A61">
            <w:pPr>
              <w:pStyle w:val="TableText"/>
            </w:pPr>
            <w:r w:rsidRPr="007C5BDA">
              <w:t>Royal Thai Embassy</w:t>
            </w:r>
          </w:p>
        </w:tc>
      </w:tr>
      <w:tr w:rsidR="00990DFE" w:rsidRPr="00912FCE" w14:paraId="534028AF" w14:textId="77777777" w:rsidTr="002879AF">
        <w:tc>
          <w:tcPr>
            <w:tcW w:w="1412" w:type="pct"/>
          </w:tcPr>
          <w:p w14:paraId="4D8414FD" w14:textId="77777777" w:rsidR="00990DFE" w:rsidRPr="007C5BDA" w:rsidRDefault="00990DFE" w:rsidP="00564A61">
            <w:pPr>
              <w:pStyle w:val="TableText"/>
            </w:pPr>
            <w:proofErr w:type="spellStart"/>
            <w:r w:rsidRPr="007C5BDA">
              <w:t>Kanokthip</w:t>
            </w:r>
            <w:proofErr w:type="spellEnd"/>
            <w:r w:rsidRPr="007C5BDA">
              <w:t xml:space="preserve"> </w:t>
            </w:r>
            <w:proofErr w:type="spellStart"/>
            <w:r w:rsidRPr="007C5BDA">
              <w:t>Wacharalekagool</w:t>
            </w:r>
            <w:proofErr w:type="spellEnd"/>
          </w:p>
        </w:tc>
        <w:tc>
          <w:tcPr>
            <w:tcW w:w="3588" w:type="pct"/>
          </w:tcPr>
          <w:p w14:paraId="5F2616A9" w14:textId="77777777" w:rsidR="00990DFE" w:rsidRPr="007C5BDA" w:rsidRDefault="00990DFE" w:rsidP="00564A61">
            <w:pPr>
              <w:pStyle w:val="TableText"/>
            </w:pPr>
            <w:r w:rsidRPr="007C5BDA">
              <w:t>Royal Thai Embassy</w:t>
            </w:r>
          </w:p>
        </w:tc>
      </w:tr>
      <w:tr w:rsidR="00990DFE" w:rsidRPr="00912FCE" w14:paraId="1A864CE1" w14:textId="77777777" w:rsidTr="002879AF">
        <w:tc>
          <w:tcPr>
            <w:tcW w:w="1412" w:type="pct"/>
          </w:tcPr>
          <w:p w14:paraId="5F65B2DD" w14:textId="77777777" w:rsidR="00990DFE" w:rsidRPr="007C5BDA" w:rsidRDefault="00990DFE" w:rsidP="00564A61">
            <w:pPr>
              <w:pStyle w:val="TableText"/>
            </w:pPr>
            <w:r w:rsidRPr="007C5BDA">
              <w:t>Farida Yasmeen</w:t>
            </w:r>
          </w:p>
        </w:tc>
        <w:tc>
          <w:tcPr>
            <w:tcW w:w="3588" w:type="pct"/>
          </w:tcPr>
          <w:p w14:paraId="5B8BBAB3" w14:textId="77777777" w:rsidR="00990DFE" w:rsidRPr="007C5BDA" w:rsidRDefault="00990DFE" w:rsidP="00564A61">
            <w:pPr>
              <w:pStyle w:val="TableText"/>
            </w:pPr>
            <w:r w:rsidRPr="007C5BDA">
              <w:t>Bangladesh High Commission</w:t>
            </w:r>
          </w:p>
        </w:tc>
      </w:tr>
      <w:tr w:rsidR="00990DFE" w:rsidRPr="00912FCE" w14:paraId="5DA27BDA" w14:textId="77777777" w:rsidTr="002879AF">
        <w:tc>
          <w:tcPr>
            <w:tcW w:w="1412" w:type="pct"/>
          </w:tcPr>
          <w:p w14:paraId="2D402423" w14:textId="77777777" w:rsidR="00990DFE" w:rsidRPr="007C5BDA" w:rsidRDefault="00990DFE" w:rsidP="00564A61">
            <w:pPr>
              <w:pStyle w:val="TableText"/>
            </w:pPr>
            <w:r w:rsidRPr="007C5BDA">
              <w:t xml:space="preserve">Md. </w:t>
            </w:r>
            <w:proofErr w:type="spellStart"/>
            <w:r w:rsidRPr="007C5BDA">
              <w:t>Sayfullah</w:t>
            </w:r>
            <w:proofErr w:type="spellEnd"/>
          </w:p>
        </w:tc>
        <w:tc>
          <w:tcPr>
            <w:tcW w:w="3588" w:type="pct"/>
          </w:tcPr>
          <w:p w14:paraId="10B728BC" w14:textId="77777777" w:rsidR="00990DFE" w:rsidRPr="007C5BDA" w:rsidRDefault="00990DFE" w:rsidP="00564A61">
            <w:pPr>
              <w:pStyle w:val="TableText"/>
            </w:pPr>
            <w:r w:rsidRPr="007C5BDA">
              <w:t>Bangladesh High Commission</w:t>
            </w:r>
          </w:p>
        </w:tc>
      </w:tr>
      <w:tr w:rsidR="00990DFE" w:rsidRPr="00912FCE" w14:paraId="4F81E8CF" w14:textId="77777777" w:rsidTr="002879AF">
        <w:tc>
          <w:tcPr>
            <w:tcW w:w="1412" w:type="pct"/>
          </w:tcPr>
          <w:p w14:paraId="3D7645F1" w14:textId="77777777" w:rsidR="00990DFE" w:rsidRPr="007C5BDA" w:rsidRDefault="00990DFE" w:rsidP="00564A61">
            <w:pPr>
              <w:pStyle w:val="TableText"/>
            </w:pPr>
            <w:proofErr w:type="spellStart"/>
            <w:r w:rsidRPr="007C5BDA">
              <w:t>Rupjyoti</w:t>
            </w:r>
            <w:proofErr w:type="spellEnd"/>
            <w:r w:rsidRPr="007C5BDA">
              <w:t xml:space="preserve"> Brahma </w:t>
            </w:r>
            <w:proofErr w:type="spellStart"/>
            <w:r w:rsidRPr="007C5BDA">
              <w:t>Karjee</w:t>
            </w:r>
            <w:proofErr w:type="spellEnd"/>
          </w:p>
        </w:tc>
        <w:tc>
          <w:tcPr>
            <w:tcW w:w="3588" w:type="pct"/>
          </w:tcPr>
          <w:p w14:paraId="7D661007" w14:textId="77777777" w:rsidR="00990DFE" w:rsidRPr="007C5BDA" w:rsidRDefault="00990DFE" w:rsidP="00564A61">
            <w:pPr>
              <w:pStyle w:val="TableText"/>
            </w:pPr>
            <w:r w:rsidRPr="007C5BDA">
              <w:t>High Commission of India</w:t>
            </w:r>
          </w:p>
        </w:tc>
      </w:tr>
    </w:tbl>
    <w:p w14:paraId="6A8D7A3C" w14:textId="77777777" w:rsidR="005F77E5" w:rsidRDefault="005F77E5"/>
    <w:p w14:paraId="509733FA" w14:textId="77777777" w:rsidR="00990DFE" w:rsidRDefault="00990DFE">
      <w:pPr>
        <w:sectPr w:rsidR="00990DFE" w:rsidSect="00633722">
          <w:headerReference w:type="default" r:id="rId33"/>
          <w:pgSz w:w="11906" w:h="16838"/>
          <w:pgMar w:top="1418" w:right="1418" w:bottom="1418" w:left="1418" w:header="567" w:footer="283" w:gutter="0"/>
          <w:cols w:space="708"/>
          <w:docGrid w:linePitch="360"/>
        </w:sectPr>
      </w:pPr>
    </w:p>
    <w:p w14:paraId="53B1D20A" w14:textId="77777777" w:rsidR="007B3FA0" w:rsidRDefault="007B3FA0" w:rsidP="007B3FA0">
      <w:pPr>
        <w:pStyle w:val="Heading2"/>
      </w:pPr>
      <w:bookmarkStart w:id="10" w:name="_Ref508793961"/>
      <w:bookmarkStart w:id="11" w:name="_Toc508797192"/>
      <w:r w:rsidRPr="00D54120">
        <w:lastRenderedPageBreak/>
        <w:t xml:space="preserve">Appendix </w:t>
      </w:r>
      <w:r>
        <w:t>B</w:t>
      </w:r>
      <w:r w:rsidRPr="00D54120">
        <w:t xml:space="preserve">. </w:t>
      </w:r>
      <w:r w:rsidRPr="0097593B">
        <w:t>Questionnaire to inform the roundtable agenda</w:t>
      </w:r>
      <w:bookmarkEnd w:id="10"/>
      <w:bookmarkEnd w:id="11"/>
    </w:p>
    <w:p w14:paraId="3E249FC4" w14:textId="77777777" w:rsidR="007B3FA0" w:rsidRPr="007C5BDA" w:rsidRDefault="007B3FA0" w:rsidP="007B3FA0">
      <w:pPr>
        <w:rPr>
          <w:rFonts w:asciiTheme="majorHAnsi" w:hAnsiTheme="majorHAnsi"/>
        </w:rPr>
      </w:pPr>
      <w:r w:rsidRPr="007C5BDA">
        <w:rPr>
          <w:rFonts w:asciiTheme="majorHAnsi" w:hAnsiTheme="majorHAnsi"/>
          <w:b/>
        </w:rPr>
        <w:t xml:space="preserve">Scope: </w:t>
      </w:r>
      <w:r w:rsidRPr="007C5BDA">
        <w:rPr>
          <w:rFonts w:asciiTheme="majorHAnsi" w:hAnsiTheme="majorHAnsi"/>
        </w:rPr>
        <w:t>the roundtable is an opportunity to discuss the risk analysis and future directions of the review. It is also an opportunity for stakeholders to ask questions, hear differing stakeholder views and voice any concerns they may have about the review.</w:t>
      </w:r>
    </w:p>
    <w:p w14:paraId="32CB45FF" w14:textId="77777777" w:rsidR="007B3FA0" w:rsidRPr="00C97F9E" w:rsidRDefault="007B3FA0" w:rsidP="007B3FA0">
      <w:pPr>
        <w:pStyle w:val="ListParagraph"/>
        <w:numPr>
          <w:ilvl w:val="0"/>
          <w:numId w:val="53"/>
        </w:numPr>
        <w:spacing w:after="160" w:line="259" w:lineRule="auto"/>
        <w:ind w:left="426"/>
        <w:contextualSpacing/>
        <w:rPr>
          <w:rFonts w:asciiTheme="majorHAnsi" w:hAnsiTheme="majorHAnsi"/>
          <w:b/>
        </w:rPr>
      </w:pPr>
      <w:r w:rsidRPr="00C97F9E">
        <w:rPr>
          <w:rFonts w:asciiTheme="majorHAnsi" w:hAnsiTheme="majorHAnsi"/>
          <w:b/>
        </w:rPr>
        <w:t>Do you have any questions about the process the department uses to conduct reviews of biosecurity policy that you would like to discuss at the roundtable?</w:t>
      </w:r>
    </w:p>
    <w:p w14:paraId="3B491E7B" w14:textId="77777777" w:rsidR="007B3FA0" w:rsidRPr="00C97F9E" w:rsidRDefault="007B3FA0" w:rsidP="007B3FA0">
      <w:pPr>
        <w:ind w:left="426"/>
        <w:rPr>
          <w:rFonts w:asciiTheme="majorHAnsi" w:hAnsiTheme="majorHAnsi"/>
          <w:b/>
        </w:rPr>
      </w:pPr>
    </w:p>
    <w:p w14:paraId="7F231C29" w14:textId="77777777" w:rsidR="007B3FA0" w:rsidRPr="00C97F9E" w:rsidRDefault="007B3FA0" w:rsidP="007B3FA0">
      <w:pPr>
        <w:ind w:left="426"/>
        <w:rPr>
          <w:rFonts w:asciiTheme="majorHAnsi" w:hAnsiTheme="majorHAnsi"/>
          <w:b/>
        </w:rPr>
      </w:pPr>
    </w:p>
    <w:p w14:paraId="00FC5C0A" w14:textId="77777777" w:rsidR="007B3FA0" w:rsidRPr="00C97F9E" w:rsidRDefault="007B3FA0" w:rsidP="007B3FA0">
      <w:pPr>
        <w:ind w:left="426"/>
        <w:rPr>
          <w:rFonts w:asciiTheme="majorHAnsi" w:hAnsiTheme="majorHAnsi"/>
          <w:b/>
        </w:rPr>
      </w:pPr>
    </w:p>
    <w:p w14:paraId="6C63AAF2" w14:textId="77777777" w:rsidR="007B3FA0" w:rsidRPr="00C97F9E" w:rsidRDefault="007B3FA0" w:rsidP="007B3FA0">
      <w:pPr>
        <w:ind w:left="426"/>
        <w:rPr>
          <w:rFonts w:asciiTheme="majorHAnsi" w:hAnsiTheme="majorHAnsi"/>
          <w:b/>
        </w:rPr>
      </w:pPr>
    </w:p>
    <w:p w14:paraId="46A1F269" w14:textId="77777777" w:rsidR="007B3FA0" w:rsidRPr="00C97F9E" w:rsidRDefault="007B3FA0" w:rsidP="007B3FA0">
      <w:pPr>
        <w:ind w:left="426"/>
        <w:rPr>
          <w:rFonts w:asciiTheme="majorHAnsi" w:hAnsiTheme="majorHAnsi"/>
          <w:b/>
        </w:rPr>
      </w:pPr>
    </w:p>
    <w:p w14:paraId="4DDD8C1F" w14:textId="77777777" w:rsidR="007B3FA0" w:rsidRPr="00C97F9E" w:rsidRDefault="007B3FA0" w:rsidP="007B3FA0">
      <w:pPr>
        <w:pStyle w:val="ListParagraph"/>
        <w:numPr>
          <w:ilvl w:val="0"/>
          <w:numId w:val="53"/>
        </w:numPr>
        <w:spacing w:after="160" w:line="259" w:lineRule="auto"/>
        <w:ind w:left="426"/>
        <w:contextualSpacing/>
        <w:rPr>
          <w:rFonts w:asciiTheme="majorHAnsi" w:hAnsiTheme="majorHAnsi"/>
          <w:b/>
        </w:rPr>
      </w:pPr>
      <w:r w:rsidRPr="00C97F9E">
        <w:rPr>
          <w:rFonts w:asciiTheme="majorHAnsi" w:hAnsiTheme="majorHAnsi"/>
          <w:b/>
        </w:rPr>
        <w:t>Please outline any key talking points/areas of interest you would like to see discussed at the roundtable.</w:t>
      </w:r>
    </w:p>
    <w:p w14:paraId="47556345" w14:textId="77777777" w:rsidR="007B3FA0" w:rsidRPr="00C97F9E" w:rsidRDefault="007B3FA0" w:rsidP="007B3FA0">
      <w:pPr>
        <w:pStyle w:val="ListParagraph"/>
        <w:numPr>
          <w:ilvl w:val="0"/>
          <w:numId w:val="54"/>
        </w:numPr>
        <w:spacing w:after="160" w:line="259" w:lineRule="auto"/>
        <w:ind w:left="426"/>
        <w:contextualSpacing/>
        <w:rPr>
          <w:rFonts w:asciiTheme="majorHAnsi" w:hAnsiTheme="majorHAnsi"/>
          <w:b/>
        </w:rPr>
      </w:pPr>
    </w:p>
    <w:p w14:paraId="31CE1806" w14:textId="77777777" w:rsidR="007B3FA0" w:rsidRPr="00C97F9E" w:rsidRDefault="007B3FA0" w:rsidP="007B3FA0">
      <w:pPr>
        <w:pStyle w:val="ListParagraph"/>
        <w:ind w:left="426"/>
        <w:rPr>
          <w:rFonts w:asciiTheme="majorHAnsi" w:hAnsiTheme="majorHAnsi"/>
          <w:b/>
        </w:rPr>
      </w:pPr>
    </w:p>
    <w:p w14:paraId="4A7C5C5F" w14:textId="77777777" w:rsidR="007B3FA0" w:rsidRPr="00C97F9E" w:rsidRDefault="007B3FA0" w:rsidP="007B3FA0">
      <w:pPr>
        <w:pStyle w:val="ListParagraph"/>
        <w:ind w:left="426"/>
        <w:rPr>
          <w:rFonts w:asciiTheme="majorHAnsi" w:hAnsiTheme="majorHAnsi"/>
          <w:b/>
        </w:rPr>
      </w:pPr>
    </w:p>
    <w:p w14:paraId="1FF07936" w14:textId="77777777" w:rsidR="007B3FA0" w:rsidRPr="00C97F9E" w:rsidRDefault="007B3FA0" w:rsidP="007B3FA0">
      <w:pPr>
        <w:pStyle w:val="ListParagraph"/>
        <w:numPr>
          <w:ilvl w:val="0"/>
          <w:numId w:val="54"/>
        </w:numPr>
        <w:spacing w:after="160" w:line="259" w:lineRule="auto"/>
        <w:ind w:left="426"/>
        <w:contextualSpacing/>
        <w:rPr>
          <w:rFonts w:asciiTheme="majorHAnsi" w:hAnsiTheme="majorHAnsi"/>
          <w:b/>
        </w:rPr>
      </w:pPr>
    </w:p>
    <w:p w14:paraId="6766D825" w14:textId="77777777" w:rsidR="007B3FA0" w:rsidRPr="00C97F9E" w:rsidRDefault="007B3FA0" w:rsidP="007B3FA0">
      <w:pPr>
        <w:pStyle w:val="ListParagraph"/>
        <w:ind w:left="426"/>
        <w:rPr>
          <w:rFonts w:asciiTheme="majorHAnsi" w:hAnsiTheme="majorHAnsi"/>
          <w:b/>
        </w:rPr>
      </w:pPr>
    </w:p>
    <w:p w14:paraId="6F7EE0E0" w14:textId="77777777" w:rsidR="007B3FA0" w:rsidRPr="00C97F9E" w:rsidRDefault="007B3FA0" w:rsidP="007B3FA0">
      <w:pPr>
        <w:pStyle w:val="ListParagraph"/>
        <w:ind w:left="426"/>
        <w:rPr>
          <w:rFonts w:asciiTheme="majorHAnsi" w:hAnsiTheme="majorHAnsi"/>
          <w:b/>
        </w:rPr>
      </w:pPr>
    </w:p>
    <w:p w14:paraId="7185DE9E" w14:textId="77777777" w:rsidR="007B3FA0" w:rsidRPr="00C97F9E" w:rsidRDefault="007B3FA0" w:rsidP="007B3FA0">
      <w:pPr>
        <w:pStyle w:val="ListParagraph"/>
        <w:numPr>
          <w:ilvl w:val="0"/>
          <w:numId w:val="54"/>
        </w:numPr>
        <w:spacing w:after="160" w:line="259" w:lineRule="auto"/>
        <w:ind w:left="426"/>
        <w:contextualSpacing/>
        <w:rPr>
          <w:rFonts w:asciiTheme="majorHAnsi" w:hAnsiTheme="majorHAnsi"/>
          <w:b/>
        </w:rPr>
      </w:pPr>
    </w:p>
    <w:p w14:paraId="37BA4D4F" w14:textId="77777777" w:rsidR="007B3FA0" w:rsidRPr="00C97F9E" w:rsidRDefault="007B3FA0" w:rsidP="007B3FA0">
      <w:pPr>
        <w:pStyle w:val="ListParagraph"/>
        <w:ind w:left="426"/>
        <w:rPr>
          <w:rFonts w:asciiTheme="majorHAnsi" w:hAnsiTheme="majorHAnsi"/>
          <w:b/>
        </w:rPr>
      </w:pPr>
    </w:p>
    <w:p w14:paraId="0134978F" w14:textId="77777777" w:rsidR="007B3FA0" w:rsidRPr="00C97F9E" w:rsidRDefault="007B3FA0" w:rsidP="007B3FA0">
      <w:pPr>
        <w:pStyle w:val="ListParagraph"/>
        <w:ind w:left="426"/>
        <w:rPr>
          <w:rFonts w:asciiTheme="majorHAnsi" w:hAnsiTheme="majorHAnsi"/>
          <w:b/>
        </w:rPr>
      </w:pPr>
    </w:p>
    <w:p w14:paraId="59A703D7" w14:textId="77777777" w:rsidR="007B3FA0" w:rsidRPr="00C97F9E" w:rsidRDefault="007B3FA0" w:rsidP="007B3FA0">
      <w:pPr>
        <w:pStyle w:val="ListParagraph"/>
        <w:numPr>
          <w:ilvl w:val="0"/>
          <w:numId w:val="54"/>
        </w:numPr>
        <w:spacing w:after="160" w:line="259" w:lineRule="auto"/>
        <w:ind w:left="426"/>
        <w:contextualSpacing/>
        <w:rPr>
          <w:rFonts w:asciiTheme="majorHAnsi" w:hAnsiTheme="majorHAnsi"/>
          <w:b/>
        </w:rPr>
      </w:pPr>
    </w:p>
    <w:p w14:paraId="774B4677" w14:textId="77777777" w:rsidR="007B3FA0" w:rsidRPr="00C97F9E" w:rsidRDefault="007B3FA0" w:rsidP="007B3FA0">
      <w:pPr>
        <w:pStyle w:val="ListParagraph"/>
        <w:ind w:left="426"/>
        <w:rPr>
          <w:rFonts w:asciiTheme="majorHAnsi" w:hAnsiTheme="majorHAnsi"/>
          <w:b/>
        </w:rPr>
      </w:pPr>
    </w:p>
    <w:p w14:paraId="1DDB3619" w14:textId="77777777" w:rsidR="007B3FA0" w:rsidRPr="00C97F9E" w:rsidRDefault="007B3FA0" w:rsidP="007B3FA0">
      <w:pPr>
        <w:pStyle w:val="ListParagraph"/>
        <w:ind w:left="426"/>
        <w:rPr>
          <w:rFonts w:asciiTheme="majorHAnsi" w:hAnsiTheme="majorHAnsi"/>
          <w:b/>
        </w:rPr>
      </w:pPr>
    </w:p>
    <w:p w14:paraId="7DB72216" w14:textId="77777777" w:rsidR="007B3FA0" w:rsidRPr="00C97F9E" w:rsidRDefault="007B3FA0" w:rsidP="007B3FA0">
      <w:pPr>
        <w:pStyle w:val="ListParagraph"/>
        <w:numPr>
          <w:ilvl w:val="0"/>
          <w:numId w:val="54"/>
        </w:numPr>
        <w:spacing w:after="160" w:line="259" w:lineRule="auto"/>
        <w:ind w:left="426"/>
        <w:contextualSpacing/>
        <w:rPr>
          <w:rFonts w:asciiTheme="majorHAnsi" w:hAnsiTheme="majorHAnsi"/>
          <w:b/>
        </w:rPr>
      </w:pPr>
    </w:p>
    <w:p w14:paraId="23D7EA92" w14:textId="77777777" w:rsidR="007B3FA0" w:rsidRDefault="007B3FA0" w:rsidP="007B3FA0">
      <w:pPr>
        <w:pStyle w:val="ListParagraph"/>
        <w:ind w:left="426"/>
        <w:rPr>
          <w:rFonts w:asciiTheme="minorHAnsi" w:hAnsiTheme="minorHAnsi"/>
          <w:b/>
        </w:rPr>
        <w:sectPr w:rsidR="007B3FA0">
          <w:headerReference w:type="default" r:id="rId34"/>
          <w:pgSz w:w="11906" w:h="16838"/>
          <w:pgMar w:top="1418" w:right="1418" w:bottom="1418" w:left="1418" w:header="567" w:footer="283" w:gutter="0"/>
          <w:cols w:space="708"/>
          <w:docGrid w:linePitch="360"/>
        </w:sectPr>
      </w:pPr>
    </w:p>
    <w:p w14:paraId="2D4E95EB" w14:textId="77777777" w:rsidR="00890F14" w:rsidRDefault="00890F14" w:rsidP="00890F14">
      <w:pPr>
        <w:pStyle w:val="Heading2"/>
      </w:pPr>
      <w:bookmarkStart w:id="12" w:name="_Ref508793990"/>
      <w:bookmarkStart w:id="13" w:name="_Toc508797193"/>
      <w:r>
        <w:lastRenderedPageBreak/>
        <w:t xml:space="preserve">Appendix </w:t>
      </w:r>
      <w:r w:rsidR="007B3FA0">
        <w:t>C</w:t>
      </w:r>
      <w:r>
        <w:t xml:space="preserve">. </w:t>
      </w:r>
      <w:r w:rsidR="00F53A39">
        <w:t>Final Agenda</w:t>
      </w:r>
      <w:bookmarkEnd w:id="12"/>
      <w:bookmarkEnd w:id="13"/>
    </w:p>
    <w:p w14:paraId="5BF0DF63" w14:textId="77777777" w:rsidR="00AD1706" w:rsidRPr="007C5BDA" w:rsidRDefault="00AD1706" w:rsidP="00AD1706">
      <w:pPr>
        <w:jc w:val="center"/>
        <w:rPr>
          <w:rFonts w:asciiTheme="majorHAnsi" w:hAnsiTheme="majorHAnsi"/>
          <w:b/>
        </w:rPr>
      </w:pPr>
      <w:r w:rsidRPr="007C5BDA">
        <w:rPr>
          <w:rFonts w:asciiTheme="majorHAnsi" w:hAnsiTheme="majorHAnsi"/>
          <w:b/>
        </w:rPr>
        <w:t>Review of the biosecurity risks of, and import conditions for, prawns and prawn products imported for human consumption</w:t>
      </w:r>
    </w:p>
    <w:p w14:paraId="42B6CA8E" w14:textId="66059707" w:rsidR="00AD1706" w:rsidRPr="007C5BDA" w:rsidRDefault="00B26211" w:rsidP="00FE3991">
      <w:pPr>
        <w:pStyle w:val="Heading8"/>
      </w:pPr>
      <w:r>
        <w:t>Roundtable discussion</w:t>
      </w:r>
    </w:p>
    <w:p w14:paraId="79859182" w14:textId="2928FAB4" w:rsidR="00AD1706" w:rsidRPr="007C5BDA" w:rsidRDefault="00AD1706" w:rsidP="007C5BDA">
      <w:pPr>
        <w:pStyle w:val="EndNoteBibliographyTitle"/>
        <w:spacing w:after="200"/>
        <w:rPr>
          <w:rFonts w:asciiTheme="majorHAnsi" w:hAnsiTheme="majorHAnsi"/>
        </w:rPr>
      </w:pPr>
      <w:r w:rsidRPr="007C5BDA">
        <w:rPr>
          <w:rFonts w:asciiTheme="majorHAnsi" w:hAnsiTheme="majorHAnsi"/>
          <w:noProof w:val="0"/>
          <w:lang w:val="en-AU"/>
        </w:rPr>
        <w:t>Department of Agriculture and</w:t>
      </w:r>
      <w:r w:rsidR="0092762D">
        <w:rPr>
          <w:rFonts w:asciiTheme="majorHAnsi" w:hAnsiTheme="majorHAnsi"/>
          <w:noProof w:val="0"/>
          <w:lang w:val="en-AU"/>
        </w:rPr>
        <w:t xml:space="preserve"> Water Resources, Canberra, ACT</w:t>
      </w:r>
    </w:p>
    <w:p w14:paraId="142C25F6" w14:textId="77777777" w:rsidR="00AD1706" w:rsidRPr="007C5BDA" w:rsidRDefault="00AD1706" w:rsidP="00AD1706">
      <w:pPr>
        <w:jc w:val="center"/>
        <w:rPr>
          <w:rFonts w:asciiTheme="majorHAnsi" w:hAnsiTheme="majorHAnsi"/>
        </w:rPr>
      </w:pPr>
      <w:r w:rsidRPr="007C5BDA">
        <w:rPr>
          <w:rFonts w:asciiTheme="majorHAnsi" w:hAnsiTheme="majorHAnsi"/>
        </w:rPr>
        <w:t>8 February 2018, 10 am–3 pm</w:t>
      </w:r>
    </w:p>
    <w:p w14:paraId="5F5D9A97" w14:textId="77777777" w:rsidR="00AD1706" w:rsidRPr="007C5BDA" w:rsidRDefault="00AD1706" w:rsidP="00AD1706">
      <w:pPr>
        <w:rPr>
          <w:rFonts w:asciiTheme="majorHAnsi" w:hAnsiTheme="majorHAnsi"/>
        </w:rPr>
      </w:pPr>
      <w:r w:rsidRPr="007C5BDA">
        <w:rPr>
          <w:rFonts w:asciiTheme="majorHAnsi" w:hAnsiTheme="majorHAnsi"/>
          <w:b/>
        </w:rPr>
        <w:t>10.00 am</w:t>
      </w:r>
      <w:r w:rsidRPr="007C5BDA">
        <w:rPr>
          <w:rFonts w:asciiTheme="majorHAnsi" w:hAnsiTheme="majorHAnsi"/>
        </w:rPr>
        <w:t xml:space="preserve"> </w:t>
      </w:r>
      <w:r w:rsidRPr="007C5BDA">
        <w:rPr>
          <w:rFonts w:asciiTheme="majorHAnsi" w:hAnsiTheme="majorHAnsi"/>
        </w:rPr>
        <w:tab/>
        <w:t>Arrival, registration and morning tea</w:t>
      </w:r>
    </w:p>
    <w:p w14:paraId="250072FE" w14:textId="77777777" w:rsidR="00AD1706" w:rsidRPr="007C5BDA" w:rsidRDefault="00AD1706" w:rsidP="00AD1706">
      <w:pPr>
        <w:rPr>
          <w:rFonts w:asciiTheme="majorHAnsi" w:hAnsiTheme="majorHAnsi"/>
        </w:rPr>
      </w:pPr>
      <w:r w:rsidRPr="007C5BDA">
        <w:rPr>
          <w:rFonts w:asciiTheme="majorHAnsi" w:hAnsiTheme="majorHAnsi"/>
          <w:b/>
        </w:rPr>
        <w:t>10.30 am</w:t>
      </w:r>
      <w:r w:rsidRPr="007C5BDA">
        <w:rPr>
          <w:rFonts w:asciiTheme="majorHAnsi" w:hAnsiTheme="majorHAnsi"/>
        </w:rPr>
        <w:tab/>
        <w:t>Welcome and house-keeping</w:t>
      </w:r>
    </w:p>
    <w:p w14:paraId="1D482F7A" w14:textId="773955A6" w:rsidR="00AD1706" w:rsidRPr="007C5BDA" w:rsidRDefault="00AD1706" w:rsidP="00AD1706">
      <w:pPr>
        <w:rPr>
          <w:rFonts w:asciiTheme="majorHAnsi" w:hAnsiTheme="majorHAnsi"/>
        </w:rPr>
      </w:pPr>
      <w:r w:rsidRPr="007C5BDA">
        <w:rPr>
          <w:rFonts w:asciiTheme="majorHAnsi" w:hAnsiTheme="majorHAnsi"/>
          <w:b/>
        </w:rPr>
        <w:t>10.40 am</w:t>
      </w:r>
      <w:r w:rsidR="0092762D">
        <w:rPr>
          <w:rFonts w:asciiTheme="majorHAnsi" w:hAnsiTheme="majorHAnsi"/>
        </w:rPr>
        <w:tab/>
        <w:t>Opening statement</w:t>
      </w:r>
    </w:p>
    <w:p w14:paraId="75520D72" w14:textId="77777777" w:rsidR="00AD1706" w:rsidRPr="007C5BDA" w:rsidRDefault="00AD1706" w:rsidP="00AD1706">
      <w:pPr>
        <w:rPr>
          <w:rFonts w:asciiTheme="majorHAnsi" w:hAnsiTheme="majorHAnsi"/>
          <w:b/>
        </w:rPr>
      </w:pPr>
      <w:r w:rsidRPr="007C5BDA">
        <w:rPr>
          <w:rFonts w:asciiTheme="majorHAnsi" w:hAnsiTheme="majorHAnsi"/>
          <w:b/>
        </w:rPr>
        <w:t>10.50 am</w:t>
      </w:r>
      <w:r w:rsidRPr="007C5BDA">
        <w:rPr>
          <w:rFonts w:asciiTheme="majorHAnsi" w:hAnsiTheme="majorHAnsi"/>
          <w:b/>
        </w:rPr>
        <w:tab/>
      </w:r>
      <w:r w:rsidRPr="007C5BDA">
        <w:rPr>
          <w:rFonts w:asciiTheme="majorHAnsi" w:hAnsiTheme="majorHAnsi"/>
        </w:rPr>
        <w:t>Introduction of attendees</w:t>
      </w:r>
    </w:p>
    <w:p w14:paraId="67DABC1B" w14:textId="77777777" w:rsidR="00AD1706" w:rsidRPr="007C5BDA" w:rsidRDefault="00AD1706" w:rsidP="00AD1706">
      <w:pPr>
        <w:rPr>
          <w:rFonts w:asciiTheme="majorHAnsi" w:hAnsiTheme="majorHAnsi"/>
        </w:rPr>
      </w:pPr>
      <w:r w:rsidRPr="007C5BDA">
        <w:rPr>
          <w:rFonts w:asciiTheme="majorHAnsi" w:hAnsiTheme="majorHAnsi"/>
          <w:b/>
        </w:rPr>
        <w:t>11.00 am</w:t>
      </w:r>
      <w:r w:rsidRPr="007C5BDA">
        <w:rPr>
          <w:rFonts w:asciiTheme="majorHAnsi" w:hAnsiTheme="majorHAnsi"/>
          <w:b/>
        </w:rPr>
        <w:tab/>
      </w:r>
      <w:r w:rsidRPr="007C5BDA">
        <w:rPr>
          <w:rFonts w:asciiTheme="majorHAnsi" w:hAnsiTheme="majorHAnsi"/>
        </w:rPr>
        <w:t>Department presentation and discussion</w:t>
      </w:r>
    </w:p>
    <w:p w14:paraId="4D6F5503" w14:textId="77777777" w:rsidR="00AD1706" w:rsidRPr="007C5BDA" w:rsidRDefault="00AD1706" w:rsidP="00AD1706">
      <w:pPr>
        <w:rPr>
          <w:rFonts w:asciiTheme="majorHAnsi" w:hAnsiTheme="majorHAnsi"/>
          <w:u w:val="single"/>
        </w:rPr>
      </w:pPr>
      <w:r w:rsidRPr="007C5BDA">
        <w:rPr>
          <w:rFonts w:asciiTheme="majorHAnsi" w:hAnsiTheme="majorHAnsi"/>
          <w:b/>
        </w:rPr>
        <w:t>11.45 am</w:t>
      </w:r>
      <w:r w:rsidRPr="007C5BDA">
        <w:rPr>
          <w:rFonts w:asciiTheme="majorHAnsi" w:hAnsiTheme="majorHAnsi"/>
        </w:rPr>
        <w:tab/>
      </w:r>
      <w:r w:rsidRPr="007C5BDA">
        <w:rPr>
          <w:rFonts w:asciiTheme="majorHAnsi" w:hAnsiTheme="majorHAnsi"/>
          <w:u w:val="single"/>
        </w:rPr>
        <w:t>Industry presentations</w:t>
      </w:r>
    </w:p>
    <w:p w14:paraId="431D41EF" w14:textId="77777777" w:rsidR="00AD1706" w:rsidRPr="007C5BDA" w:rsidRDefault="00AD1706" w:rsidP="00AD1706">
      <w:pPr>
        <w:pStyle w:val="ListParagraph"/>
        <w:numPr>
          <w:ilvl w:val="0"/>
          <w:numId w:val="52"/>
        </w:numPr>
        <w:spacing w:after="160" w:line="259" w:lineRule="auto"/>
        <w:ind w:left="1843"/>
        <w:contextualSpacing/>
        <w:rPr>
          <w:rFonts w:asciiTheme="majorHAnsi" w:hAnsiTheme="majorHAnsi"/>
        </w:rPr>
      </w:pPr>
      <w:r w:rsidRPr="007C5BDA">
        <w:rPr>
          <w:rFonts w:asciiTheme="majorHAnsi" w:hAnsiTheme="majorHAnsi"/>
        </w:rPr>
        <w:t>Australian Council of Prawn Fisheries</w:t>
      </w:r>
    </w:p>
    <w:p w14:paraId="5477529A" w14:textId="77777777" w:rsidR="00AD1706" w:rsidRPr="007C5BDA" w:rsidRDefault="00AD1706" w:rsidP="00AD1706">
      <w:pPr>
        <w:pStyle w:val="ListParagraph"/>
        <w:numPr>
          <w:ilvl w:val="0"/>
          <w:numId w:val="52"/>
        </w:numPr>
        <w:spacing w:after="160" w:line="259" w:lineRule="auto"/>
        <w:ind w:left="1843"/>
        <w:contextualSpacing/>
        <w:rPr>
          <w:rFonts w:asciiTheme="majorHAnsi" w:hAnsiTheme="majorHAnsi"/>
        </w:rPr>
      </w:pPr>
      <w:r w:rsidRPr="007C5BDA">
        <w:rPr>
          <w:rFonts w:asciiTheme="majorHAnsi" w:hAnsiTheme="majorHAnsi"/>
        </w:rPr>
        <w:t>Australian Prawn Farmers Association</w:t>
      </w:r>
    </w:p>
    <w:p w14:paraId="00A8C38D" w14:textId="77777777" w:rsidR="00AD1706" w:rsidRPr="007C5BDA" w:rsidRDefault="00AD1706" w:rsidP="00AD1706">
      <w:pPr>
        <w:pStyle w:val="ListParagraph"/>
        <w:numPr>
          <w:ilvl w:val="0"/>
          <w:numId w:val="52"/>
        </w:numPr>
        <w:spacing w:after="160" w:line="259" w:lineRule="auto"/>
        <w:ind w:left="1843"/>
        <w:contextualSpacing/>
        <w:rPr>
          <w:rFonts w:asciiTheme="majorHAnsi" w:hAnsiTheme="majorHAnsi"/>
        </w:rPr>
      </w:pPr>
      <w:r w:rsidRPr="007C5BDA">
        <w:rPr>
          <w:rFonts w:asciiTheme="majorHAnsi" w:hAnsiTheme="majorHAnsi"/>
        </w:rPr>
        <w:t>Seafood Importers Association of Australasia</w:t>
      </w:r>
    </w:p>
    <w:p w14:paraId="6562B763" w14:textId="77777777" w:rsidR="00AD1706" w:rsidRPr="007C5BDA" w:rsidRDefault="00AD1706" w:rsidP="00AD1706">
      <w:pPr>
        <w:rPr>
          <w:rFonts w:asciiTheme="majorHAnsi" w:hAnsiTheme="majorHAnsi"/>
          <w:b/>
        </w:rPr>
      </w:pPr>
      <w:r w:rsidRPr="007C5BDA">
        <w:rPr>
          <w:rFonts w:asciiTheme="majorHAnsi" w:hAnsiTheme="majorHAnsi"/>
          <w:b/>
        </w:rPr>
        <w:t>12.30 pm</w:t>
      </w:r>
      <w:r w:rsidRPr="007C5BDA">
        <w:rPr>
          <w:rFonts w:asciiTheme="majorHAnsi" w:hAnsiTheme="majorHAnsi"/>
        </w:rPr>
        <w:tab/>
        <w:t>Lunch</w:t>
      </w:r>
    </w:p>
    <w:p w14:paraId="17222F87" w14:textId="77777777" w:rsidR="00AD1706" w:rsidRPr="007C5BDA" w:rsidRDefault="00AD1706" w:rsidP="00AD1706">
      <w:pPr>
        <w:rPr>
          <w:rFonts w:asciiTheme="majorHAnsi" w:hAnsiTheme="majorHAnsi"/>
        </w:rPr>
      </w:pPr>
      <w:r w:rsidRPr="007C5BDA">
        <w:rPr>
          <w:rFonts w:asciiTheme="majorHAnsi" w:hAnsiTheme="majorHAnsi"/>
          <w:b/>
        </w:rPr>
        <w:t>1.15 pm</w:t>
      </w:r>
      <w:r w:rsidRPr="007C5BDA">
        <w:rPr>
          <w:rFonts w:asciiTheme="majorHAnsi" w:hAnsiTheme="majorHAnsi"/>
        </w:rPr>
        <w:tab/>
      </w:r>
      <w:r w:rsidRPr="007C5BDA">
        <w:rPr>
          <w:rFonts w:asciiTheme="majorHAnsi" w:hAnsiTheme="majorHAnsi"/>
          <w:u w:val="single"/>
        </w:rPr>
        <w:t>Facilitated discussion session</w:t>
      </w:r>
    </w:p>
    <w:p w14:paraId="158615D4" w14:textId="77777777" w:rsidR="00AD1706" w:rsidRPr="007C5BDA" w:rsidRDefault="00AD1706" w:rsidP="00AD1706">
      <w:pPr>
        <w:pStyle w:val="ListParagraph"/>
        <w:numPr>
          <w:ilvl w:val="0"/>
          <w:numId w:val="52"/>
        </w:numPr>
        <w:spacing w:after="160" w:line="259" w:lineRule="auto"/>
        <w:ind w:left="1843"/>
        <w:contextualSpacing/>
        <w:rPr>
          <w:rFonts w:asciiTheme="majorHAnsi" w:hAnsiTheme="majorHAnsi"/>
        </w:rPr>
      </w:pPr>
      <w:r w:rsidRPr="007C5BDA">
        <w:rPr>
          <w:rFonts w:asciiTheme="majorHAnsi" w:hAnsiTheme="majorHAnsi"/>
        </w:rPr>
        <w:t>International obligations</w:t>
      </w:r>
    </w:p>
    <w:p w14:paraId="540019F1" w14:textId="77777777" w:rsidR="00AD1706" w:rsidRPr="007C5BDA" w:rsidRDefault="00AD1706" w:rsidP="00AD1706">
      <w:pPr>
        <w:pStyle w:val="ListParagraph"/>
        <w:numPr>
          <w:ilvl w:val="0"/>
          <w:numId w:val="52"/>
        </w:numPr>
        <w:spacing w:after="160" w:line="259" w:lineRule="auto"/>
        <w:ind w:left="1843"/>
        <w:contextualSpacing/>
        <w:rPr>
          <w:rFonts w:asciiTheme="majorHAnsi" w:hAnsiTheme="majorHAnsi"/>
        </w:rPr>
      </w:pPr>
      <w:r w:rsidRPr="007C5BDA">
        <w:rPr>
          <w:rFonts w:asciiTheme="majorHAnsi" w:hAnsiTheme="majorHAnsi"/>
        </w:rPr>
        <w:t>Risk analysis methodology</w:t>
      </w:r>
    </w:p>
    <w:p w14:paraId="22F007AC" w14:textId="77777777" w:rsidR="00AD1706" w:rsidRPr="007C5BDA" w:rsidRDefault="00AD1706" w:rsidP="00AD1706">
      <w:pPr>
        <w:pStyle w:val="ListParagraph"/>
        <w:numPr>
          <w:ilvl w:val="0"/>
          <w:numId w:val="52"/>
        </w:numPr>
        <w:spacing w:after="160" w:line="259" w:lineRule="auto"/>
        <w:ind w:left="1843"/>
        <w:contextualSpacing/>
        <w:rPr>
          <w:rFonts w:asciiTheme="majorHAnsi" w:hAnsiTheme="majorHAnsi"/>
        </w:rPr>
      </w:pPr>
      <w:r w:rsidRPr="007C5BDA">
        <w:rPr>
          <w:rFonts w:asciiTheme="majorHAnsi" w:hAnsiTheme="majorHAnsi"/>
        </w:rPr>
        <w:t>Consultation</w:t>
      </w:r>
    </w:p>
    <w:p w14:paraId="6D631225" w14:textId="77777777" w:rsidR="00AD1706" w:rsidRPr="007C5BDA" w:rsidRDefault="00AD1706" w:rsidP="00AD1706">
      <w:pPr>
        <w:rPr>
          <w:rFonts w:asciiTheme="majorHAnsi" w:hAnsiTheme="majorHAnsi"/>
          <w:b/>
        </w:rPr>
      </w:pPr>
      <w:r w:rsidRPr="007C5BDA">
        <w:rPr>
          <w:rFonts w:asciiTheme="majorHAnsi" w:hAnsiTheme="majorHAnsi"/>
          <w:b/>
        </w:rPr>
        <w:t>2.50 pm</w:t>
      </w:r>
      <w:r w:rsidRPr="007C5BDA">
        <w:rPr>
          <w:rFonts w:asciiTheme="majorHAnsi" w:hAnsiTheme="majorHAnsi"/>
          <w:b/>
        </w:rPr>
        <w:tab/>
      </w:r>
      <w:r w:rsidRPr="007C5BDA">
        <w:rPr>
          <w:rFonts w:asciiTheme="majorHAnsi" w:hAnsiTheme="majorHAnsi"/>
        </w:rPr>
        <w:t>Wrap-up</w:t>
      </w:r>
    </w:p>
    <w:p w14:paraId="0CBC0C48" w14:textId="77777777" w:rsidR="00AD1706" w:rsidRPr="007C5BDA" w:rsidRDefault="00AD1706" w:rsidP="00AD1706">
      <w:pPr>
        <w:rPr>
          <w:rFonts w:asciiTheme="majorHAnsi" w:hAnsiTheme="majorHAnsi"/>
        </w:rPr>
      </w:pPr>
      <w:r w:rsidRPr="007C5BDA">
        <w:rPr>
          <w:rFonts w:asciiTheme="majorHAnsi" w:hAnsiTheme="majorHAnsi"/>
          <w:b/>
        </w:rPr>
        <w:t>3.00 pm</w:t>
      </w:r>
      <w:r w:rsidRPr="007C5BDA">
        <w:rPr>
          <w:rFonts w:asciiTheme="majorHAnsi" w:hAnsiTheme="majorHAnsi"/>
        </w:rPr>
        <w:tab/>
        <w:t>Close and afternoon tea</w:t>
      </w:r>
    </w:p>
    <w:p w14:paraId="252FDCEE" w14:textId="77777777" w:rsidR="005F77E5" w:rsidRPr="007C5BDA" w:rsidRDefault="005F77E5" w:rsidP="00A11F8D">
      <w:pPr>
        <w:rPr>
          <w:rFonts w:asciiTheme="majorHAnsi" w:hAnsiTheme="majorHAnsi"/>
        </w:rPr>
      </w:pPr>
    </w:p>
    <w:p w14:paraId="383B67D5" w14:textId="77777777" w:rsidR="008B7D08" w:rsidRDefault="008B7D08">
      <w:pPr>
        <w:sectPr w:rsidR="008B7D08">
          <w:headerReference w:type="default" r:id="rId35"/>
          <w:pgSz w:w="11906" w:h="16838"/>
          <w:pgMar w:top="1418" w:right="1418" w:bottom="1418" w:left="1418" w:header="567" w:footer="283" w:gutter="0"/>
          <w:cols w:space="708"/>
          <w:docGrid w:linePitch="360"/>
        </w:sectPr>
      </w:pPr>
    </w:p>
    <w:p w14:paraId="5A0B3A42" w14:textId="77777777" w:rsidR="00CC1604" w:rsidRDefault="00CC1604" w:rsidP="00CC1604">
      <w:pPr>
        <w:pStyle w:val="Heading2"/>
      </w:pPr>
      <w:bookmarkStart w:id="14" w:name="_Ref508794024"/>
      <w:bookmarkStart w:id="15" w:name="_Toc508797194"/>
      <w:r w:rsidRPr="00D54120">
        <w:lastRenderedPageBreak/>
        <w:t xml:space="preserve">Appendix </w:t>
      </w:r>
      <w:r>
        <w:t>D</w:t>
      </w:r>
      <w:r w:rsidRPr="00D54120">
        <w:t xml:space="preserve">. </w:t>
      </w:r>
      <w:r w:rsidRPr="000D76D6">
        <w:t>Next steps</w:t>
      </w:r>
      <w:bookmarkEnd w:id="14"/>
      <w:bookmarkEnd w:id="15"/>
    </w:p>
    <w:p w14:paraId="15DA2E32" w14:textId="4991EFDB" w:rsidR="00CC1604" w:rsidRPr="007C5BDA" w:rsidRDefault="00CC1604" w:rsidP="00892C3D">
      <w:r w:rsidRPr="007C5BDA">
        <w:t>Next steps after the roundtable</w:t>
      </w:r>
      <w:r w:rsidR="005F12C8">
        <w:t>:</w:t>
      </w:r>
    </w:p>
    <w:p w14:paraId="7F10CFBB" w14:textId="77777777" w:rsidR="00CC1604" w:rsidRPr="00FB107E" w:rsidRDefault="00CC1604" w:rsidP="00FB107E">
      <w:pPr>
        <w:pStyle w:val="ListBullet"/>
      </w:pPr>
      <w:r w:rsidRPr="00FB107E">
        <w:t xml:space="preserve">The department will release </w:t>
      </w:r>
      <w:r w:rsidR="00EC655A" w:rsidRPr="00FB107E">
        <w:t>Biosecurity</w:t>
      </w:r>
      <w:r w:rsidRPr="00FB107E">
        <w:t xml:space="preserve"> Advice requesting submissions on specific issues that stakeholders have with Australia’s current prawn import policy:</w:t>
      </w:r>
    </w:p>
    <w:p w14:paraId="42FE285A" w14:textId="2C86E48C" w:rsidR="00CC1604" w:rsidRPr="00FB107E" w:rsidRDefault="00CC1604" w:rsidP="00FB107E">
      <w:pPr>
        <w:pStyle w:val="ListBullet2"/>
      </w:pPr>
      <w:r w:rsidRPr="00FB107E">
        <w:t>Submissions should include a scientific basis for any proposed changes to A</w:t>
      </w:r>
      <w:r w:rsidR="00C36A16">
        <w:t>ustralia’s prawn import policy.</w:t>
      </w:r>
    </w:p>
    <w:p w14:paraId="2B5EE26F" w14:textId="77777777" w:rsidR="00CC1604" w:rsidRPr="007C5BDA" w:rsidRDefault="00CC1604" w:rsidP="00FB107E">
      <w:pPr>
        <w:pStyle w:val="ListBullet2"/>
        <w:rPr>
          <w:b/>
        </w:rPr>
      </w:pPr>
      <w:r w:rsidRPr="007C5BDA">
        <w:t xml:space="preserve">There will be a period of </w:t>
      </w:r>
      <w:r>
        <w:t xml:space="preserve">at least </w:t>
      </w:r>
      <w:r w:rsidRPr="007C5BDA">
        <w:t>60 calendar days for submissions to be made.</w:t>
      </w:r>
    </w:p>
    <w:p w14:paraId="722178B7" w14:textId="36F9A909" w:rsidR="00CC1604" w:rsidRDefault="00CC1604" w:rsidP="00FB107E">
      <w:pPr>
        <w:pStyle w:val="ListBullet2"/>
        <w:rPr>
          <w:b/>
        </w:rPr>
      </w:pPr>
      <w:r w:rsidRPr="007C5BDA">
        <w:t>All science-based submissions will be considered w</w:t>
      </w:r>
      <w:r w:rsidR="00D97FA1">
        <w:t>hen preparing the draft report.</w:t>
      </w:r>
    </w:p>
    <w:p w14:paraId="0920EDC2" w14:textId="1A625560" w:rsidR="00CC1604" w:rsidRPr="00742754" w:rsidRDefault="00CC1604" w:rsidP="00FB107E">
      <w:pPr>
        <w:pStyle w:val="ListBullet2"/>
        <w:rPr>
          <w:b/>
        </w:rPr>
      </w:pPr>
      <w:r w:rsidRPr="00742754">
        <w:t xml:space="preserve">It is </w:t>
      </w:r>
      <w:r w:rsidRPr="00FB107E">
        <w:t>intended</w:t>
      </w:r>
      <w:r w:rsidRPr="00742754">
        <w:t xml:space="preserve"> that this notice will be released </w:t>
      </w:r>
      <w:r w:rsidR="00742754" w:rsidRPr="00742754">
        <w:t>o</w:t>
      </w:r>
      <w:r w:rsidRPr="00742754">
        <w:t xml:space="preserve">n </w:t>
      </w:r>
      <w:r w:rsidR="00742754" w:rsidRPr="00742754">
        <w:t>26</w:t>
      </w:r>
      <w:r w:rsidR="00FB107E">
        <w:t> </w:t>
      </w:r>
      <w:r w:rsidRPr="00742754">
        <w:t>March 2018</w:t>
      </w:r>
      <w:r w:rsidR="00D97FA1">
        <w:t>.</w:t>
      </w:r>
    </w:p>
    <w:p w14:paraId="1F4724D4" w14:textId="77777777" w:rsidR="00C36A16" w:rsidRDefault="00CC1604" w:rsidP="00FB107E">
      <w:pPr>
        <w:pStyle w:val="ListBullet"/>
      </w:pPr>
      <w:r w:rsidRPr="007C5BDA">
        <w:t xml:space="preserve">The department is working to design a </w:t>
      </w:r>
      <w:r>
        <w:t>b</w:t>
      </w:r>
      <w:r w:rsidRPr="007C5BDA">
        <w:t xml:space="preserve">ait and </w:t>
      </w:r>
      <w:r>
        <w:t>b</w:t>
      </w:r>
      <w:r w:rsidRPr="007C5BDA">
        <w:t xml:space="preserve">urley </w:t>
      </w:r>
      <w:r>
        <w:t>u</w:t>
      </w:r>
      <w:r w:rsidRPr="007C5BDA">
        <w:t xml:space="preserve">se </w:t>
      </w:r>
      <w:r>
        <w:t>s</w:t>
      </w:r>
      <w:r w:rsidRPr="007C5BDA">
        <w:t>urvey with relevant experts, including the consultants who executed the 2002 and 2007 surveys and ABARES.</w:t>
      </w:r>
    </w:p>
    <w:p w14:paraId="5CC696DC" w14:textId="4DFA882E" w:rsidR="00CC1604" w:rsidRPr="007C5BDA" w:rsidRDefault="00CC1604" w:rsidP="00FB107E">
      <w:pPr>
        <w:pStyle w:val="ListBullet2"/>
        <w:rPr>
          <w:b/>
        </w:rPr>
      </w:pPr>
      <w:r w:rsidRPr="007C5BDA">
        <w:t>Since the 2002 and 2007 surveys were conducted it is likely that there have been changes in a number of factors that may affect the use of imported prawns as bait/burley, including changes in prices of local bait versus imported seafood, educational programs regarding bait use, fishing habit</w:t>
      </w:r>
      <w:r w:rsidR="00D97FA1">
        <w:t>s and advances in technologies.</w:t>
      </w:r>
    </w:p>
    <w:p w14:paraId="49966BEF" w14:textId="3A8D61F0" w:rsidR="00CC1604" w:rsidRPr="007C5BDA" w:rsidRDefault="00CC1604" w:rsidP="00FB107E">
      <w:pPr>
        <w:pStyle w:val="ListBullet2"/>
        <w:rPr>
          <w:b/>
        </w:rPr>
      </w:pPr>
      <w:r w:rsidRPr="007C5BDA">
        <w:t xml:space="preserve">Results from this survey </w:t>
      </w:r>
      <w:r>
        <w:t>will form</w:t>
      </w:r>
      <w:r w:rsidRPr="007C5BDA">
        <w:t xml:space="preserve"> an integral part for the assessment of expos</w:t>
      </w:r>
      <w:r w:rsidR="00D97FA1">
        <w:t>ure pathways during the review.</w:t>
      </w:r>
    </w:p>
    <w:p w14:paraId="2AB78CE3" w14:textId="6FED1C90" w:rsidR="00CC1604" w:rsidRPr="000A0585" w:rsidRDefault="00CC1604" w:rsidP="00FB107E">
      <w:pPr>
        <w:pStyle w:val="ListBullet2"/>
        <w:rPr>
          <w:b/>
        </w:rPr>
      </w:pPr>
      <w:r>
        <w:t>Results from the survey</w:t>
      </w:r>
      <w:r w:rsidRPr="007C5BDA">
        <w:t xml:space="preserve"> will also provide scientifically robust data for verification of certain risk management measures such as cooking and highly processin</w:t>
      </w:r>
      <w:r w:rsidR="00D97FA1">
        <w:t>g products.</w:t>
      </w:r>
    </w:p>
    <w:p w14:paraId="5EA4AADE" w14:textId="77777777" w:rsidR="00CC1604" w:rsidRPr="00BB633B" w:rsidRDefault="00CC1604" w:rsidP="00FB107E">
      <w:pPr>
        <w:pStyle w:val="ListBullet3"/>
        <w:numPr>
          <w:ilvl w:val="2"/>
          <w:numId w:val="55"/>
        </w:numPr>
        <w:tabs>
          <w:tab w:val="clear" w:pos="1080"/>
        </w:tabs>
        <w:ind w:left="1276" w:hanging="425"/>
        <w:rPr>
          <w:rFonts w:cs="Times New Roman"/>
          <w:b/>
          <w:iCs/>
        </w:rPr>
      </w:pPr>
      <w:r w:rsidRPr="007C5BDA">
        <w:rPr>
          <w:iCs/>
        </w:rPr>
        <w:t>These risk management measures were</w:t>
      </w:r>
      <w:r>
        <w:rPr>
          <w:iCs/>
        </w:rPr>
        <w:t xml:space="preserve"> previously</w:t>
      </w:r>
      <w:r w:rsidRPr="007C5BDA">
        <w:rPr>
          <w:iCs/>
        </w:rPr>
        <w:t xml:space="preserve"> considered to significantly reduce the likelihood of imported prawns being diverted to use as bait, as crustacean </w:t>
      </w:r>
      <w:proofErr w:type="spellStart"/>
      <w:r w:rsidRPr="007C5BDA">
        <w:rPr>
          <w:iCs/>
        </w:rPr>
        <w:t>broodstock</w:t>
      </w:r>
      <w:proofErr w:type="spellEnd"/>
      <w:r w:rsidRPr="007C5BDA">
        <w:rPr>
          <w:iCs/>
        </w:rPr>
        <w:t xml:space="preserve"> feed, or being further processed in Australia.</w:t>
      </w:r>
    </w:p>
    <w:p w14:paraId="6E3BEEA5" w14:textId="77777777" w:rsidR="00BB633B" w:rsidRDefault="00BB633B" w:rsidP="00BB633B">
      <w:pPr>
        <w:pStyle w:val="BriefBoxHeading"/>
        <w:spacing w:after="120"/>
        <w:rPr>
          <w:rFonts w:ascii="Cambria" w:hAnsi="Cambria"/>
          <w:b w:val="0"/>
          <w:iCs/>
          <w:sz w:val="22"/>
          <w:szCs w:val="22"/>
        </w:rPr>
        <w:sectPr w:rsidR="00BB633B">
          <w:headerReference w:type="default" r:id="rId36"/>
          <w:pgSz w:w="11906" w:h="16838"/>
          <w:pgMar w:top="1418" w:right="1418" w:bottom="1418" w:left="1418" w:header="567" w:footer="283" w:gutter="0"/>
          <w:cols w:space="708"/>
          <w:docGrid w:linePitch="360"/>
        </w:sectPr>
      </w:pPr>
    </w:p>
    <w:p w14:paraId="0C3F34A5" w14:textId="77777777" w:rsidR="00BB633B" w:rsidRDefault="00BB633B" w:rsidP="00BB633B">
      <w:pPr>
        <w:pStyle w:val="Heading2"/>
      </w:pPr>
      <w:bookmarkStart w:id="16" w:name="_Ref508794042"/>
      <w:bookmarkStart w:id="17" w:name="_Toc508797195"/>
      <w:r w:rsidRPr="00D54120">
        <w:lastRenderedPageBreak/>
        <w:t xml:space="preserve">Appendix </w:t>
      </w:r>
      <w:r w:rsidRPr="00CC1604">
        <w:t>E. Consultation activities</w:t>
      </w:r>
      <w:bookmarkEnd w:id="16"/>
      <w:bookmarkEnd w:id="17"/>
    </w:p>
    <w:p w14:paraId="171B5C3D" w14:textId="77777777" w:rsidR="00BB633B" w:rsidRDefault="00BB633B" w:rsidP="00BB633B">
      <w:r w:rsidRPr="00373BC7">
        <w:t>Stakeholders wishing to discuss the review can contact the department</w:t>
      </w:r>
      <w:r>
        <w:t xml:space="preserve"> at any time </w:t>
      </w:r>
      <w:r w:rsidRPr="00373BC7">
        <w:t xml:space="preserve">via email: </w:t>
      </w:r>
      <w:hyperlink r:id="rId37" w:history="1">
        <w:r w:rsidRPr="00B33FD3">
          <w:rPr>
            <w:rStyle w:val="Hyperlink"/>
          </w:rPr>
          <w:t>prawnreview@agriculture.gov.au</w:t>
        </w:r>
      </w:hyperlink>
      <w:r>
        <w:t>.</w:t>
      </w:r>
    </w:p>
    <w:p w14:paraId="0FAE4A88" w14:textId="77777777" w:rsidR="00BB633B" w:rsidRPr="007C5BDA" w:rsidRDefault="00BB633B" w:rsidP="00BB633B">
      <w:r w:rsidRPr="007C5BDA">
        <w:t xml:space="preserve">Planned </w:t>
      </w:r>
      <w:r>
        <w:t xml:space="preserve">formal </w:t>
      </w:r>
      <w:r w:rsidRPr="007C5BDA">
        <w:t>consultation activities during the review</w:t>
      </w:r>
      <w:r>
        <w:t xml:space="preserve"> include:</w:t>
      </w:r>
    </w:p>
    <w:p w14:paraId="2C6E09FD" w14:textId="672EE526" w:rsidR="00BB633B" w:rsidRPr="007C5BDA" w:rsidRDefault="00BB633B" w:rsidP="0092762D">
      <w:pPr>
        <w:pStyle w:val="ListNumber"/>
      </w:pPr>
      <w:r w:rsidRPr="007C5BDA">
        <w:t>Roundtable 1 – discussion of the review process</w:t>
      </w:r>
      <w:r>
        <w:t xml:space="preserve"> (completed 8 February 2018)</w:t>
      </w:r>
    </w:p>
    <w:p w14:paraId="14820CCC" w14:textId="328BB367" w:rsidR="00BB633B" w:rsidRPr="007C5BDA" w:rsidRDefault="00BB633B" w:rsidP="0092762D">
      <w:pPr>
        <w:pStyle w:val="ListNumber"/>
      </w:pPr>
      <w:r w:rsidRPr="007C5BDA">
        <w:t>Request for scientific submissions from stakeholders on specific issues with Australia’s current prawn import conditions for the department to consider when preparing the draft r</w:t>
      </w:r>
      <w:r w:rsidR="0092762D">
        <w:t>eport</w:t>
      </w:r>
    </w:p>
    <w:p w14:paraId="5C31B870" w14:textId="346E4CD0" w:rsidR="00BB633B" w:rsidRPr="007C5BDA" w:rsidRDefault="00BB633B" w:rsidP="0092762D">
      <w:pPr>
        <w:pStyle w:val="ListNumber"/>
      </w:pPr>
      <w:r w:rsidRPr="007C5BDA">
        <w:t xml:space="preserve">Request for stakeholder suggestions for members of the </w:t>
      </w:r>
      <w:r>
        <w:rPr>
          <w:rFonts w:asciiTheme="minorHAnsi" w:hAnsiTheme="minorHAnsi"/>
        </w:rPr>
        <w:t>SAG</w:t>
      </w:r>
    </w:p>
    <w:p w14:paraId="7A7D81B7" w14:textId="4C4943B9" w:rsidR="00BB633B" w:rsidRPr="007C5BDA" w:rsidRDefault="0092762D" w:rsidP="0092762D">
      <w:pPr>
        <w:pStyle w:val="ListNumber"/>
      </w:pPr>
      <w:r>
        <w:t>External peer review</w:t>
      </w:r>
    </w:p>
    <w:p w14:paraId="3BE6524D" w14:textId="7907AF9B" w:rsidR="00BB633B" w:rsidRPr="007C5BDA" w:rsidRDefault="00BB633B" w:rsidP="0092762D">
      <w:pPr>
        <w:pStyle w:val="ListNumber"/>
      </w:pPr>
      <w:r w:rsidRPr="007C5BDA">
        <w:t>Request for stake</w:t>
      </w:r>
      <w:r w:rsidR="0092762D">
        <w:t>holder comment on draft report</w:t>
      </w:r>
    </w:p>
    <w:p w14:paraId="0DF02187" w14:textId="185DF797" w:rsidR="00B02624" w:rsidRDefault="0092762D" w:rsidP="0092762D">
      <w:pPr>
        <w:pStyle w:val="ListNumber"/>
      </w:pPr>
      <w:r>
        <w:t>Roundtable 2</w:t>
      </w:r>
    </w:p>
    <w:p w14:paraId="324F3F1E" w14:textId="25214C6B" w:rsidR="003A32FB" w:rsidRPr="005C4F56" w:rsidRDefault="00BB633B" w:rsidP="00C57433">
      <w:pPr>
        <w:pStyle w:val="ListNumber"/>
      </w:pPr>
      <w:r w:rsidRPr="007C5BDA">
        <w:t>Roundtable 3</w:t>
      </w:r>
      <w:r w:rsidR="0092762D">
        <w:t xml:space="preserve"> </w:t>
      </w:r>
      <w:r w:rsidRPr="007C5BDA">
        <w:t>(if required).</w:t>
      </w:r>
    </w:p>
    <w:sectPr w:rsidR="003A32FB" w:rsidRPr="005C4F56" w:rsidSect="003A0143">
      <w:headerReference w:type="defaul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374D4" w14:textId="77777777" w:rsidR="00C57433" w:rsidRDefault="00C57433">
      <w:pPr>
        <w:spacing w:after="0" w:line="240" w:lineRule="auto"/>
      </w:pPr>
      <w:r>
        <w:separator/>
      </w:r>
    </w:p>
  </w:endnote>
  <w:endnote w:type="continuationSeparator" w:id="0">
    <w:p w14:paraId="5DE03506" w14:textId="77777777" w:rsidR="00C57433" w:rsidRDefault="00C57433">
      <w:pPr>
        <w:spacing w:after="0" w:line="240" w:lineRule="auto"/>
      </w:pPr>
      <w:r>
        <w:continuationSeparator/>
      </w:r>
    </w:p>
  </w:endnote>
  <w:endnote w:type="continuationNotice" w:id="1">
    <w:p w14:paraId="450C7C92" w14:textId="77777777" w:rsidR="00C57433" w:rsidRDefault="00C57433">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67485" w14:textId="77777777" w:rsidR="00C57433" w:rsidRDefault="00C57433">
    <w:pPr>
      <w:pStyle w:val="Footer"/>
      <w:tabs>
        <w:tab w:val="clear" w:pos="4536"/>
        <w:tab w:val="center" w:pos="9072"/>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1749" w14:textId="77777777" w:rsidR="00C57433" w:rsidRDefault="00C57433" w:rsidP="003A0143">
    <w:pPr>
      <w:pStyle w:val="Footer"/>
    </w:pPr>
    <w:r>
      <w:t>Department of Agriculture and Water Resources</w:t>
    </w:r>
  </w:p>
  <w:p w14:paraId="2E7097C9" w14:textId="61554A65" w:rsidR="00C57433" w:rsidRDefault="00C57433">
    <w:pPr>
      <w:pStyle w:val="Footer"/>
    </w:pPr>
    <w:r>
      <w:fldChar w:fldCharType="begin"/>
    </w:r>
    <w:r>
      <w:instrText xml:space="preserve"> PAGE   \* MERGEFORMAT </w:instrText>
    </w:r>
    <w:r>
      <w:fldChar w:fldCharType="separate"/>
    </w:r>
    <w:r w:rsidR="00EE1C5F">
      <w:rPr>
        <w:noProof/>
      </w:rPr>
      <w:t>14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B420" w14:textId="77777777" w:rsidR="00C57433" w:rsidRDefault="00C57433" w:rsidP="003A0143">
    <w:pPr>
      <w:pStyle w:val="Footer"/>
    </w:pPr>
    <w:r>
      <w:t>Department of Agriculture and Water Resources</w:t>
    </w:r>
  </w:p>
  <w:p w14:paraId="4B7E1BB3" w14:textId="30377CEB" w:rsidR="00C57433" w:rsidRDefault="00C57433" w:rsidP="003A0143">
    <w:pPr>
      <w:pStyle w:val="Footer"/>
    </w:pPr>
    <w:r>
      <w:fldChar w:fldCharType="begin"/>
    </w:r>
    <w:r>
      <w:instrText xml:space="preserve"> PAGE   \* MERGEFORMAT </w:instrText>
    </w:r>
    <w:r>
      <w:fldChar w:fldCharType="separate"/>
    </w:r>
    <w:r w:rsidR="00EE1C5F">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48C7" w14:textId="77777777" w:rsidR="00C57433" w:rsidRDefault="00C57433" w:rsidP="003A0143">
    <w:pPr>
      <w:pStyle w:val="Footer"/>
    </w:pPr>
    <w:r>
      <w:t>Department of Agriculture and Water Resources</w:t>
    </w:r>
  </w:p>
  <w:p w14:paraId="79776827" w14:textId="2230D003" w:rsidR="00C57433" w:rsidRDefault="00C57433" w:rsidP="003A0143">
    <w:pPr>
      <w:pStyle w:val="Footer"/>
    </w:pPr>
    <w:r>
      <w:fldChar w:fldCharType="begin"/>
    </w:r>
    <w:r>
      <w:instrText xml:space="preserve"> PAGE   \* MERGEFORMAT </w:instrText>
    </w:r>
    <w:r>
      <w:fldChar w:fldCharType="separate"/>
    </w:r>
    <w:r w:rsidR="00EE1C5F">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9CA62" w14:textId="77777777" w:rsidR="00C57433" w:rsidRDefault="00C57433">
      <w:pPr>
        <w:spacing w:after="0" w:line="240" w:lineRule="auto"/>
      </w:pPr>
      <w:r>
        <w:separator/>
      </w:r>
    </w:p>
  </w:footnote>
  <w:footnote w:type="continuationSeparator" w:id="0">
    <w:p w14:paraId="3B393BA8" w14:textId="77777777" w:rsidR="00C57433" w:rsidRDefault="00C57433">
      <w:pPr>
        <w:spacing w:after="0" w:line="240" w:lineRule="auto"/>
      </w:pPr>
      <w:r>
        <w:continuationSeparator/>
      </w:r>
    </w:p>
  </w:footnote>
  <w:footnote w:type="continuationNotice" w:id="1">
    <w:p w14:paraId="637A7102" w14:textId="77777777" w:rsidR="00C57433" w:rsidRDefault="00C57433">
      <w:pPr>
        <w:pStyle w:val="Footer"/>
      </w:pPr>
    </w:p>
  </w:footnote>
  <w:footnote w:id="2">
    <w:p w14:paraId="6A7A46B4" w14:textId="77777777" w:rsidR="00C57433" w:rsidRDefault="00C57433">
      <w:pPr>
        <w:pStyle w:val="FootnoteText"/>
      </w:pPr>
      <w:r>
        <w:rPr>
          <w:rStyle w:val="FootnoteReference"/>
        </w:rPr>
        <w:footnoteRef/>
      </w:r>
      <w:r>
        <w:t xml:space="preserve"> Following feedback from stakeholders the department now intends to release the Biosecurity Advice in late-March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416F8" w14:textId="77777777" w:rsidR="00C57433" w:rsidRDefault="00C57433">
    <w:pPr>
      <w:pStyle w:val="Header"/>
      <w:tabs>
        <w:tab w:val="clear" w:pos="4820"/>
        <w:tab w:val="center" w:pos="8505"/>
      </w:tabs>
      <w:jc w:val="left"/>
    </w:pPr>
    <w:r w:rsidRPr="008974C1">
      <w:rPr>
        <w:noProof/>
        <w:lang w:eastAsia="en-AU"/>
      </w:rPr>
      <w:drawing>
        <wp:inline distT="0" distB="0" distL="0" distR="0" wp14:anchorId="19925EB3" wp14:editId="1F47C83B">
          <wp:extent cx="2328992" cy="741600"/>
          <wp:effectExtent l="0" t="0" r="0" b="1905"/>
          <wp:docPr id="4" name="Picture 4"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992" cy="741600"/>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95A88" w14:textId="77777777" w:rsidR="00C57433" w:rsidRDefault="00C57433">
    <w:pPr>
      <w:pStyle w:val="Header"/>
      <w:tabs>
        <w:tab w:val="clear" w:pos="4820"/>
        <w:tab w:val="center" w:pos="8505"/>
        <w:tab w:val="center" w:pos="13041"/>
      </w:tabs>
      <w:jc w:val="left"/>
    </w:pPr>
    <w:r w:rsidRPr="00836F11">
      <w:t>Meeting Summary Report</w:t>
    </w:r>
    <w:r>
      <w:tab/>
      <w:t>Appendix 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7503B" w14:textId="77777777" w:rsidR="00C57433" w:rsidRDefault="00C57433">
    <w:pPr>
      <w:pStyle w:val="Header"/>
      <w:tabs>
        <w:tab w:val="clear" w:pos="4820"/>
        <w:tab w:val="center" w:pos="8505"/>
        <w:tab w:val="center" w:pos="13041"/>
      </w:tabs>
      <w:jc w:val="left"/>
    </w:pPr>
    <w:r w:rsidRPr="00836F11">
      <w:t>Meeting Summary Report</w:t>
    </w:r>
    <w:r>
      <w:tab/>
      <w:t>Appendix B</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09C2" w14:textId="77777777" w:rsidR="00C57433" w:rsidRDefault="00C57433">
    <w:pPr>
      <w:pStyle w:val="Header"/>
      <w:tabs>
        <w:tab w:val="clear" w:pos="4820"/>
        <w:tab w:val="center" w:pos="8505"/>
        <w:tab w:val="center" w:pos="13041"/>
      </w:tabs>
      <w:jc w:val="left"/>
    </w:pPr>
    <w:r w:rsidRPr="00836F11">
      <w:t>Meeting Summary Report</w:t>
    </w:r>
    <w:r>
      <w:tab/>
      <w:t>Appendix C</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F69FD" w14:textId="77777777" w:rsidR="00C57433" w:rsidRDefault="00C57433">
    <w:pPr>
      <w:pStyle w:val="Header"/>
      <w:tabs>
        <w:tab w:val="clear" w:pos="4820"/>
        <w:tab w:val="center" w:pos="8505"/>
        <w:tab w:val="center" w:pos="13041"/>
      </w:tabs>
      <w:jc w:val="left"/>
    </w:pPr>
    <w:r w:rsidRPr="00836F11">
      <w:t>Meeting Summary Report</w:t>
    </w:r>
    <w:r>
      <w:tab/>
      <w:t>Appendix D</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F27B3" w14:textId="77777777" w:rsidR="00C57433" w:rsidRDefault="00C57433">
    <w:pPr>
      <w:pStyle w:val="Header"/>
      <w:tabs>
        <w:tab w:val="clear" w:pos="4820"/>
        <w:tab w:val="center" w:pos="8505"/>
        <w:tab w:val="center" w:pos="13041"/>
      </w:tabs>
      <w:jc w:val="left"/>
    </w:pPr>
    <w:r w:rsidRPr="00836F11">
      <w:t>Roundtable discussion 8 February 2018 on Prawns - Meeting Summary Report</w:t>
    </w:r>
    <w:r>
      <w:tab/>
      <w:t>Appendix 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CDC3" w14:textId="45A8D523" w:rsidR="00C57433" w:rsidRDefault="00C57433" w:rsidP="003A0143">
    <w:pPr>
      <w:pStyle w:val="Header"/>
      <w:tabs>
        <w:tab w:val="clear" w:pos="4820"/>
        <w:tab w:val="center" w:pos="8505"/>
        <w:tab w:val="center" w:pos="13041"/>
      </w:tabs>
      <w:jc w:val="left"/>
    </w:pPr>
    <w:r>
      <w:t>Meeting Summary Report</w:t>
    </w:r>
    <w:r>
      <w:tab/>
      <w:t>Appendix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8A22" w14:textId="77777777" w:rsidR="00C57433" w:rsidRDefault="00C57433">
    <w:pPr>
      <w:pStyle w:val="Header"/>
      <w:tabs>
        <w:tab w:val="clear" w:pos="4820"/>
        <w:tab w:val="center" w:pos="8505"/>
      </w:tabs>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E8E6E" w14:textId="77777777" w:rsidR="00C57433" w:rsidRDefault="00C57433">
    <w:pPr>
      <w:pStyle w:val="Header"/>
      <w:tabs>
        <w:tab w:val="clear" w:pos="4820"/>
        <w:tab w:val="center" w:pos="8505"/>
      </w:tabs>
      <w:jc w:val="left"/>
    </w:pPr>
    <w:r>
      <w:t>Meeting Summary Report</w:t>
    </w:r>
    <w:r>
      <w:tab/>
      <w:t>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F8AD3" w14:textId="77777777" w:rsidR="00C57433" w:rsidRDefault="00C57433">
    <w:pPr>
      <w:pStyle w:val="Header"/>
      <w:tabs>
        <w:tab w:val="clear" w:pos="4820"/>
        <w:tab w:val="center" w:pos="8505"/>
      </w:tabs>
      <w:jc w:val="left"/>
    </w:pPr>
    <w:r>
      <w:t>Meeting Summary Report</w:t>
    </w:r>
    <w:r>
      <w:tab/>
      <w:t>Acronyms and abbreviations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2EBF7" w14:textId="771D3A94" w:rsidR="00C57433" w:rsidRDefault="00C57433">
    <w:pPr>
      <w:pStyle w:val="Header"/>
      <w:tabs>
        <w:tab w:val="clear" w:pos="4820"/>
        <w:tab w:val="center" w:pos="8505"/>
      </w:tabs>
      <w:jc w:val="left"/>
    </w:pPr>
    <w:r>
      <w:t>Meeting Summary Report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DB3F3" w14:textId="77777777" w:rsidR="00C57433" w:rsidRDefault="00C57433">
    <w:pPr>
      <w:pStyle w:val="Header"/>
      <w:tabs>
        <w:tab w:val="clear" w:pos="4820"/>
        <w:tab w:val="center" w:pos="8505"/>
      </w:tabs>
      <w:jc w:val="left"/>
    </w:pPr>
    <w:r>
      <w:t>Meeting Summary Report</w:t>
    </w:r>
    <w:r>
      <w:tab/>
      <w:t>Opening statement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2164B" w14:textId="767B42F3" w:rsidR="00C57433" w:rsidRDefault="00C57433">
    <w:pPr>
      <w:pStyle w:val="Header"/>
      <w:tabs>
        <w:tab w:val="clear" w:pos="4820"/>
        <w:tab w:val="center" w:pos="8505"/>
      </w:tabs>
      <w:jc w:val="left"/>
    </w:pPr>
    <w:r>
      <w:t>Meeting Summary Report</w:t>
    </w:r>
    <w:r>
      <w:tab/>
      <w:t>Presentations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8D8B7" w14:textId="77777777" w:rsidR="00C57433" w:rsidRDefault="00C57433">
    <w:pPr>
      <w:pStyle w:val="Header"/>
      <w:tabs>
        <w:tab w:val="clear" w:pos="4820"/>
        <w:tab w:val="center" w:pos="8505"/>
      </w:tabs>
      <w:jc w:val="left"/>
    </w:pPr>
    <w:r w:rsidRPr="00836F11">
      <w:t>Meeting Summary Report</w:t>
    </w:r>
    <w:r>
      <w:tab/>
      <w:t>Facilitated discussion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8A0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4AD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A0DB3E"/>
    <w:lvl w:ilvl="0">
      <w:start w:val="1"/>
      <w:numFmt w:val="lowerRoman"/>
      <w:lvlText w:val="%1)"/>
      <w:lvlJc w:val="left"/>
      <w:pPr>
        <w:tabs>
          <w:tab w:val="num" w:pos="926"/>
        </w:tabs>
        <w:ind w:left="926" w:hanging="360"/>
      </w:pPr>
      <w:rPr>
        <w:rFonts w:hint="default"/>
      </w:rPr>
    </w:lvl>
  </w:abstractNum>
  <w:abstractNum w:abstractNumId="3" w15:restartNumberingAfterBreak="0">
    <w:nsid w:val="FFFFFF80"/>
    <w:multiLevelType w:val="singleLevel"/>
    <w:tmpl w:val="D182182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E18D7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F5F2EE4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E0DFE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7638D2AC"/>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7E752D5"/>
    <w:multiLevelType w:val="singleLevel"/>
    <w:tmpl w:val="DE424BC0"/>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09A831E8"/>
    <w:multiLevelType w:val="multilevel"/>
    <w:tmpl w:val="40A462FE"/>
    <w:styleLink w:val="heading"/>
    <w:lvl w:ilvl="0">
      <w:start w:val="1"/>
      <w:numFmt w:val="decimal"/>
      <w:lvlText w:val="%1"/>
      <w:lvlJc w:val="left"/>
      <w:pPr>
        <w:tabs>
          <w:tab w:val="num" w:pos="794"/>
        </w:tabs>
        <w:ind w:left="794" w:hanging="794"/>
      </w:pPr>
      <w:rPr>
        <w:rFonts w:hint="default"/>
      </w:rPr>
    </w:lvl>
    <w:lvl w:ilvl="1">
      <w:start w:val="1"/>
      <w:numFmt w:val="decimal"/>
      <w:pStyle w:val="Heading3"/>
      <w:lvlText w:val="%1.%2"/>
      <w:lvlJc w:val="left"/>
      <w:pPr>
        <w:tabs>
          <w:tab w:val="num" w:pos="794"/>
        </w:tabs>
        <w:ind w:left="794" w:hanging="794"/>
      </w:pPr>
      <w:rPr>
        <w:rFonts w:hint="default"/>
      </w:rPr>
    </w:lvl>
    <w:lvl w:ilvl="2">
      <w:start w:val="1"/>
      <w:numFmt w:val="decimal"/>
      <w:pStyle w:val="Heading4"/>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0" w15:restartNumberingAfterBreak="0">
    <w:nsid w:val="0BB37658"/>
    <w:multiLevelType w:val="multilevel"/>
    <w:tmpl w:val="6346ED0E"/>
    <w:numStyleLink w:val="listbullets"/>
  </w:abstractNum>
  <w:abstractNum w:abstractNumId="11"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2A6A12"/>
    <w:multiLevelType w:val="hybridMultilevel"/>
    <w:tmpl w:val="ED961110"/>
    <w:lvl w:ilvl="0" w:tplc="0C090001">
      <w:start w:val="1"/>
      <w:numFmt w:val="bullet"/>
      <w:lvlText w:val=""/>
      <w:lvlJc w:val="left"/>
      <w:pPr>
        <w:tabs>
          <w:tab w:val="num" w:pos="360"/>
        </w:tabs>
        <w:ind w:left="360" w:hanging="360"/>
      </w:pPr>
      <w:rPr>
        <w:rFonts w:ascii="Symbol" w:hAnsi="Symbol" w:hint="default"/>
      </w:rPr>
    </w:lvl>
    <w:lvl w:ilvl="1" w:tplc="E64474F0">
      <w:start w:val="1"/>
      <w:numFmt w:val="bullet"/>
      <w:lvlText w:val=""/>
      <w:lvlJc w:val="left"/>
      <w:pPr>
        <w:tabs>
          <w:tab w:val="num" w:pos="720"/>
        </w:tabs>
        <w:ind w:left="720" w:hanging="360"/>
      </w:pPr>
      <w:rPr>
        <w:rFonts w:ascii="Symbol" w:hAnsi="Symbol" w:hint="default"/>
      </w:rPr>
    </w:lvl>
    <w:lvl w:ilvl="2" w:tplc="0C090003">
      <w:start w:val="1"/>
      <w:numFmt w:val="bullet"/>
      <w:lvlText w:val="o"/>
      <w:lvlJc w:val="left"/>
      <w:pPr>
        <w:tabs>
          <w:tab w:val="num" w:pos="1080"/>
        </w:tabs>
        <w:ind w:left="1080" w:hanging="360"/>
      </w:pPr>
      <w:rPr>
        <w:rFonts w:ascii="Courier New" w:hAnsi="Courier New" w:cs="Courier New"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8C72E0"/>
    <w:multiLevelType w:val="multilevel"/>
    <w:tmpl w:val="C32AB9AA"/>
    <w:numStyleLink w:val="ListNumber1"/>
  </w:abstractNum>
  <w:abstractNum w:abstractNumId="15" w15:restartNumberingAfterBreak="0">
    <w:nsid w:val="1CDE2052"/>
    <w:multiLevelType w:val="multilevel"/>
    <w:tmpl w:val="C32AB9AA"/>
    <w:numStyleLink w:val="ListNumber1"/>
  </w:abstractNum>
  <w:abstractNum w:abstractNumId="16" w15:restartNumberingAfterBreak="0">
    <w:nsid w:val="2453399E"/>
    <w:multiLevelType w:val="multilevel"/>
    <w:tmpl w:val="40A462FE"/>
    <w:numStyleLink w:val="heading"/>
  </w:abstractNum>
  <w:abstractNum w:abstractNumId="17" w15:restartNumberingAfterBreak="0">
    <w:nsid w:val="27B45900"/>
    <w:multiLevelType w:val="hybridMultilevel"/>
    <w:tmpl w:val="3E6E62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9" w15:restartNumberingAfterBreak="0">
    <w:nsid w:val="2D595B46"/>
    <w:multiLevelType w:val="multilevel"/>
    <w:tmpl w:val="C32AB9AA"/>
    <w:numStyleLink w:val="ListNumber1"/>
  </w:abstractNum>
  <w:abstractNum w:abstractNumId="20" w15:restartNumberingAfterBreak="0">
    <w:nsid w:val="31705593"/>
    <w:multiLevelType w:val="multilevel"/>
    <w:tmpl w:val="C32AB9AA"/>
    <w:numStyleLink w:val="ListNumber1"/>
  </w:abstractNum>
  <w:abstractNum w:abstractNumId="21"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2" w15:restartNumberingAfterBreak="0">
    <w:nsid w:val="337014AE"/>
    <w:multiLevelType w:val="hybridMultilevel"/>
    <w:tmpl w:val="5C34C318"/>
    <w:lvl w:ilvl="0" w:tplc="A95809A4">
      <w:start w:val="1"/>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7F0D4F"/>
    <w:multiLevelType w:val="multilevel"/>
    <w:tmpl w:val="311EB4D2"/>
    <w:numStyleLink w:val="captions"/>
  </w:abstractNum>
  <w:abstractNum w:abstractNumId="24" w15:restartNumberingAfterBreak="0">
    <w:nsid w:val="38EF7A6B"/>
    <w:multiLevelType w:val="multilevel"/>
    <w:tmpl w:val="C32AB9AA"/>
    <w:numStyleLink w:val="ListNumber1"/>
  </w:abstractNum>
  <w:abstractNum w:abstractNumId="25" w15:restartNumberingAfterBreak="0">
    <w:nsid w:val="3A551C78"/>
    <w:multiLevelType w:val="hybridMultilevel"/>
    <w:tmpl w:val="A6AA52EC"/>
    <w:lvl w:ilvl="0" w:tplc="68C6DB6E">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7" w15:restartNumberingAfterBreak="0">
    <w:nsid w:val="3D2A3E94"/>
    <w:multiLevelType w:val="multilevel"/>
    <w:tmpl w:val="C32AB9AA"/>
    <w:numStyleLink w:val="Headings"/>
  </w:abstractNum>
  <w:abstractNum w:abstractNumId="28" w15:restartNumberingAfterBreak="0">
    <w:nsid w:val="3E906BEC"/>
    <w:multiLevelType w:val="hybridMultilevel"/>
    <w:tmpl w:val="22B25D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CE01BB"/>
    <w:multiLevelType w:val="hybridMultilevel"/>
    <w:tmpl w:val="433E3182"/>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3FDD470D"/>
    <w:multiLevelType w:val="singleLevel"/>
    <w:tmpl w:val="1CE029EE"/>
    <w:lvl w:ilvl="0">
      <w:start w:val="1"/>
      <w:numFmt w:val="decimal"/>
      <w:lvlText w:val="%1)"/>
      <w:lvlJc w:val="left"/>
      <w:pPr>
        <w:ind w:left="360" w:hanging="360"/>
      </w:pPr>
      <w:rPr>
        <w:color w:val="auto"/>
      </w:rPr>
    </w:lvl>
  </w:abstractNum>
  <w:abstractNum w:abstractNumId="31" w15:restartNumberingAfterBreak="0">
    <w:nsid w:val="40054877"/>
    <w:multiLevelType w:val="multilevel"/>
    <w:tmpl w:val="C32AB9AA"/>
    <w:numStyleLink w:val="ListNumber1"/>
  </w:abstractNum>
  <w:abstractNum w:abstractNumId="32" w15:restartNumberingAfterBreak="0">
    <w:nsid w:val="418604C4"/>
    <w:multiLevelType w:val="multilevel"/>
    <w:tmpl w:val="C32AB9AA"/>
    <w:numStyleLink w:val="ListNumber1"/>
  </w:abstractNum>
  <w:abstractNum w:abstractNumId="3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35" w15:restartNumberingAfterBreak="0">
    <w:nsid w:val="5134023C"/>
    <w:multiLevelType w:val="multilevel"/>
    <w:tmpl w:val="6346ED0E"/>
    <w:numStyleLink w:val="listbullets"/>
  </w:abstractNum>
  <w:abstractNum w:abstractNumId="36" w15:restartNumberingAfterBreak="0">
    <w:nsid w:val="58917CE2"/>
    <w:multiLevelType w:val="multilevel"/>
    <w:tmpl w:val="C32AB9AA"/>
    <w:numStyleLink w:val="ListNumber1"/>
  </w:abstractNum>
  <w:abstractNum w:abstractNumId="3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8" w15:restartNumberingAfterBreak="0">
    <w:nsid w:val="5B3958B8"/>
    <w:multiLevelType w:val="hybridMultilevel"/>
    <w:tmpl w:val="A11889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ED13EEF"/>
    <w:multiLevelType w:val="multilevel"/>
    <w:tmpl w:val="C32AB9AA"/>
    <w:numStyleLink w:val="Headings"/>
  </w:abstractNum>
  <w:abstractNum w:abstractNumId="40" w15:restartNumberingAfterBreak="0">
    <w:nsid w:val="5F341504"/>
    <w:multiLevelType w:val="multilevel"/>
    <w:tmpl w:val="6346ED0E"/>
    <w:numStyleLink w:val="listbullets"/>
  </w:abstractNum>
  <w:abstractNum w:abstractNumId="41" w15:restartNumberingAfterBreak="0">
    <w:nsid w:val="6AD2570F"/>
    <w:multiLevelType w:val="hybridMultilevel"/>
    <w:tmpl w:val="589E0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6660AE"/>
    <w:multiLevelType w:val="hybridMultilevel"/>
    <w:tmpl w:val="6E9A9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E6717B"/>
    <w:multiLevelType w:val="multilevel"/>
    <w:tmpl w:val="C32AB9AA"/>
    <w:numStyleLink w:val="ListNumber1"/>
  </w:abstractNum>
  <w:abstractNum w:abstractNumId="44" w15:restartNumberingAfterBreak="0">
    <w:nsid w:val="70D330FE"/>
    <w:multiLevelType w:val="singleLevel"/>
    <w:tmpl w:val="E550C114"/>
    <w:lvl w:ilvl="0">
      <w:start w:val="1"/>
      <w:numFmt w:val="lowerLetter"/>
      <w:lvlText w:val="%1)"/>
      <w:lvlJc w:val="left"/>
      <w:pPr>
        <w:ind w:left="709" w:hanging="426"/>
      </w:pPr>
      <w:rPr>
        <w:rFonts w:hint="default"/>
      </w:rPr>
    </w:lvl>
  </w:abstractNum>
  <w:abstractNum w:abstractNumId="45" w15:restartNumberingAfterBreak="0">
    <w:nsid w:val="750629C4"/>
    <w:multiLevelType w:val="multilevel"/>
    <w:tmpl w:val="CA5A6F8E"/>
    <w:lvl w:ilvl="0">
      <w:start w:val="1"/>
      <w:numFmt w:val="bullet"/>
      <w:lvlText w:val=""/>
      <w:lvlJc w:val="left"/>
      <w:pPr>
        <w:tabs>
          <w:tab w:val="num" w:pos="643"/>
        </w:tabs>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00363E"/>
    <w:multiLevelType w:val="multilevel"/>
    <w:tmpl w:val="C32AB9AA"/>
    <w:numStyleLink w:val="Headings"/>
  </w:abstractNum>
  <w:abstractNum w:abstractNumId="47" w15:restartNumberingAfterBreak="0">
    <w:nsid w:val="7636387C"/>
    <w:multiLevelType w:val="multilevel"/>
    <w:tmpl w:val="6346ED0E"/>
    <w:numStyleLink w:val="listbullets"/>
  </w:abstractNum>
  <w:abstractNum w:abstractNumId="48" w15:restartNumberingAfterBreak="0">
    <w:nsid w:val="7D417EA1"/>
    <w:multiLevelType w:val="multilevel"/>
    <w:tmpl w:val="C32AB9AA"/>
    <w:numStyleLink w:val="ListNumber1"/>
  </w:abstractNum>
  <w:num w:numId="1">
    <w:abstractNumId w:val="7"/>
  </w:num>
  <w:num w:numId="2">
    <w:abstractNumId w:val="6"/>
  </w:num>
  <w:num w:numId="3">
    <w:abstractNumId w:val="30"/>
  </w:num>
  <w:num w:numId="4">
    <w:abstractNumId w:val="44"/>
  </w:num>
  <w:num w:numId="5">
    <w:abstractNumId w:val="2"/>
    <w:lvlOverride w:ilvl="0">
      <w:startOverride w:val="1"/>
    </w:lvlOverride>
  </w:num>
  <w:num w:numId="6">
    <w:abstractNumId w:val="33"/>
  </w:num>
  <w:num w:numId="7">
    <w:abstractNumId w:val="13"/>
  </w:num>
  <w:num w:numId="8">
    <w:abstractNumId w:val="25"/>
  </w:num>
  <w:num w:numId="9">
    <w:abstractNumId w:val="8"/>
  </w:num>
  <w:num w:numId="10">
    <w:abstractNumId w:val="37"/>
  </w:num>
  <w:num w:numId="11">
    <w:abstractNumId w:val="11"/>
  </w:num>
  <w:num w:numId="12">
    <w:abstractNumId w:val="18"/>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39"/>
  </w:num>
  <w:num w:numId="20">
    <w:abstractNumId w:val="39"/>
    <w:lvlOverride w:ilvl="0">
      <w:startOverride w:val="1"/>
    </w:lvlOverride>
  </w:num>
  <w:num w:numId="21">
    <w:abstractNumId w:val="27"/>
  </w:num>
  <w:num w:numId="22">
    <w:abstractNumId w:val="7"/>
  </w:num>
  <w:num w:numId="23">
    <w:abstractNumId w:val="45"/>
  </w:num>
  <w:num w:numId="24">
    <w:abstractNumId w:val="3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0"/>
  </w:num>
  <w:num w:numId="28">
    <w:abstractNumId w:val="10"/>
  </w:num>
  <w:num w:numId="29">
    <w:abstractNumId w:val="47"/>
  </w:num>
  <w:num w:numId="30">
    <w:abstractNumId w:val="26"/>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20"/>
  </w:num>
  <w:num w:numId="34">
    <w:abstractNumId w:val="32"/>
  </w:num>
  <w:num w:numId="35">
    <w:abstractNumId w:val="43"/>
  </w:num>
  <w:num w:numId="36">
    <w:abstractNumId w:val="48"/>
  </w:num>
  <w:num w:numId="37">
    <w:abstractNumId w:val="24"/>
  </w:num>
  <w:num w:numId="38">
    <w:abstractNumId w:val="31"/>
  </w:num>
  <w:num w:numId="39">
    <w:abstractNumId w:val="36"/>
  </w:num>
  <w:num w:numId="40">
    <w:abstractNumId w:val="14"/>
  </w:num>
  <w:num w:numId="41">
    <w:abstractNumId w:val="19"/>
  </w:num>
  <w:num w:numId="42">
    <w:abstractNumId w:val="5"/>
  </w:num>
  <w:num w:numId="43">
    <w:abstractNumId w:val="4"/>
  </w:num>
  <w:num w:numId="44">
    <w:abstractNumId w:val="3"/>
  </w:num>
  <w:num w:numId="45">
    <w:abstractNumId w:val="1"/>
  </w:num>
  <w:num w:numId="46">
    <w:abstractNumId w:val="0"/>
  </w:num>
  <w:num w:numId="47">
    <w:abstractNumId w:val="9"/>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1">
      <w:lvl w:ilvl="1">
        <w:start w:val="1"/>
        <w:numFmt w:val="decimal"/>
        <w:pStyle w:val="Heading3"/>
        <w:lvlText w:val="%1.%2"/>
        <w:lvlJc w:val="left"/>
        <w:pPr>
          <w:tabs>
            <w:tab w:val="num" w:pos="794"/>
          </w:tabs>
          <w:ind w:left="794" w:hanging="794"/>
        </w:pPr>
        <w:rPr>
          <w:rFonts w:hint="default"/>
        </w:rPr>
      </w:lvl>
    </w:lvlOverride>
  </w:num>
  <w:num w:numId="50">
    <w:abstractNumId w:val="47"/>
  </w:num>
  <w:num w:numId="51">
    <w:abstractNumId w:val="47"/>
  </w:num>
  <w:num w:numId="52">
    <w:abstractNumId w:val="41"/>
  </w:num>
  <w:num w:numId="53">
    <w:abstractNumId w:val="38"/>
  </w:num>
  <w:num w:numId="54">
    <w:abstractNumId w:val="17"/>
  </w:num>
  <w:num w:numId="55">
    <w:abstractNumId w:val="12"/>
  </w:num>
  <w:num w:numId="56">
    <w:abstractNumId w:val="16"/>
    <w:lvlOverride w:ilvl="1">
      <w:lvl w:ilvl="1">
        <w:start w:val="1"/>
        <w:numFmt w:val="decimal"/>
        <w:pStyle w:val="Heading3"/>
        <w:lvlText w:val="%1.%2"/>
        <w:lvlJc w:val="left"/>
        <w:pPr>
          <w:tabs>
            <w:tab w:val="num" w:pos="794"/>
          </w:tabs>
          <w:ind w:left="794" w:hanging="794"/>
        </w:pPr>
        <w:rPr>
          <w:rFonts w:hint="default"/>
        </w:rPr>
      </w:lvl>
    </w:lvlOverride>
  </w:num>
  <w:num w:numId="57">
    <w:abstractNumId w:val="29"/>
  </w:num>
  <w:num w:numId="58">
    <w:abstractNumId w:val="28"/>
  </w:num>
  <w:num w:numId="59">
    <w:abstractNumId w:val="22"/>
  </w:num>
  <w:num w:numId="60">
    <w:abstractNumId w:val="16"/>
    <w:lvlOverride w:ilvl="1">
      <w:lvl w:ilvl="1">
        <w:start w:val="1"/>
        <w:numFmt w:val="decimal"/>
        <w:pStyle w:val="Heading3"/>
        <w:lvlText w:val="%1.%2"/>
        <w:lvlJc w:val="left"/>
        <w:pPr>
          <w:tabs>
            <w:tab w:val="num" w:pos="794"/>
          </w:tabs>
          <w:ind w:left="794" w:hanging="794"/>
        </w:pPr>
        <w:rPr>
          <w:rFonts w:hint="default"/>
        </w:rPr>
      </w:lvl>
    </w:lvlOverride>
  </w:num>
  <w:num w:numId="6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rtdd2awcr0v20es9r9xd0tie99vterwfza2&quot;&gt;Animal Database - Master&lt;record-ids&gt;&lt;item&gt;1488&lt;/item&gt;&lt;/record-ids&gt;&lt;/item&gt;&lt;/Libraries&gt;"/>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F153F0"/>
    <w:rsid w:val="00003AB6"/>
    <w:rsid w:val="00006624"/>
    <w:rsid w:val="00014793"/>
    <w:rsid w:val="00014D57"/>
    <w:rsid w:val="00016D43"/>
    <w:rsid w:val="000177C1"/>
    <w:rsid w:val="00021454"/>
    <w:rsid w:val="00022053"/>
    <w:rsid w:val="000227E6"/>
    <w:rsid w:val="0003227C"/>
    <w:rsid w:val="00040A88"/>
    <w:rsid w:val="00042D78"/>
    <w:rsid w:val="00050537"/>
    <w:rsid w:val="000519CD"/>
    <w:rsid w:val="00061CEF"/>
    <w:rsid w:val="00063BBD"/>
    <w:rsid w:val="00075B1A"/>
    <w:rsid w:val="00077667"/>
    <w:rsid w:val="0008721A"/>
    <w:rsid w:val="00087A82"/>
    <w:rsid w:val="00090BBD"/>
    <w:rsid w:val="00092FEA"/>
    <w:rsid w:val="00097312"/>
    <w:rsid w:val="000A0585"/>
    <w:rsid w:val="000A1AE5"/>
    <w:rsid w:val="000A333B"/>
    <w:rsid w:val="000A5CF8"/>
    <w:rsid w:val="000C3309"/>
    <w:rsid w:val="000C3396"/>
    <w:rsid w:val="000C6F1D"/>
    <w:rsid w:val="000D3599"/>
    <w:rsid w:val="000D4F10"/>
    <w:rsid w:val="000D76D6"/>
    <w:rsid w:val="000E3A60"/>
    <w:rsid w:val="000E4777"/>
    <w:rsid w:val="000E6777"/>
    <w:rsid w:val="000E7955"/>
    <w:rsid w:val="001017BA"/>
    <w:rsid w:val="00101CE3"/>
    <w:rsid w:val="00101FA0"/>
    <w:rsid w:val="00104E13"/>
    <w:rsid w:val="00116358"/>
    <w:rsid w:val="00124897"/>
    <w:rsid w:val="00125BAB"/>
    <w:rsid w:val="00131E84"/>
    <w:rsid w:val="0013238C"/>
    <w:rsid w:val="00132E69"/>
    <w:rsid w:val="001415ED"/>
    <w:rsid w:val="00143033"/>
    <w:rsid w:val="0014528E"/>
    <w:rsid w:val="001525D2"/>
    <w:rsid w:val="00152724"/>
    <w:rsid w:val="0015344B"/>
    <w:rsid w:val="0015458F"/>
    <w:rsid w:val="00157499"/>
    <w:rsid w:val="0016140B"/>
    <w:rsid w:val="0016357D"/>
    <w:rsid w:val="00164DAA"/>
    <w:rsid w:val="00166EF7"/>
    <w:rsid w:val="001714A1"/>
    <w:rsid w:val="00172E29"/>
    <w:rsid w:val="0018206C"/>
    <w:rsid w:val="00182F08"/>
    <w:rsid w:val="001845E9"/>
    <w:rsid w:val="00187EAE"/>
    <w:rsid w:val="00190D0C"/>
    <w:rsid w:val="0019278F"/>
    <w:rsid w:val="00196437"/>
    <w:rsid w:val="001A2A55"/>
    <w:rsid w:val="001B5481"/>
    <w:rsid w:val="001B715F"/>
    <w:rsid w:val="001C5926"/>
    <w:rsid w:val="001D0CB7"/>
    <w:rsid w:val="001D2D9F"/>
    <w:rsid w:val="001D4DE2"/>
    <w:rsid w:val="001E32D1"/>
    <w:rsid w:val="001E5912"/>
    <w:rsid w:val="001E5A01"/>
    <w:rsid w:val="001F0C52"/>
    <w:rsid w:val="00201994"/>
    <w:rsid w:val="0020415E"/>
    <w:rsid w:val="00207D9A"/>
    <w:rsid w:val="0021032E"/>
    <w:rsid w:val="00211B81"/>
    <w:rsid w:val="0021466D"/>
    <w:rsid w:val="0022255F"/>
    <w:rsid w:val="00223763"/>
    <w:rsid w:val="00223DB4"/>
    <w:rsid w:val="00224F03"/>
    <w:rsid w:val="00227846"/>
    <w:rsid w:val="00231A2E"/>
    <w:rsid w:val="00233C70"/>
    <w:rsid w:val="002431EF"/>
    <w:rsid w:val="00244A5B"/>
    <w:rsid w:val="002458A2"/>
    <w:rsid w:val="00247100"/>
    <w:rsid w:val="002601D7"/>
    <w:rsid w:val="002604E8"/>
    <w:rsid w:val="00264050"/>
    <w:rsid w:val="002763D5"/>
    <w:rsid w:val="00280A1F"/>
    <w:rsid w:val="00281440"/>
    <w:rsid w:val="002879AF"/>
    <w:rsid w:val="0029764A"/>
    <w:rsid w:val="002A16DF"/>
    <w:rsid w:val="002B1A71"/>
    <w:rsid w:val="002B4826"/>
    <w:rsid w:val="002C1195"/>
    <w:rsid w:val="002C64DA"/>
    <w:rsid w:val="002E2E64"/>
    <w:rsid w:val="002E3C55"/>
    <w:rsid w:val="002E683C"/>
    <w:rsid w:val="002E694D"/>
    <w:rsid w:val="002F4C32"/>
    <w:rsid w:val="003124CB"/>
    <w:rsid w:val="00312FEF"/>
    <w:rsid w:val="003147AC"/>
    <w:rsid w:val="00337478"/>
    <w:rsid w:val="00337BF8"/>
    <w:rsid w:val="0035003F"/>
    <w:rsid w:val="00350574"/>
    <w:rsid w:val="00351225"/>
    <w:rsid w:val="00356E2D"/>
    <w:rsid w:val="0036443E"/>
    <w:rsid w:val="00372601"/>
    <w:rsid w:val="00373BC7"/>
    <w:rsid w:val="0037532F"/>
    <w:rsid w:val="003753A2"/>
    <w:rsid w:val="00377102"/>
    <w:rsid w:val="0038354F"/>
    <w:rsid w:val="003878F2"/>
    <w:rsid w:val="00390EBD"/>
    <w:rsid w:val="003914EA"/>
    <w:rsid w:val="00396174"/>
    <w:rsid w:val="003977FD"/>
    <w:rsid w:val="003A0143"/>
    <w:rsid w:val="003A32FB"/>
    <w:rsid w:val="003C32C4"/>
    <w:rsid w:val="003C42E0"/>
    <w:rsid w:val="003C6EF2"/>
    <w:rsid w:val="003F147A"/>
    <w:rsid w:val="003F60B5"/>
    <w:rsid w:val="0040094C"/>
    <w:rsid w:val="00412C3E"/>
    <w:rsid w:val="004171E8"/>
    <w:rsid w:val="00422623"/>
    <w:rsid w:val="004255F5"/>
    <w:rsid w:val="00440124"/>
    <w:rsid w:val="004447FC"/>
    <w:rsid w:val="0044583C"/>
    <w:rsid w:val="00452934"/>
    <w:rsid w:val="00462CAB"/>
    <w:rsid w:val="00475A30"/>
    <w:rsid w:val="00481ABF"/>
    <w:rsid w:val="0048671A"/>
    <w:rsid w:val="004915DD"/>
    <w:rsid w:val="00493DB1"/>
    <w:rsid w:val="004A68B4"/>
    <w:rsid w:val="004A70F7"/>
    <w:rsid w:val="004A7EC1"/>
    <w:rsid w:val="004B6D4B"/>
    <w:rsid w:val="004D0484"/>
    <w:rsid w:val="004D1385"/>
    <w:rsid w:val="004D19FB"/>
    <w:rsid w:val="004D4D66"/>
    <w:rsid w:val="004E3FFF"/>
    <w:rsid w:val="004E532E"/>
    <w:rsid w:val="004E5F1E"/>
    <w:rsid w:val="004E7C74"/>
    <w:rsid w:val="00505627"/>
    <w:rsid w:val="00507F73"/>
    <w:rsid w:val="005214CD"/>
    <w:rsid w:val="0052758B"/>
    <w:rsid w:val="00536E9D"/>
    <w:rsid w:val="005426C5"/>
    <w:rsid w:val="00544D6C"/>
    <w:rsid w:val="0054650E"/>
    <w:rsid w:val="00546EA3"/>
    <w:rsid w:val="00553C64"/>
    <w:rsid w:val="00556FCC"/>
    <w:rsid w:val="0056140E"/>
    <w:rsid w:val="00564A61"/>
    <w:rsid w:val="00564F1F"/>
    <w:rsid w:val="0056567F"/>
    <w:rsid w:val="005656AA"/>
    <w:rsid w:val="005673C2"/>
    <w:rsid w:val="00571B48"/>
    <w:rsid w:val="005755D8"/>
    <w:rsid w:val="005768EC"/>
    <w:rsid w:val="00580429"/>
    <w:rsid w:val="00591D87"/>
    <w:rsid w:val="0059275D"/>
    <w:rsid w:val="00592FB9"/>
    <w:rsid w:val="00594359"/>
    <w:rsid w:val="005A0168"/>
    <w:rsid w:val="005A4D5E"/>
    <w:rsid w:val="005B0C0C"/>
    <w:rsid w:val="005B3B6D"/>
    <w:rsid w:val="005C4F56"/>
    <w:rsid w:val="005D15DA"/>
    <w:rsid w:val="005D2047"/>
    <w:rsid w:val="005D31F1"/>
    <w:rsid w:val="005E79CC"/>
    <w:rsid w:val="005F08A3"/>
    <w:rsid w:val="005F12C8"/>
    <w:rsid w:val="005F1B70"/>
    <w:rsid w:val="005F240D"/>
    <w:rsid w:val="005F77E5"/>
    <w:rsid w:val="00602E3E"/>
    <w:rsid w:val="0060439F"/>
    <w:rsid w:val="00607403"/>
    <w:rsid w:val="00617200"/>
    <w:rsid w:val="0062150A"/>
    <w:rsid w:val="0062721B"/>
    <w:rsid w:val="00633722"/>
    <w:rsid w:val="006425EE"/>
    <w:rsid w:val="00651BD8"/>
    <w:rsid w:val="00661CB9"/>
    <w:rsid w:val="00683993"/>
    <w:rsid w:val="00686354"/>
    <w:rsid w:val="006946E9"/>
    <w:rsid w:val="006952EA"/>
    <w:rsid w:val="006A63DB"/>
    <w:rsid w:val="006B76EF"/>
    <w:rsid w:val="006D080C"/>
    <w:rsid w:val="006E04DD"/>
    <w:rsid w:val="006E04ED"/>
    <w:rsid w:val="006F0B66"/>
    <w:rsid w:val="006F1152"/>
    <w:rsid w:val="00701DF7"/>
    <w:rsid w:val="00703C86"/>
    <w:rsid w:val="00705AA5"/>
    <w:rsid w:val="0070765C"/>
    <w:rsid w:val="00707829"/>
    <w:rsid w:val="007134BA"/>
    <w:rsid w:val="007174CE"/>
    <w:rsid w:val="00717548"/>
    <w:rsid w:val="00720DD3"/>
    <w:rsid w:val="00724E63"/>
    <w:rsid w:val="00727950"/>
    <w:rsid w:val="00731093"/>
    <w:rsid w:val="00731F9B"/>
    <w:rsid w:val="00732575"/>
    <w:rsid w:val="00732945"/>
    <w:rsid w:val="00734076"/>
    <w:rsid w:val="00734BBD"/>
    <w:rsid w:val="007407DC"/>
    <w:rsid w:val="007419B3"/>
    <w:rsid w:val="00742754"/>
    <w:rsid w:val="00746A7C"/>
    <w:rsid w:val="0075630F"/>
    <w:rsid w:val="007618C1"/>
    <w:rsid w:val="00764057"/>
    <w:rsid w:val="00764B77"/>
    <w:rsid w:val="0077604C"/>
    <w:rsid w:val="00782213"/>
    <w:rsid w:val="00782A94"/>
    <w:rsid w:val="0078683B"/>
    <w:rsid w:val="007945EC"/>
    <w:rsid w:val="007A1C9E"/>
    <w:rsid w:val="007B0316"/>
    <w:rsid w:val="007B2553"/>
    <w:rsid w:val="007B3FA0"/>
    <w:rsid w:val="007B6A86"/>
    <w:rsid w:val="007C5BDA"/>
    <w:rsid w:val="007D2800"/>
    <w:rsid w:val="007D600F"/>
    <w:rsid w:val="007E5E5B"/>
    <w:rsid w:val="007F4BD2"/>
    <w:rsid w:val="008030C0"/>
    <w:rsid w:val="00804C32"/>
    <w:rsid w:val="0080707F"/>
    <w:rsid w:val="008134B3"/>
    <w:rsid w:val="00814496"/>
    <w:rsid w:val="00817C40"/>
    <w:rsid w:val="0082157C"/>
    <w:rsid w:val="00827A01"/>
    <w:rsid w:val="00831BE2"/>
    <w:rsid w:val="00836F11"/>
    <w:rsid w:val="00844D82"/>
    <w:rsid w:val="00846AFA"/>
    <w:rsid w:val="00846B1B"/>
    <w:rsid w:val="00850539"/>
    <w:rsid w:val="00853717"/>
    <w:rsid w:val="00853CB8"/>
    <w:rsid w:val="00853F07"/>
    <w:rsid w:val="00855CA1"/>
    <w:rsid w:val="008562FB"/>
    <w:rsid w:val="00862CB9"/>
    <w:rsid w:val="00870C87"/>
    <w:rsid w:val="008828DE"/>
    <w:rsid w:val="00885536"/>
    <w:rsid w:val="00890C3C"/>
    <w:rsid w:val="00890F14"/>
    <w:rsid w:val="00892C3D"/>
    <w:rsid w:val="00894DB2"/>
    <w:rsid w:val="008B1855"/>
    <w:rsid w:val="008B212D"/>
    <w:rsid w:val="008B4F58"/>
    <w:rsid w:val="008B7924"/>
    <w:rsid w:val="008B7D08"/>
    <w:rsid w:val="008C3949"/>
    <w:rsid w:val="008C5183"/>
    <w:rsid w:val="008D3266"/>
    <w:rsid w:val="008E503D"/>
    <w:rsid w:val="00901A6E"/>
    <w:rsid w:val="00902B6E"/>
    <w:rsid w:val="009043A6"/>
    <w:rsid w:val="00906DC9"/>
    <w:rsid w:val="00912FCE"/>
    <w:rsid w:val="00920142"/>
    <w:rsid w:val="00920196"/>
    <w:rsid w:val="009224F2"/>
    <w:rsid w:val="00922CA2"/>
    <w:rsid w:val="0092643D"/>
    <w:rsid w:val="00926C00"/>
    <w:rsid w:val="00926FD1"/>
    <w:rsid w:val="0092762D"/>
    <w:rsid w:val="00927830"/>
    <w:rsid w:val="009301B5"/>
    <w:rsid w:val="00931F10"/>
    <w:rsid w:val="009404F8"/>
    <w:rsid w:val="00950A2C"/>
    <w:rsid w:val="00965969"/>
    <w:rsid w:val="0097593B"/>
    <w:rsid w:val="00982201"/>
    <w:rsid w:val="00987F4C"/>
    <w:rsid w:val="00990DFE"/>
    <w:rsid w:val="0099124D"/>
    <w:rsid w:val="00991AD6"/>
    <w:rsid w:val="00995F28"/>
    <w:rsid w:val="009A7235"/>
    <w:rsid w:val="009C4C88"/>
    <w:rsid w:val="009C5FBE"/>
    <w:rsid w:val="009C7B3B"/>
    <w:rsid w:val="009D0B45"/>
    <w:rsid w:val="009E42FD"/>
    <w:rsid w:val="009E6E40"/>
    <w:rsid w:val="009F1C6A"/>
    <w:rsid w:val="009F674D"/>
    <w:rsid w:val="00A013DF"/>
    <w:rsid w:val="00A0461F"/>
    <w:rsid w:val="00A053F4"/>
    <w:rsid w:val="00A11F8D"/>
    <w:rsid w:val="00A14358"/>
    <w:rsid w:val="00A151D3"/>
    <w:rsid w:val="00A217FE"/>
    <w:rsid w:val="00A23BF7"/>
    <w:rsid w:val="00A279A4"/>
    <w:rsid w:val="00A3100C"/>
    <w:rsid w:val="00A3239F"/>
    <w:rsid w:val="00A32AD0"/>
    <w:rsid w:val="00A41AAA"/>
    <w:rsid w:val="00A5141F"/>
    <w:rsid w:val="00A562B8"/>
    <w:rsid w:val="00A66E7C"/>
    <w:rsid w:val="00A6758E"/>
    <w:rsid w:val="00A6765D"/>
    <w:rsid w:val="00A77744"/>
    <w:rsid w:val="00A80653"/>
    <w:rsid w:val="00A82954"/>
    <w:rsid w:val="00A843F9"/>
    <w:rsid w:val="00A9599B"/>
    <w:rsid w:val="00A95D42"/>
    <w:rsid w:val="00AA227A"/>
    <w:rsid w:val="00AA3B49"/>
    <w:rsid w:val="00AB277A"/>
    <w:rsid w:val="00AB3B5D"/>
    <w:rsid w:val="00AB4B13"/>
    <w:rsid w:val="00AC0CC3"/>
    <w:rsid w:val="00AC3B79"/>
    <w:rsid w:val="00AC4D89"/>
    <w:rsid w:val="00AC6CB8"/>
    <w:rsid w:val="00AC7391"/>
    <w:rsid w:val="00AC7737"/>
    <w:rsid w:val="00AD1706"/>
    <w:rsid w:val="00AD4157"/>
    <w:rsid w:val="00AD7E07"/>
    <w:rsid w:val="00AE65DC"/>
    <w:rsid w:val="00B02624"/>
    <w:rsid w:val="00B02EE8"/>
    <w:rsid w:val="00B071EE"/>
    <w:rsid w:val="00B073CF"/>
    <w:rsid w:val="00B10C58"/>
    <w:rsid w:val="00B22120"/>
    <w:rsid w:val="00B2452B"/>
    <w:rsid w:val="00B26211"/>
    <w:rsid w:val="00B33548"/>
    <w:rsid w:val="00B442C6"/>
    <w:rsid w:val="00B44F08"/>
    <w:rsid w:val="00B52250"/>
    <w:rsid w:val="00B5396E"/>
    <w:rsid w:val="00B84166"/>
    <w:rsid w:val="00BA2E3B"/>
    <w:rsid w:val="00BA3DC4"/>
    <w:rsid w:val="00BB0FB6"/>
    <w:rsid w:val="00BB633B"/>
    <w:rsid w:val="00BB7043"/>
    <w:rsid w:val="00BD1218"/>
    <w:rsid w:val="00BD49B7"/>
    <w:rsid w:val="00C01C44"/>
    <w:rsid w:val="00C02280"/>
    <w:rsid w:val="00C14E3F"/>
    <w:rsid w:val="00C22E63"/>
    <w:rsid w:val="00C237E8"/>
    <w:rsid w:val="00C24DC3"/>
    <w:rsid w:val="00C31BA2"/>
    <w:rsid w:val="00C34B97"/>
    <w:rsid w:val="00C36A16"/>
    <w:rsid w:val="00C429F2"/>
    <w:rsid w:val="00C43448"/>
    <w:rsid w:val="00C57433"/>
    <w:rsid w:val="00C60015"/>
    <w:rsid w:val="00C61D01"/>
    <w:rsid w:val="00C72DE3"/>
    <w:rsid w:val="00C73FE0"/>
    <w:rsid w:val="00C7530F"/>
    <w:rsid w:val="00C80BBD"/>
    <w:rsid w:val="00C8121C"/>
    <w:rsid w:val="00C96707"/>
    <w:rsid w:val="00C97F9E"/>
    <w:rsid w:val="00CB7258"/>
    <w:rsid w:val="00CC09E2"/>
    <w:rsid w:val="00CC1604"/>
    <w:rsid w:val="00CD0518"/>
    <w:rsid w:val="00CD44CD"/>
    <w:rsid w:val="00CD6069"/>
    <w:rsid w:val="00CD6567"/>
    <w:rsid w:val="00CD6E0B"/>
    <w:rsid w:val="00CE7894"/>
    <w:rsid w:val="00CF40F7"/>
    <w:rsid w:val="00D02E5F"/>
    <w:rsid w:val="00D071A2"/>
    <w:rsid w:val="00D250B0"/>
    <w:rsid w:val="00D35502"/>
    <w:rsid w:val="00D4007E"/>
    <w:rsid w:val="00D4366F"/>
    <w:rsid w:val="00D45583"/>
    <w:rsid w:val="00D5034B"/>
    <w:rsid w:val="00D50FDE"/>
    <w:rsid w:val="00D5164F"/>
    <w:rsid w:val="00D54120"/>
    <w:rsid w:val="00D75646"/>
    <w:rsid w:val="00D8174A"/>
    <w:rsid w:val="00D85501"/>
    <w:rsid w:val="00D90E89"/>
    <w:rsid w:val="00D91389"/>
    <w:rsid w:val="00D91EDD"/>
    <w:rsid w:val="00D97FA1"/>
    <w:rsid w:val="00DA1C3D"/>
    <w:rsid w:val="00DA3D52"/>
    <w:rsid w:val="00DA4E24"/>
    <w:rsid w:val="00DA6878"/>
    <w:rsid w:val="00DA764D"/>
    <w:rsid w:val="00DB4AF4"/>
    <w:rsid w:val="00DB5538"/>
    <w:rsid w:val="00DB5F55"/>
    <w:rsid w:val="00DC0902"/>
    <w:rsid w:val="00DC43BB"/>
    <w:rsid w:val="00DC7D94"/>
    <w:rsid w:val="00DD0D91"/>
    <w:rsid w:val="00DD13AE"/>
    <w:rsid w:val="00DD6E09"/>
    <w:rsid w:val="00DE0582"/>
    <w:rsid w:val="00DE0D06"/>
    <w:rsid w:val="00DE24AB"/>
    <w:rsid w:val="00DF32F7"/>
    <w:rsid w:val="00DF4B77"/>
    <w:rsid w:val="00E033C2"/>
    <w:rsid w:val="00E034E5"/>
    <w:rsid w:val="00E079C1"/>
    <w:rsid w:val="00E134A4"/>
    <w:rsid w:val="00E16969"/>
    <w:rsid w:val="00E20B66"/>
    <w:rsid w:val="00E2510C"/>
    <w:rsid w:val="00E27A24"/>
    <w:rsid w:val="00E3489B"/>
    <w:rsid w:val="00E40EA9"/>
    <w:rsid w:val="00E42515"/>
    <w:rsid w:val="00E456E0"/>
    <w:rsid w:val="00E50F2B"/>
    <w:rsid w:val="00E51D87"/>
    <w:rsid w:val="00E52505"/>
    <w:rsid w:val="00E52ED5"/>
    <w:rsid w:val="00E764C7"/>
    <w:rsid w:val="00E86B67"/>
    <w:rsid w:val="00E86EFA"/>
    <w:rsid w:val="00E901EF"/>
    <w:rsid w:val="00E90327"/>
    <w:rsid w:val="00E91A90"/>
    <w:rsid w:val="00E97F02"/>
    <w:rsid w:val="00EA0E41"/>
    <w:rsid w:val="00EA21D6"/>
    <w:rsid w:val="00EA26F8"/>
    <w:rsid w:val="00EA4E58"/>
    <w:rsid w:val="00EA659C"/>
    <w:rsid w:val="00EB295C"/>
    <w:rsid w:val="00EC184A"/>
    <w:rsid w:val="00EC49BB"/>
    <w:rsid w:val="00EC655A"/>
    <w:rsid w:val="00EC6ED5"/>
    <w:rsid w:val="00ED3763"/>
    <w:rsid w:val="00ED5ACD"/>
    <w:rsid w:val="00ED6531"/>
    <w:rsid w:val="00EE07BE"/>
    <w:rsid w:val="00EE1C5F"/>
    <w:rsid w:val="00EE62A7"/>
    <w:rsid w:val="00EE7341"/>
    <w:rsid w:val="00EE7945"/>
    <w:rsid w:val="00EF0E53"/>
    <w:rsid w:val="00EF1D60"/>
    <w:rsid w:val="00EF3770"/>
    <w:rsid w:val="00F0388E"/>
    <w:rsid w:val="00F10C46"/>
    <w:rsid w:val="00F11629"/>
    <w:rsid w:val="00F13737"/>
    <w:rsid w:val="00F153F0"/>
    <w:rsid w:val="00F2159F"/>
    <w:rsid w:val="00F27EA4"/>
    <w:rsid w:val="00F31FD1"/>
    <w:rsid w:val="00F34229"/>
    <w:rsid w:val="00F4335E"/>
    <w:rsid w:val="00F52279"/>
    <w:rsid w:val="00F53A39"/>
    <w:rsid w:val="00F56E8B"/>
    <w:rsid w:val="00F62483"/>
    <w:rsid w:val="00F723F2"/>
    <w:rsid w:val="00F74786"/>
    <w:rsid w:val="00F76F5F"/>
    <w:rsid w:val="00F77813"/>
    <w:rsid w:val="00F80E57"/>
    <w:rsid w:val="00F851A2"/>
    <w:rsid w:val="00F854D3"/>
    <w:rsid w:val="00F87CE7"/>
    <w:rsid w:val="00F90962"/>
    <w:rsid w:val="00F91C71"/>
    <w:rsid w:val="00F9208C"/>
    <w:rsid w:val="00F94155"/>
    <w:rsid w:val="00FA2883"/>
    <w:rsid w:val="00FA4107"/>
    <w:rsid w:val="00FA5DC1"/>
    <w:rsid w:val="00FA6415"/>
    <w:rsid w:val="00FA66BB"/>
    <w:rsid w:val="00FB107E"/>
    <w:rsid w:val="00FB17DA"/>
    <w:rsid w:val="00FB30BB"/>
    <w:rsid w:val="00FC0FC4"/>
    <w:rsid w:val="00FC21C4"/>
    <w:rsid w:val="00FC29E5"/>
    <w:rsid w:val="00FC74D0"/>
    <w:rsid w:val="00FC7764"/>
    <w:rsid w:val="00FD0D8D"/>
    <w:rsid w:val="00FD1B55"/>
    <w:rsid w:val="00FE043C"/>
    <w:rsid w:val="00FE15AC"/>
    <w:rsid w:val="00FE3724"/>
    <w:rsid w:val="00FE3991"/>
    <w:rsid w:val="00FF0A45"/>
    <w:rsid w:val="00FF2F94"/>
    <w:rsid w:val="00FF6459"/>
    <w:rsid w:val="00FF7A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E017E4"/>
  <w15:docId w15:val="{82D1E9D2-E019-46D1-A003-3EE7AF6E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120"/>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9"/>
    <w:qFormat/>
    <w:rsid w:val="007945EC"/>
    <w:pPr>
      <w:keepNext/>
      <w:keepLines/>
      <w:pBdr>
        <w:bottom w:val="single" w:sz="4" w:space="1" w:color="auto"/>
      </w:pBdr>
      <w:spacing w:before="480" w:after="120"/>
      <w:outlineLvl w:val="0"/>
    </w:pPr>
    <w:rPr>
      <w:rFonts w:ascii="Calibri" w:eastAsiaTheme="majorEastAsia" w:hAnsi="Calibri" w:cstheme="majorBidi"/>
      <w:b/>
      <w:bCs/>
      <w:sz w:val="72"/>
      <w:szCs w:val="28"/>
      <w:lang w:eastAsia="en-US"/>
    </w:rPr>
  </w:style>
  <w:style w:type="paragraph" w:styleId="Heading2">
    <w:name w:val="heading 2"/>
    <w:next w:val="Normal"/>
    <w:link w:val="Heading2Char"/>
    <w:uiPriority w:val="9"/>
    <w:qFormat/>
    <w:rsid w:val="00707829"/>
    <w:pPr>
      <w:keepNext/>
      <w:keepLines/>
      <w:spacing w:after="120"/>
      <w:outlineLvl w:val="1"/>
    </w:pPr>
    <w:rPr>
      <w:rFonts w:ascii="Calibri" w:eastAsiaTheme="majorEastAsia" w:hAnsi="Calibri" w:cstheme="majorBidi"/>
      <w:b/>
      <w:bCs/>
      <w:color w:val="D52B1E"/>
      <w:sz w:val="34"/>
      <w:szCs w:val="26"/>
      <w:lang w:eastAsia="en-US"/>
    </w:rPr>
  </w:style>
  <w:style w:type="paragraph" w:styleId="Heading3">
    <w:name w:val="heading 3"/>
    <w:next w:val="Normal"/>
    <w:link w:val="Heading3Char"/>
    <w:uiPriority w:val="4"/>
    <w:qFormat/>
    <w:rsid w:val="00707829"/>
    <w:pPr>
      <w:keepNext/>
      <w:keepLines/>
      <w:numPr>
        <w:ilvl w:val="1"/>
        <w:numId w:val="49"/>
      </w:numPr>
      <w:spacing w:before="120"/>
      <w:outlineLvl w:val="2"/>
    </w:pPr>
    <w:rPr>
      <w:rFonts w:ascii="Calibri" w:eastAsiaTheme="minorHAnsi" w:hAnsi="Calibri" w:cstheme="minorBidi"/>
      <w:b/>
      <w:bCs/>
      <w:color w:val="773141"/>
      <w:sz w:val="28"/>
      <w:szCs w:val="22"/>
      <w:lang w:eastAsia="en-US"/>
    </w:rPr>
  </w:style>
  <w:style w:type="paragraph" w:styleId="Heading4">
    <w:name w:val="heading 4"/>
    <w:next w:val="Normal"/>
    <w:link w:val="Heading4Char"/>
    <w:uiPriority w:val="5"/>
    <w:qFormat/>
    <w:rsid w:val="00707829"/>
    <w:pPr>
      <w:keepNext/>
      <w:keepLines/>
      <w:numPr>
        <w:ilvl w:val="2"/>
        <w:numId w:val="49"/>
      </w:numPr>
      <w:spacing w:before="120"/>
      <w:outlineLvl w:val="3"/>
    </w:pPr>
    <w:rPr>
      <w:rFonts w:ascii="Calibri" w:eastAsiaTheme="minorHAnsi" w:hAnsi="Calibri" w:cstheme="minorBidi"/>
      <w:b/>
      <w:bCs/>
      <w:iCs/>
      <w:sz w:val="24"/>
      <w:szCs w:val="22"/>
      <w:lang w:eastAsia="en-US"/>
    </w:rPr>
  </w:style>
  <w:style w:type="paragraph" w:styleId="Heading5">
    <w:name w:val="heading 5"/>
    <w:next w:val="Normal"/>
    <w:link w:val="Heading5Char"/>
    <w:uiPriority w:val="6"/>
    <w:qFormat/>
    <w:rsid w:val="0048671A"/>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rsid w:val="00AB3B5D"/>
    <w:pPr>
      <w:keepNext/>
      <w:keepLines/>
      <w:spacing w:before="40"/>
      <w:outlineLvl w:val="5"/>
    </w:pPr>
    <w:rPr>
      <w:rFonts w:asciiTheme="majorHAnsi" w:eastAsiaTheme="majorEastAsia" w:hAnsiTheme="majorHAnsi" w:cstheme="majorBidi"/>
      <w:i/>
      <w:sz w:val="22"/>
      <w:szCs w:val="22"/>
      <w:lang w:eastAsia="en-US"/>
    </w:rPr>
  </w:style>
  <w:style w:type="paragraph" w:styleId="Heading7">
    <w:name w:val="heading 7"/>
    <w:next w:val="Normal"/>
    <w:link w:val="Heading7Char"/>
    <w:uiPriority w:val="9"/>
    <w:qFormat/>
    <w:rsid w:val="00AB3B5D"/>
    <w:pPr>
      <w:outlineLvl w:val="6"/>
    </w:pPr>
    <w:rPr>
      <w:rFonts w:asciiTheme="majorHAnsi" w:eastAsiaTheme="majorEastAsia" w:hAnsiTheme="majorHAnsi" w:cstheme="majorBidi"/>
      <w:i/>
      <w:color w:val="243F60" w:themeColor="accent1" w:themeShade="7F"/>
      <w:sz w:val="22"/>
      <w:szCs w:val="22"/>
      <w:lang w:eastAsia="en-US"/>
    </w:rPr>
  </w:style>
  <w:style w:type="paragraph" w:styleId="Heading8">
    <w:name w:val="heading 8"/>
    <w:basedOn w:val="Normal"/>
    <w:next w:val="Normal"/>
    <w:link w:val="Heading8Char"/>
    <w:uiPriority w:val="9"/>
    <w:unhideWhenUsed/>
    <w:qFormat/>
    <w:rsid w:val="007C5BDA"/>
    <w:pPr>
      <w:keepNext/>
      <w:jc w:val="center"/>
      <w:outlineLvl w:val="7"/>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rsid w:val="007945EC"/>
    <w:pPr>
      <w:numPr>
        <w:numId w:val="12"/>
      </w:numPr>
    </w:pPr>
  </w:style>
  <w:style w:type="character" w:customStyle="1" w:styleId="Heading1Char">
    <w:name w:val="Heading 1 Char"/>
    <w:basedOn w:val="DefaultParagraphFont"/>
    <w:link w:val="Heading1"/>
    <w:uiPriority w:val="9"/>
    <w:rsid w:val="00591D87"/>
    <w:rPr>
      <w:rFonts w:ascii="Calibri" w:eastAsiaTheme="majorEastAsia" w:hAnsi="Calibri" w:cstheme="majorBidi"/>
      <w:b/>
      <w:bCs/>
      <w:sz w:val="72"/>
      <w:szCs w:val="28"/>
      <w:lang w:eastAsia="en-US"/>
    </w:rPr>
  </w:style>
  <w:style w:type="paragraph" w:styleId="ListParagraph">
    <w:name w:val="List Paragraph"/>
    <w:aliases w:val="List Paragraph1,Recommendation,List Paragraph11"/>
    <w:basedOn w:val="Normal"/>
    <w:link w:val="ListParagraphChar"/>
    <w:uiPriority w:val="99"/>
    <w:qFormat/>
    <w:pPr>
      <w:ind w:left="720"/>
    </w:pPr>
  </w:style>
  <w:style w:type="character" w:customStyle="1" w:styleId="Heading2Char">
    <w:name w:val="Heading 2 Char"/>
    <w:basedOn w:val="DefaultParagraphFont"/>
    <w:link w:val="Heading2"/>
    <w:uiPriority w:val="9"/>
    <w:rsid w:val="007945EC"/>
    <w:rPr>
      <w:rFonts w:ascii="Calibri" w:eastAsiaTheme="majorEastAsia" w:hAnsi="Calibri" w:cstheme="majorBidi"/>
      <w:b/>
      <w:bCs/>
      <w:color w:val="D52B1E"/>
      <w:sz w:val="34"/>
      <w:szCs w:val="26"/>
      <w:lang w:eastAsia="en-US"/>
    </w:rPr>
  </w:style>
  <w:style w:type="character" w:customStyle="1" w:styleId="Heading3Char">
    <w:name w:val="Heading 3 Char"/>
    <w:basedOn w:val="DefaultParagraphFont"/>
    <w:link w:val="Heading3"/>
    <w:uiPriority w:val="4"/>
    <w:rsid w:val="00707829"/>
    <w:rPr>
      <w:rFonts w:ascii="Calibri" w:eastAsiaTheme="minorHAnsi" w:hAnsi="Calibri" w:cstheme="minorBidi"/>
      <w:b/>
      <w:bCs/>
      <w:color w:val="773141"/>
      <w:sz w:val="28"/>
      <w:szCs w:val="22"/>
      <w:lang w:eastAsia="en-US"/>
    </w:rPr>
  </w:style>
  <w:style w:type="character" w:customStyle="1" w:styleId="Heading4Char">
    <w:name w:val="Heading 4 Char"/>
    <w:basedOn w:val="DefaultParagraphFont"/>
    <w:link w:val="Heading4"/>
    <w:uiPriority w:val="5"/>
    <w:rsid w:val="00707829"/>
    <w:rPr>
      <w:rFonts w:ascii="Calibri" w:eastAsiaTheme="minorHAnsi" w:hAnsi="Calibri" w:cstheme="minorBidi"/>
      <w:b/>
      <w:bCs/>
      <w:iCs/>
      <w:sz w:val="24"/>
      <w:szCs w:val="22"/>
      <w:lang w:eastAsia="en-US"/>
    </w:rPr>
  </w:style>
  <w:style w:type="character" w:customStyle="1" w:styleId="Heading5Char">
    <w:name w:val="Heading 5 Char"/>
    <w:basedOn w:val="DefaultParagraphFont"/>
    <w:link w:val="Heading5"/>
    <w:uiPriority w:val="6"/>
    <w:rsid w:val="0048671A"/>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901A6E"/>
    <w:pPr>
      <w:keepNext/>
      <w:spacing w:after="120"/>
    </w:pPr>
    <w:rPr>
      <w:rFonts w:eastAsiaTheme="majorEastAsia" w:cstheme="majorBidi"/>
      <w:b/>
      <w:bCs/>
      <w:color w:val="595959" w:themeColor="text1" w:themeTint="A6"/>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sid w:val="007945EC"/>
    <w:rPr>
      <w:rFonts w:ascii="Calibri" w:eastAsiaTheme="majorEastAsia" w:hAnsi="Calibri" w:cstheme="majorBidi"/>
      <w:b/>
      <w:bCs/>
      <w:color w:val="D52B1E"/>
      <w:sz w:val="34"/>
      <w:szCs w:val="28"/>
      <w:lang w:val="en-US" w:eastAsia="en-US"/>
    </w:rPr>
  </w:style>
  <w:style w:type="paragraph" w:styleId="TOC1">
    <w:name w:val="toc 1"/>
    <w:next w:val="Normal"/>
    <w:uiPriority w:val="39"/>
    <w:unhideWhenUsed/>
    <w:rsid w:val="007945EC"/>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rsid w:val="007945EC"/>
    <w:pPr>
      <w:tabs>
        <w:tab w:val="right" w:leader="dot" w:pos="9060"/>
      </w:tabs>
      <w:spacing w:before="120" w:after="120" w:line="240" w:lineRule="auto"/>
      <w:ind w:firstLine="425"/>
    </w:pPr>
    <w:rPr>
      <w:rFonts w:asciiTheme="minorHAnsi" w:hAnsiTheme="minorHAnsi"/>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99"/>
    <w:qFormat/>
    <w:rsid w:val="00FB107E"/>
    <w:pPr>
      <w:numPr>
        <w:numId w:val="29"/>
      </w:numPr>
      <w:tabs>
        <w:tab w:val="clear" w:pos="567"/>
      </w:tabs>
      <w:spacing w:before="120" w:after="120" w:line="276" w:lineRule="auto"/>
      <w:ind w:left="425" w:hanging="425"/>
    </w:pPr>
    <w:rPr>
      <w:rFonts w:eastAsiaTheme="minorHAnsi" w:cstheme="minorBidi"/>
      <w:sz w:val="22"/>
      <w:szCs w:val="22"/>
      <w:lang w:eastAsia="en-US"/>
    </w:rPr>
  </w:style>
  <w:style w:type="paragraph" w:styleId="TableofFigures">
    <w:name w:val="table of figures"/>
    <w:basedOn w:val="Normal"/>
    <w:next w:val="Normal"/>
    <w:uiPriority w:val="99"/>
    <w:rsid w:val="007945EC"/>
    <w:pPr>
      <w:spacing w:before="120" w:after="120" w:line="240" w:lineRule="auto"/>
    </w:pPr>
    <w:rPr>
      <w:rFonts w:asciiTheme="minorHAnsi" w:hAnsiTheme="minorHAnsi"/>
    </w:rPr>
  </w:style>
  <w:style w:type="paragraph" w:styleId="ListBullet2">
    <w:name w:val="List Bullet 2"/>
    <w:uiPriority w:val="8"/>
    <w:qFormat/>
    <w:rsid w:val="00FB107E"/>
    <w:pPr>
      <w:numPr>
        <w:ilvl w:val="1"/>
        <w:numId w:val="29"/>
      </w:numPr>
      <w:tabs>
        <w:tab w:val="clear" w:pos="794"/>
      </w:tabs>
      <w:spacing w:before="120" w:after="120" w:line="276" w:lineRule="auto"/>
      <w:ind w:left="851" w:hanging="426"/>
      <w:contextualSpacing/>
    </w:pPr>
    <w:rPr>
      <w:rFonts w:eastAsiaTheme="minorHAnsi" w:cstheme="minorBidi"/>
      <w:sz w:val="22"/>
      <w:szCs w:val="22"/>
      <w:lang w:eastAsia="en-US"/>
    </w:rPr>
  </w:style>
  <w:style w:type="paragraph" w:styleId="ListNumber">
    <w:name w:val="List Number"/>
    <w:basedOn w:val="Normal"/>
    <w:uiPriority w:val="9"/>
    <w:qFormat/>
    <w:rsid w:val="00B22120"/>
    <w:pPr>
      <w:numPr>
        <w:numId w:val="41"/>
      </w:numPr>
      <w:spacing w:before="120" w:after="120" w:line="280" w:lineRule="atLeast"/>
    </w:pPr>
    <w:rPr>
      <w:szCs w:val="20"/>
    </w:rPr>
  </w:style>
  <w:style w:type="paragraph" w:styleId="ListNumber2">
    <w:name w:val="List Number 2"/>
    <w:uiPriority w:val="10"/>
    <w:qFormat/>
    <w:rsid w:val="002431EF"/>
    <w:pPr>
      <w:numPr>
        <w:ilvl w:val="1"/>
        <w:numId w:val="41"/>
      </w:numPr>
      <w:spacing w:before="120" w:after="120" w:line="264" w:lineRule="auto"/>
    </w:pPr>
    <w:rPr>
      <w:rFonts w:eastAsia="Times New Roman"/>
      <w:sz w:val="22"/>
      <w:szCs w:val="24"/>
      <w:lang w:eastAsia="en-US"/>
    </w:rPr>
  </w:style>
  <w:style w:type="paragraph" w:styleId="ListNumber3">
    <w:name w:val="List Number 3"/>
    <w:uiPriority w:val="11"/>
    <w:qFormat/>
    <w:rsid w:val="002431EF"/>
    <w:pPr>
      <w:numPr>
        <w:ilvl w:val="2"/>
        <w:numId w:val="41"/>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18206C"/>
    <w:pPr>
      <w:spacing w:before="60" w:after="60"/>
    </w:pPr>
    <w:rPr>
      <w:rFonts w:asciiTheme="majorHAnsi" w:eastAsiaTheme="minorHAnsi" w:hAnsiTheme="maj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6"/>
      </w:numPr>
      <w:ind w:left="357" w:hanging="357"/>
    </w:pPr>
  </w:style>
  <w:style w:type="paragraph" w:customStyle="1" w:styleId="TableBullet">
    <w:name w:val="Table Bullet"/>
    <w:basedOn w:val="TableText"/>
    <w:uiPriority w:val="15"/>
    <w:qFormat/>
    <w:pPr>
      <w:numPr>
        <w:numId w:val="7"/>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qFormat/>
    <w:pPr>
      <w:spacing w:after="0"/>
    </w:pPr>
    <w:rPr>
      <w:b/>
      <w:color w:val="FF0000"/>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rsid w:val="00707829"/>
    <w:pPr>
      <w:numPr>
        <w:numId w:val="47"/>
      </w:numPr>
    </w:pPr>
  </w:style>
  <w:style w:type="numbering" w:customStyle="1" w:styleId="captions">
    <w:name w:val="captions"/>
    <w:uiPriority w:val="99"/>
    <w:pPr>
      <w:numPr>
        <w:numId w:val="15"/>
      </w:numPr>
    </w:pPr>
  </w:style>
  <w:style w:type="paragraph" w:customStyle="1" w:styleId="TableText0">
    <w:name w:val="TableText"/>
    <w:basedOn w:val="Normal"/>
    <w:link w:val="TableTextChar0"/>
    <w:pPr>
      <w:keepNext/>
      <w:spacing w:before="60" w:after="60" w:line="240" w:lineRule="auto"/>
    </w:pPr>
    <w:rPr>
      <w:rFonts w:ascii="Times New Roman" w:hAnsi="Times New Roman"/>
      <w:color w:val="000000"/>
      <w:sz w:val="16"/>
      <w:szCs w:val="20"/>
    </w:rPr>
  </w:style>
  <w:style w:type="character" w:customStyle="1" w:styleId="TableTextChar0">
    <w:name w:val="TableText Char"/>
    <w:basedOn w:val="DefaultParagraphFont"/>
    <w:link w:val="TableText0"/>
    <w:rPr>
      <w:rFonts w:ascii="Times New Roman" w:eastAsia="Times New Roman" w:hAnsi="Times New Roman"/>
      <w:color w:val="000000"/>
      <w:sz w:val="16"/>
      <w:lang w:eastAsia="en-US"/>
    </w:rPr>
  </w:style>
  <w:style w:type="paragraph" w:customStyle="1" w:styleId="TableNotes">
    <w:name w:val="TableNotes"/>
    <w:basedOn w:val="Normal"/>
    <w:link w:val="TableNotesChar"/>
    <w:pPr>
      <w:spacing w:before="40" w:after="180" w:line="240" w:lineRule="auto"/>
    </w:pPr>
    <w:rPr>
      <w:rFonts w:ascii="Arial Narrow" w:hAnsi="Arial Narrow"/>
      <w:color w:val="000000"/>
      <w:sz w:val="16"/>
    </w:rPr>
  </w:style>
  <w:style w:type="character" w:customStyle="1" w:styleId="TableNotesChar">
    <w:name w:val="TableNotes Char"/>
    <w:basedOn w:val="DefaultParagraphFont"/>
    <w:link w:val="TableNotes"/>
    <w:rPr>
      <w:rFonts w:ascii="Arial Narrow" w:eastAsia="Times New Roman" w:hAnsi="Arial Narrow"/>
      <w:color w:val="000000"/>
      <w:sz w:val="16"/>
      <w:szCs w:val="24"/>
      <w:lang w:eastAsia="en-US"/>
    </w:rPr>
  </w:style>
  <w:style w:type="character" w:customStyle="1" w:styleId="TableTextChar">
    <w:name w:val="Table Text Char"/>
    <w:basedOn w:val="DefaultParagraphFont"/>
    <w:link w:val="TableText"/>
    <w:uiPriority w:val="13"/>
    <w:rsid w:val="0018206C"/>
    <w:rPr>
      <w:rFonts w:asciiTheme="majorHAnsi" w:eastAsiaTheme="minorHAnsi" w:hAnsiTheme="majorHAnsi" w:cstheme="minorBidi"/>
      <w:sz w:val="18"/>
      <w:szCs w:val="22"/>
      <w:lang w:eastAsia="en-US"/>
    </w:rPr>
  </w:style>
  <w:style w:type="character" w:customStyle="1" w:styleId="Heading7Char">
    <w:name w:val="Heading 7 Char"/>
    <w:basedOn w:val="DefaultParagraphFont"/>
    <w:link w:val="Heading7"/>
    <w:uiPriority w:val="9"/>
    <w:rsid w:val="00591D87"/>
    <w:rPr>
      <w:rFonts w:asciiTheme="majorHAnsi" w:eastAsiaTheme="majorEastAsia" w:hAnsiTheme="majorHAnsi" w:cstheme="majorBidi"/>
      <w:i/>
      <w:color w:val="243F60" w:themeColor="accent1" w:themeShade="7F"/>
      <w:sz w:val="22"/>
      <w:szCs w:val="22"/>
      <w:lang w:eastAsia="en-US"/>
    </w:rPr>
  </w:style>
  <w:style w:type="numbering" w:customStyle="1" w:styleId="List1">
    <w:name w:val="List1"/>
    <w:basedOn w:val="NoList"/>
    <w:uiPriority w:val="99"/>
    <w:pPr>
      <w:numPr>
        <w:numId w:val="10"/>
      </w:numPr>
    </w:pPr>
  </w:style>
  <w:style w:type="character" w:customStyle="1" w:styleId="CaptionChar">
    <w:name w:val="Caption Char"/>
    <w:basedOn w:val="Heading1Char"/>
    <w:link w:val="Caption"/>
    <w:uiPriority w:val="12"/>
    <w:rsid w:val="00901A6E"/>
    <w:rPr>
      <w:rFonts w:ascii="Calibri" w:eastAsiaTheme="majorEastAsia" w:hAnsi="Calibri" w:cstheme="majorBidi"/>
      <w:b/>
      <w:bCs/>
      <w:color w:val="595959" w:themeColor="text1" w:themeTint="A6"/>
      <w:sz w:val="72"/>
      <w:szCs w:val="18"/>
      <w:lang w:eastAsia="en-US"/>
    </w:rPr>
  </w:style>
  <w:style w:type="numbering" w:customStyle="1" w:styleId="listbullets">
    <w:name w:val="list bullets"/>
    <w:uiPriority w:val="99"/>
    <w:rsid w:val="00042D78"/>
    <w:pPr>
      <w:numPr>
        <w:numId w:val="24"/>
      </w:numPr>
    </w:pPr>
  </w:style>
  <w:style w:type="numbering" w:customStyle="1" w:styleId="ListNumber1">
    <w:name w:val="List Number1"/>
    <w:uiPriority w:val="99"/>
    <w:rsid w:val="00264050"/>
    <w:pPr>
      <w:numPr>
        <w:numId w:val="30"/>
      </w:numPr>
    </w:pPr>
  </w:style>
  <w:style w:type="character" w:customStyle="1" w:styleId="Heading6Char">
    <w:name w:val="Heading 6 Char"/>
    <w:basedOn w:val="DefaultParagraphFont"/>
    <w:link w:val="Heading6"/>
    <w:uiPriority w:val="9"/>
    <w:rsid w:val="00591D87"/>
    <w:rPr>
      <w:rFonts w:asciiTheme="majorHAnsi" w:eastAsiaTheme="majorEastAsia" w:hAnsiTheme="majorHAnsi" w:cstheme="majorBidi"/>
      <w:i/>
      <w:sz w:val="22"/>
      <w:szCs w:val="22"/>
      <w:lang w:eastAsia="en-US"/>
    </w:rPr>
  </w:style>
  <w:style w:type="paragraph" w:customStyle="1" w:styleId="EndNoteBibliographyTitle">
    <w:name w:val="EndNote Bibliography Title"/>
    <w:basedOn w:val="Normal"/>
    <w:link w:val="EndNoteBibliographyTitleChar"/>
    <w:rsid w:val="00F851A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851A2"/>
    <w:rPr>
      <w:rFonts w:eastAsiaTheme="minorHAnsi" w:cstheme="minorBidi"/>
      <w:noProof/>
      <w:sz w:val="22"/>
      <w:szCs w:val="22"/>
      <w:lang w:val="en-US" w:eastAsia="en-US"/>
    </w:rPr>
  </w:style>
  <w:style w:type="paragraph" w:customStyle="1" w:styleId="EndNoteBibliography">
    <w:name w:val="EndNote Bibliography"/>
    <w:basedOn w:val="Normal"/>
    <w:link w:val="EndNoteBibliographyChar"/>
    <w:rsid w:val="00F851A2"/>
    <w:pPr>
      <w:spacing w:line="240" w:lineRule="auto"/>
    </w:pPr>
    <w:rPr>
      <w:noProof/>
      <w:lang w:val="en-US"/>
    </w:rPr>
  </w:style>
  <w:style w:type="character" w:customStyle="1" w:styleId="EndNoteBibliographyChar">
    <w:name w:val="EndNote Bibliography Char"/>
    <w:basedOn w:val="DefaultParagraphFont"/>
    <w:link w:val="EndNoteBibliography"/>
    <w:rsid w:val="00F851A2"/>
    <w:rPr>
      <w:rFonts w:eastAsiaTheme="minorHAnsi" w:cstheme="minorBidi"/>
      <w:noProof/>
      <w:sz w:val="22"/>
      <w:szCs w:val="22"/>
      <w:lang w:val="en-US" w:eastAsia="en-US"/>
    </w:rPr>
  </w:style>
  <w:style w:type="paragraph" w:customStyle="1" w:styleId="BasicParagraph">
    <w:name w:val="[Basic Paragraph]"/>
    <w:basedOn w:val="Normal"/>
    <w:uiPriority w:val="99"/>
    <w:rsid w:val="0062721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table" w:styleId="PlainTable2">
    <w:name w:val="Plain Table 2"/>
    <w:basedOn w:val="TableNormal"/>
    <w:uiPriority w:val="99"/>
    <w:rsid w:val="004D19FB"/>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List Paragraph1 Char,Recommendation Char,List Paragraph11 Char"/>
    <w:basedOn w:val="DefaultParagraphFont"/>
    <w:link w:val="ListParagraph"/>
    <w:uiPriority w:val="99"/>
    <w:rsid w:val="002E2E64"/>
    <w:rPr>
      <w:rFonts w:eastAsiaTheme="minorHAnsi" w:cstheme="minorBidi"/>
      <w:sz w:val="22"/>
      <w:szCs w:val="22"/>
      <w:lang w:eastAsia="en-US"/>
    </w:rPr>
  </w:style>
  <w:style w:type="paragraph" w:customStyle="1" w:styleId="BriefBoxHeading">
    <w:name w:val="Brief Box Heading"/>
    <w:basedOn w:val="Normal"/>
    <w:qFormat/>
    <w:rsid w:val="002E2E64"/>
    <w:pPr>
      <w:spacing w:before="120" w:after="60" w:line="240" w:lineRule="auto"/>
    </w:pPr>
    <w:rPr>
      <w:rFonts w:ascii="Calibri" w:eastAsia="Times New Roman" w:hAnsi="Calibri" w:cs="Arial"/>
      <w:b/>
      <w:sz w:val="24"/>
      <w:szCs w:val="24"/>
      <w:lang w:eastAsia="en-AU"/>
    </w:rPr>
  </w:style>
  <w:style w:type="paragraph" w:styleId="Revision">
    <w:name w:val="Revision"/>
    <w:hidden/>
    <w:uiPriority w:val="99"/>
    <w:semiHidden/>
    <w:rsid w:val="007C5BDA"/>
    <w:rPr>
      <w:rFonts w:eastAsiaTheme="minorHAnsi" w:cstheme="minorBidi"/>
      <w:sz w:val="22"/>
      <w:szCs w:val="22"/>
      <w:lang w:eastAsia="en-US"/>
    </w:rPr>
  </w:style>
  <w:style w:type="paragraph" w:styleId="BodyText">
    <w:name w:val="Body Text"/>
    <w:basedOn w:val="Normal"/>
    <w:link w:val="BodyTextChar"/>
    <w:uiPriority w:val="99"/>
    <w:unhideWhenUsed/>
    <w:rsid w:val="007C5BDA"/>
    <w:pPr>
      <w:spacing w:line="240" w:lineRule="auto"/>
    </w:pPr>
    <w:rPr>
      <w:b/>
      <w:bCs/>
    </w:rPr>
  </w:style>
  <w:style w:type="character" w:customStyle="1" w:styleId="BodyTextChar">
    <w:name w:val="Body Text Char"/>
    <w:basedOn w:val="DefaultParagraphFont"/>
    <w:link w:val="BodyText"/>
    <w:uiPriority w:val="99"/>
    <w:rsid w:val="007C5BDA"/>
    <w:rPr>
      <w:rFonts w:eastAsiaTheme="minorHAnsi" w:cstheme="minorBidi"/>
      <w:b/>
      <w:bCs/>
      <w:sz w:val="22"/>
      <w:szCs w:val="22"/>
      <w:lang w:eastAsia="en-US"/>
    </w:rPr>
  </w:style>
  <w:style w:type="character" w:customStyle="1" w:styleId="Heading8Char">
    <w:name w:val="Heading 8 Char"/>
    <w:basedOn w:val="DefaultParagraphFont"/>
    <w:link w:val="Heading8"/>
    <w:uiPriority w:val="9"/>
    <w:rsid w:val="007C5BDA"/>
    <w:rPr>
      <w:rFonts w:asciiTheme="majorHAnsi" w:eastAsiaTheme="minorHAnsi" w:hAnsiTheme="majorHAnsi" w:cstheme="minorBidi"/>
      <w:b/>
      <w:sz w:val="22"/>
      <w:szCs w:val="22"/>
      <w:lang w:eastAsia="en-US"/>
    </w:rPr>
  </w:style>
  <w:style w:type="paragraph" w:customStyle="1" w:styleId="Normalsmall">
    <w:name w:val="Normal small"/>
    <w:qFormat/>
    <w:rsid w:val="00125BAB"/>
    <w:pPr>
      <w:spacing w:after="120" w:line="276" w:lineRule="auto"/>
    </w:pPr>
    <w:rPr>
      <w:rFonts w:eastAsiaTheme="minorHAnsi" w:cstheme="minorBidi"/>
      <w:sz w:val="18"/>
      <w:szCs w:val="18"/>
      <w:lang w:eastAsia="en-US"/>
    </w:rPr>
  </w:style>
  <w:style w:type="paragraph" w:styleId="Subtitle">
    <w:name w:val="Subtitle"/>
    <w:basedOn w:val="Heading1"/>
    <w:next w:val="Normal"/>
    <w:link w:val="SubtitleChar"/>
    <w:uiPriority w:val="23"/>
    <w:qFormat/>
    <w:rsid w:val="00A013DF"/>
    <w:pPr>
      <w:keepNext w:val="0"/>
      <w:keepLines w:val="0"/>
      <w:widowControl w:val="0"/>
      <w:pBdr>
        <w:bottom w:val="none" w:sz="0" w:space="0" w:color="auto"/>
      </w:pBdr>
      <w:spacing w:before="120" w:after="0"/>
      <w:contextualSpacing/>
    </w:pPr>
    <w:rPr>
      <w:rFonts w:eastAsiaTheme="minorHAnsi" w:cstheme="minorBidi"/>
      <w:b w:val="0"/>
      <w:color w:val="000000"/>
      <w:spacing w:val="5"/>
      <w:kern w:val="28"/>
      <w:sz w:val="36"/>
      <w:szCs w:val="56"/>
    </w:rPr>
  </w:style>
  <w:style w:type="character" w:customStyle="1" w:styleId="SubtitleChar">
    <w:name w:val="Subtitle Char"/>
    <w:basedOn w:val="DefaultParagraphFont"/>
    <w:link w:val="Subtitle"/>
    <w:uiPriority w:val="23"/>
    <w:rsid w:val="00A013DF"/>
    <w:rPr>
      <w:rFonts w:ascii="Calibri" w:eastAsiaTheme="minorHAnsi" w:hAnsi="Calibri" w:cstheme="minorBidi"/>
      <w:bCs/>
      <w:color w:val="000000"/>
      <w:spacing w:val="5"/>
      <w:kern w:val="28"/>
      <w:sz w:val="36"/>
      <w:szCs w:val="56"/>
      <w:lang w:eastAsia="en-US"/>
    </w:rPr>
  </w:style>
  <w:style w:type="paragraph" w:styleId="ListBullet3">
    <w:name w:val="List Bullet 3"/>
    <w:basedOn w:val="Normal"/>
    <w:uiPriority w:val="99"/>
    <w:semiHidden/>
    <w:rsid w:val="00FB107E"/>
    <w:pPr>
      <w:ind w:left="1276" w:hanging="425"/>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pyright@agriculture.gov.au" TargetMode="Externa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https://creativecommons.org/licenses/by/4.0/legalcode" TargetMode="External"/><Relationship Id="rId20" Type="http://schemas.openxmlformats.org/officeDocument/2006/relationships/hyperlink" Target="http://agriculture.gov.a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yperlink" Target="mailto:prawnreview@agriculture.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mailto:prawnreview@agriculture.gov.au" TargetMode="External"/><Relationship Id="rId36"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yperlink" Target="http://agriculture.gov.au/biosecurity/risk-analysis" TargetMode="External"/><Relationship Id="rId31" Type="http://schemas.openxmlformats.org/officeDocument/2006/relationships/hyperlink" Target="http://www.agriculture.gov.au/biosecurity/risk-analysis/stakehol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yperlink" Target="mailto:prawnreview@agriculture.gov.au" TargetMode="External"/><Relationship Id="rId35"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48DF773-AC91-4387-97BC-9E9B6F6CD3E6}"/>
</file>

<file path=customXml/itemProps2.xml><?xml version="1.0" encoding="utf-8"?>
<ds:datastoreItem xmlns:ds="http://schemas.openxmlformats.org/officeDocument/2006/customXml" ds:itemID="{FDAFF9F2-B553-40B8-AE51-8E46304031DB}"/>
</file>

<file path=customXml/itemProps3.xml><?xml version="1.0" encoding="utf-8"?>
<ds:datastoreItem xmlns:ds="http://schemas.openxmlformats.org/officeDocument/2006/customXml" ds:itemID="{82984DD3-1B88-4B4C-B15A-2F941E897081}"/>
</file>

<file path=customXml/itemProps4.xml><?xml version="1.0" encoding="utf-8"?>
<ds:datastoreItem xmlns:ds="http://schemas.openxmlformats.org/officeDocument/2006/customXml" ds:itemID="{A1D323EF-822C-4E4A-9DA5-304476EA7B2B}"/>
</file>

<file path=docProps/app.xml><?xml version="1.0" encoding="utf-8"?>
<Properties xmlns="http://schemas.openxmlformats.org/officeDocument/2006/extended-properties" xmlns:vt="http://schemas.openxmlformats.org/officeDocument/2006/docPropsVTypes">
  <Template>Normal.dotm</Template>
  <TotalTime>185</TotalTime>
  <Pages>18</Pages>
  <Words>4381</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Review of the biosecurity risks of, and import conditions for, prawns and prawn products imported for human consumption</vt:lpstr>
    </vt:vector>
  </TitlesOfParts>
  <Company>Department of Agriculture Fisheries &amp; Forestry</Company>
  <LinksUpToDate>false</LinksUpToDate>
  <CharactersWithSpaces>29298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biosecurity risks of, and import conditions for, prawns and prawn products imported for human consumption</dc:title>
  <dc:creator>Department of Agriculture and Water Resources</dc:creator>
  <cp:lastModifiedBy>MAGNOCAVALLO GIANNA</cp:lastModifiedBy>
  <cp:revision>17</cp:revision>
  <cp:lastPrinted>2018-03-14T02:27:00Z</cp:lastPrinted>
  <dcterms:created xsi:type="dcterms:W3CDTF">2018-03-08T21:32:00Z</dcterms:created>
  <dcterms:modified xsi:type="dcterms:W3CDTF">2018-03-14T02:28:00Z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