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header10.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9.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1.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1.xml" ContentType="application/vnd.openxmlformats-officedocument.wordprocessingml.header+xml"/>
  <Override PartName="/word/header17.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BB0" w:rsidRDefault="00B52BB0" w:rsidP="003E074D">
      <w:pPr>
        <w:pStyle w:val="Heading1"/>
      </w:pPr>
      <w:r>
        <w:t>Final</w:t>
      </w:r>
      <w:r w:rsidRPr="003D553C">
        <w:t xml:space="preserve"> rep</w:t>
      </w:r>
      <w:bookmarkStart w:id="0" w:name="_GoBack"/>
      <w:bookmarkEnd w:id="0"/>
      <w:r w:rsidRPr="003D553C">
        <w:t>ort for the review of biosecurity import requirements for fresh longan fruit from Vietnam</w:t>
      </w:r>
    </w:p>
    <w:p w:rsidR="00B52BB0" w:rsidRDefault="00B52BB0">
      <w:pPr>
        <w:jc w:val="right"/>
      </w:pPr>
      <w:r>
        <w:t>May 2019</w:t>
      </w:r>
    </w:p>
    <w:p w:rsidR="00B52BB0" w:rsidRDefault="00B52BB0">
      <w:pPr>
        <w:pStyle w:val="Picture"/>
      </w:pPr>
      <w:r>
        <w:drawing>
          <wp:inline distT="0" distB="0" distL="0" distR="0" wp14:anchorId="2682F676" wp14:editId="5D696EFF">
            <wp:extent cx="5759450" cy="57016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7" cstate="print"/>
                    <a:srcRect/>
                    <a:stretch>
                      <a:fillRect/>
                    </a:stretch>
                  </pic:blipFill>
                  <pic:spPr bwMode="auto">
                    <a:xfrm>
                      <a:off x="0" y="0"/>
                      <a:ext cx="5759450" cy="5701665"/>
                    </a:xfrm>
                    <a:prstGeom prst="rect">
                      <a:avLst/>
                    </a:prstGeom>
                    <a:noFill/>
                    <a:ln w="9525">
                      <a:noFill/>
                      <a:miter lim="800000"/>
                      <a:headEnd/>
                      <a:tailEnd/>
                    </a:ln>
                  </pic:spPr>
                </pic:pic>
              </a:graphicData>
            </a:graphic>
          </wp:inline>
        </w:drawing>
      </w:r>
    </w:p>
    <w:p w:rsidR="00B52BB0" w:rsidRDefault="00B52BB0">
      <w:pPr>
        <w:pStyle w:val="Picture"/>
        <w:rPr>
          <w:noProof w:val="0"/>
          <w:sz w:val="18"/>
          <w:lang w:eastAsia="en-US"/>
        </w:rPr>
        <w:sectPr w:rsidR="00B52BB0" w:rsidSect="00B0562D">
          <w:headerReference w:type="default" r:id="rId8"/>
          <w:headerReference w:type="first" r:id="rId9"/>
          <w:pgSz w:w="11906" w:h="16838"/>
          <w:pgMar w:top="1440" w:right="1440" w:bottom="1440" w:left="1440" w:header="567" w:footer="283" w:gutter="0"/>
          <w:cols w:space="708"/>
          <w:titlePg/>
          <w:docGrid w:linePitch="360"/>
        </w:sectPr>
      </w:pPr>
    </w:p>
    <w:p w:rsidR="00B52BB0" w:rsidRPr="003D553C" w:rsidRDefault="00B52BB0">
      <w:pPr>
        <w:pStyle w:val="Picture"/>
        <w:rPr>
          <w:noProof w:val="0"/>
          <w:sz w:val="18"/>
          <w:lang w:eastAsia="en-US"/>
        </w:rPr>
      </w:pPr>
      <w:r>
        <w:rPr>
          <w:noProof w:val="0"/>
          <w:sz w:val="18"/>
          <w:lang w:eastAsia="en-US"/>
        </w:rPr>
        <w:lastRenderedPageBreak/>
        <w:t>© Commonwealth of Australia 2019</w:t>
      </w:r>
    </w:p>
    <w:p w:rsidR="00B52BB0" w:rsidRDefault="00B52BB0">
      <w:pPr>
        <w:pStyle w:val="TableText"/>
        <w:rPr>
          <w:rFonts w:ascii="Calibri" w:hAnsi="Calibri"/>
          <w:b/>
        </w:rPr>
      </w:pPr>
      <w:r>
        <w:rPr>
          <w:rFonts w:ascii="Calibri" w:hAnsi="Calibri"/>
          <w:b/>
        </w:rPr>
        <w:t>Ownership of intellectual property rights</w:t>
      </w:r>
    </w:p>
    <w:p w:rsidR="00B52BB0" w:rsidRDefault="00B52BB0">
      <w:pPr>
        <w:pStyle w:val="TableText"/>
        <w:spacing w:after="240"/>
      </w:pPr>
      <w:r>
        <w:t>Unless otherwise noted, copyright (and any other intellectual property rights, if any) in this publication is owned by the Commonwealth of Australia (referred to as the Commonwealth).</w:t>
      </w:r>
    </w:p>
    <w:p w:rsidR="00B52BB0" w:rsidRDefault="00B52BB0">
      <w:pPr>
        <w:pStyle w:val="TableText"/>
        <w:rPr>
          <w:rFonts w:ascii="Calibri" w:hAnsi="Calibri"/>
          <w:b/>
        </w:rPr>
      </w:pPr>
      <w:proofErr w:type="gramStart"/>
      <w:r>
        <w:rPr>
          <w:rFonts w:ascii="Calibri" w:hAnsi="Calibri"/>
          <w:b/>
        </w:rPr>
        <w:t>Creative Commons</w:t>
      </w:r>
      <w:proofErr w:type="gramEnd"/>
      <w:r>
        <w:rPr>
          <w:rFonts w:ascii="Calibri" w:hAnsi="Calibri"/>
          <w:b/>
        </w:rPr>
        <w:t xml:space="preserve"> licence</w:t>
      </w:r>
    </w:p>
    <w:p w:rsidR="00B52BB0" w:rsidRDefault="00B52BB0" w:rsidP="003E074D">
      <w:pPr>
        <w:pStyle w:val="TableText"/>
        <w:spacing w:after="240"/>
      </w:pPr>
      <w:r w:rsidRPr="006926E9">
        <w:t>All material in this publication is licensed under a Creative Commons Attribution 3.0 Australia Licence, save for content supplied by third parties, photographic images, logos and the Commonwealth Coat of Arms.</w:t>
      </w:r>
    </w:p>
    <w:p w:rsidR="00B52BB0" w:rsidRDefault="00B52BB0">
      <w:pPr>
        <w:pStyle w:val="TableText"/>
        <w:spacing w:after="240"/>
      </w:pPr>
      <w:r>
        <w:rPr>
          <w:noProof/>
          <w:lang w:eastAsia="en-AU"/>
        </w:rPr>
        <w:drawing>
          <wp:inline distT="0" distB="0" distL="0" distR="0" wp14:anchorId="46078D7B" wp14:editId="46078D7C">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0"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rsidR="00B52BB0" w:rsidRPr="006926E9" w:rsidRDefault="00B52BB0" w:rsidP="003E074D">
      <w:pPr>
        <w:pStyle w:val="TableText"/>
        <w:spacing w:after="240"/>
      </w:pPr>
      <w:r w:rsidRPr="006926E9">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1" w:history="1">
        <w:r w:rsidRPr="006926E9">
          <w:rPr>
            <w:rStyle w:val="Hyperlink"/>
            <w:rFonts w:eastAsia="Calibri" w:cs="Times New Roman"/>
          </w:rPr>
          <w:t>creativecommons.org/licenses/by/3.0/au/deed.en</w:t>
        </w:r>
      </w:hyperlink>
      <w:r w:rsidRPr="006926E9">
        <w:t xml:space="preserve">. The full licence terms are available from </w:t>
      </w:r>
      <w:hyperlink r:id="rId12" w:history="1">
        <w:r w:rsidRPr="006926E9">
          <w:rPr>
            <w:rStyle w:val="Hyperlink"/>
            <w:rFonts w:eastAsia="Calibri" w:cs="Times New Roman"/>
          </w:rPr>
          <w:t>creativecommons.org/licenses/by/3.0/au/legalcode</w:t>
        </w:r>
      </w:hyperlink>
      <w:r w:rsidRPr="006926E9">
        <w:t>.</w:t>
      </w:r>
    </w:p>
    <w:p w:rsidR="00B52BB0" w:rsidRPr="006926E9" w:rsidRDefault="00B52BB0" w:rsidP="003E074D">
      <w:pPr>
        <w:pStyle w:val="TableText"/>
        <w:spacing w:after="240"/>
      </w:pPr>
      <w:r w:rsidRPr="006926E9">
        <w:t xml:space="preserve">Inquiries about the licence and any use of this document should be sent to </w:t>
      </w:r>
      <w:hyperlink r:id="rId13" w:history="1">
        <w:r w:rsidRPr="000B4A3F">
          <w:rPr>
            <w:rStyle w:val="Hyperlink"/>
          </w:rPr>
          <w:t>copyright@agriculture.gov.au</w:t>
        </w:r>
      </w:hyperlink>
      <w:r w:rsidRPr="006926E9">
        <w:t>.</w:t>
      </w:r>
    </w:p>
    <w:p w:rsidR="00B52BB0" w:rsidRPr="006926E9" w:rsidRDefault="00B52BB0" w:rsidP="003E074D">
      <w:pPr>
        <w:pStyle w:val="TableText"/>
        <w:spacing w:after="240"/>
      </w:pPr>
      <w:r w:rsidRPr="006926E9">
        <w:t xml:space="preserve">This publication (and any material sourced from it) should be attributed as: Department of Agriculture and Water Resources and Water </w:t>
      </w:r>
      <w:r w:rsidRPr="003D553C">
        <w:t xml:space="preserve">Resources </w:t>
      </w:r>
      <w:r>
        <w:t>2019</w:t>
      </w:r>
      <w:r w:rsidRPr="003D553C">
        <w:t xml:space="preserve">, </w:t>
      </w:r>
      <w:r>
        <w:rPr>
          <w:i/>
        </w:rPr>
        <w:t>Final report for the review of biosecurity import requirements for fresh longan fruit from Vietnam</w:t>
      </w:r>
      <w:r w:rsidRPr="003D553C">
        <w:t xml:space="preserve">. </w:t>
      </w:r>
      <w:r w:rsidRPr="006926E9">
        <w:t>CC BY 3.0.</w:t>
      </w:r>
    </w:p>
    <w:p w:rsidR="00B52BB0" w:rsidRDefault="00B52BB0">
      <w:pPr>
        <w:pStyle w:val="TableText"/>
        <w:rPr>
          <w:rFonts w:ascii="Calibri" w:hAnsi="Calibri"/>
          <w:b/>
        </w:rPr>
      </w:pPr>
      <w:r>
        <w:rPr>
          <w:rFonts w:ascii="Calibri" w:hAnsi="Calibri"/>
          <w:b/>
        </w:rPr>
        <w:t>Cataloguing data</w:t>
      </w:r>
    </w:p>
    <w:p w:rsidR="00B52BB0" w:rsidRDefault="00B52BB0" w:rsidP="003E074D">
      <w:pPr>
        <w:pStyle w:val="TableText"/>
        <w:spacing w:after="240"/>
      </w:pPr>
      <w:r>
        <w:t>Department of Agriculture and Water Resources 2019</w:t>
      </w:r>
      <w:r w:rsidRPr="003D553C">
        <w:t xml:space="preserve">, </w:t>
      </w:r>
      <w:r>
        <w:rPr>
          <w:i/>
        </w:rPr>
        <w:t>Final report for the review of biosecurity import requirements for fresh longan fruit from Vietnam,</w:t>
      </w:r>
      <w:r>
        <w:t xml:space="preserve"> Department of Agriculture and Water Resources, Canberra.</w:t>
      </w:r>
    </w:p>
    <w:p w:rsidR="00B52BB0" w:rsidRDefault="00B52BB0">
      <w:pPr>
        <w:pStyle w:val="TableText"/>
        <w:spacing w:after="240"/>
      </w:pPr>
      <w:r>
        <w:t xml:space="preserve">This publication is available at </w:t>
      </w:r>
      <w:hyperlink r:id="rId14" w:history="1">
        <w:r>
          <w:rPr>
            <w:rStyle w:val="Hyperlink"/>
          </w:rPr>
          <w:t>agriculture.gov.au</w:t>
        </w:r>
      </w:hyperlink>
      <w:r>
        <w:t>.</w:t>
      </w:r>
    </w:p>
    <w:p w:rsidR="00B52BB0" w:rsidRDefault="00B52BB0">
      <w:pPr>
        <w:pStyle w:val="TableText"/>
      </w:pPr>
      <w:r>
        <w:t>Department of Agriculture and Water Resources</w:t>
      </w:r>
      <w:r>
        <w:br/>
        <w:t>GPO Box 858 Canberra ACT 2601</w:t>
      </w:r>
    </w:p>
    <w:p w:rsidR="00B52BB0" w:rsidRDefault="00B52BB0">
      <w:pPr>
        <w:pStyle w:val="TableText"/>
        <w:tabs>
          <w:tab w:val="left" w:pos="1134"/>
        </w:tabs>
      </w:pPr>
      <w:r>
        <w:t xml:space="preserve">Switchboard: </w:t>
      </w:r>
      <w:r>
        <w:tab/>
        <w:t>+61 2 6272 3933 or 1800 900 090</w:t>
      </w:r>
    </w:p>
    <w:p w:rsidR="00B52BB0" w:rsidRDefault="00B52BB0">
      <w:pPr>
        <w:pStyle w:val="TableText"/>
        <w:tabs>
          <w:tab w:val="left" w:pos="1134"/>
        </w:tabs>
      </w:pPr>
      <w:r>
        <w:t xml:space="preserve">Facsimile: </w:t>
      </w:r>
      <w:r>
        <w:tab/>
        <w:t>+61 2 6272 3307</w:t>
      </w:r>
    </w:p>
    <w:p w:rsidR="00B52BB0" w:rsidRDefault="00B52BB0">
      <w:pPr>
        <w:pStyle w:val="TableText"/>
        <w:tabs>
          <w:tab w:val="left" w:pos="1134"/>
        </w:tabs>
        <w:spacing w:after="240"/>
      </w:pPr>
      <w:r>
        <w:t>Email:</w:t>
      </w:r>
      <w:r>
        <w:tab/>
      </w:r>
      <w:hyperlink r:id="rId15" w:history="1">
        <w:r>
          <w:rPr>
            <w:rStyle w:val="Hyperlink"/>
          </w:rPr>
          <w:t>plant@agriculture.gov.au</w:t>
        </w:r>
      </w:hyperlink>
    </w:p>
    <w:p w:rsidR="00B52BB0" w:rsidRDefault="00B52BB0">
      <w:pPr>
        <w:pStyle w:val="TableText"/>
        <w:rPr>
          <w:rFonts w:ascii="Calibri" w:hAnsi="Calibri"/>
          <w:b/>
        </w:rPr>
      </w:pPr>
      <w:r>
        <w:rPr>
          <w:rFonts w:ascii="Calibri" w:hAnsi="Calibri"/>
          <w:b/>
        </w:rPr>
        <w:t>Liability</w:t>
      </w:r>
    </w:p>
    <w:p w:rsidR="00B52BB0" w:rsidRDefault="00B52BB0">
      <w:pPr>
        <w:pStyle w:val="TableText"/>
        <w:spacing w:after="240"/>
      </w:pPr>
      <w:r>
        <w:t>The Australian Government acting through the Department of Agriculture and Water Resources has exercised due care and skill in preparing and compiling the information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rsidR="00B52BB0" w:rsidRDefault="00B52BB0">
      <w:pPr>
        <w:pStyle w:val="TableText"/>
      </w:pPr>
    </w:p>
    <w:p w:rsidR="00B52BB0" w:rsidRDefault="00B52BB0" w:rsidP="003E074D">
      <w:pPr>
        <w:pStyle w:val="TOCHeading"/>
        <w:sectPr w:rsidR="00B52BB0" w:rsidSect="003E074D">
          <w:headerReference w:type="default" r:id="rId16"/>
          <w:pgSz w:w="11906" w:h="16838"/>
          <w:pgMar w:top="1418" w:right="1418" w:bottom="1418" w:left="1418" w:header="567" w:footer="283" w:gutter="0"/>
          <w:pgNumType w:fmt="lowerRoman"/>
          <w:cols w:space="708"/>
          <w:docGrid w:linePitch="360"/>
        </w:sectPr>
      </w:pPr>
    </w:p>
    <w:p w:rsidR="00B52BB0" w:rsidRPr="007945EC" w:rsidRDefault="00B52BB0" w:rsidP="003E074D">
      <w:pPr>
        <w:pStyle w:val="TOCHeading"/>
      </w:pPr>
      <w:r>
        <w:lastRenderedPageBreak/>
        <w:t>Contents</w:t>
      </w:r>
    </w:p>
    <w:p w:rsidR="007E0D5B" w:rsidRDefault="00B52BB0">
      <w:pPr>
        <w:pStyle w:val="TOC1"/>
        <w:rPr>
          <w:rFonts w:eastAsiaTheme="minorEastAsia"/>
          <w:b w:val="0"/>
          <w:lang w:eastAsia="en-AU"/>
        </w:rPr>
      </w:pPr>
      <w:r>
        <w:rPr>
          <w:bCs/>
          <w:szCs w:val="24"/>
        </w:rPr>
        <w:fldChar w:fldCharType="begin"/>
      </w:r>
      <w:r>
        <w:rPr>
          <w:bCs/>
          <w:szCs w:val="24"/>
        </w:rPr>
        <w:instrText xml:space="preserve"> TOC \t "Heading 2,1,Heading 3,2" </w:instrText>
      </w:r>
      <w:r>
        <w:rPr>
          <w:bCs/>
          <w:szCs w:val="24"/>
        </w:rPr>
        <w:fldChar w:fldCharType="separate"/>
      </w:r>
      <w:r w:rsidR="007E0D5B">
        <w:t>Acronyms and abbreviations</w:t>
      </w:r>
      <w:r w:rsidR="007E0D5B">
        <w:tab/>
      </w:r>
      <w:r w:rsidR="007E0D5B">
        <w:fldChar w:fldCharType="begin"/>
      </w:r>
      <w:r w:rsidR="007E0D5B">
        <w:instrText xml:space="preserve"> PAGEREF _Toc7607660 \h </w:instrText>
      </w:r>
      <w:r w:rsidR="007E0D5B">
        <w:fldChar w:fldCharType="separate"/>
      </w:r>
      <w:r w:rsidR="00EA7374">
        <w:t>vi</w:t>
      </w:r>
      <w:r w:rsidR="007E0D5B">
        <w:fldChar w:fldCharType="end"/>
      </w:r>
    </w:p>
    <w:p w:rsidR="007E0D5B" w:rsidRDefault="007E0D5B">
      <w:pPr>
        <w:pStyle w:val="TOC1"/>
        <w:rPr>
          <w:rFonts w:eastAsiaTheme="minorEastAsia"/>
          <w:b w:val="0"/>
          <w:lang w:eastAsia="en-AU"/>
        </w:rPr>
      </w:pPr>
      <w:r>
        <w:t>Summary</w:t>
      </w:r>
      <w:r>
        <w:tab/>
      </w:r>
      <w:r>
        <w:fldChar w:fldCharType="begin"/>
      </w:r>
      <w:r>
        <w:instrText xml:space="preserve"> PAGEREF _Toc7607661 \h </w:instrText>
      </w:r>
      <w:r>
        <w:fldChar w:fldCharType="separate"/>
      </w:r>
      <w:r w:rsidR="00EA7374">
        <w:t>1</w:t>
      </w:r>
      <w:r>
        <w:fldChar w:fldCharType="end"/>
      </w:r>
    </w:p>
    <w:p w:rsidR="007E0D5B" w:rsidRDefault="007E0D5B">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_Toc7607662 \h </w:instrText>
      </w:r>
      <w:r>
        <w:fldChar w:fldCharType="separate"/>
      </w:r>
      <w:r w:rsidR="00EA7374">
        <w:t>3</w:t>
      </w:r>
      <w:r>
        <w:fldChar w:fldCharType="end"/>
      </w:r>
    </w:p>
    <w:p w:rsidR="007E0D5B" w:rsidRDefault="007E0D5B">
      <w:pPr>
        <w:pStyle w:val="TOC2"/>
        <w:tabs>
          <w:tab w:val="left" w:pos="1100"/>
        </w:tabs>
        <w:rPr>
          <w:rFonts w:eastAsiaTheme="minorEastAsia"/>
          <w:lang w:eastAsia="en-AU"/>
        </w:rPr>
      </w:pPr>
      <w:r>
        <w:t>1.1</w:t>
      </w:r>
      <w:r>
        <w:rPr>
          <w:rFonts w:eastAsiaTheme="minorEastAsia"/>
          <w:lang w:eastAsia="en-AU"/>
        </w:rPr>
        <w:tab/>
      </w:r>
      <w:r>
        <w:t>Australia’s biosecurity policy framework</w:t>
      </w:r>
      <w:r>
        <w:tab/>
      </w:r>
      <w:r>
        <w:fldChar w:fldCharType="begin"/>
      </w:r>
      <w:r>
        <w:instrText xml:space="preserve"> PAGEREF _Toc7607663 \h </w:instrText>
      </w:r>
      <w:r>
        <w:fldChar w:fldCharType="separate"/>
      </w:r>
      <w:r w:rsidR="00EA7374">
        <w:t>3</w:t>
      </w:r>
      <w:r>
        <w:fldChar w:fldCharType="end"/>
      </w:r>
    </w:p>
    <w:p w:rsidR="007E0D5B" w:rsidRDefault="007E0D5B">
      <w:pPr>
        <w:pStyle w:val="TOC2"/>
        <w:tabs>
          <w:tab w:val="left" w:pos="1100"/>
        </w:tabs>
        <w:rPr>
          <w:rFonts w:eastAsiaTheme="minorEastAsia"/>
          <w:lang w:eastAsia="en-AU"/>
        </w:rPr>
      </w:pPr>
      <w:r>
        <w:t>1.2</w:t>
      </w:r>
      <w:r>
        <w:rPr>
          <w:rFonts w:eastAsiaTheme="minorEastAsia"/>
          <w:lang w:eastAsia="en-AU"/>
        </w:rPr>
        <w:tab/>
      </w:r>
      <w:r>
        <w:t>This risk analysis</w:t>
      </w:r>
      <w:r>
        <w:tab/>
      </w:r>
      <w:r>
        <w:fldChar w:fldCharType="begin"/>
      </w:r>
      <w:r>
        <w:instrText xml:space="preserve"> PAGEREF _Toc7607664 \h </w:instrText>
      </w:r>
      <w:r>
        <w:fldChar w:fldCharType="separate"/>
      </w:r>
      <w:r w:rsidR="00EA7374">
        <w:t>3</w:t>
      </w:r>
      <w:r>
        <w:fldChar w:fldCharType="end"/>
      </w:r>
    </w:p>
    <w:p w:rsidR="007E0D5B" w:rsidRDefault="007E0D5B">
      <w:pPr>
        <w:pStyle w:val="TOC1"/>
        <w:rPr>
          <w:rFonts w:eastAsiaTheme="minorEastAsia"/>
          <w:b w:val="0"/>
          <w:lang w:eastAsia="en-AU"/>
        </w:rPr>
      </w:pPr>
      <w:r>
        <w:t>2</w:t>
      </w:r>
      <w:r>
        <w:rPr>
          <w:rFonts w:eastAsiaTheme="minorEastAsia"/>
          <w:b w:val="0"/>
          <w:lang w:eastAsia="en-AU"/>
        </w:rPr>
        <w:tab/>
      </w:r>
      <w:r>
        <w:t>Method for pest risk analysis</w:t>
      </w:r>
      <w:r>
        <w:tab/>
      </w:r>
      <w:r>
        <w:fldChar w:fldCharType="begin"/>
      </w:r>
      <w:r>
        <w:instrText xml:space="preserve"> PAGEREF _Toc7607665 \h </w:instrText>
      </w:r>
      <w:r>
        <w:fldChar w:fldCharType="separate"/>
      </w:r>
      <w:r w:rsidR="00EA7374">
        <w:t>7</w:t>
      </w:r>
      <w:r>
        <w:fldChar w:fldCharType="end"/>
      </w:r>
    </w:p>
    <w:p w:rsidR="007E0D5B" w:rsidRDefault="007E0D5B">
      <w:pPr>
        <w:pStyle w:val="TOC2"/>
        <w:tabs>
          <w:tab w:val="left" w:pos="1100"/>
        </w:tabs>
        <w:rPr>
          <w:rFonts w:eastAsiaTheme="minorEastAsia"/>
          <w:lang w:eastAsia="en-AU"/>
        </w:rPr>
      </w:pPr>
      <w:r>
        <w:t>2.1</w:t>
      </w:r>
      <w:r>
        <w:rPr>
          <w:rFonts w:eastAsiaTheme="minorEastAsia"/>
          <w:lang w:eastAsia="en-AU"/>
        </w:rPr>
        <w:tab/>
      </w:r>
      <w:r>
        <w:t>Stage 1 Initiation</w:t>
      </w:r>
      <w:r>
        <w:tab/>
      </w:r>
      <w:r>
        <w:fldChar w:fldCharType="begin"/>
      </w:r>
      <w:r>
        <w:instrText xml:space="preserve"> PAGEREF _Toc7607666 \h </w:instrText>
      </w:r>
      <w:r>
        <w:fldChar w:fldCharType="separate"/>
      </w:r>
      <w:r w:rsidR="00EA7374">
        <w:t>7</w:t>
      </w:r>
      <w:r>
        <w:fldChar w:fldCharType="end"/>
      </w:r>
    </w:p>
    <w:p w:rsidR="007E0D5B" w:rsidRDefault="007E0D5B">
      <w:pPr>
        <w:pStyle w:val="TOC2"/>
        <w:tabs>
          <w:tab w:val="left" w:pos="1100"/>
        </w:tabs>
        <w:rPr>
          <w:rFonts w:eastAsiaTheme="minorEastAsia"/>
          <w:lang w:eastAsia="en-AU"/>
        </w:rPr>
      </w:pPr>
      <w:r>
        <w:t>2.2</w:t>
      </w:r>
      <w:r>
        <w:rPr>
          <w:rFonts w:eastAsiaTheme="minorEastAsia"/>
          <w:lang w:eastAsia="en-AU"/>
        </w:rPr>
        <w:tab/>
      </w:r>
      <w:r>
        <w:t>Stage 2 Pest risk assessment</w:t>
      </w:r>
      <w:r>
        <w:tab/>
      </w:r>
      <w:r>
        <w:fldChar w:fldCharType="begin"/>
      </w:r>
      <w:r>
        <w:instrText xml:space="preserve"> PAGEREF _Toc7607667 \h </w:instrText>
      </w:r>
      <w:r>
        <w:fldChar w:fldCharType="separate"/>
      </w:r>
      <w:r w:rsidR="00EA7374">
        <w:t>8</w:t>
      </w:r>
      <w:r>
        <w:fldChar w:fldCharType="end"/>
      </w:r>
    </w:p>
    <w:p w:rsidR="007E0D5B" w:rsidRDefault="007E0D5B">
      <w:pPr>
        <w:pStyle w:val="TOC2"/>
        <w:tabs>
          <w:tab w:val="left" w:pos="1100"/>
        </w:tabs>
        <w:rPr>
          <w:rFonts w:eastAsiaTheme="minorEastAsia"/>
          <w:lang w:eastAsia="en-AU"/>
        </w:rPr>
      </w:pPr>
      <w:r>
        <w:t>2.3</w:t>
      </w:r>
      <w:r>
        <w:rPr>
          <w:rFonts w:eastAsiaTheme="minorEastAsia"/>
          <w:lang w:eastAsia="en-AU"/>
        </w:rPr>
        <w:tab/>
      </w:r>
      <w:r>
        <w:t>Stage 3 Pest risk management</w:t>
      </w:r>
      <w:r>
        <w:tab/>
      </w:r>
      <w:r>
        <w:fldChar w:fldCharType="begin"/>
      </w:r>
      <w:r>
        <w:instrText xml:space="preserve"> PAGEREF _Toc7607668 \h </w:instrText>
      </w:r>
      <w:r>
        <w:fldChar w:fldCharType="separate"/>
      </w:r>
      <w:r w:rsidR="00EA7374">
        <w:t>16</w:t>
      </w:r>
      <w:r>
        <w:fldChar w:fldCharType="end"/>
      </w:r>
    </w:p>
    <w:p w:rsidR="007E0D5B" w:rsidRDefault="007E0D5B">
      <w:pPr>
        <w:pStyle w:val="TOC1"/>
        <w:rPr>
          <w:rFonts w:eastAsiaTheme="minorEastAsia"/>
          <w:b w:val="0"/>
          <w:lang w:eastAsia="en-AU"/>
        </w:rPr>
      </w:pPr>
      <w:r>
        <w:t>3</w:t>
      </w:r>
      <w:r>
        <w:rPr>
          <w:rFonts w:eastAsiaTheme="minorEastAsia"/>
          <w:b w:val="0"/>
          <w:lang w:eastAsia="en-AU"/>
        </w:rPr>
        <w:tab/>
      </w:r>
      <w:r>
        <w:t>Vietnam’s commercial production practices for longan</w:t>
      </w:r>
      <w:r>
        <w:tab/>
      </w:r>
      <w:r>
        <w:fldChar w:fldCharType="begin"/>
      </w:r>
      <w:r>
        <w:instrText xml:space="preserve"> PAGEREF _Toc7607669 \h </w:instrText>
      </w:r>
      <w:r>
        <w:fldChar w:fldCharType="separate"/>
      </w:r>
      <w:r w:rsidR="00EA7374">
        <w:t>18</w:t>
      </w:r>
      <w:r>
        <w:fldChar w:fldCharType="end"/>
      </w:r>
    </w:p>
    <w:p w:rsidR="007E0D5B" w:rsidRDefault="007E0D5B">
      <w:pPr>
        <w:pStyle w:val="TOC2"/>
        <w:tabs>
          <w:tab w:val="left" w:pos="1100"/>
        </w:tabs>
        <w:rPr>
          <w:rFonts w:eastAsiaTheme="minorEastAsia"/>
          <w:lang w:eastAsia="en-AU"/>
        </w:rPr>
      </w:pPr>
      <w:r>
        <w:t>3.1</w:t>
      </w:r>
      <w:r>
        <w:rPr>
          <w:rFonts w:eastAsiaTheme="minorEastAsia"/>
          <w:lang w:eastAsia="en-AU"/>
        </w:rPr>
        <w:tab/>
      </w:r>
      <w:r>
        <w:t>Considerations used in estimating unrestricted risk</w:t>
      </w:r>
      <w:r>
        <w:tab/>
      </w:r>
      <w:r>
        <w:fldChar w:fldCharType="begin"/>
      </w:r>
      <w:r>
        <w:instrText xml:space="preserve"> PAGEREF _Toc7607670 \h </w:instrText>
      </w:r>
      <w:r>
        <w:fldChar w:fldCharType="separate"/>
      </w:r>
      <w:r w:rsidR="00EA7374">
        <w:t>18</w:t>
      </w:r>
      <w:r>
        <w:fldChar w:fldCharType="end"/>
      </w:r>
    </w:p>
    <w:p w:rsidR="007E0D5B" w:rsidRDefault="007E0D5B">
      <w:pPr>
        <w:pStyle w:val="TOC2"/>
        <w:tabs>
          <w:tab w:val="left" w:pos="1100"/>
        </w:tabs>
        <w:rPr>
          <w:rFonts w:eastAsiaTheme="minorEastAsia"/>
          <w:lang w:eastAsia="en-AU"/>
        </w:rPr>
      </w:pPr>
      <w:r>
        <w:t>3.2</w:t>
      </w:r>
      <w:r>
        <w:rPr>
          <w:rFonts w:eastAsiaTheme="minorEastAsia"/>
          <w:lang w:eastAsia="en-AU"/>
        </w:rPr>
        <w:tab/>
      </w:r>
      <w:r>
        <w:t>Longan production areas</w:t>
      </w:r>
      <w:r>
        <w:tab/>
      </w:r>
      <w:r>
        <w:fldChar w:fldCharType="begin"/>
      </w:r>
      <w:r>
        <w:instrText xml:space="preserve"> PAGEREF _Toc7607671 \h </w:instrText>
      </w:r>
      <w:r>
        <w:fldChar w:fldCharType="separate"/>
      </w:r>
      <w:r w:rsidR="00EA7374">
        <w:t>18</w:t>
      </w:r>
      <w:r>
        <w:fldChar w:fldCharType="end"/>
      </w:r>
    </w:p>
    <w:p w:rsidR="007E0D5B" w:rsidRDefault="007E0D5B">
      <w:pPr>
        <w:pStyle w:val="TOC2"/>
        <w:tabs>
          <w:tab w:val="left" w:pos="1100"/>
        </w:tabs>
        <w:rPr>
          <w:rFonts w:eastAsiaTheme="minorEastAsia"/>
          <w:lang w:eastAsia="en-AU"/>
        </w:rPr>
      </w:pPr>
      <w:r>
        <w:t>3.3</w:t>
      </w:r>
      <w:r>
        <w:rPr>
          <w:rFonts w:eastAsiaTheme="minorEastAsia"/>
          <w:lang w:eastAsia="en-AU"/>
        </w:rPr>
        <w:tab/>
      </w:r>
      <w:r>
        <w:t>Climate in production areas</w:t>
      </w:r>
      <w:r>
        <w:tab/>
      </w:r>
      <w:r>
        <w:fldChar w:fldCharType="begin"/>
      </w:r>
      <w:r>
        <w:instrText xml:space="preserve"> PAGEREF _Toc7607672 \h </w:instrText>
      </w:r>
      <w:r>
        <w:fldChar w:fldCharType="separate"/>
      </w:r>
      <w:r w:rsidR="00EA7374">
        <w:t>18</w:t>
      </w:r>
      <w:r>
        <w:fldChar w:fldCharType="end"/>
      </w:r>
    </w:p>
    <w:p w:rsidR="007E0D5B" w:rsidRDefault="007E0D5B">
      <w:pPr>
        <w:pStyle w:val="TOC2"/>
        <w:tabs>
          <w:tab w:val="left" w:pos="1100"/>
        </w:tabs>
        <w:rPr>
          <w:rFonts w:eastAsiaTheme="minorEastAsia"/>
          <w:lang w:eastAsia="en-AU"/>
        </w:rPr>
      </w:pPr>
      <w:r>
        <w:t>3.4</w:t>
      </w:r>
      <w:r>
        <w:rPr>
          <w:rFonts w:eastAsiaTheme="minorEastAsia"/>
          <w:lang w:eastAsia="en-AU"/>
        </w:rPr>
        <w:tab/>
      </w:r>
      <w:r>
        <w:t>Pre-harvest</w:t>
      </w:r>
      <w:r>
        <w:tab/>
      </w:r>
      <w:r>
        <w:fldChar w:fldCharType="begin"/>
      </w:r>
      <w:r>
        <w:instrText xml:space="preserve"> PAGEREF _Toc7607673 \h </w:instrText>
      </w:r>
      <w:r>
        <w:fldChar w:fldCharType="separate"/>
      </w:r>
      <w:r w:rsidR="00EA7374">
        <w:t>20</w:t>
      </w:r>
      <w:r>
        <w:fldChar w:fldCharType="end"/>
      </w:r>
    </w:p>
    <w:p w:rsidR="007E0D5B" w:rsidRDefault="007E0D5B">
      <w:pPr>
        <w:pStyle w:val="TOC2"/>
        <w:tabs>
          <w:tab w:val="left" w:pos="1100"/>
        </w:tabs>
        <w:rPr>
          <w:rFonts w:eastAsiaTheme="minorEastAsia"/>
          <w:lang w:eastAsia="en-AU"/>
        </w:rPr>
      </w:pPr>
      <w:r>
        <w:t>3.5</w:t>
      </w:r>
      <w:r>
        <w:rPr>
          <w:rFonts w:eastAsiaTheme="minorEastAsia"/>
          <w:lang w:eastAsia="en-AU"/>
        </w:rPr>
        <w:tab/>
      </w:r>
      <w:r>
        <w:t>Harvesting and handling procedures</w:t>
      </w:r>
      <w:r>
        <w:tab/>
      </w:r>
      <w:r>
        <w:fldChar w:fldCharType="begin"/>
      </w:r>
      <w:r>
        <w:instrText xml:space="preserve"> PAGEREF _Toc7607674 \h </w:instrText>
      </w:r>
      <w:r>
        <w:fldChar w:fldCharType="separate"/>
      </w:r>
      <w:r w:rsidR="00EA7374">
        <w:t>22</w:t>
      </w:r>
      <w:r>
        <w:fldChar w:fldCharType="end"/>
      </w:r>
    </w:p>
    <w:p w:rsidR="007E0D5B" w:rsidRDefault="007E0D5B">
      <w:pPr>
        <w:pStyle w:val="TOC2"/>
        <w:tabs>
          <w:tab w:val="left" w:pos="1100"/>
        </w:tabs>
        <w:rPr>
          <w:rFonts w:eastAsiaTheme="minorEastAsia"/>
          <w:lang w:eastAsia="en-AU"/>
        </w:rPr>
      </w:pPr>
      <w:r>
        <w:t>3.6</w:t>
      </w:r>
      <w:r>
        <w:rPr>
          <w:rFonts w:eastAsiaTheme="minorEastAsia"/>
          <w:lang w:eastAsia="en-AU"/>
        </w:rPr>
        <w:tab/>
      </w:r>
      <w:r>
        <w:t>Post-harvest</w:t>
      </w:r>
      <w:r>
        <w:tab/>
      </w:r>
      <w:r>
        <w:fldChar w:fldCharType="begin"/>
      </w:r>
      <w:r>
        <w:instrText xml:space="preserve"> PAGEREF _Toc7607675 \h </w:instrText>
      </w:r>
      <w:r>
        <w:fldChar w:fldCharType="separate"/>
      </w:r>
      <w:r w:rsidR="00EA7374">
        <w:t>23</w:t>
      </w:r>
      <w:r>
        <w:fldChar w:fldCharType="end"/>
      </w:r>
    </w:p>
    <w:p w:rsidR="007E0D5B" w:rsidRDefault="007E0D5B">
      <w:pPr>
        <w:pStyle w:val="TOC2"/>
        <w:tabs>
          <w:tab w:val="left" w:pos="1100"/>
        </w:tabs>
        <w:rPr>
          <w:rFonts w:eastAsiaTheme="minorEastAsia"/>
          <w:lang w:eastAsia="en-AU"/>
        </w:rPr>
      </w:pPr>
      <w:r>
        <w:t>3.7</w:t>
      </w:r>
      <w:r>
        <w:rPr>
          <w:rFonts w:eastAsiaTheme="minorEastAsia"/>
          <w:lang w:eastAsia="en-AU"/>
        </w:rPr>
        <w:tab/>
      </w:r>
      <w:r>
        <w:t>Export capability</w:t>
      </w:r>
      <w:r>
        <w:tab/>
      </w:r>
      <w:r>
        <w:fldChar w:fldCharType="begin"/>
      </w:r>
      <w:r>
        <w:instrText xml:space="preserve"> PAGEREF _Toc7607676 \h </w:instrText>
      </w:r>
      <w:r>
        <w:fldChar w:fldCharType="separate"/>
      </w:r>
      <w:r w:rsidR="00EA7374">
        <w:t>26</w:t>
      </w:r>
      <w:r>
        <w:fldChar w:fldCharType="end"/>
      </w:r>
    </w:p>
    <w:p w:rsidR="007E0D5B" w:rsidRDefault="007E0D5B">
      <w:pPr>
        <w:pStyle w:val="TOC1"/>
        <w:rPr>
          <w:rFonts w:eastAsiaTheme="minorEastAsia"/>
          <w:b w:val="0"/>
          <w:lang w:eastAsia="en-AU"/>
        </w:rPr>
      </w:pPr>
      <w:r>
        <w:t>4</w:t>
      </w:r>
      <w:r>
        <w:rPr>
          <w:rFonts w:eastAsiaTheme="minorEastAsia"/>
          <w:b w:val="0"/>
          <w:lang w:eastAsia="en-AU"/>
        </w:rPr>
        <w:tab/>
      </w:r>
      <w:r>
        <w:t>Pest risk assessments</w:t>
      </w:r>
      <w:r>
        <w:tab/>
      </w:r>
      <w:r>
        <w:fldChar w:fldCharType="begin"/>
      </w:r>
      <w:r>
        <w:instrText xml:space="preserve"> PAGEREF _Toc7607677 \h </w:instrText>
      </w:r>
      <w:r>
        <w:fldChar w:fldCharType="separate"/>
      </w:r>
      <w:r w:rsidR="00EA7374">
        <w:t>27</w:t>
      </w:r>
      <w:r>
        <w:fldChar w:fldCharType="end"/>
      </w:r>
    </w:p>
    <w:p w:rsidR="007E0D5B" w:rsidRDefault="007E0D5B">
      <w:pPr>
        <w:pStyle w:val="TOC2"/>
        <w:tabs>
          <w:tab w:val="left" w:pos="1100"/>
        </w:tabs>
        <w:rPr>
          <w:rFonts w:eastAsiaTheme="minorEastAsia"/>
          <w:lang w:eastAsia="en-AU"/>
        </w:rPr>
      </w:pPr>
      <w:r>
        <w:t>4.1</w:t>
      </w:r>
      <w:r>
        <w:rPr>
          <w:rFonts w:eastAsiaTheme="minorEastAsia"/>
          <w:lang w:eastAsia="en-AU"/>
        </w:rPr>
        <w:tab/>
      </w:r>
      <w:r>
        <w:t>Fruit flies</w:t>
      </w:r>
      <w:r>
        <w:tab/>
      </w:r>
      <w:r>
        <w:fldChar w:fldCharType="begin"/>
      </w:r>
      <w:r>
        <w:instrText xml:space="preserve"> PAGEREF _Toc7607678 \h </w:instrText>
      </w:r>
      <w:r>
        <w:fldChar w:fldCharType="separate"/>
      </w:r>
      <w:r w:rsidR="00EA7374">
        <w:t>29</w:t>
      </w:r>
      <w:r>
        <w:fldChar w:fldCharType="end"/>
      </w:r>
    </w:p>
    <w:p w:rsidR="007E0D5B" w:rsidRDefault="007E0D5B">
      <w:pPr>
        <w:pStyle w:val="TOC2"/>
        <w:tabs>
          <w:tab w:val="left" w:pos="1100"/>
        </w:tabs>
        <w:rPr>
          <w:rFonts w:eastAsiaTheme="minorEastAsia"/>
          <w:lang w:eastAsia="en-AU"/>
        </w:rPr>
      </w:pPr>
      <w:r>
        <w:t>4.2</w:t>
      </w:r>
      <w:r>
        <w:rPr>
          <w:rFonts w:eastAsiaTheme="minorEastAsia"/>
          <w:lang w:eastAsia="en-AU"/>
        </w:rPr>
        <w:tab/>
      </w:r>
      <w:r>
        <w:t>Mealybugs</w:t>
      </w:r>
      <w:r>
        <w:tab/>
      </w:r>
      <w:r>
        <w:fldChar w:fldCharType="begin"/>
      </w:r>
      <w:r>
        <w:instrText xml:space="preserve"> PAGEREF _Toc7607679 \h </w:instrText>
      </w:r>
      <w:r>
        <w:fldChar w:fldCharType="separate"/>
      </w:r>
      <w:r w:rsidR="00EA7374">
        <w:t>31</w:t>
      </w:r>
      <w:r>
        <w:fldChar w:fldCharType="end"/>
      </w:r>
    </w:p>
    <w:p w:rsidR="007E0D5B" w:rsidRDefault="007E0D5B">
      <w:pPr>
        <w:pStyle w:val="TOC2"/>
        <w:tabs>
          <w:tab w:val="left" w:pos="1100"/>
        </w:tabs>
        <w:rPr>
          <w:rFonts w:eastAsiaTheme="minorEastAsia"/>
          <w:lang w:eastAsia="en-AU"/>
        </w:rPr>
      </w:pPr>
      <w:r>
        <w:t>4.3</w:t>
      </w:r>
      <w:r>
        <w:rPr>
          <w:rFonts w:eastAsiaTheme="minorEastAsia"/>
          <w:lang w:eastAsia="en-AU"/>
        </w:rPr>
        <w:tab/>
      </w:r>
      <w:r>
        <w:t>Longan soft scale</w:t>
      </w:r>
      <w:r>
        <w:tab/>
      </w:r>
      <w:r>
        <w:fldChar w:fldCharType="begin"/>
      </w:r>
      <w:r>
        <w:instrText xml:space="preserve"> PAGEREF _Toc7607680 \h </w:instrText>
      </w:r>
      <w:r>
        <w:fldChar w:fldCharType="separate"/>
      </w:r>
      <w:r w:rsidR="00EA7374">
        <w:t>33</w:t>
      </w:r>
      <w:r>
        <w:fldChar w:fldCharType="end"/>
      </w:r>
    </w:p>
    <w:p w:rsidR="007E0D5B" w:rsidRDefault="007E0D5B">
      <w:pPr>
        <w:pStyle w:val="TOC2"/>
        <w:tabs>
          <w:tab w:val="left" w:pos="1100"/>
        </w:tabs>
        <w:rPr>
          <w:rFonts w:eastAsiaTheme="minorEastAsia"/>
          <w:lang w:eastAsia="en-AU"/>
        </w:rPr>
      </w:pPr>
      <w:r>
        <w:t>4.4</w:t>
      </w:r>
      <w:r>
        <w:rPr>
          <w:rFonts w:eastAsiaTheme="minorEastAsia"/>
          <w:lang w:eastAsia="en-AU"/>
        </w:rPr>
        <w:tab/>
      </w:r>
      <w:r>
        <w:t>Litchi fruit borer</w:t>
      </w:r>
      <w:r>
        <w:tab/>
      </w:r>
      <w:r>
        <w:fldChar w:fldCharType="begin"/>
      </w:r>
      <w:r>
        <w:instrText xml:space="preserve"> PAGEREF _Toc7607681 \h </w:instrText>
      </w:r>
      <w:r>
        <w:fldChar w:fldCharType="separate"/>
      </w:r>
      <w:r w:rsidR="00EA7374">
        <w:t>35</w:t>
      </w:r>
      <w:r>
        <w:fldChar w:fldCharType="end"/>
      </w:r>
    </w:p>
    <w:p w:rsidR="007E0D5B" w:rsidRDefault="007E0D5B">
      <w:pPr>
        <w:pStyle w:val="TOC2"/>
        <w:tabs>
          <w:tab w:val="left" w:pos="1100"/>
        </w:tabs>
        <w:rPr>
          <w:rFonts w:eastAsiaTheme="minorEastAsia"/>
          <w:lang w:eastAsia="en-AU"/>
        </w:rPr>
      </w:pPr>
      <w:r>
        <w:t>4.5</w:t>
      </w:r>
      <w:r>
        <w:rPr>
          <w:rFonts w:eastAsiaTheme="minorEastAsia"/>
          <w:lang w:eastAsia="en-AU"/>
        </w:rPr>
        <w:tab/>
      </w:r>
      <w:r>
        <w:t>Regulated thrips as vectors of emerging quarantine orthotospoviruses</w:t>
      </w:r>
      <w:r>
        <w:tab/>
      </w:r>
      <w:r>
        <w:fldChar w:fldCharType="begin"/>
      </w:r>
      <w:r>
        <w:instrText xml:space="preserve"> PAGEREF _Toc7607682 \h </w:instrText>
      </w:r>
      <w:r>
        <w:fldChar w:fldCharType="separate"/>
      </w:r>
      <w:r w:rsidR="00EA7374">
        <w:t>37</w:t>
      </w:r>
      <w:r>
        <w:fldChar w:fldCharType="end"/>
      </w:r>
    </w:p>
    <w:p w:rsidR="007E0D5B" w:rsidRDefault="007E0D5B">
      <w:pPr>
        <w:pStyle w:val="TOC2"/>
        <w:tabs>
          <w:tab w:val="left" w:pos="1100"/>
        </w:tabs>
        <w:rPr>
          <w:rFonts w:eastAsiaTheme="minorEastAsia"/>
          <w:lang w:eastAsia="en-AU"/>
        </w:rPr>
      </w:pPr>
      <w:r>
        <w:t>4.6</w:t>
      </w:r>
      <w:r>
        <w:rPr>
          <w:rFonts w:eastAsiaTheme="minorEastAsia"/>
          <w:lang w:eastAsia="en-AU"/>
        </w:rPr>
        <w:tab/>
      </w:r>
      <w:r>
        <w:t>Brown blight</w:t>
      </w:r>
      <w:r>
        <w:tab/>
      </w:r>
      <w:r>
        <w:fldChar w:fldCharType="begin"/>
      </w:r>
      <w:r>
        <w:instrText xml:space="preserve"> PAGEREF _Toc7607683 \h </w:instrText>
      </w:r>
      <w:r>
        <w:fldChar w:fldCharType="separate"/>
      </w:r>
      <w:r w:rsidR="00EA7374">
        <w:t>39</w:t>
      </w:r>
      <w:r>
        <w:fldChar w:fldCharType="end"/>
      </w:r>
    </w:p>
    <w:p w:rsidR="007E0D5B" w:rsidRDefault="007E0D5B">
      <w:pPr>
        <w:pStyle w:val="TOC2"/>
        <w:tabs>
          <w:tab w:val="left" w:pos="1100"/>
        </w:tabs>
        <w:rPr>
          <w:rFonts w:eastAsiaTheme="minorEastAsia"/>
          <w:lang w:eastAsia="en-AU"/>
        </w:rPr>
      </w:pPr>
      <w:r>
        <w:t>4.7</w:t>
      </w:r>
      <w:r>
        <w:rPr>
          <w:rFonts w:eastAsiaTheme="minorEastAsia"/>
          <w:lang w:eastAsia="en-AU"/>
        </w:rPr>
        <w:tab/>
      </w:r>
      <w:r>
        <w:t>Longan Witches’ Broom Disease (EP)</w:t>
      </w:r>
      <w:r>
        <w:tab/>
      </w:r>
      <w:r>
        <w:fldChar w:fldCharType="begin"/>
      </w:r>
      <w:r>
        <w:instrText xml:space="preserve"> PAGEREF _Toc7607684 \h </w:instrText>
      </w:r>
      <w:r>
        <w:fldChar w:fldCharType="separate"/>
      </w:r>
      <w:r w:rsidR="00EA7374">
        <w:t>41</w:t>
      </w:r>
      <w:r>
        <w:fldChar w:fldCharType="end"/>
      </w:r>
    </w:p>
    <w:p w:rsidR="007E0D5B" w:rsidRDefault="007E0D5B">
      <w:pPr>
        <w:pStyle w:val="TOC2"/>
        <w:tabs>
          <w:tab w:val="left" w:pos="1100"/>
        </w:tabs>
        <w:rPr>
          <w:rFonts w:eastAsiaTheme="minorEastAsia"/>
          <w:lang w:eastAsia="en-AU"/>
        </w:rPr>
      </w:pPr>
      <w:r>
        <w:t>4.8</w:t>
      </w:r>
      <w:r>
        <w:rPr>
          <w:rFonts w:eastAsiaTheme="minorEastAsia"/>
          <w:lang w:eastAsia="en-AU"/>
        </w:rPr>
        <w:tab/>
      </w:r>
      <w:r>
        <w:t>Pest risk assessment conclusions</w:t>
      </w:r>
      <w:r>
        <w:tab/>
      </w:r>
      <w:r>
        <w:fldChar w:fldCharType="begin"/>
      </w:r>
      <w:r>
        <w:instrText xml:space="preserve"> PAGEREF _Toc7607685 \h </w:instrText>
      </w:r>
      <w:r>
        <w:fldChar w:fldCharType="separate"/>
      </w:r>
      <w:r w:rsidR="00EA7374">
        <w:t>43</w:t>
      </w:r>
      <w:r>
        <w:fldChar w:fldCharType="end"/>
      </w:r>
    </w:p>
    <w:p w:rsidR="007E0D5B" w:rsidRDefault="007E0D5B">
      <w:pPr>
        <w:pStyle w:val="TOC2"/>
        <w:tabs>
          <w:tab w:val="left" w:pos="1100"/>
        </w:tabs>
        <w:rPr>
          <w:rFonts w:eastAsiaTheme="minorEastAsia"/>
          <w:lang w:eastAsia="en-AU"/>
        </w:rPr>
      </w:pPr>
      <w:r>
        <w:t>4.9</w:t>
      </w:r>
      <w:r>
        <w:rPr>
          <w:rFonts w:eastAsiaTheme="minorEastAsia"/>
          <w:lang w:eastAsia="en-AU"/>
        </w:rPr>
        <w:tab/>
      </w:r>
      <w:r>
        <w:t>Summary of assessment of quarantine pests of concern</w:t>
      </w:r>
      <w:r>
        <w:tab/>
      </w:r>
      <w:r>
        <w:fldChar w:fldCharType="begin"/>
      </w:r>
      <w:r>
        <w:instrText xml:space="preserve"> PAGEREF _Toc7607686 \h </w:instrText>
      </w:r>
      <w:r>
        <w:fldChar w:fldCharType="separate"/>
      </w:r>
      <w:r w:rsidR="00EA7374">
        <w:t>45</w:t>
      </w:r>
      <w:r>
        <w:fldChar w:fldCharType="end"/>
      </w:r>
    </w:p>
    <w:p w:rsidR="007E0D5B" w:rsidRDefault="007E0D5B">
      <w:pPr>
        <w:pStyle w:val="TOC1"/>
        <w:rPr>
          <w:rFonts w:eastAsiaTheme="minorEastAsia"/>
          <w:b w:val="0"/>
          <w:lang w:eastAsia="en-AU"/>
        </w:rPr>
      </w:pPr>
      <w:r>
        <w:t>5</w:t>
      </w:r>
      <w:r>
        <w:rPr>
          <w:rFonts w:eastAsiaTheme="minorEastAsia"/>
          <w:b w:val="0"/>
          <w:lang w:eastAsia="en-AU"/>
        </w:rPr>
        <w:tab/>
      </w:r>
      <w:r>
        <w:t>Pest risk management</w:t>
      </w:r>
      <w:r>
        <w:tab/>
      </w:r>
      <w:r>
        <w:fldChar w:fldCharType="begin"/>
      </w:r>
      <w:r>
        <w:instrText xml:space="preserve"> PAGEREF _Toc7607687 \h </w:instrText>
      </w:r>
      <w:r>
        <w:fldChar w:fldCharType="separate"/>
      </w:r>
      <w:r w:rsidR="00EA7374">
        <w:t>47</w:t>
      </w:r>
      <w:r>
        <w:fldChar w:fldCharType="end"/>
      </w:r>
    </w:p>
    <w:p w:rsidR="007E0D5B" w:rsidRDefault="007E0D5B">
      <w:pPr>
        <w:pStyle w:val="TOC2"/>
        <w:tabs>
          <w:tab w:val="left" w:pos="1100"/>
        </w:tabs>
        <w:rPr>
          <w:rFonts w:eastAsiaTheme="minorEastAsia"/>
          <w:lang w:eastAsia="en-AU"/>
        </w:rPr>
      </w:pPr>
      <w:r>
        <w:t>5.1</w:t>
      </w:r>
      <w:r>
        <w:rPr>
          <w:rFonts w:eastAsiaTheme="minorEastAsia"/>
          <w:lang w:eastAsia="en-AU"/>
        </w:rPr>
        <w:tab/>
      </w:r>
      <w:r>
        <w:t>Pest risk management measures and phytosanitary procedures</w:t>
      </w:r>
      <w:r>
        <w:tab/>
      </w:r>
      <w:r>
        <w:fldChar w:fldCharType="begin"/>
      </w:r>
      <w:r>
        <w:instrText xml:space="preserve"> PAGEREF _Toc7607688 \h </w:instrText>
      </w:r>
      <w:r>
        <w:fldChar w:fldCharType="separate"/>
      </w:r>
      <w:r w:rsidR="00EA7374">
        <w:t>47</w:t>
      </w:r>
      <w:r>
        <w:fldChar w:fldCharType="end"/>
      </w:r>
    </w:p>
    <w:p w:rsidR="007E0D5B" w:rsidRDefault="007E0D5B">
      <w:pPr>
        <w:pStyle w:val="TOC2"/>
        <w:tabs>
          <w:tab w:val="left" w:pos="1100"/>
        </w:tabs>
        <w:rPr>
          <w:rFonts w:eastAsiaTheme="minorEastAsia"/>
          <w:lang w:eastAsia="en-AU"/>
        </w:rPr>
      </w:pPr>
      <w:r>
        <w:t>5.2</w:t>
      </w:r>
      <w:r>
        <w:rPr>
          <w:rFonts w:eastAsiaTheme="minorEastAsia"/>
          <w:lang w:eastAsia="en-AU"/>
        </w:rPr>
        <w:tab/>
      </w:r>
      <w:r>
        <w:t>Operational system for the maintenance and verification of phytosanitary status</w:t>
      </w:r>
      <w:r>
        <w:tab/>
      </w:r>
      <w:r>
        <w:fldChar w:fldCharType="begin"/>
      </w:r>
      <w:r>
        <w:instrText xml:space="preserve"> PAGEREF _Toc7607689 \h </w:instrText>
      </w:r>
      <w:r>
        <w:fldChar w:fldCharType="separate"/>
      </w:r>
      <w:r w:rsidR="00EA7374">
        <w:t>53</w:t>
      </w:r>
      <w:r>
        <w:fldChar w:fldCharType="end"/>
      </w:r>
    </w:p>
    <w:p w:rsidR="007E0D5B" w:rsidRDefault="007E0D5B">
      <w:pPr>
        <w:pStyle w:val="TOC2"/>
        <w:tabs>
          <w:tab w:val="left" w:pos="1100"/>
        </w:tabs>
        <w:rPr>
          <w:rFonts w:eastAsiaTheme="minorEastAsia"/>
          <w:lang w:eastAsia="en-AU"/>
        </w:rPr>
      </w:pPr>
      <w:r>
        <w:t>5.3</w:t>
      </w:r>
      <w:r>
        <w:rPr>
          <w:rFonts w:eastAsiaTheme="minorEastAsia"/>
          <w:lang w:eastAsia="en-AU"/>
        </w:rPr>
        <w:tab/>
      </w:r>
      <w:r>
        <w:t>Uncategorised pests</w:t>
      </w:r>
      <w:r>
        <w:tab/>
      </w:r>
      <w:r>
        <w:fldChar w:fldCharType="begin"/>
      </w:r>
      <w:r>
        <w:instrText xml:space="preserve"> PAGEREF _Toc7607690 \h </w:instrText>
      </w:r>
      <w:r>
        <w:fldChar w:fldCharType="separate"/>
      </w:r>
      <w:r w:rsidR="00EA7374">
        <w:t>56</w:t>
      </w:r>
      <w:r>
        <w:fldChar w:fldCharType="end"/>
      </w:r>
    </w:p>
    <w:p w:rsidR="007E0D5B" w:rsidRDefault="007E0D5B">
      <w:pPr>
        <w:pStyle w:val="TOC2"/>
        <w:tabs>
          <w:tab w:val="left" w:pos="1100"/>
        </w:tabs>
        <w:rPr>
          <w:rFonts w:eastAsiaTheme="minorEastAsia"/>
          <w:lang w:eastAsia="en-AU"/>
        </w:rPr>
      </w:pPr>
      <w:r>
        <w:t>5.4</w:t>
      </w:r>
      <w:r>
        <w:rPr>
          <w:rFonts w:eastAsiaTheme="minorEastAsia"/>
          <w:lang w:eastAsia="en-AU"/>
        </w:rPr>
        <w:tab/>
      </w:r>
      <w:r>
        <w:t>Review of processes</w:t>
      </w:r>
      <w:r>
        <w:tab/>
      </w:r>
      <w:r>
        <w:fldChar w:fldCharType="begin"/>
      </w:r>
      <w:r>
        <w:instrText xml:space="preserve"> PAGEREF _Toc7607691 \h </w:instrText>
      </w:r>
      <w:r>
        <w:fldChar w:fldCharType="separate"/>
      </w:r>
      <w:r w:rsidR="00EA7374">
        <w:t>57</w:t>
      </w:r>
      <w:r>
        <w:fldChar w:fldCharType="end"/>
      </w:r>
    </w:p>
    <w:p w:rsidR="007E0D5B" w:rsidRDefault="007E0D5B">
      <w:pPr>
        <w:pStyle w:val="TOC2"/>
        <w:tabs>
          <w:tab w:val="left" w:pos="1100"/>
        </w:tabs>
        <w:rPr>
          <w:rFonts w:eastAsiaTheme="minorEastAsia"/>
          <w:lang w:eastAsia="en-AU"/>
        </w:rPr>
      </w:pPr>
      <w:r>
        <w:t>5.5</w:t>
      </w:r>
      <w:r>
        <w:rPr>
          <w:rFonts w:eastAsiaTheme="minorEastAsia"/>
          <w:lang w:eastAsia="en-AU"/>
        </w:rPr>
        <w:tab/>
      </w:r>
      <w:r>
        <w:t>Meeting Australia’s food laws</w:t>
      </w:r>
      <w:r>
        <w:tab/>
      </w:r>
      <w:r>
        <w:fldChar w:fldCharType="begin"/>
      </w:r>
      <w:r>
        <w:instrText xml:space="preserve"> PAGEREF _Toc7607692 \h </w:instrText>
      </w:r>
      <w:r>
        <w:fldChar w:fldCharType="separate"/>
      </w:r>
      <w:r w:rsidR="00EA7374">
        <w:t>57</w:t>
      </w:r>
      <w:r>
        <w:fldChar w:fldCharType="end"/>
      </w:r>
    </w:p>
    <w:p w:rsidR="007E0D5B" w:rsidRDefault="007E0D5B">
      <w:pPr>
        <w:pStyle w:val="TOC1"/>
        <w:rPr>
          <w:rFonts w:eastAsiaTheme="minorEastAsia"/>
          <w:b w:val="0"/>
          <w:lang w:eastAsia="en-AU"/>
        </w:rPr>
      </w:pPr>
      <w:r>
        <w:t>6</w:t>
      </w:r>
      <w:r>
        <w:rPr>
          <w:rFonts w:eastAsiaTheme="minorEastAsia"/>
          <w:b w:val="0"/>
          <w:lang w:eastAsia="en-AU"/>
        </w:rPr>
        <w:tab/>
      </w:r>
      <w:r>
        <w:t>Conclusion</w:t>
      </w:r>
      <w:r>
        <w:tab/>
      </w:r>
      <w:r>
        <w:fldChar w:fldCharType="begin"/>
      </w:r>
      <w:r>
        <w:instrText xml:space="preserve"> PAGEREF _Toc7607693 \h </w:instrText>
      </w:r>
      <w:r>
        <w:fldChar w:fldCharType="separate"/>
      </w:r>
      <w:r w:rsidR="00EA7374">
        <w:t>58</w:t>
      </w:r>
      <w:r>
        <w:fldChar w:fldCharType="end"/>
      </w:r>
    </w:p>
    <w:p w:rsidR="007E0D5B" w:rsidRDefault="007E0D5B">
      <w:pPr>
        <w:pStyle w:val="TOC1"/>
        <w:rPr>
          <w:rFonts w:eastAsiaTheme="minorEastAsia"/>
          <w:b w:val="0"/>
          <w:lang w:eastAsia="en-AU"/>
        </w:rPr>
      </w:pPr>
      <w:r>
        <w:lastRenderedPageBreak/>
        <w:t>Appendix A: Initiation and categorisation for pests of fresh longan fruit from Vietnam</w:t>
      </w:r>
      <w:r>
        <w:tab/>
      </w:r>
      <w:r>
        <w:fldChar w:fldCharType="begin"/>
      </w:r>
      <w:r>
        <w:instrText xml:space="preserve"> PAGEREF _Toc7607694 \h </w:instrText>
      </w:r>
      <w:r>
        <w:fldChar w:fldCharType="separate"/>
      </w:r>
      <w:r w:rsidR="00EA7374">
        <w:t>59</w:t>
      </w:r>
      <w:r>
        <w:fldChar w:fldCharType="end"/>
      </w:r>
    </w:p>
    <w:p w:rsidR="007E0D5B" w:rsidRDefault="007E0D5B">
      <w:pPr>
        <w:pStyle w:val="TOC1"/>
        <w:rPr>
          <w:rFonts w:eastAsiaTheme="minorEastAsia"/>
          <w:b w:val="0"/>
          <w:lang w:eastAsia="en-AU"/>
        </w:rPr>
      </w:pPr>
      <w:r>
        <w:t>Appendix B: Issues raised in stakeholder comments</w:t>
      </w:r>
      <w:r>
        <w:tab/>
      </w:r>
      <w:r>
        <w:fldChar w:fldCharType="begin"/>
      </w:r>
      <w:r>
        <w:instrText xml:space="preserve"> PAGEREF _Toc7607695 \h </w:instrText>
      </w:r>
      <w:r>
        <w:fldChar w:fldCharType="separate"/>
      </w:r>
      <w:r w:rsidR="00EA7374">
        <w:t>95</w:t>
      </w:r>
      <w:r>
        <w:fldChar w:fldCharType="end"/>
      </w:r>
    </w:p>
    <w:p w:rsidR="007E0D5B" w:rsidRDefault="007E0D5B">
      <w:pPr>
        <w:pStyle w:val="TOC1"/>
        <w:rPr>
          <w:rFonts w:eastAsiaTheme="minorEastAsia"/>
          <w:b w:val="0"/>
          <w:lang w:eastAsia="en-AU"/>
        </w:rPr>
      </w:pPr>
      <w:r>
        <w:t>Glossary</w:t>
      </w:r>
      <w:r>
        <w:tab/>
      </w:r>
      <w:r>
        <w:fldChar w:fldCharType="begin"/>
      </w:r>
      <w:r>
        <w:instrText xml:space="preserve"> PAGEREF _Toc7607696 \h </w:instrText>
      </w:r>
      <w:r>
        <w:fldChar w:fldCharType="separate"/>
      </w:r>
      <w:r w:rsidR="00EA7374">
        <w:t>98</w:t>
      </w:r>
      <w:r>
        <w:fldChar w:fldCharType="end"/>
      </w:r>
    </w:p>
    <w:p w:rsidR="007E0D5B" w:rsidRDefault="007E0D5B">
      <w:pPr>
        <w:pStyle w:val="TOC1"/>
        <w:rPr>
          <w:rFonts w:eastAsiaTheme="minorEastAsia"/>
          <w:b w:val="0"/>
          <w:lang w:eastAsia="en-AU"/>
        </w:rPr>
      </w:pPr>
      <w:r>
        <w:t>References</w:t>
      </w:r>
      <w:r>
        <w:tab/>
      </w:r>
      <w:r>
        <w:fldChar w:fldCharType="begin"/>
      </w:r>
      <w:r>
        <w:instrText xml:space="preserve"> PAGEREF _Toc7607697 \h </w:instrText>
      </w:r>
      <w:r>
        <w:fldChar w:fldCharType="separate"/>
      </w:r>
      <w:r w:rsidR="00EA7374">
        <w:t>103</w:t>
      </w:r>
      <w:r>
        <w:fldChar w:fldCharType="end"/>
      </w:r>
    </w:p>
    <w:p w:rsidR="00B52BB0" w:rsidRDefault="00B52BB0" w:rsidP="003E074D">
      <w:pPr>
        <w:pStyle w:val="TOCHeading"/>
        <w:keepNext/>
        <w:tabs>
          <w:tab w:val="left" w:pos="6186"/>
        </w:tabs>
      </w:pPr>
      <w:r>
        <w:rPr>
          <w:rFonts w:asciiTheme="minorHAnsi" w:eastAsiaTheme="minorHAnsi" w:hAnsiTheme="minorHAnsi" w:cstheme="minorBidi"/>
          <w:bCs w:val="0"/>
          <w:noProof/>
          <w:color w:val="auto"/>
          <w:sz w:val="22"/>
          <w:szCs w:val="24"/>
          <w:lang w:val="en-AU"/>
        </w:rPr>
        <w:fldChar w:fldCharType="end"/>
      </w:r>
      <w:r>
        <w:t>Figures</w:t>
      </w:r>
    </w:p>
    <w:p w:rsidR="007E0D5B" w:rsidRDefault="00B52BB0" w:rsidP="007E0D5B">
      <w:pPr>
        <w:pStyle w:val="TableofFigures"/>
        <w:tabs>
          <w:tab w:val="right" w:leader="dot" w:pos="9060"/>
        </w:tabs>
        <w:ind w:left="777" w:hanging="777"/>
        <w:rPr>
          <w:rFonts w:eastAsiaTheme="minorEastAsia"/>
          <w:noProof/>
          <w:lang w:eastAsia="en-AU"/>
        </w:rPr>
      </w:pPr>
      <w:r>
        <w:fldChar w:fldCharType="begin"/>
      </w:r>
      <w:r>
        <w:instrText xml:space="preserve"> TOC \c "Figure" </w:instrText>
      </w:r>
      <w:r>
        <w:fldChar w:fldCharType="separate"/>
      </w:r>
      <w:r w:rsidR="007E0D5B">
        <w:rPr>
          <w:noProof/>
        </w:rPr>
        <w:t>Figure 1 Diagram of longan fruit</w:t>
      </w:r>
      <w:r w:rsidR="007E0D5B">
        <w:rPr>
          <w:noProof/>
        </w:rPr>
        <w:tab/>
      </w:r>
      <w:r w:rsidR="007E0D5B">
        <w:rPr>
          <w:noProof/>
        </w:rPr>
        <w:fldChar w:fldCharType="begin"/>
      </w:r>
      <w:r w:rsidR="007E0D5B">
        <w:rPr>
          <w:noProof/>
        </w:rPr>
        <w:instrText xml:space="preserve"> PAGEREF _Toc7607533 \h </w:instrText>
      </w:r>
      <w:r w:rsidR="007E0D5B">
        <w:rPr>
          <w:noProof/>
        </w:rPr>
      </w:r>
      <w:r w:rsidR="007E0D5B">
        <w:rPr>
          <w:noProof/>
        </w:rPr>
        <w:fldChar w:fldCharType="separate"/>
      </w:r>
      <w:r w:rsidR="00EA7374">
        <w:rPr>
          <w:noProof/>
        </w:rPr>
        <w:t>4</w:t>
      </w:r>
      <w:r w:rsidR="007E0D5B">
        <w:rPr>
          <w:noProof/>
        </w:rPr>
        <w:fldChar w:fldCharType="end"/>
      </w:r>
    </w:p>
    <w:p w:rsidR="007E0D5B" w:rsidRDefault="007E0D5B" w:rsidP="007E0D5B">
      <w:pPr>
        <w:pStyle w:val="TableofFigures"/>
        <w:tabs>
          <w:tab w:val="right" w:leader="dot" w:pos="9060"/>
        </w:tabs>
        <w:ind w:left="777" w:hanging="777"/>
        <w:rPr>
          <w:rFonts w:eastAsiaTheme="minorEastAsia"/>
          <w:noProof/>
          <w:lang w:eastAsia="en-AU"/>
        </w:rPr>
      </w:pPr>
      <w:r>
        <w:rPr>
          <w:noProof/>
        </w:rPr>
        <w:t>Figure 2 Maximum and minimum temperatures and mean monthly rainfall in the main longan production regions of Vietnam</w:t>
      </w:r>
      <w:r>
        <w:rPr>
          <w:noProof/>
        </w:rPr>
        <w:tab/>
      </w:r>
      <w:r>
        <w:rPr>
          <w:noProof/>
        </w:rPr>
        <w:fldChar w:fldCharType="begin"/>
      </w:r>
      <w:r>
        <w:rPr>
          <w:noProof/>
        </w:rPr>
        <w:instrText xml:space="preserve"> PAGEREF _Toc7607534 \h </w:instrText>
      </w:r>
      <w:r>
        <w:rPr>
          <w:noProof/>
        </w:rPr>
      </w:r>
      <w:r>
        <w:rPr>
          <w:noProof/>
        </w:rPr>
        <w:fldChar w:fldCharType="separate"/>
      </w:r>
      <w:r w:rsidR="00EA7374">
        <w:rPr>
          <w:noProof/>
        </w:rPr>
        <w:t>20</w:t>
      </w:r>
      <w:r>
        <w:rPr>
          <w:noProof/>
        </w:rPr>
        <w:fldChar w:fldCharType="end"/>
      </w:r>
    </w:p>
    <w:p w:rsidR="007E0D5B" w:rsidRDefault="007E0D5B" w:rsidP="007E0D5B">
      <w:pPr>
        <w:pStyle w:val="TableofFigures"/>
        <w:tabs>
          <w:tab w:val="right" w:leader="dot" w:pos="9060"/>
        </w:tabs>
        <w:ind w:left="777" w:hanging="777"/>
        <w:rPr>
          <w:rFonts w:eastAsiaTheme="minorEastAsia"/>
          <w:noProof/>
          <w:lang w:eastAsia="en-AU"/>
        </w:rPr>
      </w:pPr>
      <w:r>
        <w:rPr>
          <w:noProof/>
        </w:rPr>
        <w:t>Figure 3 Longan orchard with drainage ditches and rings of raised earth to control the amount of water received by each tree</w:t>
      </w:r>
      <w:r>
        <w:rPr>
          <w:noProof/>
        </w:rPr>
        <w:tab/>
      </w:r>
      <w:r>
        <w:rPr>
          <w:noProof/>
        </w:rPr>
        <w:fldChar w:fldCharType="begin"/>
      </w:r>
      <w:r>
        <w:rPr>
          <w:noProof/>
        </w:rPr>
        <w:instrText xml:space="preserve"> PAGEREF _Toc7607535 \h </w:instrText>
      </w:r>
      <w:r>
        <w:rPr>
          <w:noProof/>
        </w:rPr>
      </w:r>
      <w:r>
        <w:rPr>
          <w:noProof/>
        </w:rPr>
        <w:fldChar w:fldCharType="separate"/>
      </w:r>
      <w:r w:rsidR="00EA7374">
        <w:rPr>
          <w:noProof/>
        </w:rPr>
        <w:t>21</w:t>
      </w:r>
      <w:r>
        <w:rPr>
          <w:noProof/>
        </w:rPr>
        <w:fldChar w:fldCharType="end"/>
      </w:r>
    </w:p>
    <w:p w:rsidR="007E0D5B" w:rsidRDefault="007E0D5B" w:rsidP="007E0D5B">
      <w:pPr>
        <w:pStyle w:val="TableofFigures"/>
        <w:tabs>
          <w:tab w:val="right" w:leader="dot" w:pos="9060"/>
        </w:tabs>
        <w:ind w:left="777" w:hanging="777"/>
        <w:rPr>
          <w:rFonts w:eastAsiaTheme="minorEastAsia"/>
          <w:noProof/>
          <w:lang w:eastAsia="en-AU"/>
        </w:rPr>
      </w:pPr>
      <w:r>
        <w:rPr>
          <w:noProof/>
        </w:rPr>
        <w:t>Figure 4 Harvesting longan fruit from high in the tree</w:t>
      </w:r>
      <w:r>
        <w:rPr>
          <w:noProof/>
        </w:rPr>
        <w:tab/>
      </w:r>
      <w:r>
        <w:rPr>
          <w:noProof/>
        </w:rPr>
        <w:fldChar w:fldCharType="begin"/>
      </w:r>
      <w:r>
        <w:rPr>
          <w:noProof/>
        </w:rPr>
        <w:instrText xml:space="preserve"> PAGEREF _Toc7607536 \h </w:instrText>
      </w:r>
      <w:r>
        <w:rPr>
          <w:noProof/>
        </w:rPr>
      </w:r>
      <w:r>
        <w:rPr>
          <w:noProof/>
        </w:rPr>
        <w:fldChar w:fldCharType="separate"/>
      </w:r>
      <w:r w:rsidR="00EA7374">
        <w:rPr>
          <w:noProof/>
        </w:rPr>
        <w:t>22</w:t>
      </w:r>
      <w:r>
        <w:rPr>
          <w:noProof/>
        </w:rPr>
        <w:fldChar w:fldCharType="end"/>
      </w:r>
    </w:p>
    <w:p w:rsidR="007E0D5B" w:rsidRDefault="007E0D5B" w:rsidP="007E0D5B">
      <w:pPr>
        <w:pStyle w:val="TableofFigures"/>
        <w:tabs>
          <w:tab w:val="right" w:leader="dot" w:pos="9060"/>
        </w:tabs>
        <w:ind w:left="777" w:hanging="777"/>
        <w:rPr>
          <w:rFonts w:eastAsiaTheme="minorEastAsia"/>
          <w:noProof/>
          <w:lang w:eastAsia="en-AU"/>
        </w:rPr>
      </w:pPr>
      <w:r>
        <w:rPr>
          <w:noProof/>
        </w:rPr>
        <w:t>Figure 5 Harvested longan fruit placed in boxes and sealed with plastic</w:t>
      </w:r>
      <w:r>
        <w:rPr>
          <w:noProof/>
        </w:rPr>
        <w:tab/>
      </w:r>
      <w:r>
        <w:rPr>
          <w:noProof/>
        </w:rPr>
        <w:fldChar w:fldCharType="begin"/>
      </w:r>
      <w:r>
        <w:rPr>
          <w:noProof/>
        </w:rPr>
        <w:instrText xml:space="preserve"> PAGEREF _Toc7607537 \h </w:instrText>
      </w:r>
      <w:r>
        <w:rPr>
          <w:noProof/>
        </w:rPr>
      </w:r>
      <w:r>
        <w:rPr>
          <w:noProof/>
        </w:rPr>
        <w:fldChar w:fldCharType="separate"/>
      </w:r>
      <w:r w:rsidR="00EA7374">
        <w:rPr>
          <w:noProof/>
        </w:rPr>
        <w:t>23</w:t>
      </w:r>
      <w:r>
        <w:rPr>
          <w:noProof/>
        </w:rPr>
        <w:fldChar w:fldCharType="end"/>
      </w:r>
    </w:p>
    <w:p w:rsidR="007E0D5B" w:rsidRDefault="007E0D5B" w:rsidP="007E0D5B">
      <w:pPr>
        <w:pStyle w:val="TableofFigures"/>
        <w:tabs>
          <w:tab w:val="right" w:leader="dot" w:pos="9060"/>
        </w:tabs>
        <w:ind w:left="777" w:hanging="777"/>
        <w:rPr>
          <w:rFonts w:eastAsiaTheme="minorEastAsia"/>
          <w:noProof/>
          <w:lang w:eastAsia="en-AU"/>
        </w:rPr>
      </w:pPr>
      <w:r>
        <w:rPr>
          <w:noProof/>
        </w:rPr>
        <w:t>Figure 6 Example of export packaging option of individual longan fruit in small mesh bags for individual sale</w:t>
      </w:r>
      <w:r>
        <w:rPr>
          <w:noProof/>
        </w:rPr>
        <w:tab/>
      </w:r>
      <w:r>
        <w:rPr>
          <w:noProof/>
        </w:rPr>
        <w:fldChar w:fldCharType="begin"/>
      </w:r>
      <w:r>
        <w:rPr>
          <w:noProof/>
        </w:rPr>
        <w:instrText xml:space="preserve"> PAGEREF _Toc7607538 \h </w:instrText>
      </w:r>
      <w:r>
        <w:rPr>
          <w:noProof/>
        </w:rPr>
      </w:r>
      <w:r>
        <w:rPr>
          <w:noProof/>
        </w:rPr>
        <w:fldChar w:fldCharType="separate"/>
      </w:r>
      <w:r w:rsidR="00EA7374">
        <w:rPr>
          <w:noProof/>
        </w:rPr>
        <w:t>24</w:t>
      </w:r>
      <w:r>
        <w:rPr>
          <w:noProof/>
        </w:rPr>
        <w:fldChar w:fldCharType="end"/>
      </w:r>
    </w:p>
    <w:p w:rsidR="007E0D5B" w:rsidRDefault="007E0D5B" w:rsidP="007E0D5B">
      <w:pPr>
        <w:pStyle w:val="TableofFigures"/>
        <w:tabs>
          <w:tab w:val="right" w:leader="dot" w:pos="9060"/>
        </w:tabs>
        <w:ind w:left="777" w:hanging="777"/>
        <w:rPr>
          <w:rFonts w:eastAsiaTheme="minorEastAsia"/>
          <w:noProof/>
          <w:lang w:eastAsia="en-AU"/>
        </w:rPr>
      </w:pPr>
      <w:r>
        <w:rPr>
          <w:noProof/>
        </w:rPr>
        <w:t>Figure 7 Summary of orchard and post-harvest steps for longan fruit grown in Vietnam for export</w:t>
      </w:r>
      <w:r>
        <w:rPr>
          <w:noProof/>
        </w:rPr>
        <w:tab/>
      </w:r>
      <w:r>
        <w:rPr>
          <w:noProof/>
        </w:rPr>
        <w:fldChar w:fldCharType="begin"/>
      </w:r>
      <w:r>
        <w:rPr>
          <w:noProof/>
        </w:rPr>
        <w:instrText xml:space="preserve"> PAGEREF _Toc7607539 \h </w:instrText>
      </w:r>
      <w:r>
        <w:rPr>
          <w:noProof/>
        </w:rPr>
      </w:r>
      <w:r>
        <w:rPr>
          <w:noProof/>
        </w:rPr>
        <w:fldChar w:fldCharType="separate"/>
      </w:r>
      <w:r w:rsidR="00EA7374">
        <w:rPr>
          <w:noProof/>
        </w:rPr>
        <w:t>25</w:t>
      </w:r>
      <w:r>
        <w:rPr>
          <w:noProof/>
        </w:rPr>
        <w:fldChar w:fldCharType="end"/>
      </w:r>
    </w:p>
    <w:p w:rsidR="007E0D5B" w:rsidRDefault="007E0D5B" w:rsidP="007E0D5B">
      <w:pPr>
        <w:pStyle w:val="TableofFigures"/>
        <w:tabs>
          <w:tab w:val="right" w:leader="dot" w:pos="9060"/>
        </w:tabs>
        <w:ind w:left="777" w:hanging="777"/>
        <w:rPr>
          <w:rFonts w:eastAsiaTheme="minorEastAsia"/>
          <w:noProof/>
          <w:lang w:eastAsia="en-AU"/>
        </w:rPr>
      </w:pPr>
      <w:r>
        <w:rPr>
          <w:noProof/>
        </w:rPr>
        <w:t>Figure 8 Summary of assessment of pests listed in the pest categorisation table</w:t>
      </w:r>
      <w:r>
        <w:rPr>
          <w:noProof/>
        </w:rPr>
        <w:tab/>
      </w:r>
      <w:r>
        <w:rPr>
          <w:noProof/>
        </w:rPr>
        <w:fldChar w:fldCharType="begin"/>
      </w:r>
      <w:r>
        <w:rPr>
          <w:noProof/>
        </w:rPr>
        <w:instrText xml:space="preserve"> PAGEREF _Toc7607540 \h </w:instrText>
      </w:r>
      <w:r>
        <w:rPr>
          <w:noProof/>
        </w:rPr>
      </w:r>
      <w:r>
        <w:rPr>
          <w:noProof/>
        </w:rPr>
        <w:fldChar w:fldCharType="separate"/>
      </w:r>
      <w:r w:rsidR="00EA7374">
        <w:rPr>
          <w:noProof/>
        </w:rPr>
        <w:t>46</w:t>
      </w:r>
      <w:r>
        <w:rPr>
          <w:noProof/>
        </w:rPr>
        <w:fldChar w:fldCharType="end"/>
      </w:r>
    </w:p>
    <w:p w:rsidR="00B52BB0" w:rsidRDefault="00B52BB0">
      <w:pPr>
        <w:pStyle w:val="TOCHeading"/>
      </w:pPr>
      <w:r>
        <w:rPr>
          <w:rFonts w:ascii="Cambria" w:hAnsi="Cambria"/>
          <w:color w:val="auto"/>
          <w:sz w:val="22"/>
          <w:szCs w:val="24"/>
        </w:rPr>
        <w:fldChar w:fldCharType="end"/>
      </w:r>
      <w:r>
        <w:t>Tables</w:t>
      </w:r>
    </w:p>
    <w:p w:rsidR="007E0D5B" w:rsidRDefault="00B52BB0" w:rsidP="007E0D5B">
      <w:pPr>
        <w:pStyle w:val="TableofFigures"/>
        <w:tabs>
          <w:tab w:val="right" w:leader="dot" w:pos="9060"/>
        </w:tabs>
        <w:ind w:left="879" w:hanging="879"/>
        <w:rPr>
          <w:rFonts w:eastAsiaTheme="minorEastAsia"/>
          <w:noProof/>
          <w:lang w:eastAsia="en-AU"/>
        </w:rPr>
      </w:pPr>
      <w:r>
        <w:rPr>
          <w:bCs/>
          <w:szCs w:val="24"/>
        </w:rPr>
        <w:fldChar w:fldCharType="begin"/>
      </w:r>
      <w:r>
        <w:rPr>
          <w:bCs/>
        </w:rPr>
        <w:instrText xml:space="preserve"> TOC \c "Table" </w:instrText>
      </w:r>
      <w:r>
        <w:rPr>
          <w:bCs/>
          <w:szCs w:val="24"/>
        </w:rPr>
        <w:fldChar w:fldCharType="separate"/>
      </w:r>
      <w:r w:rsidR="007E0D5B">
        <w:rPr>
          <w:noProof/>
        </w:rPr>
        <w:t>Table 2.1 Nomenclature of likelihoods</w:t>
      </w:r>
      <w:r w:rsidR="007E0D5B">
        <w:rPr>
          <w:noProof/>
        </w:rPr>
        <w:tab/>
      </w:r>
      <w:r w:rsidR="007E0D5B">
        <w:rPr>
          <w:noProof/>
        </w:rPr>
        <w:fldChar w:fldCharType="begin"/>
      </w:r>
      <w:r w:rsidR="007E0D5B">
        <w:rPr>
          <w:noProof/>
        </w:rPr>
        <w:instrText xml:space="preserve"> PAGEREF _Toc7607544 \h </w:instrText>
      </w:r>
      <w:r w:rsidR="007E0D5B">
        <w:rPr>
          <w:noProof/>
        </w:rPr>
      </w:r>
      <w:r w:rsidR="007E0D5B">
        <w:rPr>
          <w:noProof/>
        </w:rPr>
        <w:fldChar w:fldCharType="separate"/>
      </w:r>
      <w:r w:rsidR="00EA7374">
        <w:rPr>
          <w:noProof/>
        </w:rPr>
        <w:t>11</w:t>
      </w:r>
      <w:r w:rsidR="007E0D5B">
        <w:rPr>
          <w:noProof/>
        </w:rPr>
        <w:fldChar w:fldCharType="end"/>
      </w:r>
    </w:p>
    <w:p w:rsidR="007E0D5B" w:rsidRDefault="007E0D5B" w:rsidP="007E0D5B">
      <w:pPr>
        <w:pStyle w:val="TableofFigures"/>
        <w:tabs>
          <w:tab w:val="right" w:leader="dot" w:pos="9060"/>
        </w:tabs>
        <w:ind w:left="879" w:hanging="879"/>
        <w:rPr>
          <w:rFonts w:eastAsiaTheme="minorEastAsia"/>
          <w:noProof/>
          <w:lang w:eastAsia="en-AU"/>
        </w:rPr>
      </w:pPr>
      <w:r>
        <w:rPr>
          <w:noProof/>
        </w:rPr>
        <w:t>Table 2.2 Matrix of rules for combining likelihoods</w:t>
      </w:r>
      <w:r>
        <w:rPr>
          <w:noProof/>
        </w:rPr>
        <w:tab/>
      </w:r>
      <w:r>
        <w:rPr>
          <w:noProof/>
        </w:rPr>
        <w:fldChar w:fldCharType="begin"/>
      </w:r>
      <w:r>
        <w:rPr>
          <w:noProof/>
        </w:rPr>
        <w:instrText xml:space="preserve"> PAGEREF _Toc7607545 \h </w:instrText>
      </w:r>
      <w:r>
        <w:rPr>
          <w:noProof/>
        </w:rPr>
      </w:r>
      <w:r>
        <w:rPr>
          <w:noProof/>
        </w:rPr>
        <w:fldChar w:fldCharType="separate"/>
      </w:r>
      <w:r w:rsidR="00EA7374">
        <w:rPr>
          <w:noProof/>
        </w:rPr>
        <w:t>12</w:t>
      </w:r>
      <w:r>
        <w:rPr>
          <w:noProof/>
        </w:rPr>
        <w:fldChar w:fldCharType="end"/>
      </w:r>
    </w:p>
    <w:p w:rsidR="007E0D5B" w:rsidRDefault="007E0D5B" w:rsidP="007E0D5B">
      <w:pPr>
        <w:pStyle w:val="TableofFigures"/>
        <w:tabs>
          <w:tab w:val="right" w:leader="dot" w:pos="9060"/>
        </w:tabs>
        <w:ind w:left="879" w:hanging="879"/>
        <w:rPr>
          <w:rFonts w:eastAsiaTheme="minorEastAsia"/>
          <w:noProof/>
          <w:lang w:eastAsia="en-AU"/>
        </w:rPr>
      </w:pPr>
      <w:r>
        <w:rPr>
          <w:noProof/>
        </w:rPr>
        <w:t>Table 2.3 Decision rules for determining the consequence impact score based on the magnitude of consequences at four geographic scales</w:t>
      </w:r>
      <w:r>
        <w:rPr>
          <w:noProof/>
        </w:rPr>
        <w:tab/>
      </w:r>
      <w:r>
        <w:rPr>
          <w:noProof/>
        </w:rPr>
        <w:fldChar w:fldCharType="begin"/>
      </w:r>
      <w:r>
        <w:rPr>
          <w:noProof/>
        </w:rPr>
        <w:instrText xml:space="preserve"> PAGEREF _Toc7607546 \h </w:instrText>
      </w:r>
      <w:r>
        <w:rPr>
          <w:noProof/>
        </w:rPr>
      </w:r>
      <w:r>
        <w:rPr>
          <w:noProof/>
        </w:rPr>
        <w:fldChar w:fldCharType="separate"/>
      </w:r>
      <w:r w:rsidR="00EA7374">
        <w:rPr>
          <w:noProof/>
        </w:rPr>
        <w:t>14</w:t>
      </w:r>
      <w:r>
        <w:rPr>
          <w:noProof/>
        </w:rPr>
        <w:fldChar w:fldCharType="end"/>
      </w:r>
    </w:p>
    <w:p w:rsidR="007E0D5B" w:rsidRDefault="007E0D5B" w:rsidP="007E0D5B">
      <w:pPr>
        <w:pStyle w:val="TableofFigures"/>
        <w:tabs>
          <w:tab w:val="right" w:leader="dot" w:pos="9060"/>
        </w:tabs>
        <w:ind w:left="879" w:hanging="879"/>
        <w:rPr>
          <w:rFonts w:eastAsiaTheme="minorEastAsia"/>
          <w:noProof/>
          <w:lang w:eastAsia="en-AU"/>
        </w:rPr>
      </w:pPr>
      <w:r>
        <w:rPr>
          <w:noProof/>
        </w:rPr>
        <w:t>Table 2.4 Decision rules for determining the overall consequence rating for each pest</w:t>
      </w:r>
      <w:r>
        <w:rPr>
          <w:noProof/>
        </w:rPr>
        <w:tab/>
      </w:r>
      <w:r>
        <w:rPr>
          <w:noProof/>
        </w:rPr>
        <w:fldChar w:fldCharType="begin"/>
      </w:r>
      <w:r>
        <w:rPr>
          <w:noProof/>
        </w:rPr>
        <w:instrText xml:space="preserve"> PAGEREF _Toc7607547 \h </w:instrText>
      </w:r>
      <w:r>
        <w:rPr>
          <w:noProof/>
        </w:rPr>
      </w:r>
      <w:r>
        <w:rPr>
          <w:noProof/>
        </w:rPr>
        <w:fldChar w:fldCharType="separate"/>
      </w:r>
      <w:r w:rsidR="00EA7374">
        <w:rPr>
          <w:noProof/>
        </w:rPr>
        <w:t>14</w:t>
      </w:r>
      <w:r>
        <w:rPr>
          <w:noProof/>
        </w:rPr>
        <w:fldChar w:fldCharType="end"/>
      </w:r>
    </w:p>
    <w:p w:rsidR="007E0D5B" w:rsidRDefault="007E0D5B" w:rsidP="007E0D5B">
      <w:pPr>
        <w:pStyle w:val="TableofFigures"/>
        <w:tabs>
          <w:tab w:val="right" w:leader="dot" w:pos="9060"/>
        </w:tabs>
        <w:ind w:left="879" w:hanging="879"/>
        <w:rPr>
          <w:rFonts w:eastAsiaTheme="minorEastAsia"/>
          <w:noProof/>
          <w:lang w:eastAsia="en-AU"/>
        </w:rPr>
      </w:pPr>
      <w:r>
        <w:rPr>
          <w:noProof/>
        </w:rPr>
        <w:t>Table 2.5 Risk estimation matrix</w:t>
      </w:r>
      <w:r>
        <w:rPr>
          <w:noProof/>
        </w:rPr>
        <w:tab/>
      </w:r>
      <w:r>
        <w:rPr>
          <w:noProof/>
        </w:rPr>
        <w:fldChar w:fldCharType="begin"/>
      </w:r>
      <w:r>
        <w:rPr>
          <w:noProof/>
        </w:rPr>
        <w:instrText xml:space="preserve"> PAGEREF _Toc7607548 \h </w:instrText>
      </w:r>
      <w:r>
        <w:rPr>
          <w:noProof/>
        </w:rPr>
      </w:r>
      <w:r>
        <w:rPr>
          <w:noProof/>
        </w:rPr>
        <w:fldChar w:fldCharType="separate"/>
      </w:r>
      <w:r w:rsidR="00EA7374">
        <w:rPr>
          <w:noProof/>
        </w:rPr>
        <w:t>15</w:t>
      </w:r>
      <w:r>
        <w:rPr>
          <w:noProof/>
        </w:rPr>
        <w:fldChar w:fldCharType="end"/>
      </w:r>
    </w:p>
    <w:p w:rsidR="007E0D5B" w:rsidRDefault="007E0D5B" w:rsidP="007E0D5B">
      <w:pPr>
        <w:pStyle w:val="TableofFigures"/>
        <w:tabs>
          <w:tab w:val="right" w:leader="dot" w:pos="9060"/>
        </w:tabs>
        <w:ind w:left="879" w:hanging="879"/>
        <w:rPr>
          <w:rFonts w:eastAsiaTheme="minorEastAsia"/>
          <w:noProof/>
          <w:lang w:eastAsia="en-AU"/>
        </w:rPr>
      </w:pPr>
      <w:r>
        <w:rPr>
          <w:noProof/>
        </w:rPr>
        <w:t>Table 4.1 Quarantine pests associated with longan from Vietnam</w:t>
      </w:r>
      <w:r>
        <w:rPr>
          <w:noProof/>
        </w:rPr>
        <w:tab/>
      </w:r>
      <w:r>
        <w:rPr>
          <w:noProof/>
        </w:rPr>
        <w:fldChar w:fldCharType="begin"/>
      </w:r>
      <w:r>
        <w:rPr>
          <w:noProof/>
        </w:rPr>
        <w:instrText xml:space="preserve"> PAGEREF _Toc7607549 \h </w:instrText>
      </w:r>
      <w:r>
        <w:rPr>
          <w:noProof/>
        </w:rPr>
      </w:r>
      <w:r>
        <w:rPr>
          <w:noProof/>
        </w:rPr>
        <w:fldChar w:fldCharType="separate"/>
      </w:r>
      <w:r w:rsidR="00EA7374">
        <w:rPr>
          <w:noProof/>
        </w:rPr>
        <w:t>28</w:t>
      </w:r>
      <w:r>
        <w:rPr>
          <w:noProof/>
        </w:rPr>
        <w:fldChar w:fldCharType="end"/>
      </w:r>
    </w:p>
    <w:p w:rsidR="007E0D5B" w:rsidRDefault="007E0D5B" w:rsidP="007E0D5B">
      <w:pPr>
        <w:pStyle w:val="TableofFigures"/>
        <w:tabs>
          <w:tab w:val="right" w:leader="dot" w:pos="9060"/>
        </w:tabs>
        <w:ind w:left="879" w:hanging="879"/>
        <w:rPr>
          <w:rFonts w:eastAsiaTheme="minorEastAsia"/>
          <w:noProof/>
          <w:lang w:eastAsia="en-AU"/>
        </w:rPr>
      </w:pPr>
      <w:r>
        <w:rPr>
          <w:noProof/>
        </w:rPr>
        <w:t>Table 4.2 Regulated thrips associated with longan from Vietnam</w:t>
      </w:r>
      <w:r>
        <w:rPr>
          <w:noProof/>
        </w:rPr>
        <w:tab/>
      </w:r>
      <w:r>
        <w:rPr>
          <w:noProof/>
        </w:rPr>
        <w:fldChar w:fldCharType="begin"/>
      </w:r>
      <w:r>
        <w:rPr>
          <w:noProof/>
        </w:rPr>
        <w:instrText xml:space="preserve"> PAGEREF _Toc7607550 \h </w:instrText>
      </w:r>
      <w:r>
        <w:rPr>
          <w:noProof/>
        </w:rPr>
      </w:r>
      <w:r>
        <w:rPr>
          <w:noProof/>
        </w:rPr>
        <w:fldChar w:fldCharType="separate"/>
      </w:r>
      <w:r w:rsidR="00EA7374">
        <w:rPr>
          <w:noProof/>
        </w:rPr>
        <w:t>28</w:t>
      </w:r>
      <w:r>
        <w:rPr>
          <w:noProof/>
        </w:rPr>
        <w:fldChar w:fldCharType="end"/>
      </w:r>
    </w:p>
    <w:p w:rsidR="007E0D5B" w:rsidRDefault="007E0D5B" w:rsidP="007E0D5B">
      <w:pPr>
        <w:pStyle w:val="TableofFigures"/>
        <w:tabs>
          <w:tab w:val="right" w:leader="dot" w:pos="9060"/>
        </w:tabs>
        <w:ind w:left="879" w:hanging="879"/>
        <w:rPr>
          <w:rFonts w:eastAsiaTheme="minorEastAsia"/>
          <w:noProof/>
          <w:lang w:eastAsia="en-AU"/>
        </w:rPr>
      </w:pPr>
      <w:r>
        <w:rPr>
          <w:noProof/>
        </w:rPr>
        <w:t>Table 4.3 Regulated thrips species for longan fruit from Vietnam</w:t>
      </w:r>
      <w:r>
        <w:rPr>
          <w:noProof/>
        </w:rPr>
        <w:tab/>
      </w:r>
      <w:r>
        <w:rPr>
          <w:noProof/>
        </w:rPr>
        <w:fldChar w:fldCharType="begin"/>
      </w:r>
      <w:r>
        <w:rPr>
          <w:noProof/>
        </w:rPr>
        <w:instrText xml:space="preserve"> PAGEREF _Toc7607551 \h </w:instrText>
      </w:r>
      <w:r>
        <w:rPr>
          <w:noProof/>
        </w:rPr>
      </w:r>
      <w:r>
        <w:rPr>
          <w:noProof/>
        </w:rPr>
        <w:fldChar w:fldCharType="separate"/>
      </w:r>
      <w:r w:rsidR="00EA7374">
        <w:rPr>
          <w:noProof/>
        </w:rPr>
        <w:t>37</w:t>
      </w:r>
      <w:r>
        <w:rPr>
          <w:noProof/>
        </w:rPr>
        <w:fldChar w:fldCharType="end"/>
      </w:r>
    </w:p>
    <w:p w:rsidR="007E0D5B" w:rsidRDefault="007E0D5B" w:rsidP="007E0D5B">
      <w:pPr>
        <w:pStyle w:val="TableofFigures"/>
        <w:tabs>
          <w:tab w:val="right" w:leader="dot" w:pos="9060"/>
        </w:tabs>
        <w:ind w:left="879" w:hanging="879"/>
        <w:rPr>
          <w:rFonts w:eastAsiaTheme="minorEastAsia"/>
          <w:noProof/>
          <w:lang w:eastAsia="en-AU"/>
        </w:rPr>
      </w:pPr>
      <w:r>
        <w:rPr>
          <w:noProof/>
        </w:rPr>
        <w:t>Table 4.4 Risk estimates for emerging quarantine orthotospoviruses vectored by regulated thrips</w:t>
      </w:r>
      <w:r>
        <w:rPr>
          <w:noProof/>
        </w:rPr>
        <w:tab/>
      </w:r>
      <w:r>
        <w:rPr>
          <w:noProof/>
        </w:rPr>
        <w:fldChar w:fldCharType="begin"/>
      </w:r>
      <w:r>
        <w:rPr>
          <w:noProof/>
        </w:rPr>
        <w:instrText xml:space="preserve"> PAGEREF _Toc7607552 \h </w:instrText>
      </w:r>
      <w:r>
        <w:rPr>
          <w:noProof/>
        </w:rPr>
      </w:r>
      <w:r>
        <w:rPr>
          <w:noProof/>
        </w:rPr>
        <w:fldChar w:fldCharType="separate"/>
      </w:r>
      <w:r w:rsidR="00EA7374">
        <w:rPr>
          <w:noProof/>
        </w:rPr>
        <w:t>37</w:t>
      </w:r>
      <w:r>
        <w:rPr>
          <w:noProof/>
        </w:rPr>
        <w:fldChar w:fldCharType="end"/>
      </w:r>
    </w:p>
    <w:p w:rsidR="007E0D5B" w:rsidRDefault="007E0D5B" w:rsidP="007E0D5B">
      <w:pPr>
        <w:pStyle w:val="TableofFigures"/>
        <w:tabs>
          <w:tab w:val="right" w:leader="dot" w:pos="9060"/>
        </w:tabs>
        <w:ind w:left="879" w:hanging="879"/>
        <w:rPr>
          <w:rFonts w:eastAsiaTheme="minorEastAsia"/>
          <w:noProof/>
          <w:lang w:eastAsia="en-AU"/>
        </w:rPr>
      </w:pPr>
      <w:r>
        <w:rPr>
          <w:noProof/>
        </w:rPr>
        <w:t>Table 4.5 Summary of unrestricted risk estimates for quarantine pests associated with fresh longan fruit from Vietnam</w:t>
      </w:r>
      <w:r>
        <w:rPr>
          <w:noProof/>
        </w:rPr>
        <w:tab/>
      </w:r>
      <w:r>
        <w:rPr>
          <w:noProof/>
        </w:rPr>
        <w:fldChar w:fldCharType="begin"/>
      </w:r>
      <w:r>
        <w:rPr>
          <w:noProof/>
        </w:rPr>
        <w:instrText xml:space="preserve"> PAGEREF _Toc7607553 \h </w:instrText>
      </w:r>
      <w:r>
        <w:rPr>
          <w:noProof/>
        </w:rPr>
      </w:r>
      <w:r>
        <w:rPr>
          <w:noProof/>
        </w:rPr>
        <w:fldChar w:fldCharType="separate"/>
      </w:r>
      <w:r w:rsidR="00EA7374">
        <w:rPr>
          <w:noProof/>
        </w:rPr>
        <w:t>43</w:t>
      </w:r>
      <w:r>
        <w:rPr>
          <w:noProof/>
        </w:rPr>
        <w:fldChar w:fldCharType="end"/>
      </w:r>
    </w:p>
    <w:p w:rsidR="007E0D5B" w:rsidRDefault="007E0D5B" w:rsidP="007E0D5B">
      <w:pPr>
        <w:pStyle w:val="TableofFigures"/>
        <w:tabs>
          <w:tab w:val="right" w:leader="dot" w:pos="9060"/>
        </w:tabs>
        <w:ind w:left="879" w:hanging="879"/>
        <w:rPr>
          <w:rFonts w:eastAsiaTheme="minorEastAsia"/>
          <w:noProof/>
          <w:lang w:eastAsia="en-AU"/>
        </w:rPr>
      </w:pPr>
      <w:r>
        <w:rPr>
          <w:noProof/>
        </w:rPr>
        <w:t>Table 5.1 Risk management measures recommended for quarantine pests of fresh longan fruit from Vietnam</w:t>
      </w:r>
      <w:r>
        <w:rPr>
          <w:noProof/>
        </w:rPr>
        <w:tab/>
      </w:r>
      <w:r>
        <w:rPr>
          <w:noProof/>
        </w:rPr>
        <w:fldChar w:fldCharType="begin"/>
      </w:r>
      <w:r>
        <w:rPr>
          <w:noProof/>
        </w:rPr>
        <w:instrText xml:space="preserve"> PAGEREF _Toc7607554 \h </w:instrText>
      </w:r>
      <w:r>
        <w:rPr>
          <w:noProof/>
        </w:rPr>
      </w:r>
      <w:r>
        <w:rPr>
          <w:noProof/>
        </w:rPr>
        <w:fldChar w:fldCharType="separate"/>
      </w:r>
      <w:r w:rsidR="00EA7374">
        <w:rPr>
          <w:noProof/>
        </w:rPr>
        <w:t>48</w:t>
      </w:r>
      <w:r>
        <w:rPr>
          <w:noProof/>
        </w:rPr>
        <w:fldChar w:fldCharType="end"/>
      </w:r>
    </w:p>
    <w:p w:rsidR="007E0D5B" w:rsidRDefault="007E0D5B" w:rsidP="007E0D5B">
      <w:pPr>
        <w:pStyle w:val="TableofFigures"/>
        <w:tabs>
          <w:tab w:val="right" w:leader="dot" w:pos="9060"/>
        </w:tabs>
        <w:ind w:left="879" w:hanging="879"/>
        <w:rPr>
          <w:rFonts w:eastAsiaTheme="minorEastAsia"/>
          <w:noProof/>
          <w:lang w:eastAsia="en-AU"/>
        </w:rPr>
      </w:pPr>
      <w:r>
        <w:rPr>
          <w:noProof/>
        </w:rPr>
        <w:t xml:space="preserve">Table 5.2 Risk management measures for regulated thrips associated with longan fruit from </w:t>
      </w:r>
      <w:r>
        <w:rPr>
          <w:noProof/>
        </w:rPr>
        <w:br/>
        <w:t>Vietnam</w:t>
      </w:r>
      <w:r>
        <w:rPr>
          <w:noProof/>
        </w:rPr>
        <w:tab/>
      </w:r>
      <w:r>
        <w:rPr>
          <w:noProof/>
        </w:rPr>
        <w:fldChar w:fldCharType="begin"/>
      </w:r>
      <w:r>
        <w:rPr>
          <w:noProof/>
        </w:rPr>
        <w:instrText xml:space="preserve"> PAGEREF _Toc7607555 \h </w:instrText>
      </w:r>
      <w:r>
        <w:rPr>
          <w:noProof/>
        </w:rPr>
      </w:r>
      <w:r>
        <w:rPr>
          <w:noProof/>
        </w:rPr>
        <w:fldChar w:fldCharType="separate"/>
      </w:r>
      <w:r w:rsidR="00EA7374">
        <w:rPr>
          <w:noProof/>
        </w:rPr>
        <w:t>48</w:t>
      </w:r>
      <w:r>
        <w:rPr>
          <w:noProof/>
        </w:rPr>
        <w:fldChar w:fldCharType="end"/>
      </w:r>
    </w:p>
    <w:p w:rsidR="00B52BB0" w:rsidRDefault="00B52BB0">
      <w:pPr>
        <w:pStyle w:val="TOCHeading"/>
      </w:pPr>
      <w:r>
        <w:fldChar w:fldCharType="end"/>
      </w:r>
      <w:r>
        <w:t>Maps</w:t>
      </w:r>
    </w:p>
    <w:p w:rsidR="007E0D5B" w:rsidRDefault="00B52BB0">
      <w:pPr>
        <w:pStyle w:val="TableofFigures"/>
        <w:tabs>
          <w:tab w:val="right" w:leader="dot" w:pos="9060"/>
        </w:tabs>
        <w:rPr>
          <w:rFonts w:eastAsiaTheme="minorEastAsia"/>
          <w:noProof/>
          <w:lang w:eastAsia="en-AU"/>
        </w:rPr>
      </w:pPr>
      <w:r>
        <w:fldChar w:fldCharType="begin"/>
      </w:r>
      <w:r>
        <w:instrText xml:space="preserve"> TOC \c "Map" </w:instrText>
      </w:r>
      <w:r>
        <w:fldChar w:fldCharType="separate"/>
      </w:r>
      <w:r w:rsidR="007E0D5B">
        <w:rPr>
          <w:noProof/>
        </w:rPr>
        <w:t>Map 1 Map of Australia</w:t>
      </w:r>
      <w:r w:rsidR="007E0D5B">
        <w:rPr>
          <w:noProof/>
        </w:rPr>
        <w:tab/>
      </w:r>
      <w:r w:rsidR="007E0D5B">
        <w:rPr>
          <w:noProof/>
        </w:rPr>
        <w:fldChar w:fldCharType="begin"/>
      </w:r>
      <w:r w:rsidR="007E0D5B">
        <w:rPr>
          <w:noProof/>
        </w:rPr>
        <w:instrText xml:space="preserve"> PAGEREF _Toc7607711 \h </w:instrText>
      </w:r>
      <w:r w:rsidR="007E0D5B">
        <w:rPr>
          <w:noProof/>
        </w:rPr>
      </w:r>
      <w:r w:rsidR="007E0D5B">
        <w:rPr>
          <w:noProof/>
        </w:rPr>
        <w:fldChar w:fldCharType="separate"/>
      </w:r>
      <w:r w:rsidR="00EA7374">
        <w:rPr>
          <w:noProof/>
        </w:rPr>
        <w:t>v</w:t>
      </w:r>
      <w:r w:rsidR="007E0D5B">
        <w:rPr>
          <w:noProof/>
        </w:rPr>
        <w:fldChar w:fldCharType="end"/>
      </w:r>
    </w:p>
    <w:p w:rsidR="007E0D5B" w:rsidRDefault="007E0D5B">
      <w:pPr>
        <w:pStyle w:val="TableofFigures"/>
        <w:tabs>
          <w:tab w:val="right" w:leader="dot" w:pos="9060"/>
        </w:tabs>
        <w:rPr>
          <w:rFonts w:eastAsiaTheme="minorEastAsia"/>
          <w:noProof/>
          <w:lang w:eastAsia="en-AU"/>
        </w:rPr>
      </w:pPr>
      <w:r>
        <w:rPr>
          <w:noProof/>
        </w:rPr>
        <w:t>Map 2 A guide to Australia's bio-climatic zones</w:t>
      </w:r>
      <w:r>
        <w:rPr>
          <w:noProof/>
        </w:rPr>
        <w:tab/>
      </w:r>
      <w:r>
        <w:rPr>
          <w:noProof/>
        </w:rPr>
        <w:fldChar w:fldCharType="begin"/>
      </w:r>
      <w:r>
        <w:rPr>
          <w:noProof/>
        </w:rPr>
        <w:instrText xml:space="preserve"> PAGEREF _Toc7607712 \h </w:instrText>
      </w:r>
      <w:r>
        <w:rPr>
          <w:noProof/>
        </w:rPr>
      </w:r>
      <w:r>
        <w:rPr>
          <w:noProof/>
        </w:rPr>
        <w:fldChar w:fldCharType="separate"/>
      </w:r>
      <w:r w:rsidR="00EA7374">
        <w:rPr>
          <w:noProof/>
        </w:rPr>
        <w:t>v</w:t>
      </w:r>
      <w:r>
        <w:rPr>
          <w:noProof/>
        </w:rPr>
        <w:fldChar w:fldCharType="end"/>
      </w:r>
    </w:p>
    <w:p w:rsidR="00B52BB0" w:rsidRDefault="007E0D5B" w:rsidP="007E0D5B">
      <w:pPr>
        <w:pStyle w:val="TableofFigures"/>
        <w:tabs>
          <w:tab w:val="right" w:leader="dot" w:pos="9060"/>
        </w:tabs>
      </w:pPr>
      <w:r>
        <w:rPr>
          <w:noProof/>
        </w:rPr>
        <w:t>Map 3 Regions of Vietnam</w:t>
      </w:r>
      <w:r>
        <w:rPr>
          <w:noProof/>
        </w:rPr>
        <w:tab/>
      </w:r>
      <w:r>
        <w:rPr>
          <w:noProof/>
        </w:rPr>
        <w:fldChar w:fldCharType="begin"/>
      </w:r>
      <w:r>
        <w:rPr>
          <w:noProof/>
        </w:rPr>
        <w:instrText xml:space="preserve"> PAGEREF _Toc7607713 \h </w:instrText>
      </w:r>
      <w:r>
        <w:rPr>
          <w:noProof/>
        </w:rPr>
      </w:r>
      <w:r>
        <w:rPr>
          <w:noProof/>
        </w:rPr>
        <w:fldChar w:fldCharType="separate"/>
      </w:r>
      <w:r w:rsidR="00EA7374">
        <w:rPr>
          <w:noProof/>
        </w:rPr>
        <w:t>19</w:t>
      </w:r>
      <w:r>
        <w:rPr>
          <w:noProof/>
        </w:rPr>
        <w:fldChar w:fldCharType="end"/>
      </w:r>
      <w:r w:rsidR="00B52BB0">
        <w:fldChar w:fldCharType="end"/>
      </w:r>
    </w:p>
    <w:p w:rsidR="00B52BB0" w:rsidRDefault="00B52BB0" w:rsidP="003E074D">
      <w:pPr>
        <w:pStyle w:val="Caption"/>
        <w:sectPr w:rsidR="00B52BB0" w:rsidSect="003E074D">
          <w:headerReference w:type="default" r:id="rId17"/>
          <w:footerReference w:type="default" r:id="rId18"/>
          <w:pgSz w:w="11906" w:h="16838"/>
          <w:pgMar w:top="1418" w:right="1418" w:bottom="1418" w:left="1418" w:header="567" w:footer="283" w:gutter="0"/>
          <w:pgNumType w:fmt="lowerRoman"/>
          <w:cols w:space="708"/>
          <w:docGrid w:linePitch="360"/>
        </w:sectPr>
      </w:pPr>
      <w:bookmarkStart w:id="1" w:name="_Ref457826879"/>
    </w:p>
    <w:p w:rsidR="00B52BB0" w:rsidRDefault="00B52BB0" w:rsidP="003E074D">
      <w:pPr>
        <w:pStyle w:val="Caption"/>
      </w:pPr>
      <w:bookmarkStart w:id="2" w:name="_Toc7607711"/>
      <w:r>
        <w:lastRenderedPageBreak/>
        <w:t xml:space="preserve">Map </w:t>
      </w:r>
      <w:r w:rsidR="008B7377">
        <w:rPr>
          <w:noProof/>
        </w:rPr>
        <w:fldChar w:fldCharType="begin"/>
      </w:r>
      <w:r w:rsidR="008B7377">
        <w:rPr>
          <w:noProof/>
        </w:rPr>
        <w:instrText xml:space="preserve"> SEQ Map \* ARABIC </w:instrText>
      </w:r>
      <w:r w:rsidR="008B7377">
        <w:rPr>
          <w:noProof/>
        </w:rPr>
        <w:fldChar w:fldCharType="separate"/>
      </w:r>
      <w:r w:rsidR="00EA7374">
        <w:rPr>
          <w:noProof/>
        </w:rPr>
        <w:t>1</w:t>
      </w:r>
      <w:r w:rsidR="008B7377">
        <w:rPr>
          <w:noProof/>
        </w:rPr>
        <w:fldChar w:fldCharType="end"/>
      </w:r>
      <w:r>
        <w:t xml:space="preserve"> Map of Australia</w:t>
      </w:r>
      <w:bookmarkEnd w:id="2"/>
    </w:p>
    <w:p w:rsidR="00B52BB0" w:rsidRDefault="00B52BB0">
      <w:pPr>
        <w:pStyle w:val="Caption"/>
      </w:pPr>
      <w:r>
        <w:rPr>
          <w:noProof/>
          <w:lang w:eastAsia="en-AU"/>
        </w:rPr>
        <w:drawing>
          <wp:inline distT="0" distB="0" distL="0" distR="0" wp14:anchorId="3541F76B" wp14:editId="3EBD99F7">
            <wp:extent cx="4089400" cy="3533140"/>
            <wp:effectExtent l="19050" t="0" r="6350" b="0"/>
            <wp:docPr id="5" name="Picture 5" descr="The boundaries for the states and territories are highlighted and the capital cities for each state and territory is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Australia highlighting where the states and territories and capital cities are"/>
                    <pic:cNvPicPr>
                      <a:picLocks noChangeAspect="1" noChangeArrowheads="1"/>
                    </pic:cNvPicPr>
                  </pic:nvPicPr>
                  <pic:blipFill>
                    <a:blip r:embed="rId19" cstate="print"/>
                    <a:srcRect/>
                    <a:stretch>
                      <a:fillRect/>
                    </a:stretch>
                  </pic:blipFill>
                  <pic:spPr bwMode="auto">
                    <a:xfrm>
                      <a:off x="0" y="0"/>
                      <a:ext cx="4089400" cy="3533140"/>
                    </a:xfrm>
                    <a:prstGeom prst="rect">
                      <a:avLst/>
                    </a:prstGeom>
                    <a:noFill/>
                    <a:ln w="9525">
                      <a:noFill/>
                      <a:miter lim="800000"/>
                      <a:headEnd/>
                      <a:tailEnd/>
                    </a:ln>
                  </pic:spPr>
                </pic:pic>
              </a:graphicData>
            </a:graphic>
          </wp:inline>
        </w:drawing>
      </w:r>
    </w:p>
    <w:p w:rsidR="00B52BB0" w:rsidRDefault="00B52BB0" w:rsidP="003E074D">
      <w:pPr>
        <w:pStyle w:val="Caption"/>
      </w:pPr>
      <w:bookmarkStart w:id="3" w:name="_Toc7607712"/>
      <w:r>
        <w:t xml:space="preserve">Map </w:t>
      </w:r>
      <w:r w:rsidR="008B7377">
        <w:rPr>
          <w:noProof/>
        </w:rPr>
        <w:fldChar w:fldCharType="begin"/>
      </w:r>
      <w:r w:rsidR="008B7377">
        <w:rPr>
          <w:noProof/>
        </w:rPr>
        <w:instrText xml:space="preserve"> SEQ Map \* ARABIC </w:instrText>
      </w:r>
      <w:r w:rsidR="008B7377">
        <w:rPr>
          <w:noProof/>
        </w:rPr>
        <w:fldChar w:fldCharType="separate"/>
      </w:r>
      <w:r w:rsidR="00EA7374">
        <w:rPr>
          <w:noProof/>
        </w:rPr>
        <w:t>2</w:t>
      </w:r>
      <w:r w:rsidR="008B7377">
        <w:rPr>
          <w:noProof/>
        </w:rPr>
        <w:fldChar w:fldCharType="end"/>
      </w:r>
      <w:r>
        <w:t xml:space="preserve"> A guide to Australia's bio-climatic zones</w:t>
      </w:r>
      <w:bookmarkEnd w:id="3"/>
    </w:p>
    <w:p w:rsidR="00B52BB0" w:rsidRDefault="00B52BB0">
      <w:pPr>
        <w:pStyle w:val="Caption"/>
        <w:sectPr w:rsidR="00B52BB0" w:rsidSect="003E074D">
          <w:headerReference w:type="default" r:id="rId20"/>
          <w:pgSz w:w="11906" w:h="16838"/>
          <w:pgMar w:top="1418" w:right="1418" w:bottom="1418" w:left="1418" w:header="567" w:footer="283" w:gutter="0"/>
          <w:pgNumType w:fmt="lowerRoman"/>
          <w:cols w:space="708"/>
          <w:docGrid w:linePitch="360"/>
        </w:sectPr>
      </w:pPr>
      <w:r>
        <w:rPr>
          <w:noProof/>
          <w:lang w:eastAsia="en-AU"/>
        </w:rPr>
        <w:drawing>
          <wp:inline distT="0" distB="0" distL="0" distR="0" wp14:anchorId="700A08B5" wp14:editId="4BFD07F5">
            <wp:extent cx="5105400" cy="3648075"/>
            <wp:effectExtent l="0" t="0" r="0" b="9525"/>
            <wp:docPr id="7" name="Picture 7" descr="The different climate classes across Australia are highlighted.&#10;There are six climatic classes, these being:&#10;- Equatorial (far northern most region of Queensland and Northern Territory)&#10;- Tropical (Costal areas and northern parts of Western Australia, Norhtern Territory and Queensland)&#10;- Subtropical (eastern coast of Queendland and nothern New South Wales)&#10;- Desert (centeral part of Australia spanning across Western Australia, South Australia, Northern Territory, Queensland and New South Wales)&#10;- Grassland (sourrounding the dessert areas)&#10;- Temperate (eastern coast of New South Wales, most of Victoria, Tasmania, southern edge of South Australia and Wester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5400" cy="3648075"/>
                    </a:xfrm>
                    <a:prstGeom prst="rect">
                      <a:avLst/>
                    </a:prstGeom>
                    <a:noFill/>
                    <a:ln>
                      <a:noFill/>
                    </a:ln>
                  </pic:spPr>
                </pic:pic>
              </a:graphicData>
            </a:graphic>
          </wp:inline>
        </w:drawing>
      </w:r>
    </w:p>
    <w:p w:rsidR="00B52BB0" w:rsidRPr="00097E38" w:rsidRDefault="00B52BB0" w:rsidP="003E074D">
      <w:pPr>
        <w:pStyle w:val="Heading2"/>
        <w:numPr>
          <w:ilvl w:val="0"/>
          <w:numId w:val="0"/>
        </w:numPr>
      </w:pPr>
      <w:bookmarkStart w:id="4" w:name="_Toc7607660"/>
      <w:bookmarkEnd w:id="1"/>
      <w:r>
        <w:lastRenderedPageBreak/>
        <w:t>Acronyms and abbreviations</w:t>
      </w:r>
      <w:bookmarkEnd w:id="4"/>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B52BB0">
        <w:trPr>
          <w:trHeight w:val="414"/>
          <w:tblHeader/>
        </w:trPr>
        <w:tc>
          <w:tcPr>
            <w:tcW w:w="1335" w:type="pct"/>
          </w:tcPr>
          <w:p w:rsidR="00B52BB0" w:rsidRDefault="00B52BB0">
            <w:pPr>
              <w:pStyle w:val="TableHeading"/>
            </w:pPr>
            <w:r>
              <w:t>Term or abbreviation</w:t>
            </w:r>
          </w:p>
        </w:tc>
        <w:tc>
          <w:tcPr>
            <w:tcW w:w="3665" w:type="pct"/>
          </w:tcPr>
          <w:p w:rsidR="00B52BB0" w:rsidRDefault="00B52BB0">
            <w:pPr>
              <w:pStyle w:val="TableHeading"/>
            </w:pPr>
            <w:r>
              <w:t>Definition</w:t>
            </w:r>
          </w:p>
        </w:tc>
      </w:tr>
      <w:tr w:rsidR="00B52BB0">
        <w:trPr>
          <w:trHeight w:val="414"/>
        </w:trPr>
        <w:tc>
          <w:tcPr>
            <w:tcW w:w="1335" w:type="pct"/>
          </w:tcPr>
          <w:p w:rsidR="00B52BB0" w:rsidRDefault="00B52BB0">
            <w:pPr>
              <w:pStyle w:val="TableText"/>
            </w:pPr>
            <w:r>
              <w:t>ACT</w:t>
            </w:r>
          </w:p>
        </w:tc>
        <w:tc>
          <w:tcPr>
            <w:tcW w:w="3665" w:type="pct"/>
          </w:tcPr>
          <w:p w:rsidR="00B52BB0" w:rsidRDefault="00B52BB0">
            <w:pPr>
              <w:pStyle w:val="TableText"/>
            </w:pPr>
            <w:r>
              <w:t>Australian Capital Territory</w:t>
            </w:r>
          </w:p>
        </w:tc>
      </w:tr>
      <w:tr w:rsidR="00B52BB0">
        <w:trPr>
          <w:trHeight w:val="414"/>
        </w:trPr>
        <w:tc>
          <w:tcPr>
            <w:tcW w:w="1335" w:type="pct"/>
          </w:tcPr>
          <w:p w:rsidR="00B52BB0" w:rsidRDefault="00B52BB0">
            <w:pPr>
              <w:pStyle w:val="TableText"/>
            </w:pPr>
            <w:r>
              <w:t>ALOP</w:t>
            </w:r>
          </w:p>
        </w:tc>
        <w:tc>
          <w:tcPr>
            <w:tcW w:w="3665" w:type="pct"/>
          </w:tcPr>
          <w:p w:rsidR="00B52BB0" w:rsidRDefault="00B52BB0">
            <w:pPr>
              <w:pStyle w:val="TableText"/>
            </w:pPr>
            <w:r>
              <w:t>Appropriate level of protection</w:t>
            </w:r>
          </w:p>
        </w:tc>
      </w:tr>
      <w:tr w:rsidR="00B52BB0">
        <w:trPr>
          <w:trHeight w:val="414"/>
        </w:trPr>
        <w:tc>
          <w:tcPr>
            <w:tcW w:w="1335" w:type="pct"/>
          </w:tcPr>
          <w:p w:rsidR="00B52BB0" w:rsidRDefault="00B52BB0">
            <w:pPr>
              <w:pStyle w:val="TableText"/>
            </w:pPr>
            <w:r>
              <w:t>BICON</w:t>
            </w:r>
          </w:p>
        </w:tc>
        <w:tc>
          <w:tcPr>
            <w:tcW w:w="3665" w:type="pct"/>
          </w:tcPr>
          <w:p w:rsidR="00B52BB0" w:rsidRDefault="00B52BB0">
            <w:pPr>
              <w:pStyle w:val="TableText"/>
            </w:pPr>
            <w:r>
              <w:t>Australia’s Biosecurity Import Conditions System</w:t>
            </w:r>
          </w:p>
        </w:tc>
      </w:tr>
      <w:tr w:rsidR="00B52BB0">
        <w:trPr>
          <w:trHeight w:val="414"/>
        </w:trPr>
        <w:tc>
          <w:tcPr>
            <w:tcW w:w="1335" w:type="pct"/>
          </w:tcPr>
          <w:p w:rsidR="00B52BB0" w:rsidRDefault="00B52BB0">
            <w:pPr>
              <w:pStyle w:val="TableText"/>
            </w:pPr>
            <w:r>
              <w:t>BIRA</w:t>
            </w:r>
          </w:p>
        </w:tc>
        <w:tc>
          <w:tcPr>
            <w:tcW w:w="3665" w:type="pct"/>
          </w:tcPr>
          <w:p w:rsidR="00B52BB0" w:rsidRDefault="00B52BB0">
            <w:pPr>
              <w:pStyle w:val="TableText"/>
            </w:pPr>
            <w:r>
              <w:t>Biosecurity Import Risk Analysis</w:t>
            </w:r>
          </w:p>
        </w:tc>
      </w:tr>
      <w:tr w:rsidR="00B52BB0">
        <w:trPr>
          <w:trHeight w:val="414"/>
        </w:trPr>
        <w:tc>
          <w:tcPr>
            <w:tcW w:w="1335" w:type="pct"/>
          </w:tcPr>
          <w:p w:rsidR="00B52BB0" w:rsidRDefault="00B52BB0">
            <w:pPr>
              <w:pStyle w:val="TableText"/>
            </w:pPr>
            <w:r>
              <w:t>CSIRO</w:t>
            </w:r>
          </w:p>
        </w:tc>
        <w:tc>
          <w:tcPr>
            <w:tcW w:w="3665" w:type="pct"/>
          </w:tcPr>
          <w:p w:rsidR="00B52BB0" w:rsidRDefault="00B52BB0">
            <w:pPr>
              <w:pStyle w:val="TableText"/>
            </w:pPr>
            <w:r>
              <w:t>Commonwealth Scientific and Industrial Research Organisation</w:t>
            </w:r>
          </w:p>
        </w:tc>
      </w:tr>
      <w:tr w:rsidR="00B52BB0">
        <w:trPr>
          <w:trHeight w:val="414"/>
        </w:trPr>
        <w:tc>
          <w:tcPr>
            <w:tcW w:w="1335" w:type="pct"/>
          </w:tcPr>
          <w:p w:rsidR="00B52BB0" w:rsidRDefault="00B52BB0">
            <w:pPr>
              <w:pStyle w:val="TableText"/>
            </w:pPr>
            <w:r>
              <w:t>EP</w:t>
            </w:r>
          </w:p>
        </w:tc>
        <w:tc>
          <w:tcPr>
            <w:tcW w:w="3665" w:type="pct"/>
          </w:tcPr>
          <w:p w:rsidR="00B52BB0" w:rsidRDefault="00B52BB0">
            <w:pPr>
              <w:pStyle w:val="TableText"/>
            </w:pPr>
            <w:r>
              <w:t>Existing policy</w:t>
            </w:r>
          </w:p>
        </w:tc>
      </w:tr>
      <w:tr w:rsidR="00B52BB0">
        <w:trPr>
          <w:trHeight w:val="414"/>
        </w:trPr>
        <w:tc>
          <w:tcPr>
            <w:tcW w:w="1335" w:type="pct"/>
          </w:tcPr>
          <w:p w:rsidR="00B52BB0" w:rsidRDefault="00B52BB0">
            <w:pPr>
              <w:pStyle w:val="TableText"/>
            </w:pPr>
            <w:r>
              <w:t>FAO</w:t>
            </w:r>
          </w:p>
        </w:tc>
        <w:tc>
          <w:tcPr>
            <w:tcW w:w="3665" w:type="pct"/>
          </w:tcPr>
          <w:p w:rsidR="00B52BB0" w:rsidRDefault="00B52BB0">
            <w:pPr>
              <w:pStyle w:val="TableText"/>
            </w:pPr>
            <w:r>
              <w:t>Food and Agriculture Organization of the United Nations</w:t>
            </w:r>
          </w:p>
        </w:tc>
      </w:tr>
      <w:tr w:rsidR="00B52BB0">
        <w:trPr>
          <w:trHeight w:val="414"/>
        </w:trPr>
        <w:tc>
          <w:tcPr>
            <w:tcW w:w="1335" w:type="pct"/>
          </w:tcPr>
          <w:p w:rsidR="00B52BB0" w:rsidRDefault="00B52BB0">
            <w:pPr>
              <w:pStyle w:val="TableText"/>
            </w:pPr>
            <w:r>
              <w:t>FSANZ</w:t>
            </w:r>
          </w:p>
        </w:tc>
        <w:tc>
          <w:tcPr>
            <w:tcW w:w="3665" w:type="pct"/>
          </w:tcPr>
          <w:p w:rsidR="00B52BB0" w:rsidRDefault="00B52BB0">
            <w:pPr>
              <w:pStyle w:val="TableText"/>
            </w:pPr>
            <w:r>
              <w:t>Food Standards Australia New Zealand</w:t>
            </w:r>
          </w:p>
        </w:tc>
      </w:tr>
      <w:tr w:rsidR="00B52BB0">
        <w:trPr>
          <w:trHeight w:val="414"/>
        </w:trPr>
        <w:tc>
          <w:tcPr>
            <w:tcW w:w="1335" w:type="pct"/>
          </w:tcPr>
          <w:p w:rsidR="00B52BB0" w:rsidRDefault="00B52BB0">
            <w:pPr>
              <w:pStyle w:val="TableText"/>
            </w:pPr>
            <w:r>
              <w:t>IPPC</w:t>
            </w:r>
          </w:p>
        </w:tc>
        <w:tc>
          <w:tcPr>
            <w:tcW w:w="3665" w:type="pct"/>
          </w:tcPr>
          <w:p w:rsidR="00B52BB0" w:rsidRDefault="00B52BB0">
            <w:pPr>
              <w:pStyle w:val="TableText"/>
            </w:pPr>
            <w:r>
              <w:t>International Plant Protection Convention</w:t>
            </w:r>
          </w:p>
        </w:tc>
      </w:tr>
      <w:tr w:rsidR="00B52BB0">
        <w:trPr>
          <w:trHeight w:val="414"/>
        </w:trPr>
        <w:tc>
          <w:tcPr>
            <w:tcW w:w="1335" w:type="pct"/>
          </w:tcPr>
          <w:p w:rsidR="00B52BB0" w:rsidRDefault="00B52BB0">
            <w:pPr>
              <w:pStyle w:val="TableText"/>
            </w:pPr>
            <w:r>
              <w:t>ISPM</w:t>
            </w:r>
          </w:p>
        </w:tc>
        <w:tc>
          <w:tcPr>
            <w:tcW w:w="3665" w:type="pct"/>
          </w:tcPr>
          <w:p w:rsidR="00B52BB0" w:rsidRDefault="00B52BB0">
            <w:pPr>
              <w:pStyle w:val="TableText"/>
            </w:pPr>
            <w:r>
              <w:t>International Standard for Phytosanitary Measures</w:t>
            </w:r>
          </w:p>
        </w:tc>
      </w:tr>
      <w:tr w:rsidR="00B52BB0">
        <w:trPr>
          <w:trHeight w:val="414"/>
        </w:trPr>
        <w:tc>
          <w:tcPr>
            <w:tcW w:w="1335" w:type="pct"/>
          </w:tcPr>
          <w:p w:rsidR="00B52BB0" w:rsidRDefault="00B52BB0">
            <w:pPr>
              <w:pStyle w:val="TableText"/>
            </w:pPr>
            <w:r>
              <w:t>NSW</w:t>
            </w:r>
          </w:p>
        </w:tc>
        <w:tc>
          <w:tcPr>
            <w:tcW w:w="3665" w:type="pct"/>
          </w:tcPr>
          <w:p w:rsidR="00B52BB0" w:rsidRDefault="00B52BB0">
            <w:pPr>
              <w:pStyle w:val="TableText"/>
            </w:pPr>
            <w:r>
              <w:t>New South Wales</w:t>
            </w:r>
          </w:p>
        </w:tc>
      </w:tr>
      <w:tr w:rsidR="00B52BB0">
        <w:trPr>
          <w:trHeight w:val="414"/>
        </w:trPr>
        <w:tc>
          <w:tcPr>
            <w:tcW w:w="1335" w:type="pct"/>
          </w:tcPr>
          <w:p w:rsidR="00B52BB0" w:rsidRDefault="00B52BB0">
            <w:pPr>
              <w:pStyle w:val="TableText"/>
            </w:pPr>
            <w:r>
              <w:t>NT</w:t>
            </w:r>
          </w:p>
        </w:tc>
        <w:tc>
          <w:tcPr>
            <w:tcW w:w="3665" w:type="pct"/>
          </w:tcPr>
          <w:p w:rsidR="00B52BB0" w:rsidRDefault="00B52BB0">
            <w:pPr>
              <w:pStyle w:val="TableText"/>
            </w:pPr>
            <w:r>
              <w:t>Northern Territory</w:t>
            </w:r>
          </w:p>
        </w:tc>
      </w:tr>
      <w:tr w:rsidR="00B52BB0" w:rsidTr="003E074D">
        <w:trPr>
          <w:trHeight w:val="414"/>
        </w:trPr>
        <w:tc>
          <w:tcPr>
            <w:tcW w:w="1335" w:type="pct"/>
          </w:tcPr>
          <w:p w:rsidR="00B52BB0" w:rsidRDefault="00B52BB0" w:rsidP="003E074D">
            <w:pPr>
              <w:pStyle w:val="TableText"/>
            </w:pPr>
            <w:r>
              <w:t>PC</w:t>
            </w:r>
          </w:p>
        </w:tc>
        <w:tc>
          <w:tcPr>
            <w:tcW w:w="3665" w:type="pct"/>
          </w:tcPr>
          <w:p w:rsidR="00B52BB0" w:rsidRDefault="00B52BB0" w:rsidP="003E074D">
            <w:pPr>
              <w:pStyle w:val="TableText"/>
            </w:pPr>
            <w:r>
              <w:t>Phytosanitary Certificate</w:t>
            </w:r>
          </w:p>
        </w:tc>
      </w:tr>
      <w:tr w:rsidR="00B52BB0">
        <w:trPr>
          <w:trHeight w:val="414"/>
        </w:trPr>
        <w:tc>
          <w:tcPr>
            <w:tcW w:w="1335" w:type="pct"/>
          </w:tcPr>
          <w:p w:rsidR="00B52BB0" w:rsidRDefault="00B52BB0">
            <w:pPr>
              <w:pStyle w:val="TableText"/>
            </w:pPr>
            <w:r>
              <w:t>PPD</w:t>
            </w:r>
          </w:p>
        </w:tc>
        <w:tc>
          <w:tcPr>
            <w:tcW w:w="3665" w:type="pct"/>
          </w:tcPr>
          <w:p w:rsidR="00B52BB0" w:rsidRDefault="00B52BB0">
            <w:pPr>
              <w:pStyle w:val="TableText"/>
            </w:pPr>
            <w:r>
              <w:t>Vietnam’s Plant Protection Department</w:t>
            </w:r>
          </w:p>
        </w:tc>
      </w:tr>
      <w:tr w:rsidR="00B52BB0">
        <w:trPr>
          <w:trHeight w:val="414"/>
        </w:trPr>
        <w:tc>
          <w:tcPr>
            <w:tcW w:w="1335" w:type="pct"/>
          </w:tcPr>
          <w:p w:rsidR="00B52BB0" w:rsidRDefault="00B52BB0">
            <w:pPr>
              <w:pStyle w:val="TableText"/>
            </w:pPr>
            <w:r>
              <w:t>PRA</w:t>
            </w:r>
          </w:p>
        </w:tc>
        <w:tc>
          <w:tcPr>
            <w:tcW w:w="3665" w:type="pct"/>
          </w:tcPr>
          <w:p w:rsidR="00B52BB0" w:rsidRDefault="00B52BB0" w:rsidP="003E074D">
            <w:pPr>
              <w:pStyle w:val="TableText"/>
            </w:pPr>
            <w:r>
              <w:t>Pest risk analysis</w:t>
            </w:r>
          </w:p>
        </w:tc>
      </w:tr>
      <w:tr w:rsidR="00B52BB0">
        <w:trPr>
          <w:trHeight w:val="414"/>
        </w:trPr>
        <w:tc>
          <w:tcPr>
            <w:tcW w:w="1335" w:type="pct"/>
          </w:tcPr>
          <w:p w:rsidR="00B52BB0" w:rsidRDefault="00B52BB0">
            <w:pPr>
              <w:pStyle w:val="TableText"/>
            </w:pPr>
            <w:r>
              <w:t>Qld</w:t>
            </w:r>
          </w:p>
        </w:tc>
        <w:tc>
          <w:tcPr>
            <w:tcW w:w="3665" w:type="pct"/>
          </w:tcPr>
          <w:p w:rsidR="00B52BB0" w:rsidRDefault="00B52BB0">
            <w:pPr>
              <w:pStyle w:val="TableText"/>
            </w:pPr>
            <w:r>
              <w:t>Queensland</w:t>
            </w:r>
          </w:p>
        </w:tc>
      </w:tr>
      <w:tr w:rsidR="00B52BB0">
        <w:trPr>
          <w:trHeight w:val="414"/>
        </w:trPr>
        <w:tc>
          <w:tcPr>
            <w:tcW w:w="1335" w:type="pct"/>
          </w:tcPr>
          <w:p w:rsidR="00B52BB0" w:rsidRDefault="00B52BB0">
            <w:pPr>
              <w:pStyle w:val="TableText"/>
            </w:pPr>
            <w:r>
              <w:t>SA</w:t>
            </w:r>
          </w:p>
        </w:tc>
        <w:tc>
          <w:tcPr>
            <w:tcW w:w="3665" w:type="pct"/>
          </w:tcPr>
          <w:p w:rsidR="00B52BB0" w:rsidRDefault="00B52BB0">
            <w:pPr>
              <w:pStyle w:val="TableText"/>
            </w:pPr>
            <w:r>
              <w:t>South Australia</w:t>
            </w:r>
          </w:p>
        </w:tc>
      </w:tr>
      <w:tr w:rsidR="00B52BB0">
        <w:trPr>
          <w:trHeight w:val="414"/>
        </w:trPr>
        <w:tc>
          <w:tcPr>
            <w:tcW w:w="1335" w:type="pct"/>
          </w:tcPr>
          <w:p w:rsidR="00B52BB0" w:rsidRDefault="00B52BB0">
            <w:pPr>
              <w:pStyle w:val="TableText"/>
            </w:pPr>
            <w:r>
              <w:t>SPS Agreement</w:t>
            </w:r>
          </w:p>
        </w:tc>
        <w:tc>
          <w:tcPr>
            <w:tcW w:w="3665" w:type="pct"/>
          </w:tcPr>
          <w:p w:rsidR="00B52BB0" w:rsidRDefault="00B52BB0">
            <w:pPr>
              <w:pStyle w:val="TableText"/>
            </w:pPr>
            <w:r>
              <w:t>WTO agreement on the Application of Sanitary and Phytosanitary Measures</w:t>
            </w:r>
          </w:p>
        </w:tc>
      </w:tr>
      <w:tr w:rsidR="00B52BB0">
        <w:trPr>
          <w:trHeight w:val="414"/>
        </w:trPr>
        <w:tc>
          <w:tcPr>
            <w:tcW w:w="1335" w:type="pct"/>
          </w:tcPr>
          <w:p w:rsidR="00B52BB0" w:rsidRDefault="00B52BB0">
            <w:pPr>
              <w:pStyle w:val="TableText"/>
            </w:pPr>
            <w:r>
              <w:t>Tas.</w:t>
            </w:r>
          </w:p>
        </w:tc>
        <w:tc>
          <w:tcPr>
            <w:tcW w:w="3665" w:type="pct"/>
          </w:tcPr>
          <w:p w:rsidR="00B52BB0" w:rsidRDefault="00B52BB0">
            <w:pPr>
              <w:pStyle w:val="TableText"/>
            </w:pPr>
            <w:r>
              <w:t>Tasmania</w:t>
            </w:r>
          </w:p>
        </w:tc>
      </w:tr>
      <w:tr w:rsidR="00B52BB0">
        <w:trPr>
          <w:trHeight w:val="414"/>
        </w:trPr>
        <w:tc>
          <w:tcPr>
            <w:tcW w:w="1335" w:type="pct"/>
          </w:tcPr>
          <w:p w:rsidR="00B52BB0" w:rsidRDefault="00B52BB0" w:rsidP="003E074D">
            <w:pPr>
              <w:pStyle w:val="TableText"/>
            </w:pPr>
            <w:r>
              <w:t>t</w:t>
            </w:r>
            <w:r w:rsidRPr="00A11F8D">
              <w:t>he department</w:t>
            </w:r>
          </w:p>
        </w:tc>
        <w:tc>
          <w:tcPr>
            <w:tcW w:w="3665" w:type="pct"/>
          </w:tcPr>
          <w:p w:rsidR="00B52BB0" w:rsidRDefault="00B52BB0" w:rsidP="003E074D">
            <w:pPr>
              <w:pStyle w:val="TableText"/>
            </w:pPr>
            <w:r w:rsidRPr="00A11F8D">
              <w:t>The Department of Agriculture and Water Resou</w:t>
            </w:r>
            <w:r>
              <w:t>rces</w:t>
            </w:r>
          </w:p>
        </w:tc>
      </w:tr>
      <w:tr w:rsidR="00B52BB0">
        <w:trPr>
          <w:trHeight w:val="414"/>
        </w:trPr>
        <w:tc>
          <w:tcPr>
            <w:tcW w:w="1335" w:type="pct"/>
          </w:tcPr>
          <w:p w:rsidR="00B52BB0" w:rsidRDefault="00B52BB0">
            <w:pPr>
              <w:pStyle w:val="TableText"/>
            </w:pPr>
            <w:r>
              <w:t>Vic.</w:t>
            </w:r>
          </w:p>
        </w:tc>
        <w:tc>
          <w:tcPr>
            <w:tcW w:w="3665" w:type="pct"/>
          </w:tcPr>
          <w:p w:rsidR="00B52BB0" w:rsidRDefault="00B52BB0">
            <w:pPr>
              <w:pStyle w:val="TableText"/>
            </w:pPr>
            <w:r>
              <w:t>Victoria</w:t>
            </w:r>
          </w:p>
        </w:tc>
      </w:tr>
      <w:tr w:rsidR="00B52BB0">
        <w:trPr>
          <w:trHeight w:val="414"/>
        </w:trPr>
        <w:tc>
          <w:tcPr>
            <w:tcW w:w="1335" w:type="pct"/>
          </w:tcPr>
          <w:p w:rsidR="00B52BB0" w:rsidRDefault="00B52BB0">
            <w:pPr>
              <w:pStyle w:val="TableText"/>
            </w:pPr>
            <w:r>
              <w:t>WA</w:t>
            </w:r>
          </w:p>
        </w:tc>
        <w:tc>
          <w:tcPr>
            <w:tcW w:w="3665" w:type="pct"/>
          </w:tcPr>
          <w:p w:rsidR="00B52BB0" w:rsidRDefault="00B52BB0">
            <w:pPr>
              <w:pStyle w:val="TableText"/>
            </w:pPr>
            <w:r>
              <w:t>Western Australia</w:t>
            </w:r>
          </w:p>
        </w:tc>
      </w:tr>
      <w:tr w:rsidR="00B52BB0">
        <w:trPr>
          <w:trHeight w:val="414"/>
        </w:trPr>
        <w:tc>
          <w:tcPr>
            <w:tcW w:w="1335" w:type="pct"/>
          </w:tcPr>
          <w:p w:rsidR="00B52BB0" w:rsidRDefault="00B52BB0">
            <w:pPr>
              <w:pStyle w:val="TableText"/>
            </w:pPr>
            <w:r>
              <w:t>WTO</w:t>
            </w:r>
          </w:p>
        </w:tc>
        <w:tc>
          <w:tcPr>
            <w:tcW w:w="3665" w:type="pct"/>
          </w:tcPr>
          <w:p w:rsidR="00B52BB0" w:rsidRDefault="00B52BB0">
            <w:pPr>
              <w:pStyle w:val="TableText"/>
            </w:pPr>
            <w:r>
              <w:t>World Trade Organization</w:t>
            </w:r>
          </w:p>
        </w:tc>
      </w:tr>
    </w:tbl>
    <w:p w:rsidR="00B52BB0" w:rsidRPr="001502E3" w:rsidRDefault="00B52BB0" w:rsidP="003E074D">
      <w:pPr>
        <w:sectPr w:rsidR="00B52BB0" w:rsidRPr="001502E3" w:rsidSect="003E074D">
          <w:headerReference w:type="default" r:id="rId22"/>
          <w:pgSz w:w="11906" w:h="16838"/>
          <w:pgMar w:top="1418" w:right="1418" w:bottom="1418" w:left="1418" w:header="567" w:footer="283" w:gutter="0"/>
          <w:pgNumType w:fmt="lowerRoman"/>
          <w:cols w:space="708"/>
          <w:docGrid w:linePitch="360"/>
        </w:sectPr>
      </w:pPr>
    </w:p>
    <w:p w:rsidR="00B52BB0" w:rsidRDefault="00B52BB0" w:rsidP="003E074D">
      <w:pPr>
        <w:pStyle w:val="Heading2"/>
        <w:numPr>
          <w:ilvl w:val="0"/>
          <w:numId w:val="0"/>
        </w:numPr>
      </w:pPr>
      <w:bookmarkStart w:id="5" w:name="_Toc7607661"/>
      <w:r>
        <w:lastRenderedPageBreak/>
        <w:t>Summary</w:t>
      </w:r>
      <w:bookmarkEnd w:id="5"/>
    </w:p>
    <w:p w:rsidR="00B52BB0" w:rsidRDefault="00B52BB0" w:rsidP="003E074D">
      <w:r>
        <w:t xml:space="preserve">This risk </w:t>
      </w:r>
      <w:r w:rsidRPr="00C92A93">
        <w:t>analysis report considers the biosecurity risks for Australia associated with the importation of commercially produced fresh longan fruit for human consumption from Vietnam</w:t>
      </w:r>
      <w:r>
        <w:t>.</w:t>
      </w:r>
    </w:p>
    <w:p w:rsidR="00B52BB0" w:rsidRDefault="00B52BB0" w:rsidP="003E074D">
      <w:r>
        <w:t>Currently the importation of fresh longan fruit for human consumption is permitted into Australia only from China and Thailand, provided it meets Australian biosecurity import conditions.</w:t>
      </w:r>
    </w:p>
    <w:p w:rsidR="00B52BB0" w:rsidRDefault="00B52BB0" w:rsidP="003E074D">
      <w:r>
        <w:t>This final report recommends that the importation of fresh longan fruit to Australia from all commercial production areas of Vietnam be permitted, subject to it meeting a range of biosecurity requirements, as summarised in this report.</w:t>
      </w:r>
    </w:p>
    <w:p w:rsidR="00B52BB0" w:rsidRDefault="00B52BB0" w:rsidP="003E074D">
      <w:r>
        <w:t>This final report contains details of all known pests with the potential to be associated with the importation of fresh longan fruit from Vietnam that may be of bio</w:t>
      </w:r>
      <w:r w:rsidR="00B0562D">
        <w:t xml:space="preserve">security concern to Australia. </w:t>
      </w:r>
      <w:r>
        <w:t>It also provides risk assessments for the identified quarantine pests, and recommends risk management measures to reduce the biosecurity risk to an acceptable level.</w:t>
      </w:r>
    </w:p>
    <w:p w:rsidR="00B52BB0" w:rsidRDefault="00B52BB0" w:rsidP="003E074D">
      <w:r>
        <w:t xml:space="preserve">Eleven quarantine pests have been identified in this risk analysis as </w:t>
      </w:r>
      <w:r w:rsidRPr="00305B2F">
        <w:t>requiring risk management measures. Th</w:t>
      </w:r>
      <w:r>
        <w:t>o</w:t>
      </w:r>
      <w:r w:rsidRPr="00305B2F">
        <w:t>se pests are</w:t>
      </w:r>
      <w:r>
        <w:t>:</w:t>
      </w:r>
    </w:p>
    <w:p w:rsidR="00B52BB0" w:rsidRDefault="00B52BB0" w:rsidP="003E074D">
      <w:pPr>
        <w:pStyle w:val="ListParagraph"/>
        <w:numPr>
          <w:ilvl w:val="0"/>
          <w:numId w:val="23"/>
        </w:numPr>
      </w:pPr>
      <w:r>
        <w:t xml:space="preserve">Fruit flies: </w:t>
      </w:r>
      <w:r w:rsidRPr="00305B2F">
        <w:t>guava fruit fly (</w:t>
      </w:r>
      <w:r w:rsidRPr="000B4BC3">
        <w:rPr>
          <w:i/>
        </w:rPr>
        <w:t>Bactrocera correcta</w:t>
      </w:r>
      <w:r w:rsidRPr="00305B2F">
        <w:t>)</w:t>
      </w:r>
      <w:r>
        <w:t xml:space="preserve"> and</w:t>
      </w:r>
      <w:r w:rsidRPr="00305B2F">
        <w:t xml:space="preserve"> Oriental</w:t>
      </w:r>
      <w:r>
        <w:t xml:space="preserve"> fruit fly (</w:t>
      </w:r>
      <w:r w:rsidRPr="000B4BC3">
        <w:rPr>
          <w:i/>
          <w:iCs/>
        </w:rPr>
        <w:t>Bactrocera dorsalis</w:t>
      </w:r>
      <w:r>
        <w:t>)</w:t>
      </w:r>
    </w:p>
    <w:p w:rsidR="00B52BB0" w:rsidRDefault="00B52BB0" w:rsidP="003E074D">
      <w:pPr>
        <w:pStyle w:val="ListParagraph"/>
        <w:numPr>
          <w:ilvl w:val="0"/>
          <w:numId w:val="23"/>
        </w:numPr>
      </w:pPr>
      <w:r>
        <w:t>Mealybugs: grey pineapple mealybug</w:t>
      </w:r>
      <w:r w:rsidRPr="000B4BC3">
        <w:rPr>
          <w:iCs/>
        </w:rPr>
        <w:t xml:space="preserve"> </w:t>
      </w:r>
      <w:r>
        <w:t>(</w:t>
      </w:r>
      <w:r w:rsidRPr="000B4BC3">
        <w:rPr>
          <w:i/>
          <w:iCs/>
        </w:rPr>
        <w:t>Dysmicoccus neobrevipes</w:t>
      </w:r>
      <w:r>
        <w:t>), cocoa mealybug</w:t>
      </w:r>
      <w:r w:rsidRPr="000B4BC3">
        <w:rPr>
          <w:iCs/>
        </w:rPr>
        <w:t xml:space="preserve"> </w:t>
      </w:r>
      <w:r>
        <w:t>(</w:t>
      </w:r>
      <w:r w:rsidRPr="000B4BC3">
        <w:rPr>
          <w:i/>
          <w:iCs/>
        </w:rPr>
        <w:t>Exallomochlus hi</w:t>
      </w:r>
      <w:r>
        <w:rPr>
          <w:i/>
          <w:iCs/>
        </w:rPr>
        <w:t>s</w:t>
      </w:r>
      <w:r w:rsidRPr="000B4BC3">
        <w:rPr>
          <w:i/>
          <w:iCs/>
        </w:rPr>
        <w:t>pidus</w:t>
      </w:r>
      <w:r>
        <w:t>), litchi mealybug (</w:t>
      </w:r>
      <w:r w:rsidRPr="00D14044">
        <w:rPr>
          <w:i/>
        </w:rPr>
        <w:t>Planococcus litchi</w:t>
      </w:r>
      <w:r>
        <w:t>), Pacific mealybug</w:t>
      </w:r>
      <w:r w:rsidRPr="00D14044">
        <w:rPr>
          <w:iCs/>
        </w:rPr>
        <w:t xml:space="preserve"> </w:t>
      </w:r>
      <w:r>
        <w:t>(</w:t>
      </w:r>
      <w:r w:rsidRPr="00D14044">
        <w:rPr>
          <w:i/>
          <w:iCs/>
        </w:rPr>
        <w:t>Planococcus minor</w:t>
      </w:r>
      <w:r>
        <w:t>), coffee mealybug</w:t>
      </w:r>
      <w:r w:rsidRPr="00D14044">
        <w:rPr>
          <w:iCs/>
        </w:rPr>
        <w:t xml:space="preserve"> </w:t>
      </w:r>
      <w:r>
        <w:t>(</w:t>
      </w:r>
      <w:r w:rsidRPr="00D14044">
        <w:rPr>
          <w:i/>
          <w:iCs/>
        </w:rPr>
        <w:t>Planococcus lilacinus</w:t>
      </w:r>
      <w:r>
        <w:t>), intercepted mealybug</w:t>
      </w:r>
      <w:r w:rsidRPr="00D14044">
        <w:rPr>
          <w:iCs/>
        </w:rPr>
        <w:t xml:space="preserve"> </w:t>
      </w:r>
      <w:r>
        <w:t>(</w:t>
      </w:r>
      <w:r w:rsidRPr="00D14044">
        <w:rPr>
          <w:i/>
          <w:iCs/>
        </w:rPr>
        <w:t>Paracoccus interceptus</w:t>
      </w:r>
      <w:r>
        <w:t>), aerial root mealybug (</w:t>
      </w:r>
      <w:r w:rsidRPr="00D14044">
        <w:rPr>
          <w:i/>
        </w:rPr>
        <w:t>Pseudococcus baliteus</w:t>
      </w:r>
      <w:r>
        <w:t>), and citriculus mealybug</w:t>
      </w:r>
      <w:r w:rsidRPr="00D14044">
        <w:t xml:space="preserve"> </w:t>
      </w:r>
      <w:r>
        <w:t>(</w:t>
      </w:r>
      <w:r w:rsidRPr="00D14044">
        <w:rPr>
          <w:i/>
        </w:rPr>
        <w:t>Pseudococcus cryptus</w:t>
      </w:r>
      <w:r>
        <w:t>)</w:t>
      </w:r>
    </w:p>
    <w:p w:rsidR="00B52BB0" w:rsidRDefault="00B52BB0" w:rsidP="003E074D">
      <w:pPr>
        <w:pStyle w:val="ListParagraph"/>
        <w:numPr>
          <w:ilvl w:val="0"/>
          <w:numId w:val="23"/>
        </w:numPr>
      </w:pPr>
      <w:r>
        <w:t>Borers: litchi fruit borer</w:t>
      </w:r>
      <w:r w:rsidRPr="006D101F">
        <w:rPr>
          <w:i/>
          <w:iCs/>
        </w:rPr>
        <w:t xml:space="preserve"> </w:t>
      </w:r>
      <w:r>
        <w:t>(</w:t>
      </w:r>
      <w:r w:rsidRPr="006D101F">
        <w:rPr>
          <w:i/>
          <w:iCs/>
        </w:rPr>
        <w:t>Conopomorpha sinensis</w:t>
      </w:r>
      <w:r>
        <w:t>).</w:t>
      </w:r>
    </w:p>
    <w:p w:rsidR="00B52BB0" w:rsidRDefault="00B52BB0" w:rsidP="003E074D">
      <w:r>
        <w:t>Two thrips species, chilli thrips (</w:t>
      </w:r>
      <w:r w:rsidRPr="007A0FF2">
        <w:rPr>
          <w:i/>
        </w:rPr>
        <w:t>Scirtothrips dorsalis</w:t>
      </w:r>
      <w:r>
        <w:t>) and onion thrips (</w:t>
      </w:r>
      <w:r w:rsidRPr="007A0FF2">
        <w:rPr>
          <w:i/>
        </w:rPr>
        <w:t>Thrips tabaci</w:t>
      </w:r>
      <w:r>
        <w:t>), were assessed as regulated articles, as they are capable of harbouring and spreading emerging orthotospoviruses that are quarantine pests for Australia, and therefore require risk management measures. These 13 species (11 quarantine pests and two regulated articles)</w:t>
      </w:r>
      <w:r w:rsidRPr="00DE6E5D">
        <w:t xml:space="preserve"> </w:t>
      </w:r>
      <w:r>
        <w:t>have all been assessed previously by the department.</w:t>
      </w:r>
    </w:p>
    <w:p w:rsidR="00B52BB0" w:rsidRDefault="00B52BB0" w:rsidP="003E074D">
      <w:r>
        <w:t>Recommended</w:t>
      </w:r>
      <w:r w:rsidRPr="00813BCD">
        <w:t xml:space="preserve"> risk management measures take account of regional differences within Australia. Two pests</w:t>
      </w:r>
      <w:r>
        <w:t xml:space="preserve">, Pacific </w:t>
      </w:r>
      <w:r w:rsidRPr="00C31C00">
        <w:t>mealybug</w:t>
      </w:r>
      <w:r w:rsidRPr="00C31C00">
        <w:rPr>
          <w:i/>
          <w:iCs/>
        </w:rPr>
        <w:t xml:space="preserve"> </w:t>
      </w:r>
      <w:r w:rsidRPr="00C31C00">
        <w:t>(</w:t>
      </w:r>
      <w:r w:rsidRPr="00C31C00">
        <w:rPr>
          <w:i/>
          <w:iCs/>
        </w:rPr>
        <w:t>Planococcus minor</w:t>
      </w:r>
      <w:r w:rsidRPr="00C31C00">
        <w:t>)</w:t>
      </w:r>
      <w:r>
        <w:t xml:space="preserve"> and citriculus mealybug</w:t>
      </w:r>
      <w:r w:rsidRPr="00601D92">
        <w:rPr>
          <w:i/>
        </w:rPr>
        <w:t xml:space="preserve"> </w:t>
      </w:r>
      <w:r>
        <w:t>(</w:t>
      </w:r>
      <w:r w:rsidRPr="00601D92">
        <w:rPr>
          <w:i/>
        </w:rPr>
        <w:t>Pseudococcus cryptus</w:t>
      </w:r>
      <w:r>
        <w:t>), have been identified as regional quarantine pests for Western Australia because interstate quarantine regulations and enforcement are in place for these species.</w:t>
      </w:r>
    </w:p>
    <w:p w:rsidR="00B52BB0" w:rsidRDefault="00B52BB0" w:rsidP="003E074D">
      <w:r>
        <w:t xml:space="preserve">This final report recommends a range of risk management measures, combined with an operational system, to reduce the risks posed by </w:t>
      </w:r>
      <w:r w:rsidRPr="00DE6E5D">
        <w:t xml:space="preserve">the 13 </w:t>
      </w:r>
      <w:r>
        <w:t xml:space="preserve">identified </w:t>
      </w:r>
      <w:r w:rsidRPr="00DE6E5D">
        <w:t>species</w:t>
      </w:r>
      <w:r>
        <w:t xml:space="preserve"> (11 quarantine pests and two regulated articles) so as to achieve the appropriate level of protection for Australia. These measures include:</w:t>
      </w:r>
    </w:p>
    <w:p w:rsidR="00B52BB0" w:rsidRDefault="00B52BB0" w:rsidP="003E074D">
      <w:pPr>
        <w:pStyle w:val="ListParagraph"/>
        <w:numPr>
          <w:ilvl w:val="0"/>
          <w:numId w:val="18"/>
        </w:numPr>
      </w:pPr>
      <w:r>
        <w:t>area freedom or fruit treatment (such as irradiation or cold disinfestation treatment) for fruit flies</w:t>
      </w:r>
    </w:p>
    <w:p w:rsidR="00B52BB0" w:rsidRDefault="00B52BB0" w:rsidP="003E074D">
      <w:pPr>
        <w:pStyle w:val="ListParagraph"/>
        <w:numPr>
          <w:ilvl w:val="0"/>
          <w:numId w:val="18"/>
        </w:numPr>
      </w:pPr>
      <w:r>
        <w:lastRenderedPageBreak/>
        <w:t>pre-export visual inspection and, if found, remedial action for mealybugs and/or thrips</w:t>
      </w:r>
    </w:p>
    <w:p w:rsidR="00B52BB0" w:rsidDel="008A0A53" w:rsidRDefault="00B52BB0" w:rsidP="003E074D">
      <w:pPr>
        <w:pStyle w:val="ListParagraph"/>
        <w:numPr>
          <w:ilvl w:val="0"/>
          <w:numId w:val="18"/>
        </w:numPr>
      </w:pPr>
      <w:r w:rsidDel="008A0A53">
        <w:t>area freedom, fruit treatment (such as irradiation or cold disinfestation treatment) or a systems approach</w:t>
      </w:r>
      <w:r>
        <w:t xml:space="preserve"> approved by the Department of Agriculture and Water Resources</w:t>
      </w:r>
      <w:r w:rsidDel="008A0A53">
        <w:t xml:space="preserve"> for litchi fruit borer.</w:t>
      </w:r>
    </w:p>
    <w:p w:rsidR="00B52BB0" w:rsidRDefault="00B52BB0" w:rsidP="003E074D">
      <w:r>
        <w:t>Should Vietnam wish to use one or more of the recommended measures of area freedom, fruit treatment or a systems approach to manage the risk posed by fruit flies or litchi fruit borer, PPD will need to provide an appropriate technical submission to the department for its consideration.</w:t>
      </w:r>
    </w:p>
    <w:p w:rsidR="00B52BB0" w:rsidRDefault="00B52BB0" w:rsidP="003E074D">
      <w:r>
        <w:t>Every submission must, as appropriate:</w:t>
      </w:r>
    </w:p>
    <w:p w:rsidR="00B52BB0" w:rsidRDefault="00B52BB0" w:rsidP="003E074D">
      <w:pPr>
        <w:pStyle w:val="ListParagraph"/>
        <w:numPr>
          <w:ilvl w:val="0"/>
          <w:numId w:val="21"/>
        </w:numPr>
      </w:pPr>
      <w:r>
        <w:t>fulfil requirements as set out in ISPM 4</w:t>
      </w:r>
      <w:r w:rsidRPr="005D036A">
        <w:t xml:space="preserve"> </w:t>
      </w:r>
      <w:r>
        <w:rPr>
          <w:noProof/>
        </w:rPr>
        <w:t>(FAO 2017a)</w:t>
      </w:r>
      <w:r>
        <w:t xml:space="preserve"> and ISPM 10</w:t>
      </w:r>
      <w:r w:rsidRPr="005D036A">
        <w:t xml:space="preserve"> </w:t>
      </w:r>
      <w:r>
        <w:rPr>
          <w:noProof/>
        </w:rPr>
        <w:t>(FAO 2016b)</w:t>
      </w:r>
      <w:r>
        <w:t xml:space="preserve"> for area freedom for all relevant pests, and additionally ISPM 26 </w:t>
      </w:r>
      <w:r>
        <w:rPr>
          <w:noProof/>
        </w:rPr>
        <w:t>(FAO 2019b)</w:t>
      </w:r>
      <w:r>
        <w:t xml:space="preserve"> for area freedom for fruit flies,</w:t>
      </w:r>
    </w:p>
    <w:p w:rsidR="00B52BB0" w:rsidRDefault="00B52BB0" w:rsidP="003E074D">
      <w:pPr>
        <w:pStyle w:val="ListParagraph"/>
        <w:numPr>
          <w:ilvl w:val="0"/>
          <w:numId w:val="21"/>
        </w:numPr>
      </w:pPr>
      <w:r w:rsidRPr="00987CFA">
        <w:t xml:space="preserve">fulfil requirements as set out in ISPM 18 </w:t>
      </w:r>
      <w:r>
        <w:rPr>
          <w:noProof/>
        </w:rPr>
        <w:t>(FAO 2016c)</w:t>
      </w:r>
      <w:r>
        <w:t xml:space="preserve"> for irradiation for relevant pests,</w:t>
      </w:r>
    </w:p>
    <w:p w:rsidR="00B52BB0" w:rsidRDefault="00B52BB0" w:rsidP="003E074D">
      <w:pPr>
        <w:pStyle w:val="ListParagraph"/>
        <w:numPr>
          <w:ilvl w:val="0"/>
          <w:numId w:val="21"/>
        </w:numPr>
      </w:pPr>
      <w:r>
        <w:t xml:space="preserve">fulfil requirements as set out in ISPM 14 </w:t>
      </w:r>
      <w:r>
        <w:rPr>
          <w:noProof/>
        </w:rPr>
        <w:t>(FAO 2017c)</w:t>
      </w:r>
      <w:r>
        <w:t xml:space="preserve"> for a systems approach for litchi fruit borer, and/or</w:t>
      </w:r>
    </w:p>
    <w:p w:rsidR="00B52BB0" w:rsidRDefault="00B52BB0" w:rsidP="003E074D">
      <w:pPr>
        <w:pStyle w:val="ListParagraph"/>
        <w:numPr>
          <w:ilvl w:val="0"/>
          <w:numId w:val="21"/>
        </w:numPr>
      </w:pPr>
      <w:proofErr w:type="gramStart"/>
      <w:r w:rsidRPr="00905CED">
        <w:t>demonstrate</w:t>
      </w:r>
      <w:proofErr w:type="gramEnd"/>
      <w:r w:rsidRPr="00905CED">
        <w:t xml:space="preserve"> the processes and procedures for the registration, approval and audit of disinfestation treatment facilities.</w:t>
      </w:r>
    </w:p>
    <w:p w:rsidR="00B52BB0" w:rsidRDefault="00B52BB0" w:rsidP="003E074D">
      <w:r>
        <w:t xml:space="preserve">Written submissions on the draft report were received from five stakeholders. </w:t>
      </w:r>
      <w:r w:rsidRPr="00307CD1">
        <w:t xml:space="preserve">The department has made a number of changes to the </w:t>
      </w:r>
      <w:r>
        <w:t>report</w:t>
      </w:r>
      <w:r w:rsidRPr="00307CD1">
        <w:t xml:space="preserve"> following consideration of </w:t>
      </w:r>
      <w:r>
        <w:t xml:space="preserve">technical </w:t>
      </w:r>
      <w:r w:rsidRPr="00307CD1">
        <w:t>stakeholder comments and subsequent review of the literature. These changes include:</w:t>
      </w:r>
    </w:p>
    <w:p w:rsidR="00B52BB0" w:rsidRDefault="00B52BB0" w:rsidP="003E074D">
      <w:pPr>
        <w:pStyle w:val="ListParagraph"/>
        <w:numPr>
          <w:ilvl w:val="0"/>
          <w:numId w:val="20"/>
        </w:numPr>
      </w:pPr>
      <w:r>
        <w:t xml:space="preserve">The addition of two species of mealybug, </w:t>
      </w:r>
      <w:r>
        <w:rPr>
          <w:i/>
        </w:rPr>
        <w:t>Planococcus angkorensis and Pseudococcus baliteus (aerial root mealybug),</w:t>
      </w:r>
      <w:r>
        <w:t xml:space="preserve"> to the pest categorisation table (Appendix A).</w:t>
      </w:r>
      <w:r w:rsidRPr="002E6F45">
        <w:t xml:space="preserve"> </w:t>
      </w:r>
      <w:r>
        <w:t xml:space="preserve">Following a review of available scientific literature, these species are now recognised as present in Vietnam and associated with longan trees. </w:t>
      </w:r>
      <w:r w:rsidRPr="003A1CDD">
        <w:rPr>
          <w:i/>
        </w:rPr>
        <w:t>Planococcus balit</w:t>
      </w:r>
      <w:r>
        <w:rPr>
          <w:i/>
        </w:rPr>
        <w:t>e</w:t>
      </w:r>
      <w:r w:rsidRPr="003A1CDD">
        <w:rPr>
          <w:i/>
        </w:rPr>
        <w:t>us</w:t>
      </w:r>
      <w:r w:rsidRPr="002E6F45">
        <w:t xml:space="preserve"> was subsequently assessed further in the mealybug pest risk assessment </w:t>
      </w:r>
      <w:r>
        <w:t xml:space="preserve">due to its potential association with longan fruit, </w:t>
      </w:r>
      <w:r w:rsidRPr="002E6F45">
        <w:t xml:space="preserve">and </w:t>
      </w:r>
      <w:r>
        <w:t xml:space="preserve">has been determined to </w:t>
      </w:r>
      <w:r w:rsidRPr="002E6F45">
        <w:t>require risk</w:t>
      </w:r>
      <w:r>
        <w:t xml:space="preserve"> management measures.</w:t>
      </w:r>
    </w:p>
    <w:p w:rsidR="00B52BB0" w:rsidRDefault="00B52BB0" w:rsidP="003E074D">
      <w:pPr>
        <w:pStyle w:val="ListParagraph"/>
        <w:numPr>
          <w:ilvl w:val="0"/>
          <w:numId w:val="20"/>
        </w:numPr>
      </w:pPr>
      <w:r>
        <w:t xml:space="preserve">Amendments to the assessment of </w:t>
      </w:r>
      <w:r>
        <w:rPr>
          <w:i/>
        </w:rPr>
        <w:t xml:space="preserve">Zeugodacus cucurbitae </w:t>
      </w:r>
      <w:r>
        <w:t>(melon fly). Following a review of available scientific literature, this species is now not considered to be associated with the longan fruit pathway. The pest categorisation table (Appendix A) and the risk management measures (Chapter 5) have been amended to reflect this change.</w:t>
      </w:r>
    </w:p>
    <w:p w:rsidR="00B52BB0" w:rsidRDefault="00B52BB0" w:rsidP="003E074D">
      <w:pPr>
        <w:pStyle w:val="ListParagraph"/>
        <w:numPr>
          <w:ilvl w:val="0"/>
          <w:numId w:val="20"/>
        </w:numPr>
      </w:pPr>
      <w:r>
        <w:t xml:space="preserve">The addition of </w:t>
      </w:r>
      <w:r w:rsidRPr="00307CD1">
        <w:t xml:space="preserve">Appendix B ‘Issues raised in stakeholder comments’, which summarises key </w:t>
      </w:r>
      <w:r>
        <w:t>technical</w:t>
      </w:r>
      <w:r w:rsidRPr="00307CD1">
        <w:t xml:space="preserve"> comments</w:t>
      </w:r>
      <w:r>
        <w:t xml:space="preserve"> from stakeholders, for example on </w:t>
      </w:r>
      <w:r>
        <w:rPr>
          <w:i/>
        </w:rPr>
        <w:t xml:space="preserve">Longan Witches Broom Disease </w:t>
      </w:r>
      <w:r>
        <w:t xml:space="preserve">and </w:t>
      </w:r>
      <w:r>
        <w:rPr>
          <w:i/>
        </w:rPr>
        <w:t>Zeugodacus cucurbitae</w:t>
      </w:r>
      <w:r>
        <w:t>, and how technical issues were considered in the final report.</w:t>
      </w:r>
    </w:p>
    <w:p w:rsidR="00B52BB0" w:rsidRDefault="00B52BB0" w:rsidP="003E074D">
      <w:pPr>
        <w:pStyle w:val="ListParagraph"/>
        <w:numPr>
          <w:ilvl w:val="0"/>
          <w:numId w:val="20"/>
        </w:numPr>
      </w:pPr>
      <w:r>
        <w:t>Minor corrections, rewording, and editorial changes for consistency, clarity, and web–accessibility.</w:t>
      </w:r>
    </w:p>
    <w:p w:rsidR="00B52BB0" w:rsidRDefault="00B52BB0" w:rsidP="003E074D">
      <w:pPr>
        <w:pStyle w:val="Heading2"/>
        <w:sectPr w:rsidR="00B52BB0" w:rsidSect="003E074D">
          <w:headerReference w:type="default" r:id="rId23"/>
          <w:footerReference w:type="default" r:id="rId24"/>
          <w:pgSz w:w="11906" w:h="16838"/>
          <w:pgMar w:top="1418" w:right="1418" w:bottom="1418" w:left="1418" w:header="567" w:footer="283" w:gutter="0"/>
          <w:pgNumType w:start="1"/>
          <w:cols w:space="708"/>
          <w:docGrid w:linePitch="360"/>
        </w:sectPr>
      </w:pPr>
    </w:p>
    <w:p w:rsidR="00B52BB0" w:rsidRDefault="00B52BB0" w:rsidP="003E074D">
      <w:pPr>
        <w:pStyle w:val="Heading2"/>
      </w:pPr>
      <w:bookmarkStart w:id="6" w:name="_Toc7607662"/>
      <w:r>
        <w:lastRenderedPageBreak/>
        <w:t>Introduction</w:t>
      </w:r>
      <w:bookmarkEnd w:id="6"/>
    </w:p>
    <w:p w:rsidR="00B52BB0" w:rsidRDefault="00B52BB0" w:rsidP="003E074D">
      <w:pPr>
        <w:pStyle w:val="Heading3"/>
      </w:pPr>
      <w:bookmarkStart w:id="7" w:name="_Toc7607663"/>
      <w:r>
        <w:t>Australia’s biosecurity policy framework</w:t>
      </w:r>
      <w:bookmarkEnd w:id="7"/>
    </w:p>
    <w:p w:rsidR="00B52BB0" w:rsidRDefault="00B52BB0" w:rsidP="003E074D">
      <w:r>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rsidR="00B52BB0" w:rsidRDefault="00B52BB0" w:rsidP="003E074D">
      <w:r>
        <w:t>The risk analysis process is an important part of Australia’s biosecurity policies. It enables the Australian Government to formally consider the level of biosecurity risk that may be associated with proposals to import goods into Australia. If the biosecurity risks do not achieve the appropriate level of protection (ALOP) for Australia, risk management measures are recommended to reduce the risks to an acceptable level. If the risks cannot be reduced to an acceptable level, the goods will not be imported into Australia until suitable measures are identified.</w:t>
      </w:r>
    </w:p>
    <w:p w:rsidR="00B52BB0" w:rsidRDefault="00B52BB0" w:rsidP="003E074D">
      <w:r>
        <w:t xml:space="preserve">Successive Australian Governments have maintained a stringent, but not a zero risk, approach to the management of biosecurity risks. This approach is expressed in terms of the ALOP for Australia, which is defined in the </w:t>
      </w:r>
      <w:r>
        <w:rPr>
          <w:i/>
        </w:rPr>
        <w:t>Biosecurity Act 2015</w:t>
      </w:r>
      <w:r>
        <w:t xml:space="preserve"> as providing a high level of protection aimed at reducing risk to a very low level, but not to zero.</w:t>
      </w:r>
    </w:p>
    <w:p w:rsidR="00B52BB0" w:rsidRDefault="00B52BB0" w:rsidP="003E074D">
      <w:r>
        <w:t>Australia’s risk analyses are undertaken by the Department of Agriculture and Water Resources using technical and scientific experts in relevant fields, and involve consultation with stakeholders at various stages during the process.</w:t>
      </w:r>
    </w:p>
    <w:p w:rsidR="00B52BB0" w:rsidRDefault="00B52BB0" w:rsidP="003E074D">
      <w:r>
        <w:t>Risk analyses may take the form of a biosecurity import risk analysis (BIRA) or a review of biosecurity import requirements</w:t>
      </w:r>
      <w:r w:rsidRPr="00CF362C">
        <w:rPr>
          <w:color w:val="000000" w:themeColor="text1"/>
        </w:rPr>
        <w:t xml:space="preserve"> (such as scientific review of existing policy and import conditions, pest-specific assessments, weed risk assessments, biological control agent assessments or scientific advice</w:t>
      </w:r>
      <w:r>
        <w:t>).</w:t>
      </w:r>
    </w:p>
    <w:p w:rsidR="00B52BB0" w:rsidRDefault="00B52BB0" w:rsidP="003E074D">
      <w:r>
        <w:t xml:space="preserve">Further information about Australia’s biosecurity framework is provided in the </w:t>
      </w:r>
      <w:r>
        <w:rPr>
          <w:i/>
          <w:iCs/>
        </w:rPr>
        <w:t>Biosecurity</w:t>
      </w:r>
      <w:r>
        <w:t xml:space="preserve"> </w:t>
      </w:r>
      <w:r>
        <w:rPr>
          <w:i/>
          <w:iCs/>
        </w:rPr>
        <w:t>Import Risk Analysis Guidelines 2016</w:t>
      </w:r>
      <w:r>
        <w:t xml:space="preserve"> located on the </w:t>
      </w:r>
      <w:hyperlink r:id="rId25" w:history="1">
        <w:r>
          <w:rPr>
            <w:rStyle w:val="Hyperlink"/>
          </w:rPr>
          <w:t>Department of Agriculture and Water Resources website</w:t>
        </w:r>
      </w:hyperlink>
      <w:r>
        <w:t>.</w:t>
      </w:r>
    </w:p>
    <w:p w:rsidR="00B52BB0" w:rsidRDefault="00B52BB0" w:rsidP="003E074D">
      <w:pPr>
        <w:pStyle w:val="Heading3"/>
      </w:pPr>
      <w:bookmarkStart w:id="8" w:name="_Toc7607664"/>
      <w:r>
        <w:t>This risk analysis</w:t>
      </w:r>
      <w:bookmarkEnd w:id="8"/>
    </w:p>
    <w:p w:rsidR="00B52BB0" w:rsidRDefault="00B52BB0" w:rsidP="003E074D">
      <w:pPr>
        <w:pStyle w:val="Heading4"/>
      </w:pPr>
      <w:r>
        <w:t>Background</w:t>
      </w:r>
    </w:p>
    <w:p w:rsidR="00B52BB0" w:rsidRDefault="00B52BB0" w:rsidP="003E074D">
      <w:r>
        <w:t>Vietnam’s Plant Protection Department (PPD) formally requested market access to Australia for fresh longan fruit for human consumption in a submission received in March 2017. This submission included information on the pests associated with longan crops in Vietnam, including the plant part affected and the standard commercial production practices for fresh longan fruit in Vietnam.</w:t>
      </w:r>
    </w:p>
    <w:p w:rsidR="00B52BB0" w:rsidRDefault="00B52BB0" w:rsidP="003E074D">
      <w:r>
        <w:t>Further technical information was provided by PPD in a letter dated 4 July 2018. This was in response to a request from the department for additional information on several pest species.</w:t>
      </w:r>
    </w:p>
    <w:p w:rsidR="00B52BB0" w:rsidRDefault="00B52BB0" w:rsidP="003E074D">
      <w:r>
        <w:t xml:space="preserve">On 14 March 2018, the department publicly announced the commencement of this risk analysis, advising that it would be progressed as a review of biosecurity import requirements. This analysis is conducted in accordance with Section 174 of the </w:t>
      </w:r>
      <w:r>
        <w:rPr>
          <w:i/>
        </w:rPr>
        <w:t>Biosecurity Act 2015</w:t>
      </w:r>
      <w:r>
        <w:t>.</w:t>
      </w:r>
    </w:p>
    <w:p w:rsidR="00B52BB0" w:rsidRDefault="00B52BB0" w:rsidP="003E074D">
      <w:r>
        <w:lastRenderedPageBreak/>
        <w:t>In February and August of 2018, Australian Government officials visited longan production areas in Vietnam. The objective of these visits was to observe commercial production, pest management and other export practices.</w:t>
      </w:r>
    </w:p>
    <w:p w:rsidR="00B52BB0" w:rsidRDefault="00B52BB0" w:rsidP="003E074D">
      <w:pPr>
        <w:pStyle w:val="Heading4"/>
      </w:pPr>
      <w:r>
        <w:t>Scope</w:t>
      </w:r>
    </w:p>
    <w:p w:rsidR="00B52BB0" w:rsidRDefault="00B52BB0" w:rsidP="003E074D">
      <w:r>
        <w:t>The scope of this risk analysis is to consider the biosecurity risk that may be associated with the pathway of fresh longan fruit (</w:t>
      </w:r>
      <w:r>
        <w:rPr>
          <w:i/>
        </w:rPr>
        <w:t>Dimocarpus longan</w:t>
      </w:r>
      <w:r>
        <w:t>) grown in Vietnam using typical commercial production and packing procedures for import into Australia for human consumption.</w:t>
      </w:r>
    </w:p>
    <w:p w:rsidR="00B52BB0" w:rsidRDefault="00B52BB0" w:rsidP="003E074D">
      <w:r>
        <w:t xml:space="preserve">For the purposes of this risk analysis, longan fruit are defined as fruit with the skin, aril (edible flesh), seed and potentially a section of individual </w:t>
      </w:r>
      <w:r w:rsidRPr="009377C0">
        <w:t>pedicel (stem)</w:t>
      </w:r>
      <w:r>
        <w:t xml:space="preserve"> attached (</w:t>
      </w:r>
      <w:r>
        <w:fldChar w:fldCharType="begin"/>
      </w:r>
      <w:r>
        <w:instrText xml:space="preserve"> REF _Ref522717552 \h </w:instrText>
      </w:r>
      <w:r>
        <w:fldChar w:fldCharType="separate"/>
      </w:r>
      <w:r w:rsidR="00EA7374" w:rsidRPr="00FD584C">
        <w:t xml:space="preserve">Figure </w:t>
      </w:r>
      <w:r w:rsidR="00EA7374">
        <w:rPr>
          <w:noProof/>
        </w:rPr>
        <w:t>1</w:t>
      </w:r>
      <w:r>
        <w:fldChar w:fldCharType="end"/>
      </w:r>
      <w:r>
        <w:t>).</w:t>
      </w:r>
    </w:p>
    <w:p w:rsidR="00B52BB0" w:rsidRPr="00FD584C" w:rsidRDefault="00B52BB0" w:rsidP="003E074D">
      <w:pPr>
        <w:pStyle w:val="Caption"/>
      </w:pPr>
      <w:bookmarkStart w:id="9" w:name="_Ref522717552"/>
      <w:bookmarkStart w:id="10" w:name="_Toc7607533"/>
      <w:r w:rsidRPr="00FD584C">
        <w:t xml:space="preserve">Figure </w:t>
      </w:r>
      <w:r>
        <w:rPr>
          <w:noProof/>
        </w:rPr>
        <w:fldChar w:fldCharType="begin"/>
      </w:r>
      <w:r>
        <w:rPr>
          <w:noProof/>
        </w:rPr>
        <w:instrText xml:space="preserve"> SEQ Figure \* ARABIC </w:instrText>
      </w:r>
      <w:r>
        <w:rPr>
          <w:noProof/>
        </w:rPr>
        <w:fldChar w:fldCharType="separate"/>
      </w:r>
      <w:r w:rsidR="00EA7374">
        <w:rPr>
          <w:noProof/>
        </w:rPr>
        <w:t>1</w:t>
      </w:r>
      <w:r>
        <w:rPr>
          <w:noProof/>
        </w:rPr>
        <w:fldChar w:fldCharType="end"/>
      </w:r>
      <w:bookmarkEnd w:id="9"/>
      <w:r w:rsidRPr="00FD584C">
        <w:t xml:space="preserve"> Diagram of longan fruit</w:t>
      </w:r>
      <w:bookmarkEnd w:id="10"/>
    </w:p>
    <w:p w:rsidR="00B52BB0" w:rsidRDefault="00B52BB0" w:rsidP="003E074D">
      <w:pPr>
        <w:pStyle w:val="Picture"/>
      </w:pPr>
      <w:r>
        <w:drawing>
          <wp:inline distT="0" distB="0" distL="0" distR="0" wp14:anchorId="43139B84" wp14:editId="0EEE2DE0">
            <wp:extent cx="5752332" cy="4761865"/>
            <wp:effectExtent l="0" t="0" r="1270" b="635"/>
            <wp:docPr id="11" name="Picture 11" descr="Diagram of a whole longan and a cut longan showing the Pedicel, Skin, Aril (flesh) and Seed" title="Longan fruit stru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52332" cy="4761865"/>
                    </a:xfrm>
                    <a:prstGeom prst="rect">
                      <a:avLst/>
                    </a:prstGeom>
                    <a:noFill/>
                    <a:ln>
                      <a:noFill/>
                    </a:ln>
                  </pic:spPr>
                </pic:pic>
              </a:graphicData>
            </a:graphic>
          </wp:inline>
        </w:drawing>
      </w:r>
    </w:p>
    <w:p w:rsidR="00B52BB0" w:rsidRDefault="00B52BB0" w:rsidP="003E074D">
      <w:pPr>
        <w:pStyle w:val="FigureTableNoteSource"/>
      </w:pPr>
      <w:r>
        <w:t xml:space="preserve">Adapted from </w:t>
      </w:r>
      <w:hyperlink r:id="rId27" w:history="1">
        <w:r w:rsidRPr="0021116B">
          <w:rPr>
            <w:rStyle w:val="Hyperlink"/>
          </w:rPr>
          <w:t>www.123rf.com/stock-photo</w:t>
        </w:r>
      </w:hyperlink>
      <w:r>
        <w:t>. Modified based on information from PPD.</w:t>
      </w:r>
    </w:p>
    <w:p w:rsidR="00B52BB0" w:rsidRDefault="00B52BB0" w:rsidP="003E074D">
      <w:pPr>
        <w:pStyle w:val="Heading4"/>
      </w:pPr>
      <w:r>
        <w:t>Existing policy</w:t>
      </w:r>
    </w:p>
    <w:p w:rsidR="00B52BB0" w:rsidRDefault="00B52BB0" w:rsidP="003E074D">
      <w:pPr>
        <w:pStyle w:val="Heading5"/>
      </w:pPr>
      <w:r>
        <w:t>International policy</w:t>
      </w:r>
    </w:p>
    <w:p w:rsidR="00B52BB0" w:rsidRDefault="00B52BB0" w:rsidP="003E074D">
      <w:r>
        <w:t xml:space="preserve">Import policy exists for fresh longan fruit from China and Thailand </w:t>
      </w:r>
      <w:r>
        <w:rPr>
          <w:noProof/>
        </w:rPr>
        <w:t>(DAFF 2004)</w:t>
      </w:r>
      <w:r>
        <w:t>.</w:t>
      </w:r>
    </w:p>
    <w:p w:rsidR="00B52BB0" w:rsidRDefault="00B52BB0" w:rsidP="003E074D">
      <w:r>
        <w:t xml:space="preserve">Import policies also exist for a number of fresh fruit commodities from Asia, including from Vietnam. Examples include lychee fruit from Taiwan and Vietnam </w:t>
      </w:r>
      <w:r>
        <w:rPr>
          <w:noProof/>
        </w:rPr>
        <w:t>(DAFF 2013)</w:t>
      </w:r>
      <w:r>
        <w:t xml:space="preserve">, dragon fruit from Vietnam </w:t>
      </w:r>
      <w:r>
        <w:rPr>
          <w:noProof/>
        </w:rPr>
        <w:t>(Department of Agriculture and Water Resources 2017)</w:t>
      </w:r>
      <w:r>
        <w:t xml:space="preserve">, and mangoes from the </w:t>
      </w:r>
      <w:r>
        <w:lastRenderedPageBreak/>
        <w:t xml:space="preserve">Philippines </w:t>
      </w:r>
      <w:r>
        <w:rPr>
          <w:noProof/>
        </w:rPr>
        <w:t>(AQIS 1999)</w:t>
      </w:r>
      <w:r>
        <w:t xml:space="preserve">, Taiwan </w:t>
      </w:r>
      <w:r>
        <w:rPr>
          <w:noProof/>
        </w:rPr>
        <w:t>(Biosecurity Australia 2006)</w:t>
      </w:r>
      <w:r>
        <w:t xml:space="preserve">, Indonesia, Thailand and Vietnam </w:t>
      </w:r>
      <w:r>
        <w:rPr>
          <w:noProof/>
        </w:rPr>
        <w:t>(Department of Agriculture and Water Resources 2015)</w:t>
      </w:r>
      <w:r>
        <w:t xml:space="preserve">. </w:t>
      </w:r>
      <w:r w:rsidRPr="0034439B">
        <w:t xml:space="preserve">The potential pests of biosecurity concern identified for fresh longan fruit from Vietnam are the same as those </w:t>
      </w:r>
      <w:r>
        <w:t xml:space="preserve">identified for </w:t>
      </w:r>
      <w:r w:rsidRPr="0034439B">
        <w:t>commodities for which import conditions exist.</w:t>
      </w:r>
    </w:p>
    <w:p w:rsidR="00B52BB0" w:rsidRDefault="00B52BB0" w:rsidP="003E074D">
      <w:r>
        <w:t xml:space="preserve">The import requirements for these commodity pathways can be found at the department’s Biosecurity Import Conditions (BICON) system on the </w:t>
      </w:r>
      <w:r w:rsidRPr="000D7241">
        <w:t>department’s website at</w:t>
      </w:r>
      <w:r w:rsidRPr="0034439B">
        <w:t xml:space="preserve"> </w:t>
      </w:r>
      <w:hyperlink r:id="rId28" w:history="1">
        <w:r w:rsidRPr="00A0794A">
          <w:rPr>
            <w:rStyle w:val="Hyperlink"/>
          </w:rPr>
          <w:t>https://bicon.agriculture.gov.au/BiconWeb4.0</w:t>
        </w:r>
      </w:hyperlink>
      <w:r>
        <w:t>.</w:t>
      </w:r>
    </w:p>
    <w:p w:rsidR="00B52BB0" w:rsidRDefault="00B52BB0" w:rsidP="003E074D">
      <w:r w:rsidRPr="007A695F">
        <w:t xml:space="preserve">The department has </w:t>
      </w:r>
      <w:r>
        <w:t>considered</w:t>
      </w:r>
      <w:r w:rsidRPr="007A695F">
        <w:t xml:space="preserve"> all the</w:t>
      </w:r>
      <w:r>
        <w:t xml:space="preserve"> pests </w:t>
      </w:r>
      <w:r w:rsidRPr="007A695F">
        <w:t xml:space="preserve">previously identified in existing policies and, where relevant, the information in those assessments has been </w:t>
      </w:r>
      <w:r>
        <w:t>taken into account</w:t>
      </w:r>
      <w:r w:rsidRPr="007A695F">
        <w:t xml:space="preserve"> in this risk analysis. The department has also reviewed the latest literature to ensure that information in previous assessments is still valid. The biosecurity risk posed by thrips, and the orthotospoviruses they transmit, from all countries was previously assessed in the </w:t>
      </w:r>
      <w:r w:rsidRPr="00F4407B">
        <w:rPr>
          <w:i/>
        </w:rPr>
        <w:t>Final group pest risk analysis for thrips and orthotospoviruses on fresh fruit, vegetable, cut-flower and foliage imports</w:t>
      </w:r>
      <w:r w:rsidRPr="007A695F">
        <w:t xml:space="preserve"> </w:t>
      </w:r>
      <w:r>
        <w:rPr>
          <w:noProof/>
        </w:rPr>
        <w:t>(Australian Government Department of Agriculture and Water Resources 2017)</w:t>
      </w:r>
      <w:r w:rsidRPr="007A695F">
        <w:t xml:space="preserve"> (thrips group PRA), which is applicable to </w:t>
      </w:r>
      <w:r>
        <w:t>longan fruit from Vietnam</w:t>
      </w:r>
      <w:r w:rsidRPr="007A695F">
        <w:t>. The department has determined that the information in those assessments can be adopted for the species under consideration in this risk analysis.</w:t>
      </w:r>
    </w:p>
    <w:p w:rsidR="00B52BB0" w:rsidRDefault="00B52BB0" w:rsidP="003E074D">
      <w:pPr>
        <w:pStyle w:val="Heading5"/>
      </w:pPr>
      <w:r>
        <w:t>Domestic arrangements</w:t>
      </w:r>
    </w:p>
    <w:p w:rsidR="00B52BB0" w:rsidRDefault="00B52BB0">
      <w:r>
        <w:t>The Australian Government is responsible for regulating the movement of goods such as plants and plant products into and out of Australia. However, the state and territory governments are responsible for plant health controls within their individual jurisdiction. Legislation relating to resource management or plant health may be used by state and territory government agencies to control interstate movement of plants and their products. Once plant and plant products have been cleared by Australian Government biosecurity officers, they may be subject to interstate movement regulations/arrangements. It is the importer’s responsibility to identify and ensure compliance with all requirements.</w:t>
      </w:r>
    </w:p>
    <w:p w:rsidR="00B52BB0" w:rsidRDefault="00B52BB0" w:rsidP="003E074D">
      <w:pPr>
        <w:pStyle w:val="Heading4"/>
      </w:pPr>
      <w:r>
        <w:t>Contaminating pests</w:t>
      </w:r>
    </w:p>
    <w:p w:rsidR="00B52BB0" w:rsidRDefault="00B52BB0" w:rsidP="003E074D">
      <w:r w:rsidRPr="00AC5A6D">
        <w:t xml:space="preserve">In addition to the pests of longan fruit from Vietnam that are assessed in this risk analysis, there are other organisms that may arrive with the imported </w:t>
      </w:r>
      <w:r>
        <w:t>commodity</w:t>
      </w:r>
      <w:r w:rsidRPr="00AC5A6D">
        <w:t>. These organisms could include pests of other crops</w:t>
      </w:r>
      <w:r>
        <w:t>,</w:t>
      </w:r>
      <w:r w:rsidRPr="00AC5A6D">
        <w:t xml:space="preserve"> or predators and parasitoids of other </w:t>
      </w:r>
      <w:r>
        <w:t>arthropods</w:t>
      </w:r>
      <w:r w:rsidRPr="00AC5A6D">
        <w:t>. The department considers these organisms to be contaminating pests that could pose sanitary</w:t>
      </w:r>
      <w:r>
        <w:t xml:space="preserve"> (human or animal life or health)</w:t>
      </w:r>
      <w:r w:rsidRPr="00AC5A6D">
        <w:t xml:space="preserve"> and phytosanitary</w:t>
      </w:r>
      <w:r>
        <w:t xml:space="preserve"> (plant life or health)</w:t>
      </w:r>
      <w:r w:rsidRPr="00AC5A6D">
        <w:t xml:space="preserve"> risks. These risks are identified and addressed using existing operational procedures that require a 600</w:t>
      </w:r>
      <w:r>
        <w:t> </w:t>
      </w:r>
      <w:r w:rsidRPr="00AC5A6D">
        <w:t xml:space="preserve">unit </w:t>
      </w:r>
      <w:r>
        <w:t xml:space="preserve">on-arrival </w:t>
      </w:r>
      <w:r w:rsidRPr="00AC5A6D">
        <w:t>inspection of all consignments, or equivalent</w:t>
      </w:r>
      <w:r>
        <w:t xml:space="preserve"> procedures</w:t>
      </w:r>
      <w:r w:rsidRPr="00AC5A6D">
        <w:t xml:space="preserve">. The department will investigate if any pest identified </w:t>
      </w:r>
      <w:r>
        <w:t xml:space="preserve">through these processes </w:t>
      </w:r>
      <w:r w:rsidRPr="00AC5A6D">
        <w:t>may be of quarantine concern to Australia</w:t>
      </w:r>
      <w:r>
        <w:t>,</w:t>
      </w:r>
      <w:r w:rsidRPr="00AC5A6D">
        <w:t xml:space="preserve"> and</w:t>
      </w:r>
      <w:r>
        <w:t xml:space="preserve"> thus may</w:t>
      </w:r>
      <w:r w:rsidRPr="00AC5A6D">
        <w:t xml:space="preserve"> require remedial action.</w:t>
      </w:r>
    </w:p>
    <w:p w:rsidR="00B52BB0" w:rsidRDefault="00B52BB0" w:rsidP="003E074D">
      <w:pPr>
        <w:pStyle w:val="Heading4"/>
      </w:pPr>
      <w:r>
        <w:t>Consultation</w:t>
      </w:r>
    </w:p>
    <w:p w:rsidR="00B52BB0" w:rsidRDefault="00B52BB0" w:rsidP="003E074D">
      <w:r>
        <w:t>On 14 March 2018 the department notified stakeholders, in Biosecurity Advice 2018/03, of the commencement of a review of biosecurity import requirements for fresh longan fruit from Vietnam.</w:t>
      </w:r>
    </w:p>
    <w:p w:rsidR="00B52BB0" w:rsidRDefault="00B52BB0" w:rsidP="003E074D">
      <w:r>
        <w:t>Prior to and after the commencement of this risk analysis, the department engaged with Australian longan growers regarding the process for this risk analysis.</w:t>
      </w:r>
    </w:p>
    <w:p w:rsidR="00B52BB0" w:rsidRDefault="00B52BB0" w:rsidP="003E074D">
      <w:r>
        <w:lastRenderedPageBreak/>
        <w:t>The department has also consulted with Vietnam’s PPD and Australian state and territory governments during the preparation of this report.</w:t>
      </w:r>
    </w:p>
    <w:p w:rsidR="00B52BB0" w:rsidRDefault="00B52BB0" w:rsidP="003E074D">
      <w:r>
        <w:t>The draft report was released on 10 December 2018 (Biosecurity Advice 2018/31) for comment by stakeholders, for an extended consultation period of 75 days that concluded on 25 February 2019. The extension of the consultation period was to accommodate the Christmas and New Year holiday period in Australia.</w:t>
      </w:r>
    </w:p>
    <w:p w:rsidR="00B52BB0" w:rsidRPr="00AB277A" w:rsidDel="009950D5" w:rsidRDefault="00B52BB0" w:rsidP="003E074D">
      <w:r>
        <w:t>The department received five written submissions on the draft report. All submissions received, and issues raised by domestic stakeholders during the consultation period, were carefully considered and, where relevant, changes were made to the final report. A summary of key technical stakeholder comments and how they were considered is provided in Appendix B.</w:t>
      </w:r>
    </w:p>
    <w:p w:rsidR="00B52BB0" w:rsidRDefault="00B52BB0" w:rsidP="003E074D">
      <w:pPr>
        <w:pStyle w:val="Heading4"/>
      </w:pPr>
      <w:r>
        <w:t>Next Steps</w:t>
      </w:r>
    </w:p>
    <w:p w:rsidR="00B52BB0" w:rsidRDefault="00B52BB0" w:rsidP="003E074D">
      <w:r>
        <w:t xml:space="preserve">The final report will be published on the department’s website along with a notice advising stakeholders of its release. The department will also notify Vietnam’s PPD, registered stakeholders and the WTO Secretariat about the release of the final report. Publication of the final report represents the end of the risk analysis process. </w:t>
      </w:r>
      <w:r w:rsidRPr="0088401B">
        <w:t>The biosecurity requirements recommended in the final report will form the basis of the conditions published in the Biosecurity Import Conditions (BICON</w:t>
      </w:r>
      <w:r>
        <w:t>) system and subsequently</w:t>
      </w:r>
      <w:r w:rsidRPr="00501F36">
        <w:t xml:space="preserve"> </w:t>
      </w:r>
      <w:r>
        <w:t xml:space="preserve">for </w:t>
      </w:r>
      <w:r w:rsidRPr="00501F36">
        <w:t>any import permits issued.</w:t>
      </w:r>
      <w:r>
        <w:t xml:space="preserve"> The department will verify that Vietnam can meet the recommended biosecurity requirements before any trade in longans to Australia commences.</w:t>
      </w:r>
    </w:p>
    <w:p w:rsidR="00B52BB0" w:rsidRDefault="00B52BB0"/>
    <w:p w:rsidR="00B52BB0" w:rsidRDefault="00B52BB0" w:rsidP="003E074D">
      <w:pPr>
        <w:pStyle w:val="Heading2"/>
        <w:sectPr w:rsidR="00B52BB0" w:rsidSect="003E074D">
          <w:headerReference w:type="default" r:id="rId29"/>
          <w:pgSz w:w="11906" w:h="16838"/>
          <w:pgMar w:top="1418" w:right="1418" w:bottom="1418" w:left="1418" w:header="567" w:footer="283" w:gutter="0"/>
          <w:cols w:space="708"/>
          <w:docGrid w:linePitch="360"/>
        </w:sectPr>
      </w:pPr>
    </w:p>
    <w:p w:rsidR="00B52BB0" w:rsidRDefault="00B52BB0" w:rsidP="003E074D">
      <w:pPr>
        <w:pStyle w:val="Heading2"/>
      </w:pPr>
      <w:bookmarkStart w:id="11" w:name="_Toc7607665"/>
      <w:r>
        <w:lastRenderedPageBreak/>
        <w:t>Method for pest risk analysis</w:t>
      </w:r>
      <w:bookmarkEnd w:id="11"/>
    </w:p>
    <w:p w:rsidR="00B52BB0" w:rsidRDefault="00B52BB0">
      <w:r>
        <w:t xml:space="preserve">This chapter sets out the method used for the pest risk analysis (PRA) in this report. The Department of Agriculture and Water Resources has conducted this PRA in accordance with the International Standards for Phytosanitary Measures (ISPMs), including ISPM 2: </w:t>
      </w:r>
      <w:r>
        <w:rPr>
          <w:i/>
        </w:rPr>
        <w:t>Framework for pest risk analysis</w:t>
      </w:r>
      <w:r>
        <w:t xml:space="preserve"> </w:t>
      </w:r>
      <w:r>
        <w:rPr>
          <w:noProof/>
        </w:rPr>
        <w:t>(FAO 2016a)</w:t>
      </w:r>
      <w:r>
        <w:t xml:space="preserve"> and ISPM 11: </w:t>
      </w:r>
      <w:r>
        <w:rPr>
          <w:i/>
        </w:rPr>
        <w:t>Pest risk analysis for quarantine pests</w:t>
      </w:r>
      <w:r>
        <w:t xml:space="preserve"> </w:t>
      </w:r>
      <w:r>
        <w:rPr>
          <w:noProof/>
        </w:rPr>
        <w:t>(FAO 2017b)</w:t>
      </w:r>
      <w:r>
        <w:t xml:space="preserve"> that have been developed under the SPS Agreement </w:t>
      </w:r>
      <w:r>
        <w:rPr>
          <w:noProof/>
        </w:rPr>
        <w:t>(WTO 1995)</w:t>
      </w:r>
      <w:r>
        <w:t>.</w:t>
      </w:r>
    </w:p>
    <w:p w:rsidR="00B52BB0" w:rsidRDefault="00B52BB0">
      <w:r>
        <w:t xml:space="preserve">A PRA is ‘the process of evaluating biological or other scientific and economic evidence to determine whether an organism is a pest, whether it should be regulated, and the strength of any phytosanitary measures to be taken against it’ </w:t>
      </w:r>
      <w:r>
        <w:rPr>
          <w:noProof/>
        </w:rPr>
        <w:t>(FAO 2019a)</w:t>
      </w:r>
      <w:r>
        <w:t xml:space="preserve">. A pest is ‘any species, strain or biotype of plant, animal, or pathogenic agent injurious to plants or plant products’ </w:t>
      </w:r>
      <w:r>
        <w:rPr>
          <w:noProof/>
        </w:rPr>
        <w:t>(FAO 2019a)</w:t>
      </w:r>
      <w:r>
        <w:t xml:space="preserve">. This definition is also applied in the </w:t>
      </w:r>
      <w:r>
        <w:rPr>
          <w:i/>
        </w:rPr>
        <w:t>Biosecurity Act 2015</w:t>
      </w:r>
      <w:r>
        <w:t>.</w:t>
      </w:r>
    </w:p>
    <w:p w:rsidR="00B52BB0" w:rsidRDefault="00B52BB0">
      <w:r>
        <w:t>Biosecurity risk consists of two major components: the likelihood of a pest entering, establishing and spreading in Australia from imports; and the consequences should this happen. These two components are combined to give an overall estimate of the risk.</w:t>
      </w:r>
    </w:p>
    <w:p w:rsidR="00B52BB0" w:rsidRDefault="00B52BB0">
      <w:r>
        <w:t>Unrestricted risk is estimated taking into account the existing commercial production practices of Vietnam and recognition that, on arrival in Australia, the department will verify that the consignment received is as described on the commercial documents and its integrity has been maintained.</w:t>
      </w:r>
    </w:p>
    <w:p w:rsidR="00B52BB0" w:rsidRDefault="00B52BB0">
      <w:r>
        <w:t xml:space="preserve">Restricted risk is estimated with phytosanitary measure(s) applied. A phytosanitary measure is ‘any legislation, regulation or official procedure having the purpose to prevent the introduction and/or spread of quarantine pests, or to limit the economic impact of regulated non-quarantine pests’ </w:t>
      </w:r>
      <w:r>
        <w:rPr>
          <w:noProof/>
        </w:rPr>
        <w:t>(FAO 2019a)</w:t>
      </w:r>
      <w:r>
        <w:t>.</w:t>
      </w:r>
    </w:p>
    <w:p w:rsidR="00B52BB0" w:rsidRDefault="00B52BB0">
      <w:r>
        <w:t>A glossary of the terms used in the risk analysis is provided at the end of this report.</w:t>
      </w:r>
    </w:p>
    <w:p w:rsidR="00B52BB0" w:rsidRDefault="00B52BB0">
      <w:r>
        <w:t>The PRAs are conducted in the following three consecutive stages: initiation, pest risk assessment and pest risk management.</w:t>
      </w:r>
    </w:p>
    <w:p w:rsidR="00B52BB0" w:rsidRDefault="00B52BB0" w:rsidP="003E074D">
      <w:pPr>
        <w:pStyle w:val="Heading3"/>
      </w:pPr>
      <w:bookmarkStart w:id="12" w:name="_Toc7607666"/>
      <w:r>
        <w:t>Stage 1 Initiation</w:t>
      </w:r>
      <w:bookmarkEnd w:id="12"/>
    </w:p>
    <w:p w:rsidR="00B52BB0" w:rsidRDefault="00B52BB0" w:rsidP="003E074D">
      <w:r>
        <w:t>Initiation identifies the pest(s) and pathway(s) that are of quarantine concern and should be considered for risk analysis in relation to the identified PRA area.</w:t>
      </w:r>
    </w:p>
    <w:p w:rsidR="00B52BB0" w:rsidRDefault="00B52BB0" w:rsidP="003E074D">
      <w:r>
        <w:t>Appendix A of this risk analysis report lists the pests with the potential to be associated with the exported longan fruit produced using commercial production and packing procedures. Appendix A does not present a comprehensive list of all the pests associated with the entire plant, but concentrates on the pests that could be on the assessed longan. Contaminating pests that have no specific relation to the longan or the export pathway have not been listed and would be addressed by Australia’s current approach to contaminating pests.</w:t>
      </w:r>
    </w:p>
    <w:p w:rsidR="00B52BB0" w:rsidRDefault="00B52BB0" w:rsidP="003E074D">
      <w:r>
        <w:t>The identity of the pests is given in Appendix A. The species name is used in most instances but a lower taxonomic level is used where appropriate. Synonyms are provided where the current scientific name differs from that provided by the exporting Vietnam’s National Plant Protection Organisation (NPPO) or where the cited literature used a different scientific name.</w:t>
      </w:r>
    </w:p>
    <w:p w:rsidR="00B52BB0" w:rsidRDefault="00B52BB0" w:rsidP="003E074D">
      <w:r>
        <w:lastRenderedPageBreak/>
        <w:t>For this risk analysis, the ‘PRA area’ is defined as Australia for pests that are absent, or of limited distribution and under official control. For areas with regional freedom from a pest, the ‘PRA area’ may be defined on the basis of a state or territory of Australia or may be defined as a region of Australia consisting of parts of a state or territory or several states or territories.</w:t>
      </w:r>
    </w:p>
    <w:p w:rsidR="00B52BB0" w:rsidRDefault="00B52BB0" w:rsidP="003E074D">
      <w:r>
        <w:t>For pests that had been considered by the department in other risk assessments and for which import conditions already exist, this risk analysis considered the likelihood of entry of pests on the longan and whether existing policy is adequate to manage the risks associated with its import. Where appropriate, the previous risk assessment was taken into consideration in this risk analysis.</w:t>
      </w:r>
    </w:p>
    <w:p w:rsidR="00B52BB0" w:rsidRDefault="00B52BB0" w:rsidP="003E074D">
      <w:r w:rsidRPr="006E7ECD">
        <w:t>A Group Pest Risk Analysis (Group PRA) has been applied in this risk analysis, as explained in Section</w:t>
      </w:r>
      <w:r>
        <w:t xml:space="preserve"> </w:t>
      </w:r>
      <w:r>
        <w:fldChar w:fldCharType="begin"/>
      </w:r>
      <w:r>
        <w:instrText xml:space="preserve"> REF _Ref523924658 \r \h </w:instrText>
      </w:r>
      <w:r>
        <w:fldChar w:fldCharType="separate"/>
      </w:r>
      <w:r w:rsidR="00EA7374">
        <w:t>2.2.7</w:t>
      </w:r>
      <w:r>
        <w:fldChar w:fldCharType="end"/>
      </w:r>
      <w:r w:rsidRPr="006E7ECD">
        <w:t>.</w:t>
      </w:r>
    </w:p>
    <w:p w:rsidR="00B52BB0" w:rsidRDefault="00B52BB0" w:rsidP="003E074D">
      <w:pPr>
        <w:pStyle w:val="Heading3"/>
      </w:pPr>
      <w:bookmarkStart w:id="13" w:name="_Toc7607667"/>
      <w:r>
        <w:t>Stage 2 Pest risk assessment</w:t>
      </w:r>
      <w:bookmarkEnd w:id="13"/>
    </w:p>
    <w:p w:rsidR="00B52BB0" w:rsidRDefault="00B52BB0">
      <w:r>
        <w:t xml:space="preserve">A pest risk assessment (for quarantine pests) is the ‘evaluation of the probability of the introduction and spread of a pest and of the magnitude of the associated potential economic consequences’ </w:t>
      </w:r>
      <w:r>
        <w:rPr>
          <w:noProof/>
        </w:rPr>
        <w:t>(FAO 2019a)</w:t>
      </w:r>
      <w:r>
        <w:t>.</w:t>
      </w:r>
    </w:p>
    <w:p w:rsidR="00B52BB0" w:rsidRDefault="00B52BB0">
      <w:r>
        <w:t>The following three consecutive steps were used in pest risk assessment:</w:t>
      </w:r>
    </w:p>
    <w:p w:rsidR="00B52BB0" w:rsidRDefault="00B52BB0" w:rsidP="003E074D">
      <w:pPr>
        <w:pStyle w:val="Heading4"/>
      </w:pPr>
      <w:r>
        <w:t>Pest categorisation</w:t>
      </w:r>
    </w:p>
    <w:p w:rsidR="00B52BB0" w:rsidRDefault="00B52BB0" w:rsidP="003E074D">
      <w:r>
        <w:t xml:space="preserve">Pest categorisation identifies which of the pests with the potential to be on longan fruit are quarantine pests for Australia and require pest risk assessment. A ‘quarantine pest’ is a pest of potential economic importance to the area endangered thereby and not yet present there, or present but not widely distributed and being officially controlled </w:t>
      </w:r>
      <w:r>
        <w:rPr>
          <w:noProof/>
        </w:rPr>
        <w:t>(FAO 2019a)</w:t>
      </w:r>
      <w:r>
        <w:t>.</w:t>
      </w:r>
    </w:p>
    <w:p w:rsidR="00B52BB0" w:rsidRDefault="00B52BB0" w:rsidP="003E074D">
      <w:r>
        <w:t>The pests identified in Stage 1 were categorised using the following primary elements to identify the quarantine pests for the longan being assessed:</w:t>
      </w:r>
    </w:p>
    <w:p w:rsidR="00B52BB0" w:rsidRDefault="00B52BB0" w:rsidP="00B52BB0">
      <w:pPr>
        <w:pStyle w:val="ListBullet"/>
        <w:numPr>
          <w:ilvl w:val="0"/>
          <w:numId w:val="7"/>
        </w:numPr>
      </w:pPr>
      <w:r>
        <w:t>identity of the pest</w:t>
      </w:r>
    </w:p>
    <w:p w:rsidR="00B52BB0" w:rsidRDefault="00B52BB0" w:rsidP="00B52BB0">
      <w:pPr>
        <w:pStyle w:val="ListBullet"/>
        <w:numPr>
          <w:ilvl w:val="0"/>
          <w:numId w:val="7"/>
        </w:numPr>
      </w:pPr>
      <w:r>
        <w:t>presence or absence in the PRA area</w:t>
      </w:r>
    </w:p>
    <w:p w:rsidR="00B52BB0" w:rsidRDefault="00B52BB0" w:rsidP="00B52BB0">
      <w:pPr>
        <w:pStyle w:val="ListBullet"/>
        <w:numPr>
          <w:ilvl w:val="0"/>
          <w:numId w:val="7"/>
        </w:numPr>
      </w:pPr>
      <w:r>
        <w:t>regulatory status</w:t>
      </w:r>
    </w:p>
    <w:p w:rsidR="00B52BB0" w:rsidRDefault="00B52BB0" w:rsidP="00B52BB0">
      <w:pPr>
        <w:pStyle w:val="ListBullet"/>
        <w:numPr>
          <w:ilvl w:val="0"/>
          <w:numId w:val="7"/>
        </w:numPr>
      </w:pPr>
      <w:r>
        <w:t>potential for establishment and spread in the PRA area</w:t>
      </w:r>
    </w:p>
    <w:p w:rsidR="00B52BB0" w:rsidRDefault="00B52BB0" w:rsidP="00B52BB0">
      <w:pPr>
        <w:pStyle w:val="ListBullet"/>
        <w:numPr>
          <w:ilvl w:val="0"/>
          <w:numId w:val="7"/>
        </w:numPr>
      </w:pPr>
      <w:proofErr w:type="gramStart"/>
      <w:r>
        <w:t>potential</w:t>
      </w:r>
      <w:proofErr w:type="gramEnd"/>
      <w:r>
        <w:t xml:space="preserve"> for economic consequences (including environmental consequences) in the PRA area.</w:t>
      </w:r>
    </w:p>
    <w:p w:rsidR="00B52BB0" w:rsidRDefault="00B52BB0" w:rsidP="003E074D">
      <w:r>
        <w:t xml:space="preserve">The results of pest categorisation are set out in Appendix A. The quarantine pests identified during categorisation were carried forward for pest risk assessment and are listed in </w:t>
      </w:r>
      <w:r>
        <w:fldChar w:fldCharType="begin"/>
      </w:r>
      <w:r>
        <w:instrText xml:space="preserve"> REF _Ref522781447 \h </w:instrText>
      </w:r>
      <w:r>
        <w:fldChar w:fldCharType="separate"/>
      </w:r>
      <w:r w:rsidR="00EA7374" w:rsidRPr="005D036A">
        <w:t xml:space="preserve">Table </w:t>
      </w:r>
      <w:r w:rsidR="00EA7374">
        <w:rPr>
          <w:noProof/>
        </w:rPr>
        <w:t>4</w:t>
      </w:r>
      <w:r w:rsidR="00EA7374" w:rsidRPr="005D036A">
        <w:t>.</w:t>
      </w:r>
      <w:r w:rsidR="00EA7374">
        <w:rPr>
          <w:noProof/>
        </w:rPr>
        <w:t>1</w:t>
      </w:r>
      <w:r>
        <w:fldChar w:fldCharType="end"/>
      </w:r>
      <w:r>
        <w:t>.</w:t>
      </w:r>
    </w:p>
    <w:p w:rsidR="00B52BB0" w:rsidRDefault="00B52BB0" w:rsidP="003E074D">
      <w:pPr>
        <w:pStyle w:val="Heading4"/>
      </w:pPr>
      <w:r>
        <w:t>Assessment of the probability of entry, establishment and spread</w:t>
      </w:r>
    </w:p>
    <w:p w:rsidR="00B52BB0" w:rsidRDefault="00B52BB0">
      <w:r>
        <w:t xml:space="preserve">Details of how to assess the ‘probability of entry’, ‘probability of establishment’ and ‘probability of spread’ of a pest are given in ISPM 11 </w:t>
      </w:r>
      <w:r>
        <w:rPr>
          <w:noProof/>
        </w:rPr>
        <w:t>(FAO 2017b)</w:t>
      </w:r>
      <w:r>
        <w:t xml:space="preserve">. The SPS Agreement </w:t>
      </w:r>
      <w:r>
        <w:rPr>
          <w:noProof/>
        </w:rPr>
        <w:t>(WTO 1995)</w:t>
      </w:r>
      <w:r>
        <w:t xml:space="preserve"> uses the term ‘likelihood’ rather than ‘probability’ for these estimates. In qualitative PRAs, the department uses the term ‘likelihood’ for the descriptors it uses for its estimates of likelihood of entry, establishment and spread. The use of the term ‘probability’ is limited to the direct quotation of ISPM definitions.</w:t>
      </w:r>
    </w:p>
    <w:p w:rsidR="00B52BB0" w:rsidRDefault="00B52BB0">
      <w:r>
        <w:lastRenderedPageBreak/>
        <w:t>A summary of this process is given here, followed by a description of the qualitative methodology used in this risk analysis.</w:t>
      </w:r>
    </w:p>
    <w:p w:rsidR="00B52BB0" w:rsidRDefault="00B52BB0" w:rsidP="003E074D">
      <w:pPr>
        <w:pStyle w:val="Heading5"/>
      </w:pPr>
      <w:r>
        <w:t>Likelihood of entry</w:t>
      </w:r>
    </w:p>
    <w:p w:rsidR="00B52BB0" w:rsidRDefault="00B52BB0" w:rsidP="003E074D">
      <w:r>
        <w:t>The likelihood of entry describes the likelihood that a quarantine pest will enter Australia as a result of trade in a given longan, be distributed in a viable state in the PRA area and subsequently be transferred to a host. It is based on pathway scenarios depicting necessary steps in the sourcing of the longan for export, its processing, transport and storage, its use in Australia and the generation and disposal of waste. In particular, the ability of the pest to survive is considered for each of these various stages.</w:t>
      </w:r>
    </w:p>
    <w:p w:rsidR="00B52BB0" w:rsidRDefault="00B52BB0" w:rsidP="003E074D">
      <w:r>
        <w:t>The likelihood of entry estimates for the quarantine pests for a longan are based on the use of the existing commercial production, packaging and shipping practices of the exporting Vietnam. Details of the existing commercial production practices for the longan are set out in Chapter 3. These practices are taken into consideration by the department when estimating the likelihood of entry.</w:t>
      </w:r>
    </w:p>
    <w:p w:rsidR="00B52BB0" w:rsidRDefault="00B52BB0" w:rsidP="003E074D">
      <w:r>
        <w:t>For the purpose of considering the likelihood of entry, the department divides this step into two components:</w:t>
      </w:r>
    </w:p>
    <w:p w:rsidR="00B52BB0" w:rsidRDefault="00B52BB0" w:rsidP="00B52BB0">
      <w:pPr>
        <w:pStyle w:val="ListBullet"/>
        <w:numPr>
          <w:ilvl w:val="0"/>
          <w:numId w:val="7"/>
        </w:numPr>
      </w:pPr>
      <w:r w:rsidRPr="00901A6E">
        <w:rPr>
          <w:rStyle w:val="Strong"/>
        </w:rPr>
        <w:t>Likelihood of importation</w:t>
      </w:r>
      <w:r>
        <w:t>—the likelihood that a pest will arrive in Australia when a given longan is imported.</w:t>
      </w:r>
    </w:p>
    <w:p w:rsidR="00B52BB0" w:rsidRDefault="00B52BB0" w:rsidP="00B52BB0">
      <w:pPr>
        <w:pStyle w:val="ListBullet"/>
        <w:numPr>
          <w:ilvl w:val="0"/>
          <w:numId w:val="7"/>
        </w:numPr>
      </w:pPr>
      <w:r w:rsidRPr="00901A6E">
        <w:rPr>
          <w:rStyle w:val="Strong"/>
        </w:rPr>
        <w:t>Likelihood of distribution</w:t>
      </w:r>
      <w:r>
        <w:t>— the likelihood that the pest will be distributed, as a result of the processing, sale or disposal of the longan, in the PRA area and subsequently transfer to a susceptible part of a host.</w:t>
      </w:r>
    </w:p>
    <w:p w:rsidR="00B52BB0" w:rsidRDefault="00B52BB0" w:rsidP="003E074D">
      <w:r>
        <w:t>Factors to be considered in the likelihood of importation may include:</w:t>
      </w:r>
    </w:p>
    <w:p w:rsidR="00B52BB0" w:rsidRDefault="00B52BB0" w:rsidP="00B52BB0">
      <w:pPr>
        <w:pStyle w:val="ListBullet"/>
        <w:numPr>
          <w:ilvl w:val="0"/>
          <w:numId w:val="7"/>
        </w:numPr>
      </w:pPr>
      <w:r>
        <w:t>distribution and incidence of the pest in the source area</w:t>
      </w:r>
    </w:p>
    <w:p w:rsidR="00B52BB0" w:rsidRDefault="00B52BB0" w:rsidP="00B52BB0">
      <w:pPr>
        <w:pStyle w:val="ListBullet"/>
        <w:numPr>
          <w:ilvl w:val="0"/>
          <w:numId w:val="7"/>
        </w:numPr>
      </w:pPr>
      <w:r>
        <w:t>occurrence of the pest in a life-stage that would be associated with the longan</w:t>
      </w:r>
    </w:p>
    <w:p w:rsidR="00B52BB0" w:rsidRDefault="00B52BB0" w:rsidP="00B52BB0">
      <w:pPr>
        <w:pStyle w:val="ListBullet"/>
        <w:numPr>
          <w:ilvl w:val="0"/>
          <w:numId w:val="7"/>
        </w:numPr>
      </w:pPr>
      <w:r>
        <w:t>mode of trade (for example, bulk, packed)</w:t>
      </w:r>
    </w:p>
    <w:p w:rsidR="00B52BB0" w:rsidRDefault="00B52BB0" w:rsidP="00B52BB0">
      <w:pPr>
        <w:pStyle w:val="ListBullet"/>
        <w:numPr>
          <w:ilvl w:val="0"/>
          <w:numId w:val="7"/>
        </w:numPr>
      </w:pPr>
      <w:r>
        <w:t>volume and frequency of movement of the longan along each pathway</w:t>
      </w:r>
    </w:p>
    <w:p w:rsidR="00B52BB0" w:rsidRDefault="00B52BB0" w:rsidP="00B52BB0">
      <w:pPr>
        <w:pStyle w:val="ListBullet"/>
        <w:numPr>
          <w:ilvl w:val="0"/>
          <w:numId w:val="7"/>
        </w:numPr>
      </w:pPr>
      <w:r>
        <w:t>seasonal timing of imports</w:t>
      </w:r>
    </w:p>
    <w:p w:rsidR="00B52BB0" w:rsidRDefault="00B52BB0" w:rsidP="00B52BB0">
      <w:pPr>
        <w:pStyle w:val="ListBullet"/>
        <w:numPr>
          <w:ilvl w:val="0"/>
          <w:numId w:val="7"/>
        </w:numPr>
      </w:pPr>
      <w:r>
        <w:t>pest management, cultural and commercial procedures applied at the place of origin</w:t>
      </w:r>
    </w:p>
    <w:p w:rsidR="00B52BB0" w:rsidRDefault="00B52BB0" w:rsidP="00B52BB0">
      <w:pPr>
        <w:pStyle w:val="ListBullet"/>
        <w:numPr>
          <w:ilvl w:val="0"/>
          <w:numId w:val="7"/>
        </w:numPr>
      </w:pPr>
      <w:r>
        <w:t>speed of transport and conditions of storage compared with the duration of the lifecycle of the pest</w:t>
      </w:r>
    </w:p>
    <w:p w:rsidR="00B52BB0" w:rsidRDefault="00B52BB0" w:rsidP="00B52BB0">
      <w:pPr>
        <w:pStyle w:val="ListBullet"/>
        <w:numPr>
          <w:ilvl w:val="0"/>
          <w:numId w:val="7"/>
        </w:numPr>
      </w:pPr>
      <w:r>
        <w:t>vulnerability of the life-stages of the pest during transport or storage</w:t>
      </w:r>
    </w:p>
    <w:p w:rsidR="00B52BB0" w:rsidRDefault="00B52BB0" w:rsidP="00B52BB0">
      <w:pPr>
        <w:pStyle w:val="ListBullet"/>
        <w:numPr>
          <w:ilvl w:val="0"/>
          <w:numId w:val="7"/>
        </w:numPr>
      </w:pPr>
      <w:r>
        <w:t>incidence of the pest likely to be associated with a consignment</w:t>
      </w:r>
    </w:p>
    <w:p w:rsidR="00B52BB0" w:rsidRDefault="00B52BB0" w:rsidP="00B52BB0">
      <w:pPr>
        <w:pStyle w:val="ListBullet"/>
        <w:numPr>
          <w:ilvl w:val="0"/>
          <w:numId w:val="7"/>
        </w:numPr>
      </w:pPr>
      <w:proofErr w:type="gramStart"/>
      <w:r>
        <w:t>commercial</w:t>
      </w:r>
      <w:proofErr w:type="gramEnd"/>
      <w:r>
        <w:t xml:space="preserve"> procedures (for example, refrigeration) applied to consignments during transport and storage in the Vietnam of origin, and during transport to Australia.</w:t>
      </w:r>
    </w:p>
    <w:p w:rsidR="00B52BB0" w:rsidRDefault="00B52BB0" w:rsidP="003E074D">
      <w:r>
        <w:t>Factors to be considered in the likelihood of distribution may include:</w:t>
      </w:r>
    </w:p>
    <w:p w:rsidR="00B52BB0" w:rsidRDefault="00B52BB0" w:rsidP="00B52BB0">
      <w:pPr>
        <w:pStyle w:val="ListBullet"/>
        <w:numPr>
          <w:ilvl w:val="0"/>
          <w:numId w:val="7"/>
        </w:numPr>
      </w:pPr>
      <w:r>
        <w:t>commercial procedures (for example, refrigeration) applied to consignments during distribution in Australia</w:t>
      </w:r>
    </w:p>
    <w:p w:rsidR="00B52BB0" w:rsidRDefault="00B52BB0" w:rsidP="00B52BB0">
      <w:pPr>
        <w:pStyle w:val="ListBullet"/>
        <w:numPr>
          <w:ilvl w:val="0"/>
          <w:numId w:val="7"/>
        </w:numPr>
      </w:pPr>
      <w:r>
        <w:t>dispersal mechanisms of the pest, including vectors, to allow movement from the pathway to a host</w:t>
      </w:r>
    </w:p>
    <w:p w:rsidR="00B52BB0" w:rsidRDefault="00B52BB0" w:rsidP="00B52BB0">
      <w:pPr>
        <w:pStyle w:val="ListBullet"/>
        <w:numPr>
          <w:ilvl w:val="0"/>
          <w:numId w:val="7"/>
        </w:numPr>
      </w:pPr>
      <w:r>
        <w:lastRenderedPageBreak/>
        <w:t>whether the imported longan is to be sent to a few or many destination points in the PRA area</w:t>
      </w:r>
    </w:p>
    <w:p w:rsidR="00B52BB0" w:rsidRDefault="00B52BB0" w:rsidP="00B52BB0">
      <w:pPr>
        <w:pStyle w:val="ListBullet"/>
        <w:numPr>
          <w:ilvl w:val="0"/>
          <w:numId w:val="7"/>
        </w:numPr>
      </w:pPr>
      <w:r>
        <w:t>proximity of entry, transit and destination points to hosts</w:t>
      </w:r>
    </w:p>
    <w:p w:rsidR="00B52BB0" w:rsidRDefault="00B52BB0" w:rsidP="00B52BB0">
      <w:pPr>
        <w:pStyle w:val="ListBullet"/>
        <w:numPr>
          <w:ilvl w:val="0"/>
          <w:numId w:val="7"/>
        </w:numPr>
      </w:pPr>
      <w:r>
        <w:t>time of year at which import takes place</w:t>
      </w:r>
    </w:p>
    <w:p w:rsidR="00B52BB0" w:rsidRDefault="00B52BB0" w:rsidP="00B52BB0">
      <w:pPr>
        <w:pStyle w:val="ListBullet"/>
        <w:numPr>
          <w:ilvl w:val="0"/>
          <w:numId w:val="7"/>
        </w:numPr>
      </w:pPr>
      <w:r>
        <w:t>intended use of the longan (for example, for planting, processing or consumption)</w:t>
      </w:r>
    </w:p>
    <w:p w:rsidR="00B52BB0" w:rsidRDefault="00B52BB0" w:rsidP="00B52BB0">
      <w:pPr>
        <w:pStyle w:val="ListBullet"/>
        <w:numPr>
          <w:ilvl w:val="0"/>
          <w:numId w:val="7"/>
        </w:numPr>
      </w:pPr>
      <w:proofErr w:type="gramStart"/>
      <w:r>
        <w:t>risks</w:t>
      </w:r>
      <w:proofErr w:type="gramEnd"/>
      <w:r>
        <w:t xml:space="preserve"> from by-products and waste.</w:t>
      </w:r>
    </w:p>
    <w:p w:rsidR="00B52BB0" w:rsidRDefault="00B52BB0" w:rsidP="003E074D">
      <w:pPr>
        <w:pStyle w:val="Heading5"/>
      </w:pPr>
      <w:r>
        <w:t>Likelihood of establishment</w:t>
      </w:r>
    </w:p>
    <w:p w:rsidR="00B52BB0" w:rsidRDefault="00B52BB0" w:rsidP="003E074D">
      <w:r>
        <w:t xml:space="preserve">Establishment is defined as the ‘perpetuation for the foreseeable future, of a pest within an area after entry’ </w:t>
      </w:r>
      <w:r>
        <w:rPr>
          <w:noProof/>
        </w:rPr>
        <w:t>(FAO 2019a)</w:t>
      </w:r>
      <w:r>
        <w:t xml:space="preserve">. In order to estimate the likelihood of establishment of a pest, reliable biological information (for example, lifecycle, host range, epidemiology, </w:t>
      </w:r>
      <w:proofErr w:type="gramStart"/>
      <w:r>
        <w:t>survival</w:t>
      </w:r>
      <w:proofErr w:type="gramEnd"/>
      <w:r>
        <w:t>) is obtained from the areas where the pest currently occurs. The situation in the PRA area can then be compared with that in the areas where it currently occurs and expert judgement used to assess the likelihood of establishment.</w:t>
      </w:r>
    </w:p>
    <w:p w:rsidR="00B52BB0" w:rsidRDefault="00B52BB0" w:rsidP="003E074D">
      <w:r>
        <w:t>Factors to be considered in the likelihood of establishment in the PRA area may include:</w:t>
      </w:r>
    </w:p>
    <w:p w:rsidR="00B52BB0" w:rsidRDefault="00B52BB0" w:rsidP="00B52BB0">
      <w:pPr>
        <w:pStyle w:val="ListBullet"/>
        <w:numPr>
          <w:ilvl w:val="0"/>
          <w:numId w:val="7"/>
        </w:numPr>
      </w:pPr>
      <w:r>
        <w:t>availability of hosts, alternative hosts and vectors</w:t>
      </w:r>
    </w:p>
    <w:p w:rsidR="00B52BB0" w:rsidRDefault="00B52BB0" w:rsidP="00B52BB0">
      <w:pPr>
        <w:pStyle w:val="ListBullet"/>
        <w:numPr>
          <w:ilvl w:val="0"/>
          <w:numId w:val="7"/>
        </w:numPr>
      </w:pPr>
      <w:r>
        <w:t>suitability of the environment</w:t>
      </w:r>
    </w:p>
    <w:p w:rsidR="00B52BB0" w:rsidRDefault="00B52BB0" w:rsidP="00B52BB0">
      <w:pPr>
        <w:pStyle w:val="ListBullet"/>
        <w:numPr>
          <w:ilvl w:val="0"/>
          <w:numId w:val="7"/>
        </w:numPr>
      </w:pPr>
      <w:r>
        <w:t>reproductive strategy and potential for adaptation</w:t>
      </w:r>
    </w:p>
    <w:p w:rsidR="00B52BB0" w:rsidRDefault="00B52BB0" w:rsidP="00B52BB0">
      <w:pPr>
        <w:pStyle w:val="ListBullet"/>
        <w:numPr>
          <w:ilvl w:val="0"/>
          <w:numId w:val="7"/>
        </w:numPr>
      </w:pPr>
      <w:r>
        <w:t>minimum population needed for establishment</w:t>
      </w:r>
    </w:p>
    <w:p w:rsidR="00B52BB0" w:rsidRDefault="00B52BB0" w:rsidP="00B52BB0">
      <w:pPr>
        <w:pStyle w:val="ListBullet"/>
        <w:numPr>
          <w:ilvl w:val="0"/>
          <w:numId w:val="7"/>
        </w:numPr>
      </w:pPr>
      <w:proofErr w:type="gramStart"/>
      <w:r>
        <w:t>cultural</w:t>
      </w:r>
      <w:proofErr w:type="gramEnd"/>
      <w:r>
        <w:t xml:space="preserve"> practices and control measures.</w:t>
      </w:r>
    </w:p>
    <w:p w:rsidR="00B52BB0" w:rsidRDefault="00B52BB0" w:rsidP="003E074D">
      <w:pPr>
        <w:pStyle w:val="Heading5"/>
      </w:pPr>
      <w:r>
        <w:t>Likelihood of spread</w:t>
      </w:r>
    </w:p>
    <w:p w:rsidR="00B52BB0" w:rsidRDefault="00B52BB0" w:rsidP="003E074D">
      <w:r>
        <w:t xml:space="preserve">Spread is defined as ‘the expansion of the geographical distribution of a pest within an area’ </w:t>
      </w:r>
      <w:r>
        <w:rPr>
          <w:noProof/>
        </w:rPr>
        <w:t>(FAO 2019a)</w:t>
      </w:r>
      <w:r>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rsidR="00B52BB0" w:rsidRDefault="00B52BB0" w:rsidP="003E074D">
      <w:r>
        <w:t>Factors to be considered in the likelihood of spread may include:</w:t>
      </w:r>
    </w:p>
    <w:p w:rsidR="00B52BB0" w:rsidRDefault="00B52BB0" w:rsidP="00B52BB0">
      <w:pPr>
        <w:pStyle w:val="ListBullet"/>
        <w:numPr>
          <w:ilvl w:val="0"/>
          <w:numId w:val="7"/>
        </w:numPr>
      </w:pPr>
      <w:r>
        <w:t>suitability of the natural and/or managed environment for natural spread of the pest</w:t>
      </w:r>
    </w:p>
    <w:p w:rsidR="00B52BB0" w:rsidRDefault="00B52BB0" w:rsidP="00B52BB0">
      <w:pPr>
        <w:pStyle w:val="ListBullet"/>
        <w:numPr>
          <w:ilvl w:val="0"/>
          <w:numId w:val="7"/>
        </w:numPr>
      </w:pPr>
      <w:r>
        <w:t>presence of natural barriers</w:t>
      </w:r>
    </w:p>
    <w:p w:rsidR="00B52BB0" w:rsidRDefault="00B52BB0" w:rsidP="00B52BB0">
      <w:pPr>
        <w:pStyle w:val="ListBullet"/>
        <w:numPr>
          <w:ilvl w:val="0"/>
          <w:numId w:val="7"/>
        </w:numPr>
      </w:pPr>
      <w:r>
        <w:t>potential for movement with commodities, conveyances or by vectors</w:t>
      </w:r>
    </w:p>
    <w:p w:rsidR="00B52BB0" w:rsidRDefault="00B52BB0" w:rsidP="00B52BB0">
      <w:pPr>
        <w:pStyle w:val="ListBullet"/>
        <w:numPr>
          <w:ilvl w:val="0"/>
          <w:numId w:val="7"/>
        </w:numPr>
      </w:pPr>
      <w:r>
        <w:t>intended use of the longan</w:t>
      </w:r>
    </w:p>
    <w:p w:rsidR="00B52BB0" w:rsidRDefault="00B52BB0" w:rsidP="00B52BB0">
      <w:pPr>
        <w:pStyle w:val="ListBullet"/>
        <w:numPr>
          <w:ilvl w:val="0"/>
          <w:numId w:val="7"/>
        </w:numPr>
      </w:pPr>
      <w:r>
        <w:t>potential vectors of the pest in the PRA area</w:t>
      </w:r>
    </w:p>
    <w:p w:rsidR="00B52BB0" w:rsidRDefault="00B52BB0" w:rsidP="00B52BB0">
      <w:pPr>
        <w:pStyle w:val="ListBullet"/>
        <w:numPr>
          <w:ilvl w:val="0"/>
          <w:numId w:val="7"/>
        </w:numPr>
      </w:pPr>
      <w:proofErr w:type="gramStart"/>
      <w:r>
        <w:t>potential</w:t>
      </w:r>
      <w:proofErr w:type="gramEnd"/>
      <w:r>
        <w:t xml:space="preserve"> natural enemies of the pest in the PRA area.</w:t>
      </w:r>
    </w:p>
    <w:p w:rsidR="00B52BB0" w:rsidRDefault="00B52BB0" w:rsidP="003E074D">
      <w:pPr>
        <w:pStyle w:val="Heading5"/>
      </w:pPr>
      <w:r>
        <w:t>Assigning likelihoods for entry, establishment and spread</w:t>
      </w:r>
    </w:p>
    <w:p w:rsidR="00B52BB0" w:rsidRDefault="00B52BB0" w:rsidP="003E074D">
      <w:r>
        <w:t>Likelihoods are assigned to each step of entry, establishment and spread. Six descriptors are used: high; moderate; low; very low; extremely low; and negligible (</w:t>
      </w:r>
      <w:r>
        <w:fldChar w:fldCharType="begin"/>
      </w:r>
      <w:r>
        <w:instrText xml:space="preserve"> REF _Ref457826303 \h </w:instrText>
      </w:r>
      <w:r>
        <w:fldChar w:fldCharType="separate"/>
      </w:r>
      <w:r w:rsidR="00EA7374">
        <w:t xml:space="preserve">Table </w:t>
      </w:r>
      <w:r w:rsidR="00EA7374">
        <w:rPr>
          <w:noProof/>
        </w:rPr>
        <w:t>2</w:t>
      </w:r>
      <w:r w:rsidR="00EA7374">
        <w:t>.</w:t>
      </w:r>
      <w:r w:rsidR="00EA7374">
        <w:rPr>
          <w:noProof/>
        </w:rPr>
        <w:t>1</w:t>
      </w:r>
      <w:r>
        <w:fldChar w:fldCharType="end"/>
      </w:r>
      <w:r>
        <w:t xml:space="preserve">). Definitions for these descriptors and their indicative probability ranges are given in </w:t>
      </w:r>
      <w:r>
        <w:fldChar w:fldCharType="begin"/>
      </w:r>
      <w:r>
        <w:instrText xml:space="preserve"> REF _Ref457826303 \h </w:instrText>
      </w:r>
      <w:r>
        <w:fldChar w:fldCharType="separate"/>
      </w:r>
      <w:r w:rsidR="00EA7374">
        <w:t xml:space="preserve">Table </w:t>
      </w:r>
      <w:r w:rsidR="00EA7374">
        <w:rPr>
          <w:noProof/>
        </w:rPr>
        <w:t>2</w:t>
      </w:r>
      <w:r w:rsidR="00EA7374">
        <w:t>.</w:t>
      </w:r>
      <w:r w:rsidR="00EA7374">
        <w:rPr>
          <w:noProof/>
        </w:rPr>
        <w:t>1</w:t>
      </w:r>
      <w:r>
        <w:fldChar w:fldCharType="end"/>
      </w:r>
      <w:r>
        <w:t xml:space="preserve">. The indicative </w:t>
      </w:r>
      <w:r>
        <w:lastRenderedPageBreak/>
        <w:t>probability ranges are only provided to illustrate the boundaries of the descriptors and are not used beyond this purpose in qualitative PRAs. These indicative probability ranges provide guidance to the risk analyst and promote consistency between different pest risk assessments.</w:t>
      </w:r>
    </w:p>
    <w:p w:rsidR="00B52BB0" w:rsidRDefault="00B52BB0" w:rsidP="003E074D">
      <w:pPr>
        <w:pStyle w:val="Caption"/>
      </w:pPr>
      <w:bookmarkStart w:id="14" w:name="_Ref457826303"/>
      <w:bookmarkStart w:id="15" w:name="_Toc7607544"/>
      <w:r>
        <w:t xml:space="preserve">Table </w:t>
      </w:r>
      <w:r>
        <w:rPr>
          <w:noProof/>
        </w:rPr>
        <w:fldChar w:fldCharType="begin"/>
      </w:r>
      <w:r>
        <w:rPr>
          <w:noProof/>
        </w:rPr>
        <w:instrText xml:space="preserve"> STYLEREF 2 \s </w:instrText>
      </w:r>
      <w:r>
        <w:rPr>
          <w:noProof/>
        </w:rPr>
        <w:fldChar w:fldCharType="separate"/>
      </w:r>
      <w:r w:rsidR="00EA7374">
        <w:rPr>
          <w:noProof/>
        </w:rPr>
        <w:t>2</w:t>
      </w:r>
      <w:r>
        <w:rPr>
          <w:noProof/>
        </w:rPr>
        <w:fldChar w:fldCharType="end"/>
      </w:r>
      <w:r>
        <w:t>.</w:t>
      </w:r>
      <w:r>
        <w:rPr>
          <w:noProof/>
        </w:rPr>
        <w:fldChar w:fldCharType="begin"/>
      </w:r>
      <w:r>
        <w:rPr>
          <w:noProof/>
        </w:rPr>
        <w:instrText xml:space="preserve"> SEQ Table \* ARABIC \s 2 </w:instrText>
      </w:r>
      <w:r>
        <w:rPr>
          <w:noProof/>
        </w:rPr>
        <w:fldChar w:fldCharType="separate"/>
      </w:r>
      <w:r w:rsidR="00EA7374">
        <w:rPr>
          <w:noProof/>
        </w:rPr>
        <w:t>1</w:t>
      </w:r>
      <w:r>
        <w:rPr>
          <w:noProof/>
        </w:rPr>
        <w:fldChar w:fldCharType="end"/>
      </w:r>
      <w:bookmarkEnd w:id="14"/>
      <w:r>
        <w:t xml:space="preserve"> </w:t>
      </w:r>
      <w:r w:rsidRPr="00A7299B">
        <w:t>Nomenclature of likelihoods</w:t>
      </w:r>
      <w:bookmarkEnd w:id="15"/>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B52BB0">
        <w:tc>
          <w:tcPr>
            <w:tcW w:w="1051" w:type="pct"/>
          </w:tcPr>
          <w:p w:rsidR="00B52BB0" w:rsidRDefault="00B52BB0" w:rsidP="003E074D">
            <w:pPr>
              <w:pStyle w:val="TableHeading"/>
            </w:pPr>
            <w:r>
              <w:t>Likelihood</w:t>
            </w:r>
          </w:p>
        </w:tc>
        <w:tc>
          <w:tcPr>
            <w:tcW w:w="2282" w:type="pct"/>
          </w:tcPr>
          <w:p w:rsidR="00B52BB0" w:rsidRDefault="00B52BB0" w:rsidP="003E074D">
            <w:pPr>
              <w:pStyle w:val="TableHeading"/>
            </w:pPr>
            <w:r>
              <w:t>Descriptive definition</w:t>
            </w:r>
          </w:p>
        </w:tc>
        <w:tc>
          <w:tcPr>
            <w:tcW w:w="1667" w:type="pct"/>
          </w:tcPr>
          <w:p w:rsidR="00B52BB0" w:rsidRDefault="00B52BB0" w:rsidP="003E074D">
            <w:pPr>
              <w:pStyle w:val="TableHeading"/>
            </w:pPr>
            <w:r>
              <w:t>Indicative range</w:t>
            </w:r>
          </w:p>
        </w:tc>
      </w:tr>
      <w:tr w:rsidR="00B52BB0">
        <w:tc>
          <w:tcPr>
            <w:tcW w:w="1051" w:type="pct"/>
          </w:tcPr>
          <w:p w:rsidR="00B52BB0" w:rsidRDefault="00B52BB0" w:rsidP="003E074D">
            <w:pPr>
              <w:pStyle w:val="TableText"/>
            </w:pPr>
            <w:r>
              <w:t>High</w:t>
            </w:r>
          </w:p>
        </w:tc>
        <w:tc>
          <w:tcPr>
            <w:tcW w:w="2282" w:type="pct"/>
          </w:tcPr>
          <w:p w:rsidR="00B52BB0" w:rsidRDefault="00B52BB0" w:rsidP="003E074D">
            <w:pPr>
              <w:pStyle w:val="TableText"/>
            </w:pPr>
            <w:r>
              <w:t>The event would be very likely to occur</w:t>
            </w:r>
          </w:p>
        </w:tc>
        <w:tc>
          <w:tcPr>
            <w:tcW w:w="1667" w:type="pct"/>
          </w:tcPr>
          <w:p w:rsidR="00B52BB0" w:rsidRDefault="00B52BB0" w:rsidP="003E074D">
            <w:pPr>
              <w:pStyle w:val="TableText"/>
            </w:pPr>
            <w:r>
              <w:t>0.7 &lt; to ≤ 1</w:t>
            </w:r>
          </w:p>
        </w:tc>
      </w:tr>
      <w:tr w:rsidR="00B52BB0">
        <w:tc>
          <w:tcPr>
            <w:tcW w:w="1051" w:type="pct"/>
          </w:tcPr>
          <w:p w:rsidR="00B52BB0" w:rsidRDefault="00B52BB0" w:rsidP="003E074D">
            <w:pPr>
              <w:pStyle w:val="TableText"/>
            </w:pPr>
            <w:r>
              <w:t>Moderate</w:t>
            </w:r>
          </w:p>
        </w:tc>
        <w:tc>
          <w:tcPr>
            <w:tcW w:w="2282" w:type="pct"/>
          </w:tcPr>
          <w:p w:rsidR="00B52BB0" w:rsidRDefault="00B52BB0" w:rsidP="003E074D">
            <w:pPr>
              <w:pStyle w:val="TableText"/>
            </w:pPr>
            <w:r>
              <w:t>The event would occur with an even likelihood</w:t>
            </w:r>
          </w:p>
        </w:tc>
        <w:tc>
          <w:tcPr>
            <w:tcW w:w="1667" w:type="pct"/>
          </w:tcPr>
          <w:p w:rsidR="00B52BB0" w:rsidRDefault="00B52BB0" w:rsidP="003E074D">
            <w:pPr>
              <w:pStyle w:val="TableText"/>
            </w:pPr>
            <w:r>
              <w:t>0.3 &lt; to ≤ 0.7</w:t>
            </w:r>
          </w:p>
        </w:tc>
      </w:tr>
      <w:tr w:rsidR="00B52BB0">
        <w:tc>
          <w:tcPr>
            <w:tcW w:w="1051" w:type="pct"/>
          </w:tcPr>
          <w:p w:rsidR="00B52BB0" w:rsidRDefault="00B52BB0" w:rsidP="003E074D">
            <w:pPr>
              <w:pStyle w:val="TableText"/>
            </w:pPr>
            <w:r>
              <w:t>Low</w:t>
            </w:r>
          </w:p>
        </w:tc>
        <w:tc>
          <w:tcPr>
            <w:tcW w:w="2282" w:type="pct"/>
          </w:tcPr>
          <w:p w:rsidR="00B52BB0" w:rsidRDefault="00B52BB0" w:rsidP="003E074D">
            <w:pPr>
              <w:pStyle w:val="TableText"/>
            </w:pPr>
            <w:r>
              <w:t>The event would be unlikely to occur</w:t>
            </w:r>
          </w:p>
        </w:tc>
        <w:tc>
          <w:tcPr>
            <w:tcW w:w="1667" w:type="pct"/>
          </w:tcPr>
          <w:p w:rsidR="00B52BB0" w:rsidRDefault="00B52BB0" w:rsidP="003E074D">
            <w:pPr>
              <w:pStyle w:val="TableText"/>
            </w:pPr>
            <w:r>
              <w:t>0.05 &lt; to ≤ 0.3</w:t>
            </w:r>
          </w:p>
        </w:tc>
      </w:tr>
      <w:tr w:rsidR="00B52BB0">
        <w:tc>
          <w:tcPr>
            <w:tcW w:w="1051" w:type="pct"/>
          </w:tcPr>
          <w:p w:rsidR="00B52BB0" w:rsidRDefault="00B52BB0" w:rsidP="003E074D">
            <w:pPr>
              <w:pStyle w:val="TableText"/>
            </w:pPr>
            <w:r>
              <w:t>Very low</w:t>
            </w:r>
          </w:p>
        </w:tc>
        <w:tc>
          <w:tcPr>
            <w:tcW w:w="2282" w:type="pct"/>
          </w:tcPr>
          <w:p w:rsidR="00B52BB0" w:rsidRDefault="00B52BB0" w:rsidP="003E074D">
            <w:pPr>
              <w:pStyle w:val="TableText"/>
            </w:pPr>
            <w:r>
              <w:t>The event would be very unlikely to occur</w:t>
            </w:r>
          </w:p>
        </w:tc>
        <w:tc>
          <w:tcPr>
            <w:tcW w:w="1667" w:type="pct"/>
          </w:tcPr>
          <w:p w:rsidR="00B52BB0" w:rsidRDefault="00B52BB0" w:rsidP="003E074D">
            <w:pPr>
              <w:pStyle w:val="TableText"/>
            </w:pPr>
            <w:r>
              <w:t>0.001 &lt; to ≤ 0.05</w:t>
            </w:r>
          </w:p>
        </w:tc>
      </w:tr>
      <w:tr w:rsidR="00B52BB0">
        <w:tc>
          <w:tcPr>
            <w:tcW w:w="1051" w:type="pct"/>
          </w:tcPr>
          <w:p w:rsidR="00B52BB0" w:rsidRDefault="00B52BB0" w:rsidP="003E074D">
            <w:pPr>
              <w:pStyle w:val="TableText"/>
            </w:pPr>
            <w:r>
              <w:t>Extremely low</w:t>
            </w:r>
          </w:p>
        </w:tc>
        <w:tc>
          <w:tcPr>
            <w:tcW w:w="2282" w:type="pct"/>
          </w:tcPr>
          <w:p w:rsidR="00B52BB0" w:rsidRDefault="00B52BB0" w:rsidP="003E074D">
            <w:pPr>
              <w:pStyle w:val="TableText"/>
            </w:pPr>
            <w:r>
              <w:t>The event would be extremely unlikely to occur</w:t>
            </w:r>
          </w:p>
        </w:tc>
        <w:tc>
          <w:tcPr>
            <w:tcW w:w="1667" w:type="pct"/>
          </w:tcPr>
          <w:p w:rsidR="00B52BB0" w:rsidRDefault="00B52BB0" w:rsidP="003E074D">
            <w:pPr>
              <w:pStyle w:val="TableText"/>
            </w:pPr>
            <w:r>
              <w:t>0.000001 &lt; to ≤ 0.001</w:t>
            </w:r>
          </w:p>
        </w:tc>
      </w:tr>
      <w:tr w:rsidR="00B52BB0">
        <w:tc>
          <w:tcPr>
            <w:tcW w:w="1051" w:type="pct"/>
          </w:tcPr>
          <w:p w:rsidR="00B52BB0" w:rsidRDefault="00B52BB0" w:rsidP="003E074D">
            <w:pPr>
              <w:pStyle w:val="TableText"/>
            </w:pPr>
            <w:r>
              <w:t>Negligible</w:t>
            </w:r>
          </w:p>
        </w:tc>
        <w:tc>
          <w:tcPr>
            <w:tcW w:w="2282" w:type="pct"/>
          </w:tcPr>
          <w:p w:rsidR="00B52BB0" w:rsidRDefault="00B52BB0" w:rsidP="003E074D">
            <w:pPr>
              <w:pStyle w:val="TableText"/>
            </w:pPr>
            <w:r>
              <w:t>The event would almost certainly not occur</w:t>
            </w:r>
          </w:p>
        </w:tc>
        <w:tc>
          <w:tcPr>
            <w:tcW w:w="1667" w:type="pct"/>
          </w:tcPr>
          <w:p w:rsidR="00B52BB0" w:rsidRDefault="00B52BB0" w:rsidP="003E074D">
            <w:pPr>
              <w:pStyle w:val="TableText"/>
            </w:pPr>
            <w:r>
              <w:t>0 &lt; to ≤ 0.000001</w:t>
            </w:r>
          </w:p>
        </w:tc>
      </w:tr>
    </w:tbl>
    <w:p w:rsidR="00B52BB0" w:rsidRDefault="00B52BB0" w:rsidP="003E074D">
      <w:pPr>
        <w:pStyle w:val="Heading5"/>
      </w:pPr>
      <w:r>
        <w:t>Combining likelihoods</w:t>
      </w:r>
    </w:p>
    <w:p w:rsidR="00B52BB0" w:rsidRDefault="00B52BB0" w:rsidP="003E074D">
      <w:r>
        <w:t>The likelihood of entry is determined by combining the likelihood that the pest will be imported into the PRA area and the likelihood that the pest will be distributed within the PRA area, using a matrix of rules (</w:t>
      </w:r>
      <w:r>
        <w:fldChar w:fldCharType="begin"/>
      </w:r>
      <w:r>
        <w:instrText xml:space="preserve"> REF _Ref457826328 \h </w:instrText>
      </w:r>
      <w:r>
        <w:fldChar w:fldCharType="separate"/>
      </w:r>
      <w:r w:rsidR="00EA7374">
        <w:t xml:space="preserve">Table </w:t>
      </w:r>
      <w:r w:rsidR="00EA7374">
        <w:rPr>
          <w:noProof/>
        </w:rPr>
        <w:t>2</w:t>
      </w:r>
      <w:r w:rsidR="00EA7374">
        <w:t>.</w:t>
      </w:r>
      <w:r w:rsidR="00EA7374">
        <w:rPr>
          <w:noProof/>
        </w:rPr>
        <w:t>2</w:t>
      </w:r>
      <w:r>
        <w:fldChar w:fldCharType="end"/>
      </w:r>
      <w:r>
        <w:t>). This matrix is then used to combine the likelihood of entry and the likelihood of establishment, and the likelihood of entry and establishment is then combined with the likelihood of spread to determine the overall likelihood of entry, establishment and spread.</w:t>
      </w:r>
    </w:p>
    <w:p w:rsidR="00B52BB0" w:rsidRDefault="00B52BB0" w:rsidP="003E074D">
      <w:r>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rsidR="00B52BB0" w:rsidRDefault="00B52BB0" w:rsidP="003E074D">
      <w:pPr>
        <w:tabs>
          <w:tab w:val="left" w:pos="4395"/>
        </w:tabs>
      </w:pPr>
      <w:proofErr w:type="gramStart"/>
      <w:r>
        <w:t>importation</w:t>
      </w:r>
      <w:proofErr w:type="gramEnd"/>
      <w:r>
        <w:t xml:space="preserve"> x distribution = entry [E]</w:t>
      </w:r>
      <w:r>
        <w:tab/>
      </w:r>
      <w:r w:rsidRPr="00901A6E">
        <w:rPr>
          <w:rStyle w:val="Strong"/>
        </w:rPr>
        <w:t>low x moderate = low</w:t>
      </w:r>
    </w:p>
    <w:p w:rsidR="00B52BB0" w:rsidRDefault="00B52BB0" w:rsidP="003E074D">
      <w:pPr>
        <w:tabs>
          <w:tab w:val="left" w:pos="4395"/>
        </w:tabs>
      </w:pPr>
      <w:proofErr w:type="gramStart"/>
      <w:r>
        <w:t>entry</w:t>
      </w:r>
      <w:proofErr w:type="gramEnd"/>
      <w:r>
        <w:t xml:space="preserve"> x establishment = [EE]</w:t>
      </w:r>
      <w:r>
        <w:tab/>
      </w:r>
      <w:r w:rsidRPr="00901A6E">
        <w:rPr>
          <w:rStyle w:val="Strong"/>
        </w:rPr>
        <w:t>low x high = low</w:t>
      </w:r>
    </w:p>
    <w:p w:rsidR="00B52BB0" w:rsidRPr="00901A6E" w:rsidRDefault="00B52BB0" w:rsidP="003E074D">
      <w:pPr>
        <w:tabs>
          <w:tab w:val="left" w:pos="4395"/>
        </w:tabs>
        <w:rPr>
          <w:rStyle w:val="Strong"/>
        </w:rPr>
      </w:pPr>
      <w:r>
        <w:t>[EE] x spread = [EES]</w:t>
      </w:r>
      <w:r>
        <w:tab/>
      </w:r>
      <w:r w:rsidRPr="00901A6E">
        <w:rPr>
          <w:rStyle w:val="Strong"/>
        </w:rPr>
        <w:t>low x very low = very low</w:t>
      </w:r>
    </w:p>
    <w:p w:rsidR="00B52BB0" w:rsidRDefault="00B52BB0" w:rsidP="003E074D">
      <w:pPr>
        <w:pStyle w:val="Caption"/>
      </w:pPr>
      <w:r>
        <w:br w:type="page"/>
      </w:r>
      <w:bookmarkStart w:id="16" w:name="_Ref528764975"/>
      <w:bookmarkStart w:id="17" w:name="_Ref457826328"/>
      <w:bookmarkStart w:id="18" w:name="_Toc7607545"/>
      <w:r>
        <w:lastRenderedPageBreak/>
        <w:t xml:space="preserve">Table </w:t>
      </w:r>
      <w:r>
        <w:rPr>
          <w:noProof/>
        </w:rPr>
        <w:fldChar w:fldCharType="begin"/>
      </w:r>
      <w:r>
        <w:rPr>
          <w:noProof/>
        </w:rPr>
        <w:instrText xml:space="preserve"> STYLEREF 2 \s </w:instrText>
      </w:r>
      <w:r>
        <w:rPr>
          <w:noProof/>
        </w:rPr>
        <w:fldChar w:fldCharType="separate"/>
      </w:r>
      <w:r w:rsidR="00EA7374">
        <w:rPr>
          <w:noProof/>
        </w:rPr>
        <w:t>2</w:t>
      </w:r>
      <w:r>
        <w:rPr>
          <w:noProof/>
        </w:rPr>
        <w:fldChar w:fldCharType="end"/>
      </w:r>
      <w:r>
        <w:t>.</w:t>
      </w:r>
      <w:r>
        <w:rPr>
          <w:noProof/>
        </w:rPr>
        <w:fldChar w:fldCharType="begin"/>
      </w:r>
      <w:r>
        <w:rPr>
          <w:noProof/>
        </w:rPr>
        <w:instrText xml:space="preserve"> SEQ Table \* ARABIC \s 2 </w:instrText>
      </w:r>
      <w:r>
        <w:rPr>
          <w:noProof/>
        </w:rPr>
        <w:fldChar w:fldCharType="separate"/>
      </w:r>
      <w:r w:rsidR="00EA7374">
        <w:rPr>
          <w:noProof/>
        </w:rPr>
        <w:t>2</w:t>
      </w:r>
      <w:r>
        <w:rPr>
          <w:noProof/>
        </w:rPr>
        <w:fldChar w:fldCharType="end"/>
      </w:r>
      <w:bookmarkEnd w:id="16"/>
      <w:bookmarkEnd w:id="17"/>
      <w:r>
        <w:t xml:space="preserve"> Matrix of rules for combining likelihoods</w:t>
      </w:r>
      <w:bookmarkEnd w:id="18"/>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4"/>
        <w:gridCol w:w="1309"/>
        <w:gridCol w:w="1310"/>
        <w:gridCol w:w="1309"/>
        <w:gridCol w:w="1309"/>
        <w:gridCol w:w="1310"/>
        <w:gridCol w:w="1309"/>
      </w:tblGrid>
      <w:tr w:rsidR="00B52BB0">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rsidR="00B52BB0" w:rsidRDefault="00B52BB0" w:rsidP="003E074D">
            <w:pPr>
              <w:pStyle w:val="TableText"/>
            </w:pPr>
          </w:p>
        </w:tc>
        <w:tc>
          <w:tcPr>
            <w:tcW w:w="723" w:type="pct"/>
            <w:tcBorders>
              <w:top w:val="single" w:sz="8" w:space="0" w:color="auto"/>
              <w:left w:val="nil"/>
              <w:bottom w:val="single" w:sz="8" w:space="0" w:color="C0C0C0"/>
            </w:tcBorders>
            <w:shd w:val="clear" w:color="auto" w:fill="auto"/>
          </w:tcPr>
          <w:p w:rsidR="00B52BB0" w:rsidRDefault="00B52BB0" w:rsidP="003E074D">
            <w:pPr>
              <w:pStyle w:val="TableText"/>
            </w:pPr>
            <w:r>
              <w:t>High</w:t>
            </w:r>
          </w:p>
        </w:tc>
        <w:tc>
          <w:tcPr>
            <w:tcW w:w="724" w:type="pct"/>
            <w:tcBorders>
              <w:top w:val="single" w:sz="8" w:space="0" w:color="auto"/>
              <w:bottom w:val="single" w:sz="8" w:space="0" w:color="C0C0C0"/>
            </w:tcBorders>
            <w:shd w:val="clear" w:color="auto" w:fill="auto"/>
          </w:tcPr>
          <w:p w:rsidR="00B52BB0" w:rsidRDefault="00B52BB0" w:rsidP="003E074D">
            <w:pPr>
              <w:pStyle w:val="TableText"/>
            </w:pPr>
            <w:r>
              <w:t>Moderate</w:t>
            </w:r>
          </w:p>
        </w:tc>
        <w:tc>
          <w:tcPr>
            <w:tcW w:w="723" w:type="pct"/>
            <w:tcBorders>
              <w:top w:val="single" w:sz="8" w:space="0" w:color="auto"/>
              <w:bottom w:val="single" w:sz="8" w:space="0" w:color="C0C0C0"/>
            </w:tcBorders>
            <w:shd w:val="clear" w:color="auto" w:fill="auto"/>
          </w:tcPr>
          <w:p w:rsidR="00B52BB0" w:rsidRDefault="00B52BB0" w:rsidP="003E074D">
            <w:pPr>
              <w:pStyle w:val="TableText"/>
            </w:pPr>
            <w:r>
              <w:t>Low</w:t>
            </w:r>
          </w:p>
        </w:tc>
        <w:tc>
          <w:tcPr>
            <w:tcW w:w="723" w:type="pct"/>
            <w:tcBorders>
              <w:top w:val="single" w:sz="8" w:space="0" w:color="auto"/>
              <w:bottom w:val="single" w:sz="8" w:space="0" w:color="C0C0C0"/>
            </w:tcBorders>
            <w:shd w:val="clear" w:color="auto" w:fill="auto"/>
          </w:tcPr>
          <w:p w:rsidR="00B52BB0" w:rsidRDefault="00B52BB0" w:rsidP="003E074D">
            <w:pPr>
              <w:pStyle w:val="TableText"/>
            </w:pPr>
            <w:r>
              <w:t>Very low</w:t>
            </w:r>
          </w:p>
        </w:tc>
        <w:tc>
          <w:tcPr>
            <w:tcW w:w="724" w:type="pct"/>
            <w:tcBorders>
              <w:top w:val="single" w:sz="8" w:space="0" w:color="auto"/>
              <w:bottom w:val="single" w:sz="8" w:space="0" w:color="C0C0C0"/>
            </w:tcBorders>
            <w:shd w:val="clear" w:color="auto" w:fill="auto"/>
          </w:tcPr>
          <w:p w:rsidR="00B52BB0" w:rsidRDefault="00B52BB0" w:rsidP="003E074D">
            <w:pPr>
              <w:pStyle w:val="TableText"/>
            </w:pPr>
            <w:r>
              <w:t>Extremely low</w:t>
            </w:r>
          </w:p>
        </w:tc>
        <w:tc>
          <w:tcPr>
            <w:tcW w:w="723" w:type="pct"/>
            <w:tcBorders>
              <w:top w:val="single" w:sz="8" w:space="0" w:color="auto"/>
              <w:bottom w:val="single" w:sz="8" w:space="0" w:color="C0C0C0"/>
              <w:right w:val="single" w:sz="8" w:space="0" w:color="auto"/>
            </w:tcBorders>
            <w:shd w:val="clear" w:color="auto" w:fill="auto"/>
          </w:tcPr>
          <w:p w:rsidR="00B52BB0" w:rsidRDefault="00B52BB0" w:rsidP="003E074D">
            <w:pPr>
              <w:pStyle w:val="TableText"/>
            </w:pPr>
            <w:r>
              <w:t>Negligible</w:t>
            </w:r>
          </w:p>
        </w:tc>
      </w:tr>
      <w:tr w:rsidR="00B52BB0">
        <w:trPr>
          <w:cantSplit/>
        </w:trPr>
        <w:tc>
          <w:tcPr>
            <w:tcW w:w="660" w:type="pct"/>
            <w:tcBorders>
              <w:top w:val="nil"/>
              <w:left w:val="single" w:sz="8" w:space="0" w:color="auto"/>
              <w:bottom w:val="single" w:sz="8" w:space="0" w:color="C0C0C0"/>
            </w:tcBorders>
            <w:vAlign w:val="center"/>
          </w:tcPr>
          <w:p w:rsidR="00B52BB0" w:rsidRDefault="00B52BB0" w:rsidP="003E074D">
            <w:pPr>
              <w:pStyle w:val="TableText"/>
            </w:pPr>
            <w:r>
              <w:t>High</w:t>
            </w:r>
          </w:p>
        </w:tc>
        <w:tc>
          <w:tcPr>
            <w:tcW w:w="723" w:type="pct"/>
            <w:tcBorders>
              <w:top w:val="single" w:sz="8" w:space="0" w:color="C0C0C0"/>
              <w:bottom w:val="single" w:sz="8" w:space="0" w:color="C0C0C0"/>
            </w:tcBorders>
            <w:shd w:val="clear" w:color="auto" w:fill="FF99CC"/>
            <w:vAlign w:val="center"/>
          </w:tcPr>
          <w:p w:rsidR="00B52BB0" w:rsidRDefault="00B52BB0" w:rsidP="003E074D">
            <w:pPr>
              <w:pStyle w:val="TableText"/>
              <w:rPr>
                <w:snapToGrid w:val="0"/>
              </w:rPr>
            </w:pPr>
            <w:r>
              <w:rPr>
                <w:snapToGrid w:val="0"/>
              </w:rPr>
              <w:t>High</w:t>
            </w:r>
          </w:p>
        </w:tc>
        <w:tc>
          <w:tcPr>
            <w:tcW w:w="724" w:type="pct"/>
            <w:tcBorders>
              <w:top w:val="single" w:sz="8" w:space="0" w:color="C0C0C0"/>
            </w:tcBorders>
            <w:shd w:val="clear" w:color="auto" w:fill="FFCC99"/>
            <w:vAlign w:val="center"/>
          </w:tcPr>
          <w:p w:rsidR="00B52BB0" w:rsidRDefault="00B52BB0" w:rsidP="003E074D">
            <w:pPr>
              <w:pStyle w:val="TableText"/>
              <w:rPr>
                <w:snapToGrid w:val="0"/>
              </w:rPr>
            </w:pPr>
            <w:r>
              <w:rPr>
                <w:snapToGrid w:val="0"/>
              </w:rPr>
              <w:t>Moderate</w:t>
            </w:r>
          </w:p>
        </w:tc>
        <w:tc>
          <w:tcPr>
            <w:tcW w:w="723" w:type="pct"/>
            <w:tcBorders>
              <w:top w:val="single" w:sz="8" w:space="0" w:color="C0C0C0"/>
            </w:tcBorders>
            <w:shd w:val="clear" w:color="auto" w:fill="FFFF99"/>
            <w:vAlign w:val="center"/>
          </w:tcPr>
          <w:p w:rsidR="00B52BB0" w:rsidRDefault="00B52BB0" w:rsidP="003E074D">
            <w:pPr>
              <w:pStyle w:val="TableText"/>
              <w:rPr>
                <w:snapToGrid w:val="0"/>
              </w:rPr>
            </w:pPr>
            <w:r>
              <w:rPr>
                <w:snapToGrid w:val="0"/>
              </w:rPr>
              <w:t>Low</w:t>
            </w:r>
          </w:p>
        </w:tc>
        <w:tc>
          <w:tcPr>
            <w:tcW w:w="723" w:type="pct"/>
            <w:tcBorders>
              <w:top w:val="single" w:sz="8" w:space="0" w:color="C0C0C0"/>
            </w:tcBorders>
            <w:shd w:val="clear" w:color="auto" w:fill="CCFFCC"/>
            <w:vAlign w:val="center"/>
          </w:tcPr>
          <w:p w:rsidR="00B52BB0" w:rsidRDefault="00B52BB0" w:rsidP="003E074D">
            <w:pPr>
              <w:pStyle w:val="TableText"/>
              <w:rPr>
                <w:snapToGrid w:val="0"/>
              </w:rPr>
            </w:pPr>
            <w:r>
              <w:rPr>
                <w:snapToGrid w:val="0"/>
              </w:rPr>
              <w:t>Very low</w:t>
            </w:r>
          </w:p>
        </w:tc>
        <w:tc>
          <w:tcPr>
            <w:tcW w:w="724" w:type="pct"/>
            <w:tcBorders>
              <w:top w:val="single" w:sz="8" w:space="0" w:color="C0C0C0"/>
            </w:tcBorders>
            <w:shd w:val="clear" w:color="auto" w:fill="CCFFFF"/>
            <w:vAlign w:val="center"/>
          </w:tcPr>
          <w:p w:rsidR="00B52BB0" w:rsidRDefault="00B52BB0" w:rsidP="003E074D">
            <w:pPr>
              <w:pStyle w:val="TableText"/>
              <w:rPr>
                <w:snapToGrid w:val="0"/>
              </w:rPr>
            </w:pPr>
            <w:r>
              <w:rPr>
                <w:snapToGrid w:val="0"/>
              </w:rPr>
              <w:t>Extremely low</w:t>
            </w:r>
          </w:p>
        </w:tc>
        <w:tc>
          <w:tcPr>
            <w:tcW w:w="723" w:type="pct"/>
            <w:tcBorders>
              <w:top w:val="single" w:sz="8" w:space="0" w:color="C0C0C0"/>
              <w:right w:val="single" w:sz="8" w:space="0" w:color="auto"/>
            </w:tcBorders>
            <w:shd w:val="clear" w:color="auto" w:fill="F2F2F2" w:themeFill="background1" w:themeFillShade="F2"/>
            <w:vAlign w:val="center"/>
          </w:tcPr>
          <w:p w:rsidR="00B52BB0" w:rsidRDefault="00B52BB0" w:rsidP="003E074D">
            <w:pPr>
              <w:pStyle w:val="TableText"/>
              <w:rPr>
                <w:rFonts w:cs="Arial"/>
                <w:snapToGrid w:val="0"/>
                <w:szCs w:val="18"/>
              </w:rPr>
            </w:pPr>
            <w:r>
              <w:rPr>
                <w:rFonts w:cs="Arial"/>
                <w:snapToGrid w:val="0"/>
                <w:szCs w:val="18"/>
              </w:rPr>
              <w:t>Negligible</w:t>
            </w:r>
          </w:p>
        </w:tc>
      </w:tr>
      <w:tr w:rsidR="00B52BB0">
        <w:trPr>
          <w:cantSplit/>
        </w:trPr>
        <w:tc>
          <w:tcPr>
            <w:tcW w:w="1382" w:type="pct"/>
            <w:gridSpan w:val="2"/>
            <w:tcBorders>
              <w:top w:val="single" w:sz="8" w:space="0" w:color="C0C0C0"/>
              <w:left w:val="single" w:sz="8" w:space="0" w:color="auto"/>
              <w:bottom w:val="single" w:sz="8" w:space="0" w:color="C0C0C0"/>
            </w:tcBorders>
            <w:vAlign w:val="center"/>
          </w:tcPr>
          <w:p w:rsidR="00B52BB0" w:rsidRDefault="00B52BB0" w:rsidP="003E074D">
            <w:pPr>
              <w:pStyle w:val="TableText"/>
            </w:pPr>
            <w:r>
              <w:t>Moderate</w:t>
            </w:r>
          </w:p>
        </w:tc>
        <w:tc>
          <w:tcPr>
            <w:tcW w:w="724" w:type="pct"/>
            <w:tcBorders>
              <w:bottom w:val="single" w:sz="8" w:space="0" w:color="C0C0C0"/>
            </w:tcBorders>
            <w:shd w:val="clear" w:color="auto" w:fill="FFFF99"/>
            <w:vAlign w:val="center"/>
          </w:tcPr>
          <w:p w:rsidR="00B52BB0" w:rsidRDefault="00B52BB0" w:rsidP="003E074D">
            <w:pPr>
              <w:pStyle w:val="TableText"/>
              <w:rPr>
                <w:snapToGrid w:val="0"/>
              </w:rPr>
            </w:pPr>
            <w:r>
              <w:rPr>
                <w:snapToGrid w:val="0"/>
              </w:rPr>
              <w:t>Low</w:t>
            </w:r>
          </w:p>
        </w:tc>
        <w:tc>
          <w:tcPr>
            <w:tcW w:w="723" w:type="pct"/>
            <w:shd w:val="clear" w:color="auto" w:fill="FFFF99"/>
            <w:vAlign w:val="center"/>
          </w:tcPr>
          <w:p w:rsidR="00B52BB0" w:rsidRDefault="00B52BB0" w:rsidP="003E074D">
            <w:pPr>
              <w:pStyle w:val="TableText"/>
              <w:rPr>
                <w:snapToGrid w:val="0"/>
              </w:rPr>
            </w:pPr>
            <w:r>
              <w:rPr>
                <w:snapToGrid w:val="0"/>
              </w:rPr>
              <w:t>Low</w:t>
            </w:r>
          </w:p>
        </w:tc>
        <w:tc>
          <w:tcPr>
            <w:tcW w:w="723" w:type="pct"/>
            <w:shd w:val="clear" w:color="auto" w:fill="CCFFCC"/>
            <w:vAlign w:val="center"/>
          </w:tcPr>
          <w:p w:rsidR="00B52BB0" w:rsidRDefault="00B52BB0" w:rsidP="003E074D">
            <w:pPr>
              <w:pStyle w:val="TableText"/>
              <w:rPr>
                <w:snapToGrid w:val="0"/>
              </w:rPr>
            </w:pPr>
            <w:r>
              <w:rPr>
                <w:snapToGrid w:val="0"/>
              </w:rPr>
              <w:t>Very low</w:t>
            </w:r>
          </w:p>
        </w:tc>
        <w:tc>
          <w:tcPr>
            <w:tcW w:w="724" w:type="pct"/>
            <w:shd w:val="clear" w:color="auto" w:fill="CCFFFF"/>
            <w:vAlign w:val="center"/>
          </w:tcPr>
          <w:p w:rsidR="00B52BB0" w:rsidRDefault="00B52BB0" w:rsidP="003E074D">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rsidR="00B52BB0" w:rsidRDefault="00B52BB0" w:rsidP="003E074D">
            <w:pPr>
              <w:pStyle w:val="TableText"/>
              <w:rPr>
                <w:rFonts w:cs="Arial"/>
                <w:snapToGrid w:val="0"/>
                <w:szCs w:val="18"/>
              </w:rPr>
            </w:pPr>
            <w:r>
              <w:rPr>
                <w:rFonts w:cs="Arial"/>
                <w:snapToGrid w:val="0"/>
                <w:szCs w:val="18"/>
              </w:rPr>
              <w:t>Negligible</w:t>
            </w:r>
          </w:p>
        </w:tc>
      </w:tr>
      <w:tr w:rsidR="00B52BB0">
        <w:trPr>
          <w:cantSplit/>
        </w:trPr>
        <w:tc>
          <w:tcPr>
            <w:tcW w:w="2106" w:type="pct"/>
            <w:gridSpan w:val="3"/>
            <w:tcBorders>
              <w:top w:val="single" w:sz="8" w:space="0" w:color="C0C0C0"/>
              <w:left w:val="single" w:sz="8" w:space="0" w:color="auto"/>
              <w:bottom w:val="single" w:sz="8" w:space="0" w:color="C0C0C0"/>
            </w:tcBorders>
            <w:vAlign w:val="center"/>
          </w:tcPr>
          <w:p w:rsidR="00B52BB0" w:rsidRDefault="00B52BB0" w:rsidP="003E074D">
            <w:pPr>
              <w:pStyle w:val="TableText"/>
            </w:pPr>
            <w:r>
              <w:t>Low</w:t>
            </w:r>
          </w:p>
        </w:tc>
        <w:tc>
          <w:tcPr>
            <w:tcW w:w="723" w:type="pct"/>
            <w:tcBorders>
              <w:bottom w:val="single" w:sz="8" w:space="0" w:color="C0C0C0"/>
            </w:tcBorders>
            <w:shd w:val="clear" w:color="auto" w:fill="CCFFCC"/>
            <w:vAlign w:val="center"/>
          </w:tcPr>
          <w:p w:rsidR="00B52BB0" w:rsidRDefault="00B52BB0" w:rsidP="003E074D">
            <w:pPr>
              <w:pStyle w:val="TableText"/>
              <w:rPr>
                <w:snapToGrid w:val="0"/>
              </w:rPr>
            </w:pPr>
            <w:r>
              <w:rPr>
                <w:snapToGrid w:val="0"/>
              </w:rPr>
              <w:t>Very low</w:t>
            </w:r>
          </w:p>
        </w:tc>
        <w:tc>
          <w:tcPr>
            <w:tcW w:w="723" w:type="pct"/>
            <w:shd w:val="clear" w:color="auto" w:fill="CCFFCC"/>
            <w:vAlign w:val="center"/>
          </w:tcPr>
          <w:p w:rsidR="00B52BB0" w:rsidRDefault="00B52BB0" w:rsidP="003E074D">
            <w:pPr>
              <w:pStyle w:val="TableText"/>
              <w:rPr>
                <w:snapToGrid w:val="0"/>
              </w:rPr>
            </w:pPr>
            <w:r>
              <w:rPr>
                <w:snapToGrid w:val="0"/>
              </w:rPr>
              <w:t>Very low</w:t>
            </w:r>
          </w:p>
        </w:tc>
        <w:tc>
          <w:tcPr>
            <w:tcW w:w="724" w:type="pct"/>
            <w:shd w:val="clear" w:color="auto" w:fill="CCFFFF"/>
            <w:vAlign w:val="center"/>
          </w:tcPr>
          <w:p w:rsidR="00B52BB0" w:rsidRDefault="00B52BB0" w:rsidP="003E074D">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rsidR="00B52BB0" w:rsidRDefault="00B52BB0" w:rsidP="003E074D">
            <w:pPr>
              <w:pStyle w:val="TableText"/>
              <w:rPr>
                <w:rFonts w:cs="Arial"/>
                <w:snapToGrid w:val="0"/>
                <w:szCs w:val="18"/>
              </w:rPr>
            </w:pPr>
            <w:r>
              <w:rPr>
                <w:rFonts w:cs="Arial"/>
                <w:snapToGrid w:val="0"/>
                <w:szCs w:val="18"/>
              </w:rPr>
              <w:t>Negligible</w:t>
            </w:r>
          </w:p>
        </w:tc>
      </w:tr>
      <w:tr w:rsidR="00B52BB0">
        <w:trPr>
          <w:cantSplit/>
        </w:trPr>
        <w:tc>
          <w:tcPr>
            <w:tcW w:w="2830" w:type="pct"/>
            <w:gridSpan w:val="4"/>
            <w:tcBorders>
              <w:top w:val="single" w:sz="8" w:space="0" w:color="C0C0C0"/>
              <w:left w:val="single" w:sz="8" w:space="0" w:color="auto"/>
              <w:bottom w:val="single" w:sz="8" w:space="0" w:color="C0C0C0"/>
            </w:tcBorders>
            <w:vAlign w:val="center"/>
          </w:tcPr>
          <w:p w:rsidR="00B52BB0" w:rsidRDefault="00B52BB0" w:rsidP="003E074D">
            <w:pPr>
              <w:pStyle w:val="TableText"/>
            </w:pPr>
            <w:r>
              <w:t>Very low</w:t>
            </w:r>
          </w:p>
        </w:tc>
        <w:tc>
          <w:tcPr>
            <w:tcW w:w="723" w:type="pct"/>
            <w:tcBorders>
              <w:bottom w:val="single" w:sz="8" w:space="0" w:color="C0C0C0"/>
            </w:tcBorders>
            <w:shd w:val="clear" w:color="auto" w:fill="CCFFFF"/>
            <w:vAlign w:val="center"/>
          </w:tcPr>
          <w:p w:rsidR="00B52BB0" w:rsidRDefault="00B52BB0" w:rsidP="003E074D">
            <w:pPr>
              <w:pStyle w:val="TableText"/>
              <w:rPr>
                <w:snapToGrid w:val="0"/>
              </w:rPr>
            </w:pPr>
            <w:r>
              <w:rPr>
                <w:snapToGrid w:val="0"/>
              </w:rPr>
              <w:t>Extremely low</w:t>
            </w:r>
          </w:p>
        </w:tc>
        <w:tc>
          <w:tcPr>
            <w:tcW w:w="724" w:type="pct"/>
            <w:shd w:val="clear" w:color="auto" w:fill="CCFFFF"/>
            <w:vAlign w:val="center"/>
          </w:tcPr>
          <w:p w:rsidR="00B52BB0" w:rsidRDefault="00B52BB0" w:rsidP="003E074D">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rsidR="00B52BB0" w:rsidRDefault="00B52BB0" w:rsidP="003E074D">
            <w:pPr>
              <w:pStyle w:val="TableText"/>
              <w:rPr>
                <w:rFonts w:cs="Arial"/>
                <w:snapToGrid w:val="0"/>
                <w:szCs w:val="18"/>
              </w:rPr>
            </w:pPr>
            <w:r>
              <w:rPr>
                <w:rFonts w:cs="Arial"/>
                <w:snapToGrid w:val="0"/>
                <w:szCs w:val="18"/>
              </w:rPr>
              <w:t>Negligible</w:t>
            </w:r>
          </w:p>
        </w:tc>
      </w:tr>
      <w:tr w:rsidR="00B52BB0">
        <w:trPr>
          <w:cantSplit/>
        </w:trPr>
        <w:tc>
          <w:tcPr>
            <w:tcW w:w="3553" w:type="pct"/>
            <w:gridSpan w:val="5"/>
            <w:tcBorders>
              <w:top w:val="single" w:sz="8" w:space="0" w:color="C0C0C0"/>
              <w:left w:val="single" w:sz="8" w:space="0" w:color="auto"/>
              <w:bottom w:val="single" w:sz="8" w:space="0" w:color="C0C0C0"/>
            </w:tcBorders>
            <w:vAlign w:val="center"/>
          </w:tcPr>
          <w:p w:rsidR="00B52BB0" w:rsidRDefault="00B52BB0" w:rsidP="003E074D">
            <w:pPr>
              <w:pStyle w:val="TableText"/>
            </w:pPr>
            <w:r>
              <w:t>Extremely low</w:t>
            </w:r>
          </w:p>
        </w:tc>
        <w:tc>
          <w:tcPr>
            <w:tcW w:w="724" w:type="pct"/>
            <w:tcBorders>
              <w:bottom w:val="single" w:sz="8" w:space="0" w:color="C0C0C0"/>
            </w:tcBorders>
            <w:shd w:val="clear" w:color="auto" w:fill="F2F2F2" w:themeFill="background1" w:themeFillShade="F2"/>
            <w:vAlign w:val="center"/>
          </w:tcPr>
          <w:p w:rsidR="00B52BB0" w:rsidRDefault="00B52BB0" w:rsidP="003E074D">
            <w:pPr>
              <w:pStyle w:val="TableText"/>
              <w:rPr>
                <w:snapToGrid w:val="0"/>
              </w:rPr>
            </w:pPr>
            <w:r>
              <w:rPr>
                <w:snapToGrid w:val="0"/>
              </w:rPr>
              <w:t>Negligible</w:t>
            </w:r>
          </w:p>
        </w:tc>
        <w:tc>
          <w:tcPr>
            <w:tcW w:w="723" w:type="pct"/>
            <w:tcBorders>
              <w:right w:val="single" w:sz="8" w:space="0" w:color="auto"/>
            </w:tcBorders>
            <w:shd w:val="clear" w:color="auto" w:fill="F2F2F2" w:themeFill="background1" w:themeFillShade="F2"/>
            <w:vAlign w:val="center"/>
          </w:tcPr>
          <w:p w:rsidR="00B52BB0" w:rsidRDefault="00B52BB0" w:rsidP="003E074D">
            <w:pPr>
              <w:pStyle w:val="TableText"/>
              <w:rPr>
                <w:rFonts w:cs="Arial"/>
                <w:snapToGrid w:val="0"/>
                <w:szCs w:val="18"/>
              </w:rPr>
            </w:pPr>
            <w:r>
              <w:rPr>
                <w:rFonts w:cs="Arial"/>
                <w:snapToGrid w:val="0"/>
                <w:szCs w:val="18"/>
              </w:rPr>
              <w:t>Negligible</w:t>
            </w:r>
          </w:p>
        </w:tc>
      </w:tr>
      <w:tr w:rsidR="00B52BB0">
        <w:trPr>
          <w:cantSplit/>
        </w:trPr>
        <w:tc>
          <w:tcPr>
            <w:tcW w:w="4277" w:type="pct"/>
            <w:gridSpan w:val="6"/>
            <w:tcBorders>
              <w:top w:val="single" w:sz="8" w:space="0" w:color="C0C0C0"/>
              <w:left w:val="single" w:sz="8" w:space="0" w:color="auto"/>
              <w:bottom w:val="single" w:sz="8" w:space="0" w:color="auto"/>
            </w:tcBorders>
            <w:vAlign w:val="center"/>
          </w:tcPr>
          <w:p w:rsidR="00B52BB0" w:rsidRDefault="00B52BB0" w:rsidP="003E074D">
            <w:pPr>
              <w:pStyle w:val="TableText"/>
            </w:pPr>
            <w:r>
              <w:t>Negligible</w:t>
            </w:r>
          </w:p>
        </w:tc>
        <w:tc>
          <w:tcPr>
            <w:tcW w:w="723" w:type="pct"/>
            <w:tcBorders>
              <w:bottom w:val="single" w:sz="8" w:space="0" w:color="auto"/>
              <w:right w:val="single" w:sz="8" w:space="0" w:color="auto"/>
            </w:tcBorders>
            <w:shd w:val="clear" w:color="auto" w:fill="F2F2F2" w:themeFill="background1" w:themeFillShade="F2"/>
            <w:vAlign w:val="center"/>
          </w:tcPr>
          <w:p w:rsidR="00B52BB0" w:rsidRDefault="00B52BB0" w:rsidP="003E074D">
            <w:pPr>
              <w:pStyle w:val="TableText"/>
              <w:rPr>
                <w:rFonts w:cs="Arial"/>
                <w:szCs w:val="18"/>
              </w:rPr>
            </w:pPr>
            <w:r>
              <w:rPr>
                <w:rFonts w:cs="Arial"/>
                <w:snapToGrid w:val="0"/>
                <w:szCs w:val="18"/>
              </w:rPr>
              <w:t>Negligible</w:t>
            </w:r>
          </w:p>
        </w:tc>
      </w:tr>
    </w:tbl>
    <w:p w:rsidR="00B52BB0" w:rsidRDefault="00B52BB0" w:rsidP="003E074D">
      <w:pPr>
        <w:pStyle w:val="Heading5"/>
      </w:pPr>
      <w:r>
        <w:t>Time and volume of trade</w:t>
      </w:r>
    </w:p>
    <w:p w:rsidR="00B52BB0" w:rsidRDefault="00B52BB0">
      <w:r>
        <w:t>One factor affecting the likelihood of entry is the volume and duration of trade. If all other conditions remain the same, the overall likelihood of entry will increase as time passes and the overall volume of trade increases.</w:t>
      </w:r>
    </w:p>
    <w:p w:rsidR="00B52BB0" w:rsidRDefault="00B52BB0">
      <w:r>
        <w:t>The 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rsidR="00B52BB0" w:rsidRDefault="00B52BB0">
      <w:r>
        <w:t>The use of a one year volume of trade has been taken into account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rsidR="00B52BB0" w:rsidRDefault="00B52BB0" w:rsidP="003E074D">
      <w:pPr>
        <w:pStyle w:val="Heading4"/>
      </w:pPr>
      <w:r>
        <w:t>Assessment of potential consequences</w:t>
      </w:r>
    </w:p>
    <w:p w:rsidR="00B52BB0" w:rsidRDefault="00B52BB0" w:rsidP="003E074D">
      <w:r>
        <w:t xml:space="preserve">The objective of the consequence assessment is to provide a structured and transparent analysis of the potential consequences if the pests or disease agents were to enter, establish and spread in Australia. The assessment considers direct and indirect pest effects and their economic and environmental consequences. The requirements for assessing potential consequences are given in Article 5.3 of the SPS Agreement </w:t>
      </w:r>
      <w:r>
        <w:rPr>
          <w:noProof/>
        </w:rPr>
        <w:t>(WTO 1995)</w:t>
      </w:r>
      <w:r>
        <w:t xml:space="preserve">, ISPM 5 </w:t>
      </w:r>
      <w:r>
        <w:rPr>
          <w:noProof/>
        </w:rPr>
        <w:t>(FAO 2019a)</w:t>
      </w:r>
      <w:r>
        <w:t xml:space="preserve"> and ISPM 11 </w:t>
      </w:r>
      <w:r>
        <w:rPr>
          <w:noProof/>
        </w:rPr>
        <w:t>(FAO 2017b)</w:t>
      </w:r>
      <w:r>
        <w:t>.</w:t>
      </w:r>
      <w:r>
        <w:br w:type="page"/>
      </w:r>
    </w:p>
    <w:p w:rsidR="00B52BB0" w:rsidRDefault="00B52BB0" w:rsidP="003E074D">
      <w:r>
        <w:lastRenderedPageBreak/>
        <w:t>Direct pest effects are considered in the context of the effects on:</w:t>
      </w:r>
    </w:p>
    <w:p w:rsidR="00B52BB0" w:rsidRDefault="00B52BB0" w:rsidP="00B52BB0">
      <w:pPr>
        <w:pStyle w:val="ListBullet"/>
        <w:numPr>
          <w:ilvl w:val="0"/>
          <w:numId w:val="7"/>
        </w:numPr>
      </w:pPr>
      <w:r>
        <w:t>plant life or health</w:t>
      </w:r>
    </w:p>
    <w:p w:rsidR="00B52BB0" w:rsidRDefault="00B52BB0" w:rsidP="00B52BB0">
      <w:pPr>
        <w:pStyle w:val="ListBullet"/>
        <w:numPr>
          <w:ilvl w:val="0"/>
          <w:numId w:val="7"/>
        </w:numPr>
      </w:pPr>
      <w:proofErr w:type="gramStart"/>
      <w:r>
        <w:t>other</w:t>
      </w:r>
      <w:proofErr w:type="gramEnd"/>
      <w:r>
        <w:t xml:space="preserve"> aspects of the environment.</w:t>
      </w:r>
    </w:p>
    <w:p w:rsidR="00B52BB0" w:rsidRDefault="00B52BB0" w:rsidP="003E074D">
      <w:r>
        <w:t>Indirect pest effects are considered in the context of the effects on:</w:t>
      </w:r>
    </w:p>
    <w:p w:rsidR="00B52BB0" w:rsidRDefault="00B52BB0" w:rsidP="00B52BB0">
      <w:pPr>
        <w:pStyle w:val="ListBullet"/>
        <w:numPr>
          <w:ilvl w:val="0"/>
          <w:numId w:val="7"/>
        </w:numPr>
      </w:pPr>
      <w:r>
        <w:t>eradication, control</w:t>
      </w:r>
    </w:p>
    <w:p w:rsidR="00B52BB0" w:rsidRDefault="00B52BB0" w:rsidP="00B52BB0">
      <w:pPr>
        <w:pStyle w:val="ListBullet"/>
        <w:numPr>
          <w:ilvl w:val="0"/>
          <w:numId w:val="7"/>
        </w:numPr>
      </w:pPr>
      <w:r>
        <w:t>domestic trade</w:t>
      </w:r>
    </w:p>
    <w:p w:rsidR="00B52BB0" w:rsidRDefault="00B52BB0" w:rsidP="00B52BB0">
      <w:pPr>
        <w:pStyle w:val="ListBullet"/>
        <w:numPr>
          <w:ilvl w:val="0"/>
          <w:numId w:val="7"/>
        </w:numPr>
      </w:pPr>
      <w:r>
        <w:t>international trade</w:t>
      </w:r>
    </w:p>
    <w:p w:rsidR="00B52BB0" w:rsidRDefault="00B52BB0" w:rsidP="00B52BB0">
      <w:pPr>
        <w:pStyle w:val="ListBullet"/>
        <w:numPr>
          <w:ilvl w:val="0"/>
          <w:numId w:val="7"/>
        </w:numPr>
      </w:pPr>
      <w:proofErr w:type="gramStart"/>
      <w:r>
        <w:t>non-commercial</w:t>
      </w:r>
      <w:proofErr w:type="gramEnd"/>
      <w:r>
        <w:t xml:space="preserve"> and environmental.</w:t>
      </w:r>
    </w:p>
    <w:p w:rsidR="00B52BB0" w:rsidRDefault="00B52BB0" w:rsidP="003E074D">
      <w:r>
        <w:t>For each of these six criteria, the consequences were estimated over four geographic levels, defined as:</w:t>
      </w:r>
    </w:p>
    <w:p w:rsidR="00B52BB0" w:rsidRDefault="00B52BB0" w:rsidP="003E074D">
      <w:r w:rsidRPr="00A32AD0">
        <w:rPr>
          <w:rStyle w:val="Strong"/>
        </w:rPr>
        <w:t>Local</w:t>
      </w:r>
      <w:r>
        <w:t>—an aggregate of households or enterprises (a rural community, a town or a local government area).</w:t>
      </w:r>
    </w:p>
    <w:p w:rsidR="00B52BB0" w:rsidRDefault="00B52BB0" w:rsidP="003E074D">
      <w:r w:rsidRPr="00A32AD0">
        <w:rPr>
          <w:rStyle w:val="Strong"/>
        </w:rPr>
        <w:t>District</w:t>
      </w:r>
      <w:r>
        <w:t>—a geographically or geopolitically associated collection of aggregates (generally a recognised section of a state or territory, such as ‘Far North Queensland’).</w:t>
      </w:r>
    </w:p>
    <w:p w:rsidR="00B52BB0" w:rsidRDefault="00B52BB0" w:rsidP="003E074D">
      <w:r w:rsidRPr="00A32AD0">
        <w:rPr>
          <w:rStyle w:val="Strong"/>
        </w:rPr>
        <w:t>Regional</w:t>
      </w:r>
      <w:r>
        <w:t>—a geographically or geopolitically associated collection of districts in a geographic area (generally a state or territory, although there may be exceptions with larger states such as Western Australia).</w:t>
      </w:r>
    </w:p>
    <w:p w:rsidR="00B52BB0" w:rsidRDefault="00B52BB0" w:rsidP="003E074D">
      <w:r w:rsidRPr="00A32AD0">
        <w:rPr>
          <w:rStyle w:val="Strong"/>
        </w:rPr>
        <w:t>National</w:t>
      </w:r>
      <w:r>
        <w:t>—Australia wide (Australian mainland states and territories and Tasmania).</w:t>
      </w:r>
    </w:p>
    <w:p w:rsidR="00B52BB0" w:rsidRDefault="00B52BB0" w:rsidP="003E074D">
      <w:r>
        <w:t>For each criterion, the magnitude of the potential consequence at each of these levels was described using four categories, defined as:</w:t>
      </w:r>
    </w:p>
    <w:p w:rsidR="00B52BB0" w:rsidRDefault="00B52BB0" w:rsidP="003E074D">
      <w:r w:rsidRPr="00A32AD0">
        <w:rPr>
          <w:rStyle w:val="Strong"/>
        </w:rPr>
        <w:t>Indiscernible</w:t>
      </w:r>
      <w:r>
        <w:t>—pest impact unlikely to be noticeable.</w:t>
      </w:r>
    </w:p>
    <w:p w:rsidR="00B52BB0" w:rsidRDefault="00B52BB0" w:rsidP="003E074D">
      <w:r w:rsidRPr="00A32AD0">
        <w:rPr>
          <w:rStyle w:val="Strong"/>
        </w:rPr>
        <w:t>Minor significance</w:t>
      </w:r>
      <w: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rsidR="00B52BB0" w:rsidRDefault="00B52BB0" w:rsidP="003E074D">
      <w:r w:rsidRPr="005F1B70">
        <w:rPr>
          <w:b/>
        </w:rPr>
        <w:t>Significant</w:t>
      </w:r>
      <w:r>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rsidR="00B52BB0" w:rsidRDefault="00B52BB0" w:rsidP="003E074D">
      <w:r w:rsidRPr="005F1B70">
        <w:rPr>
          <w:b/>
        </w:rPr>
        <w:t>Major significance</w:t>
      </w:r>
      <w:r>
        <w:t>—expected to threaten the economic viability through a large increase in mortality/morbidity of hosts, or a large decrease in production. Expected to severely or irreversibly damage the intrinsic ‘value’ of non-commercial criteria.</w:t>
      </w:r>
    </w:p>
    <w:p w:rsidR="00B52BB0" w:rsidRDefault="00B52BB0" w:rsidP="003E074D">
      <w:r>
        <w:t>The estimates of the magnitude of the potential consequences over the four geographic levels were translated into a qualitative impact score (A</w:t>
      </w:r>
      <w:r>
        <w:noBreakHyphen/>
        <w:t xml:space="preserve">G) using </w:t>
      </w:r>
      <w:r>
        <w:fldChar w:fldCharType="begin"/>
      </w:r>
      <w:r>
        <w:instrText xml:space="preserve"> REF _Ref457826350 \h </w:instrText>
      </w:r>
      <w:r>
        <w:fldChar w:fldCharType="separate"/>
      </w:r>
      <w:r w:rsidR="00EA7374">
        <w:t xml:space="preserve">Table </w:t>
      </w:r>
      <w:r w:rsidR="00EA7374">
        <w:rPr>
          <w:noProof/>
        </w:rPr>
        <w:t>2</w:t>
      </w:r>
      <w:r w:rsidR="00EA7374">
        <w:t>.</w:t>
      </w:r>
      <w:r w:rsidR="00EA7374">
        <w:rPr>
          <w:noProof/>
        </w:rPr>
        <w:t>3</w:t>
      </w:r>
      <w:r>
        <w:fldChar w:fldCharType="end"/>
      </w:r>
      <w:r>
        <w:t>. For example, a consequence with a magnitude of ‘significant’ at the ‘district’ level will have a consequence impact score of D.</w:t>
      </w:r>
    </w:p>
    <w:p w:rsidR="00B52BB0" w:rsidRDefault="00B52BB0" w:rsidP="003E074D">
      <w:pPr>
        <w:pStyle w:val="Caption"/>
      </w:pPr>
      <w:bookmarkStart w:id="19" w:name="_Ref457826350"/>
      <w:bookmarkStart w:id="20" w:name="_Toc384979278"/>
      <w:bookmarkStart w:id="21" w:name="_Toc7607546"/>
      <w:r>
        <w:lastRenderedPageBreak/>
        <w:t xml:space="preserve">Table </w:t>
      </w:r>
      <w:r>
        <w:rPr>
          <w:noProof/>
        </w:rPr>
        <w:fldChar w:fldCharType="begin"/>
      </w:r>
      <w:r>
        <w:rPr>
          <w:noProof/>
        </w:rPr>
        <w:instrText xml:space="preserve"> STYLEREF 2 \s </w:instrText>
      </w:r>
      <w:r>
        <w:rPr>
          <w:noProof/>
        </w:rPr>
        <w:fldChar w:fldCharType="separate"/>
      </w:r>
      <w:r w:rsidR="00EA7374">
        <w:rPr>
          <w:noProof/>
        </w:rPr>
        <w:t>2</w:t>
      </w:r>
      <w:r>
        <w:rPr>
          <w:noProof/>
        </w:rPr>
        <w:fldChar w:fldCharType="end"/>
      </w:r>
      <w:r>
        <w:t>.</w:t>
      </w:r>
      <w:r>
        <w:rPr>
          <w:noProof/>
        </w:rPr>
        <w:fldChar w:fldCharType="begin"/>
      </w:r>
      <w:r>
        <w:rPr>
          <w:noProof/>
        </w:rPr>
        <w:instrText xml:space="preserve"> SEQ Table \* ARABIC \s 2 </w:instrText>
      </w:r>
      <w:r>
        <w:rPr>
          <w:noProof/>
        </w:rPr>
        <w:fldChar w:fldCharType="separate"/>
      </w:r>
      <w:r w:rsidR="00EA7374">
        <w:rPr>
          <w:noProof/>
        </w:rPr>
        <w:t>3</w:t>
      </w:r>
      <w:r>
        <w:rPr>
          <w:noProof/>
        </w:rPr>
        <w:fldChar w:fldCharType="end"/>
      </w:r>
      <w:bookmarkEnd w:id="19"/>
      <w:r>
        <w:t xml:space="preserve"> Decision rules for determining the consequence impact score based on the magnitude of consequences at four geographic scales</w:t>
      </w:r>
      <w:bookmarkEnd w:id="20"/>
      <w:bookmarkEnd w:id="21"/>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B52BB0">
        <w:trPr>
          <w:cantSplit/>
        </w:trPr>
        <w:tc>
          <w:tcPr>
            <w:tcW w:w="1158" w:type="pct"/>
            <w:vMerge w:val="restart"/>
            <w:tcBorders>
              <w:top w:val="single" w:sz="4" w:space="0" w:color="000000" w:themeColor="text1"/>
              <w:bottom w:val="nil"/>
              <w:right w:val="nil"/>
              <w:tl2br w:val="nil"/>
            </w:tcBorders>
            <w:vAlign w:val="bottom"/>
          </w:tcPr>
          <w:p w:rsidR="00B52BB0" w:rsidRDefault="00B52BB0" w:rsidP="003E074D">
            <w:pPr>
              <w:pStyle w:val="TableText"/>
            </w:pPr>
            <w: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rsidR="00B52BB0" w:rsidRDefault="00B52BB0" w:rsidP="003E074D">
            <w:pPr>
              <w:pStyle w:val="TableText"/>
            </w:pPr>
            <w:r>
              <w:t>Geographic scale</w:t>
            </w:r>
          </w:p>
        </w:tc>
      </w:tr>
      <w:tr w:rsidR="00B52BB0">
        <w:trPr>
          <w:cantSplit/>
        </w:trPr>
        <w:tc>
          <w:tcPr>
            <w:tcW w:w="1158" w:type="pct"/>
            <w:vMerge/>
            <w:tcBorders>
              <w:top w:val="single" w:sz="4" w:space="0" w:color="auto"/>
              <w:bottom w:val="single" w:sz="4" w:space="0" w:color="BFBFBF" w:themeColor="background1" w:themeShade="BF"/>
              <w:right w:val="nil"/>
              <w:tl2br w:val="nil"/>
            </w:tcBorders>
          </w:tcPr>
          <w:p w:rsidR="00B52BB0" w:rsidRDefault="00B52BB0" w:rsidP="003E074D">
            <w:pPr>
              <w:pStyle w:val="TableText"/>
            </w:pPr>
          </w:p>
        </w:tc>
        <w:tc>
          <w:tcPr>
            <w:tcW w:w="961" w:type="pct"/>
            <w:tcBorders>
              <w:top w:val="single" w:sz="4" w:space="0" w:color="BFBFBF" w:themeColor="background1" w:themeShade="BF"/>
              <w:left w:val="nil"/>
              <w:bottom w:val="single" w:sz="4" w:space="0" w:color="BFBFBF" w:themeColor="background1" w:themeShade="BF"/>
            </w:tcBorders>
          </w:tcPr>
          <w:p w:rsidR="00B52BB0" w:rsidRDefault="00B52BB0" w:rsidP="003E074D">
            <w:pPr>
              <w:pStyle w:val="TableText"/>
            </w:pPr>
            <w:r>
              <w:t>Local</w:t>
            </w:r>
          </w:p>
        </w:tc>
        <w:tc>
          <w:tcPr>
            <w:tcW w:w="961" w:type="pct"/>
            <w:tcBorders>
              <w:top w:val="single" w:sz="4" w:space="0" w:color="BFBFBF" w:themeColor="background1" w:themeShade="BF"/>
              <w:bottom w:val="single" w:sz="4" w:space="0" w:color="BFBFBF" w:themeColor="background1" w:themeShade="BF"/>
            </w:tcBorders>
          </w:tcPr>
          <w:p w:rsidR="00B52BB0" w:rsidRDefault="00B52BB0" w:rsidP="003E074D">
            <w:pPr>
              <w:pStyle w:val="TableText"/>
            </w:pPr>
            <w:r>
              <w:t>District</w:t>
            </w:r>
          </w:p>
        </w:tc>
        <w:tc>
          <w:tcPr>
            <w:tcW w:w="960" w:type="pct"/>
            <w:tcBorders>
              <w:top w:val="single" w:sz="4" w:space="0" w:color="BFBFBF" w:themeColor="background1" w:themeShade="BF"/>
              <w:bottom w:val="single" w:sz="4" w:space="0" w:color="BFBFBF" w:themeColor="background1" w:themeShade="BF"/>
            </w:tcBorders>
          </w:tcPr>
          <w:p w:rsidR="00B52BB0" w:rsidRDefault="00B52BB0" w:rsidP="003E074D">
            <w:pPr>
              <w:pStyle w:val="TableText"/>
            </w:pPr>
            <w:r>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rsidR="00B52BB0" w:rsidRDefault="00B52BB0" w:rsidP="003E074D">
            <w:pPr>
              <w:pStyle w:val="TableText"/>
            </w:pPr>
            <w:r>
              <w:t>Nation</w:t>
            </w:r>
          </w:p>
        </w:tc>
      </w:tr>
      <w:tr w:rsidR="00B52BB0">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B52BB0" w:rsidRDefault="00B52BB0" w:rsidP="003E074D">
            <w:pPr>
              <w:pStyle w:val="TableText"/>
            </w:pPr>
            <w: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B52BB0" w:rsidRDefault="00B52BB0" w:rsidP="003E074D">
            <w:pPr>
              <w:pStyle w:val="TableText"/>
            </w:pPr>
            <w: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B52BB0" w:rsidRDefault="00B52BB0" w:rsidP="003E074D">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B52BB0" w:rsidRDefault="00B52BB0" w:rsidP="003E074D">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rsidR="00B52BB0" w:rsidRDefault="00B52BB0" w:rsidP="003E074D">
            <w:pPr>
              <w:pStyle w:val="TableText"/>
            </w:pPr>
            <w:r>
              <w:t>A</w:t>
            </w:r>
          </w:p>
        </w:tc>
      </w:tr>
      <w:tr w:rsidR="00B52BB0">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B52BB0" w:rsidRDefault="00B52BB0" w:rsidP="003E074D">
            <w:pPr>
              <w:pStyle w:val="TableText"/>
            </w:pPr>
            <w: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rsidR="00B52BB0" w:rsidRDefault="00B52BB0" w:rsidP="003E074D">
            <w:pPr>
              <w:pStyle w:val="TableText"/>
              <w:rPr>
                <w:rFonts w:cs="Arial"/>
                <w:snapToGrid w:val="0"/>
                <w:szCs w:val="18"/>
              </w:rPr>
            </w:pPr>
            <w:r>
              <w:rPr>
                <w:rFonts w:cs="Arial"/>
                <w:snapToGrid w:val="0"/>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rsidR="00B52BB0" w:rsidRDefault="00B52BB0" w:rsidP="003E074D">
            <w:pPr>
              <w:pStyle w:val="TableText"/>
              <w:rPr>
                <w:rFonts w:cs="Arial"/>
                <w:snapToGrid w:val="0"/>
                <w:szCs w:val="18"/>
              </w:rPr>
            </w:pPr>
            <w:r>
              <w:rPr>
                <w:rFonts w:cs="Arial"/>
                <w:snapToGrid w:val="0"/>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rsidR="00B52BB0" w:rsidRDefault="00B52BB0" w:rsidP="003E074D">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rsidR="00B52BB0" w:rsidRDefault="00B52BB0" w:rsidP="003E074D">
            <w:pPr>
              <w:pStyle w:val="TableText"/>
            </w:pPr>
            <w:r>
              <w:t>E</w:t>
            </w:r>
          </w:p>
        </w:tc>
      </w:tr>
      <w:tr w:rsidR="00B52BB0">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B52BB0" w:rsidRDefault="00B52BB0" w:rsidP="003E074D">
            <w:pPr>
              <w:pStyle w:val="TableText"/>
            </w:pPr>
            <w: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rsidR="00B52BB0" w:rsidRDefault="00B52BB0" w:rsidP="003E074D">
            <w:pPr>
              <w:pStyle w:val="TableText"/>
              <w:rPr>
                <w:rFonts w:cs="Arial"/>
                <w:snapToGrid w:val="0"/>
                <w:szCs w:val="18"/>
              </w:rPr>
            </w:pPr>
            <w:r>
              <w:rPr>
                <w:rFonts w:cs="Arial"/>
                <w:snapToGrid w:val="0"/>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rsidR="00B52BB0" w:rsidRDefault="00B52BB0" w:rsidP="003E074D">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rsidR="00B52BB0" w:rsidRDefault="00B52BB0" w:rsidP="003E074D">
            <w:pPr>
              <w:pStyle w:val="TableText"/>
            </w:pPr>
            <w:r>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rsidR="00B52BB0" w:rsidRDefault="00B52BB0" w:rsidP="003E074D">
            <w:pPr>
              <w:pStyle w:val="TableText"/>
            </w:pPr>
            <w:r>
              <w:t>F</w:t>
            </w:r>
          </w:p>
        </w:tc>
      </w:tr>
      <w:tr w:rsidR="00B52BB0">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rsidR="00B52BB0" w:rsidRDefault="00B52BB0" w:rsidP="003E074D">
            <w:pPr>
              <w:pStyle w:val="TableText"/>
            </w:pPr>
            <w: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rsidR="00B52BB0" w:rsidRDefault="00B52BB0" w:rsidP="003E074D">
            <w:pPr>
              <w:pStyle w:val="TableText"/>
              <w:rPr>
                <w:rFonts w:cs="Arial"/>
                <w:snapToGrid w:val="0"/>
                <w:szCs w:val="18"/>
              </w:rPr>
            </w:pPr>
            <w:r>
              <w:rPr>
                <w:rFonts w:cs="Arial"/>
                <w:snapToGrid w:val="0"/>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rsidR="00B52BB0" w:rsidRDefault="00B52BB0" w:rsidP="003E074D">
            <w:pPr>
              <w:pStyle w:val="TableText"/>
            </w:pPr>
            <w:r>
              <w:rPr>
                <w:rFonts w:cs="Arial"/>
                <w:snapToGrid w:val="0"/>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rsidR="00B52BB0" w:rsidRDefault="00B52BB0" w:rsidP="003E074D">
            <w:pPr>
              <w:pStyle w:val="TableText"/>
            </w:pPr>
            <w:r>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rsidR="00B52BB0" w:rsidRDefault="00B52BB0" w:rsidP="003E074D">
            <w:pPr>
              <w:pStyle w:val="TableText"/>
            </w:pPr>
            <w:r>
              <w:t>G</w:t>
            </w:r>
          </w:p>
        </w:tc>
      </w:tr>
    </w:tbl>
    <w:p w:rsidR="00B52BB0" w:rsidRDefault="00B52BB0" w:rsidP="003E074D">
      <w:pPr>
        <w:pStyle w:val="FigureTableNoteSource"/>
      </w:pPr>
      <w:r>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noBreakHyphen/>
        <w:t xml:space="preserve">G and a new lowest category </w:t>
      </w:r>
      <w:proofErr w:type="gramStart"/>
      <w:r>
        <w:t>A</w:t>
      </w:r>
      <w:proofErr w:type="gramEnd"/>
      <w:r>
        <w:t xml:space="preserve"> (‘indiscernible’ at all four levels) was added. The rules for combining impacts in </w:t>
      </w:r>
      <w:r>
        <w:fldChar w:fldCharType="begin"/>
      </w:r>
      <w:r>
        <w:instrText xml:space="preserve"> REF _Ref457826361 \h </w:instrText>
      </w:r>
      <w:r>
        <w:fldChar w:fldCharType="separate"/>
      </w:r>
      <w:r w:rsidR="00EA7374">
        <w:t xml:space="preserve">Table </w:t>
      </w:r>
      <w:r w:rsidR="00EA7374">
        <w:rPr>
          <w:noProof/>
        </w:rPr>
        <w:t>2</w:t>
      </w:r>
      <w:r w:rsidR="00EA7374">
        <w:t>.</w:t>
      </w:r>
      <w:r w:rsidR="00EA7374">
        <w:rPr>
          <w:noProof/>
        </w:rPr>
        <w:t>4</w:t>
      </w:r>
      <w:r>
        <w:fldChar w:fldCharType="end"/>
      </w:r>
      <w:r>
        <w:t xml:space="preserve"> were adjusted accordingly.</w:t>
      </w:r>
    </w:p>
    <w:p w:rsidR="00B52BB0" w:rsidRDefault="00B52BB0" w:rsidP="003E074D">
      <w:r>
        <w:t>The overall consequence for each pest is achieved by combining the qualitative impact scores (A–G) for each direct and indirect consequence using a series of decision rules (</w:t>
      </w:r>
      <w:r>
        <w:fldChar w:fldCharType="begin"/>
      </w:r>
      <w:r>
        <w:instrText xml:space="preserve"> REF _Ref457826361 \h </w:instrText>
      </w:r>
      <w:r>
        <w:fldChar w:fldCharType="separate"/>
      </w:r>
      <w:r w:rsidR="00EA7374">
        <w:t xml:space="preserve">Table </w:t>
      </w:r>
      <w:r w:rsidR="00EA7374">
        <w:rPr>
          <w:noProof/>
        </w:rPr>
        <w:t>2</w:t>
      </w:r>
      <w:r w:rsidR="00EA7374">
        <w:t>.</w:t>
      </w:r>
      <w:r w:rsidR="00EA7374">
        <w:rPr>
          <w:noProof/>
        </w:rPr>
        <w:t>4</w:t>
      </w:r>
      <w:r>
        <w:fldChar w:fldCharType="end"/>
      </w:r>
      <w:r>
        <w:t>). These rules are mutually exclusive, and are assessed in numerical order until one applies.</w:t>
      </w:r>
    </w:p>
    <w:p w:rsidR="00B52BB0" w:rsidRDefault="00B52BB0" w:rsidP="003E074D">
      <w:pPr>
        <w:pStyle w:val="Caption"/>
      </w:pPr>
      <w:bookmarkStart w:id="22" w:name="_Ref457826361"/>
      <w:bookmarkStart w:id="23" w:name="_Toc384979279"/>
      <w:bookmarkStart w:id="24" w:name="_Toc7607547"/>
      <w:r>
        <w:t xml:space="preserve">Table </w:t>
      </w:r>
      <w:r>
        <w:rPr>
          <w:noProof/>
        </w:rPr>
        <w:fldChar w:fldCharType="begin"/>
      </w:r>
      <w:r>
        <w:rPr>
          <w:noProof/>
        </w:rPr>
        <w:instrText xml:space="preserve"> STYLEREF 2 \s </w:instrText>
      </w:r>
      <w:r>
        <w:rPr>
          <w:noProof/>
        </w:rPr>
        <w:fldChar w:fldCharType="separate"/>
      </w:r>
      <w:r w:rsidR="00EA7374">
        <w:rPr>
          <w:noProof/>
        </w:rPr>
        <w:t>2</w:t>
      </w:r>
      <w:r>
        <w:rPr>
          <w:noProof/>
        </w:rPr>
        <w:fldChar w:fldCharType="end"/>
      </w:r>
      <w:r>
        <w:t>.</w:t>
      </w:r>
      <w:r>
        <w:rPr>
          <w:noProof/>
        </w:rPr>
        <w:fldChar w:fldCharType="begin"/>
      </w:r>
      <w:r>
        <w:rPr>
          <w:noProof/>
        </w:rPr>
        <w:instrText xml:space="preserve"> SEQ Table \* ARABIC \s 2 </w:instrText>
      </w:r>
      <w:r>
        <w:rPr>
          <w:noProof/>
        </w:rPr>
        <w:fldChar w:fldCharType="separate"/>
      </w:r>
      <w:r w:rsidR="00EA7374">
        <w:rPr>
          <w:noProof/>
        </w:rPr>
        <w:t>4</w:t>
      </w:r>
      <w:r>
        <w:rPr>
          <w:noProof/>
        </w:rPr>
        <w:fldChar w:fldCharType="end"/>
      </w:r>
      <w:bookmarkEnd w:id="22"/>
      <w:r>
        <w:t xml:space="preserve"> Decision rules for determining the overall consequence rating for each pest</w:t>
      </w:r>
      <w:bookmarkEnd w:id="23"/>
      <w:bookmarkEnd w:id="24"/>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B52BB0">
        <w:trPr>
          <w:trHeight w:val="414"/>
        </w:trPr>
        <w:tc>
          <w:tcPr>
            <w:tcW w:w="440" w:type="pct"/>
          </w:tcPr>
          <w:p w:rsidR="00B52BB0" w:rsidRDefault="00B52BB0" w:rsidP="003E074D">
            <w:pPr>
              <w:pStyle w:val="TableText"/>
            </w:pPr>
            <w:r>
              <w:t>Rule</w:t>
            </w:r>
          </w:p>
        </w:tc>
        <w:tc>
          <w:tcPr>
            <w:tcW w:w="3206" w:type="pct"/>
          </w:tcPr>
          <w:p w:rsidR="00B52BB0" w:rsidRDefault="00B52BB0" w:rsidP="003E074D">
            <w:pPr>
              <w:pStyle w:val="TableText"/>
            </w:pPr>
            <w:r>
              <w:t>The impact scores for consequences of direct and indirect criteria</w:t>
            </w:r>
          </w:p>
        </w:tc>
        <w:tc>
          <w:tcPr>
            <w:tcW w:w="1354" w:type="pct"/>
          </w:tcPr>
          <w:p w:rsidR="00B52BB0" w:rsidRDefault="00B52BB0" w:rsidP="003E074D">
            <w:pPr>
              <w:pStyle w:val="TableText"/>
            </w:pPr>
            <w:r>
              <w:t>Overall consequence rating</w:t>
            </w:r>
          </w:p>
        </w:tc>
      </w:tr>
      <w:tr w:rsidR="00B52BB0">
        <w:trPr>
          <w:trHeight w:val="414"/>
        </w:trPr>
        <w:tc>
          <w:tcPr>
            <w:tcW w:w="440" w:type="pct"/>
          </w:tcPr>
          <w:p w:rsidR="00B52BB0" w:rsidRDefault="00B52BB0" w:rsidP="003E074D">
            <w:pPr>
              <w:pStyle w:val="TableText"/>
            </w:pPr>
            <w:r>
              <w:t>1</w:t>
            </w:r>
          </w:p>
        </w:tc>
        <w:tc>
          <w:tcPr>
            <w:tcW w:w="3206" w:type="pct"/>
          </w:tcPr>
          <w:p w:rsidR="00B52BB0" w:rsidRDefault="00B52BB0" w:rsidP="003E074D">
            <w:pPr>
              <w:pStyle w:val="TableText"/>
            </w:pPr>
            <w:r>
              <w:t>Any criterion has an impact of ‘G’; or</w:t>
            </w:r>
            <w:r>
              <w:br/>
              <w:t>more than one criterion has an impact of ‘F’; or</w:t>
            </w:r>
            <w:r>
              <w:br/>
              <w:t>a single criterion has an impact of ‘F’ and each remaining criterion an ‘E’.</w:t>
            </w:r>
          </w:p>
        </w:tc>
        <w:tc>
          <w:tcPr>
            <w:tcW w:w="1354" w:type="pct"/>
          </w:tcPr>
          <w:p w:rsidR="00B52BB0" w:rsidRDefault="00B52BB0" w:rsidP="003E074D">
            <w:pPr>
              <w:pStyle w:val="TableText"/>
            </w:pPr>
            <w:r>
              <w:t>Extreme</w:t>
            </w:r>
          </w:p>
        </w:tc>
      </w:tr>
      <w:tr w:rsidR="00B52BB0">
        <w:trPr>
          <w:trHeight w:val="414"/>
        </w:trPr>
        <w:tc>
          <w:tcPr>
            <w:tcW w:w="440" w:type="pct"/>
          </w:tcPr>
          <w:p w:rsidR="00B52BB0" w:rsidRDefault="00B52BB0" w:rsidP="003E074D">
            <w:pPr>
              <w:pStyle w:val="TableText"/>
            </w:pPr>
            <w:r>
              <w:t>2</w:t>
            </w:r>
          </w:p>
        </w:tc>
        <w:tc>
          <w:tcPr>
            <w:tcW w:w="3206" w:type="pct"/>
          </w:tcPr>
          <w:p w:rsidR="00B52BB0" w:rsidRDefault="00B52BB0" w:rsidP="003E074D">
            <w:pPr>
              <w:pStyle w:val="TableText"/>
            </w:pPr>
            <w:r>
              <w:t>A single criterion has an impact of ‘F’; or</w:t>
            </w:r>
            <w:r>
              <w:br/>
              <w:t>all criteria have an impact of ‘E’.</w:t>
            </w:r>
          </w:p>
        </w:tc>
        <w:tc>
          <w:tcPr>
            <w:tcW w:w="1354" w:type="pct"/>
          </w:tcPr>
          <w:p w:rsidR="00B52BB0" w:rsidRDefault="00B52BB0" w:rsidP="003E074D">
            <w:pPr>
              <w:pStyle w:val="TableText"/>
            </w:pPr>
            <w:r>
              <w:t>High</w:t>
            </w:r>
          </w:p>
        </w:tc>
      </w:tr>
      <w:tr w:rsidR="00B52BB0">
        <w:trPr>
          <w:trHeight w:val="414"/>
        </w:trPr>
        <w:tc>
          <w:tcPr>
            <w:tcW w:w="440" w:type="pct"/>
          </w:tcPr>
          <w:p w:rsidR="00B52BB0" w:rsidRDefault="00B52BB0" w:rsidP="003E074D">
            <w:pPr>
              <w:pStyle w:val="TableText"/>
            </w:pPr>
            <w:r>
              <w:t>3</w:t>
            </w:r>
          </w:p>
        </w:tc>
        <w:tc>
          <w:tcPr>
            <w:tcW w:w="3206" w:type="pct"/>
          </w:tcPr>
          <w:p w:rsidR="00B52BB0" w:rsidRDefault="00B52BB0" w:rsidP="003E074D">
            <w:pPr>
              <w:pStyle w:val="TableText"/>
            </w:pPr>
            <w:r>
              <w:t>One or more criteria have an impact of ‘E’; or</w:t>
            </w:r>
            <w:r>
              <w:br/>
              <w:t>all criteria have an impact of ‘D’.</w:t>
            </w:r>
          </w:p>
        </w:tc>
        <w:tc>
          <w:tcPr>
            <w:tcW w:w="1354" w:type="pct"/>
          </w:tcPr>
          <w:p w:rsidR="00B52BB0" w:rsidRDefault="00B52BB0" w:rsidP="003E074D">
            <w:pPr>
              <w:pStyle w:val="TableText"/>
            </w:pPr>
            <w:r>
              <w:t>Moderate</w:t>
            </w:r>
          </w:p>
        </w:tc>
      </w:tr>
      <w:tr w:rsidR="00B52BB0">
        <w:trPr>
          <w:trHeight w:val="414"/>
        </w:trPr>
        <w:tc>
          <w:tcPr>
            <w:tcW w:w="440" w:type="pct"/>
          </w:tcPr>
          <w:p w:rsidR="00B52BB0" w:rsidRDefault="00B52BB0" w:rsidP="003E074D">
            <w:pPr>
              <w:pStyle w:val="TableText"/>
            </w:pPr>
            <w:r>
              <w:t>4</w:t>
            </w:r>
          </w:p>
        </w:tc>
        <w:tc>
          <w:tcPr>
            <w:tcW w:w="3206" w:type="pct"/>
          </w:tcPr>
          <w:p w:rsidR="00B52BB0" w:rsidRDefault="00B52BB0" w:rsidP="003E074D">
            <w:pPr>
              <w:pStyle w:val="TableText"/>
            </w:pPr>
            <w:r>
              <w:t>One or more criteria have an impact of ‘D’; or</w:t>
            </w:r>
            <w:r>
              <w:br/>
              <w:t>all criteria have an impact of ‘C’.</w:t>
            </w:r>
          </w:p>
        </w:tc>
        <w:tc>
          <w:tcPr>
            <w:tcW w:w="1354" w:type="pct"/>
          </w:tcPr>
          <w:p w:rsidR="00B52BB0" w:rsidRDefault="00B52BB0" w:rsidP="003E074D">
            <w:pPr>
              <w:pStyle w:val="TableText"/>
            </w:pPr>
            <w:r>
              <w:t>Low</w:t>
            </w:r>
          </w:p>
        </w:tc>
      </w:tr>
      <w:tr w:rsidR="00B52BB0">
        <w:trPr>
          <w:trHeight w:val="414"/>
        </w:trPr>
        <w:tc>
          <w:tcPr>
            <w:tcW w:w="440" w:type="pct"/>
          </w:tcPr>
          <w:p w:rsidR="00B52BB0" w:rsidRDefault="00B52BB0" w:rsidP="003E074D">
            <w:pPr>
              <w:pStyle w:val="TableText"/>
            </w:pPr>
            <w:r>
              <w:t>5</w:t>
            </w:r>
          </w:p>
        </w:tc>
        <w:tc>
          <w:tcPr>
            <w:tcW w:w="3206" w:type="pct"/>
          </w:tcPr>
          <w:p w:rsidR="00B52BB0" w:rsidRDefault="00B52BB0" w:rsidP="003E074D">
            <w:pPr>
              <w:pStyle w:val="TableText"/>
            </w:pPr>
            <w:r>
              <w:t>One or more criteria have an impact of ‘C’; or</w:t>
            </w:r>
            <w:r>
              <w:br/>
              <w:t>all criteria have an impact of ‘B’.</w:t>
            </w:r>
          </w:p>
        </w:tc>
        <w:tc>
          <w:tcPr>
            <w:tcW w:w="1354" w:type="pct"/>
          </w:tcPr>
          <w:p w:rsidR="00B52BB0" w:rsidRDefault="00B52BB0" w:rsidP="003E074D">
            <w:pPr>
              <w:pStyle w:val="TableText"/>
            </w:pPr>
            <w:r>
              <w:t>Very Low</w:t>
            </w:r>
          </w:p>
        </w:tc>
      </w:tr>
      <w:tr w:rsidR="00B52BB0">
        <w:trPr>
          <w:trHeight w:val="414"/>
        </w:trPr>
        <w:tc>
          <w:tcPr>
            <w:tcW w:w="440" w:type="pct"/>
          </w:tcPr>
          <w:p w:rsidR="00B52BB0" w:rsidRDefault="00B52BB0" w:rsidP="003E074D">
            <w:pPr>
              <w:pStyle w:val="TableText"/>
            </w:pPr>
            <w:r>
              <w:t>6</w:t>
            </w:r>
          </w:p>
        </w:tc>
        <w:tc>
          <w:tcPr>
            <w:tcW w:w="3206" w:type="pct"/>
          </w:tcPr>
          <w:p w:rsidR="00B52BB0" w:rsidRDefault="00B52BB0" w:rsidP="003E074D">
            <w:pPr>
              <w:pStyle w:val="TableText"/>
            </w:pPr>
            <w:r>
              <w:t>One or more but not all criteria have an impact of ‘B’, and</w:t>
            </w:r>
            <w:r>
              <w:br/>
              <w:t>all remaining criteria have an impact of ‘A’.</w:t>
            </w:r>
          </w:p>
        </w:tc>
        <w:tc>
          <w:tcPr>
            <w:tcW w:w="1354" w:type="pct"/>
          </w:tcPr>
          <w:p w:rsidR="00B52BB0" w:rsidRDefault="00B52BB0" w:rsidP="003E074D">
            <w:pPr>
              <w:pStyle w:val="TableText"/>
            </w:pPr>
            <w:r>
              <w:t>Negligible</w:t>
            </w:r>
          </w:p>
        </w:tc>
      </w:tr>
    </w:tbl>
    <w:p w:rsidR="00B52BB0" w:rsidRDefault="00B52BB0" w:rsidP="003E074D">
      <w:pPr>
        <w:pStyle w:val="Heading4"/>
      </w:pPr>
      <w:bookmarkStart w:id="25" w:name="_Ref523928414"/>
      <w:r>
        <w:t>Estimation of the unrestricted risk</w:t>
      </w:r>
      <w:bookmarkEnd w:id="25"/>
    </w:p>
    <w:p w:rsidR="00B52BB0" w:rsidRDefault="00B52BB0" w:rsidP="003E074D">
      <w:r>
        <w:t>Once the assessment of the likelihood of entry, establishment and spread and for potential consequences are completed, the unrestricted risk can be determined for each pest or groups of pests. This is determined by using a risk estimation matrix (</w:t>
      </w:r>
      <w:r>
        <w:fldChar w:fldCharType="begin"/>
      </w:r>
      <w:r>
        <w:instrText xml:space="preserve"> REF _Ref457826369 \h </w:instrText>
      </w:r>
      <w:r>
        <w:fldChar w:fldCharType="separate"/>
      </w:r>
      <w:r w:rsidR="00EA7374">
        <w:t xml:space="preserve">Table </w:t>
      </w:r>
      <w:r w:rsidR="00EA7374">
        <w:rPr>
          <w:noProof/>
        </w:rPr>
        <w:t>2</w:t>
      </w:r>
      <w:r w:rsidR="00EA7374">
        <w:t>.</w:t>
      </w:r>
      <w:r w:rsidR="00EA7374">
        <w:rPr>
          <w:noProof/>
        </w:rPr>
        <w:t>5</w:t>
      </w:r>
      <w:r>
        <w:fldChar w:fldCharType="end"/>
      </w:r>
      <w:r>
        <w:t>) to combine the estimates of the likelihood of entry, establishment and spread and the overall consequences of pest establishment and spread. Therefore, risk is the combination of likelihood and consequence.</w:t>
      </w:r>
    </w:p>
    <w:p w:rsidR="00B52BB0" w:rsidRDefault="00B52BB0" w:rsidP="003E074D">
      <w:r>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bookmarkStart w:id="26" w:name="_Toc384979280"/>
    </w:p>
    <w:p w:rsidR="00B52BB0" w:rsidRDefault="00B52BB0" w:rsidP="003E074D">
      <w:pPr>
        <w:pStyle w:val="Caption"/>
      </w:pPr>
      <w:bookmarkStart w:id="27" w:name="_Ref457826369"/>
      <w:bookmarkStart w:id="28" w:name="_Toc389741475"/>
      <w:bookmarkStart w:id="29" w:name="_Toc7607548"/>
      <w:r>
        <w:lastRenderedPageBreak/>
        <w:t xml:space="preserve">Table </w:t>
      </w:r>
      <w:r>
        <w:rPr>
          <w:noProof/>
        </w:rPr>
        <w:fldChar w:fldCharType="begin"/>
      </w:r>
      <w:r>
        <w:rPr>
          <w:noProof/>
        </w:rPr>
        <w:instrText xml:space="preserve"> STYLEREF 2 \s </w:instrText>
      </w:r>
      <w:r>
        <w:rPr>
          <w:noProof/>
        </w:rPr>
        <w:fldChar w:fldCharType="separate"/>
      </w:r>
      <w:r w:rsidR="00EA7374">
        <w:rPr>
          <w:noProof/>
        </w:rPr>
        <w:t>2</w:t>
      </w:r>
      <w:r>
        <w:rPr>
          <w:noProof/>
        </w:rPr>
        <w:fldChar w:fldCharType="end"/>
      </w:r>
      <w:r>
        <w:t>.</w:t>
      </w:r>
      <w:r>
        <w:rPr>
          <w:noProof/>
        </w:rPr>
        <w:fldChar w:fldCharType="begin"/>
      </w:r>
      <w:r>
        <w:rPr>
          <w:noProof/>
        </w:rPr>
        <w:instrText xml:space="preserve"> SEQ Table \* ARABIC \s 2 </w:instrText>
      </w:r>
      <w:r>
        <w:rPr>
          <w:noProof/>
        </w:rPr>
        <w:fldChar w:fldCharType="separate"/>
      </w:r>
      <w:r w:rsidR="00EA7374">
        <w:rPr>
          <w:noProof/>
        </w:rPr>
        <w:t>5</w:t>
      </w:r>
      <w:r>
        <w:rPr>
          <w:noProof/>
        </w:rPr>
        <w:fldChar w:fldCharType="end"/>
      </w:r>
      <w:bookmarkEnd w:id="27"/>
      <w:r>
        <w:t xml:space="preserve"> Risk estimation matrix</w:t>
      </w:r>
      <w:bookmarkEnd w:id="26"/>
      <w:bookmarkEnd w:id="28"/>
      <w:bookmarkEnd w:id="29"/>
    </w:p>
    <w:tbl>
      <w:tblPr>
        <w:tblW w:w="5000" w:type="pct"/>
        <w:tblLook w:val="0000" w:firstRow="0" w:lastRow="0" w:firstColumn="0" w:lastColumn="0" w:noHBand="0" w:noVBand="0"/>
      </w:tblPr>
      <w:tblGrid>
        <w:gridCol w:w="1438"/>
        <w:gridCol w:w="1270"/>
        <w:gridCol w:w="1270"/>
        <w:gridCol w:w="1272"/>
        <w:gridCol w:w="1270"/>
        <w:gridCol w:w="1270"/>
        <w:gridCol w:w="1270"/>
      </w:tblGrid>
      <w:tr w:rsidR="00B52BB0">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rsidR="00B52BB0" w:rsidRDefault="00B52BB0" w:rsidP="003E074D">
            <w:pPr>
              <w:pStyle w:val="TableText"/>
            </w:pPr>
            <w: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rsidR="00B52BB0" w:rsidRDefault="00B52BB0" w:rsidP="003E074D">
            <w:pPr>
              <w:pStyle w:val="TableText"/>
            </w:pPr>
            <w:r>
              <w:t>Consequences of pest entry, establishment and spread</w:t>
            </w:r>
          </w:p>
        </w:tc>
      </w:tr>
      <w:tr w:rsidR="00B52BB0">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rsidR="00B52BB0" w:rsidRDefault="00B52BB0" w:rsidP="003E074D">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rsidR="00B52BB0" w:rsidRDefault="00B52BB0" w:rsidP="003E074D">
            <w:pPr>
              <w:pStyle w:val="TableT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rsidR="00B52BB0" w:rsidRDefault="00B52BB0" w:rsidP="003E074D">
            <w:pPr>
              <w:pStyle w:val="TableText"/>
            </w:pPr>
            <w:r>
              <w:t>Very low</w:t>
            </w:r>
          </w:p>
        </w:tc>
        <w:tc>
          <w:tcPr>
            <w:tcW w:w="702" w:type="pct"/>
            <w:tcBorders>
              <w:top w:val="single" w:sz="4" w:space="0" w:color="BFBFBF" w:themeColor="background1" w:themeShade="BF"/>
              <w:bottom w:val="single" w:sz="8" w:space="0" w:color="C0C0C0"/>
            </w:tcBorders>
            <w:shd w:val="clear" w:color="auto" w:fill="auto"/>
            <w:vAlign w:val="bottom"/>
          </w:tcPr>
          <w:p w:rsidR="00B52BB0" w:rsidRDefault="00B52BB0" w:rsidP="003E074D">
            <w:pPr>
              <w:pStyle w:val="TableT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rsidR="00B52BB0" w:rsidRDefault="00B52BB0" w:rsidP="003E074D">
            <w:pPr>
              <w:pStyle w:val="TableText"/>
            </w:pPr>
            <w:r>
              <w:t>Moderate</w:t>
            </w:r>
          </w:p>
        </w:tc>
        <w:tc>
          <w:tcPr>
            <w:tcW w:w="701" w:type="pct"/>
            <w:tcBorders>
              <w:top w:val="single" w:sz="4" w:space="0" w:color="BFBFBF" w:themeColor="background1" w:themeShade="BF"/>
              <w:bottom w:val="single" w:sz="8" w:space="0" w:color="C0C0C0"/>
            </w:tcBorders>
            <w:shd w:val="clear" w:color="auto" w:fill="auto"/>
            <w:vAlign w:val="bottom"/>
          </w:tcPr>
          <w:p w:rsidR="00B52BB0" w:rsidRDefault="00B52BB0" w:rsidP="003E074D">
            <w:pPr>
              <w:pStyle w:val="TableText"/>
            </w:pPr>
            <w: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rsidR="00B52BB0" w:rsidRDefault="00B52BB0" w:rsidP="003E074D">
            <w:pPr>
              <w:pStyle w:val="TableText"/>
            </w:pPr>
            <w:r>
              <w:t xml:space="preserve">Extreme </w:t>
            </w:r>
          </w:p>
        </w:tc>
      </w:tr>
      <w:tr w:rsidR="00B52BB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B52BB0" w:rsidRDefault="00B52BB0" w:rsidP="003E074D">
            <w:pPr>
              <w:pStyle w:val="TableT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rsidR="00B52BB0" w:rsidRDefault="00B52BB0" w:rsidP="003E074D">
            <w:pPr>
              <w:pStyle w:val="TableT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rsidR="00B52BB0" w:rsidRDefault="00B52BB0" w:rsidP="003E074D">
            <w:pPr>
              <w:pStyle w:val="TableT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rsidR="00B52BB0" w:rsidRDefault="00B52BB0" w:rsidP="003E074D">
            <w:pPr>
              <w:pStyle w:val="TableT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rsidR="00B52BB0" w:rsidRDefault="00B52BB0" w:rsidP="003E074D">
            <w:pPr>
              <w:pStyle w:val="TableT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rsidR="00B52BB0" w:rsidRDefault="00B52BB0" w:rsidP="003E074D">
            <w:pPr>
              <w:pStyle w:val="TableT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rsidR="00B52BB0" w:rsidRDefault="00B52BB0" w:rsidP="003E074D">
            <w:pPr>
              <w:pStyle w:val="TableText"/>
            </w:pPr>
            <w:r>
              <w:t>Extreme risk</w:t>
            </w:r>
          </w:p>
        </w:tc>
      </w:tr>
      <w:tr w:rsidR="00B52BB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B52BB0" w:rsidRDefault="00B52BB0" w:rsidP="003E074D">
            <w:pPr>
              <w:pStyle w:val="TableT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B52BB0" w:rsidRDefault="00B52BB0" w:rsidP="003E074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B52BB0" w:rsidRDefault="00B52BB0" w:rsidP="003E074D">
            <w:pPr>
              <w:pStyle w:val="TableT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rsidR="00B52BB0" w:rsidRDefault="00B52BB0" w:rsidP="003E074D">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rsidR="00B52BB0" w:rsidRDefault="00B52BB0" w:rsidP="003E074D">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rsidR="00B52BB0" w:rsidRDefault="00B52BB0" w:rsidP="003E074D">
            <w:pPr>
              <w:pStyle w:val="TableT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rsidR="00B52BB0" w:rsidRDefault="00B52BB0" w:rsidP="003E074D">
            <w:pPr>
              <w:pStyle w:val="TableText"/>
            </w:pPr>
            <w:r>
              <w:t>Extreme risk</w:t>
            </w:r>
          </w:p>
        </w:tc>
      </w:tr>
      <w:tr w:rsidR="00B52BB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B52BB0" w:rsidRDefault="00B52BB0" w:rsidP="003E074D">
            <w:pPr>
              <w:pStyle w:val="TableT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B52BB0" w:rsidRDefault="00B52BB0" w:rsidP="003E074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B52BB0" w:rsidRDefault="00B52BB0" w:rsidP="003E074D">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rsidR="00B52BB0" w:rsidRDefault="00B52BB0" w:rsidP="003E074D">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rsidR="00B52BB0" w:rsidRDefault="00B52BB0" w:rsidP="003E074D">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rsidR="00B52BB0" w:rsidRDefault="00B52BB0" w:rsidP="003E074D">
            <w:pPr>
              <w:pStyle w:val="TableT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rsidR="00B52BB0" w:rsidRDefault="00B52BB0" w:rsidP="003E074D">
            <w:pPr>
              <w:pStyle w:val="TableText"/>
            </w:pPr>
            <w:r>
              <w:t>High risk</w:t>
            </w:r>
          </w:p>
        </w:tc>
      </w:tr>
      <w:tr w:rsidR="00B52BB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B52BB0" w:rsidRDefault="00B52BB0" w:rsidP="003E074D">
            <w:pPr>
              <w:pStyle w:val="TableT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B52BB0" w:rsidRDefault="00B52BB0" w:rsidP="003E074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B52BB0" w:rsidRDefault="00B52BB0" w:rsidP="003E074D">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B52BB0" w:rsidRDefault="00B52BB0" w:rsidP="003E074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B52BB0" w:rsidRDefault="00B52BB0" w:rsidP="003E074D">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rsidR="00B52BB0" w:rsidRDefault="00B52BB0" w:rsidP="003E074D">
            <w:pPr>
              <w:pStyle w:val="TableT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rsidR="00B52BB0" w:rsidRDefault="00B52BB0" w:rsidP="003E074D">
            <w:pPr>
              <w:pStyle w:val="TableText"/>
            </w:pPr>
            <w:r>
              <w:t>Moderate risk</w:t>
            </w:r>
          </w:p>
        </w:tc>
      </w:tr>
      <w:tr w:rsidR="00B52BB0">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B52BB0" w:rsidRDefault="00B52BB0" w:rsidP="003E074D">
            <w:pPr>
              <w:pStyle w:val="TableT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B52BB0" w:rsidRDefault="00B52BB0" w:rsidP="003E074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B52BB0" w:rsidRDefault="00B52BB0" w:rsidP="003E074D">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B52BB0" w:rsidRDefault="00B52BB0" w:rsidP="003E074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B52BB0" w:rsidRDefault="00B52BB0" w:rsidP="003E074D">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B52BB0" w:rsidRDefault="00B52BB0" w:rsidP="003E074D">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rsidR="00B52BB0" w:rsidRDefault="00B52BB0" w:rsidP="003E074D">
            <w:pPr>
              <w:pStyle w:val="TableText"/>
            </w:pPr>
            <w:r>
              <w:t>Low risk</w:t>
            </w:r>
          </w:p>
        </w:tc>
      </w:tr>
      <w:tr w:rsidR="00B52BB0">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rsidR="00B52BB0" w:rsidRDefault="00B52BB0" w:rsidP="003E074D">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rsidR="00B52BB0" w:rsidRDefault="00B52BB0" w:rsidP="003E074D">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B52BB0" w:rsidRDefault="00B52BB0" w:rsidP="003E074D">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B52BB0" w:rsidRDefault="00B52BB0" w:rsidP="003E074D">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B52BB0" w:rsidRDefault="00B52BB0" w:rsidP="003E074D">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B52BB0" w:rsidRDefault="00B52BB0" w:rsidP="003E074D">
            <w:pPr>
              <w:pStyle w:val="TableT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rsidR="00B52BB0" w:rsidRDefault="00B52BB0" w:rsidP="003E074D">
            <w:pPr>
              <w:pStyle w:val="TableText"/>
              <w:rPr>
                <w:color w:val="FFFFFF"/>
              </w:rPr>
            </w:pPr>
            <w:r>
              <w:rPr>
                <w:color w:val="FFFFFF"/>
              </w:rPr>
              <w:t>Very low risk</w:t>
            </w:r>
          </w:p>
        </w:tc>
      </w:tr>
    </w:tbl>
    <w:p w:rsidR="00B52BB0" w:rsidRDefault="00B52BB0" w:rsidP="003E074D">
      <w:pPr>
        <w:pStyle w:val="Heading4"/>
      </w:pPr>
      <w:r>
        <w:t>The appropriate level of protection (ALOP) for Australia</w:t>
      </w:r>
    </w:p>
    <w:p w:rsidR="00B52BB0" w:rsidRDefault="00B52BB0">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rsidR="00B52BB0" w:rsidRDefault="00B52BB0">
      <w:r>
        <w:t xml:space="preserve">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w:t>
      </w:r>
      <w:r>
        <w:fldChar w:fldCharType="begin"/>
      </w:r>
      <w:r>
        <w:instrText xml:space="preserve"> REF _Ref457826369 \h </w:instrText>
      </w:r>
      <w:r>
        <w:fldChar w:fldCharType="separate"/>
      </w:r>
      <w:r w:rsidR="00EA7374">
        <w:t xml:space="preserve">Table </w:t>
      </w:r>
      <w:r w:rsidR="00EA7374">
        <w:rPr>
          <w:noProof/>
        </w:rPr>
        <w:t>2</w:t>
      </w:r>
      <w:r w:rsidR="00EA7374">
        <w:t>.</w:t>
      </w:r>
      <w:r w:rsidR="00EA7374">
        <w:rPr>
          <w:noProof/>
        </w:rPr>
        <w:t>5</w:t>
      </w:r>
      <w:r>
        <w:fldChar w:fldCharType="end"/>
      </w:r>
      <w:r>
        <w:t xml:space="preserve"> marked ‘very low risk’ represents the ALOP for Australia.</w:t>
      </w:r>
    </w:p>
    <w:p w:rsidR="00B52BB0" w:rsidRPr="00111CA8" w:rsidRDefault="00B52BB0" w:rsidP="003E074D">
      <w:pPr>
        <w:pStyle w:val="Heading4"/>
      </w:pPr>
      <w:bookmarkStart w:id="30" w:name="_Ref523924726"/>
      <w:r w:rsidRPr="00111CA8">
        <w:t>Adoption of outcomes from previous assessments</w:t>
      </w:r>
      <w:bookmarkEnd w:id="30"/>
    </w:p>
    <w:p w:rsidR="00B52BB0" w:rsidRPr="00111CA8" w:rsidRDefault="00B52BB0" w:rsidP="003E074D">
      <w:r w:rsidRPr="00111CA8">
        <w:t>Outcomes of previous risk assessments have been adopted in this assessment for pests for which the risk profile is assessed as comparable to previously assessed situations.</w:t>
      </w:r>
    </w:p>
    <w:p w:rsidR="00B52BB0" w:rsidRPr="00111CA8" w:rsidRDefault="00B52BB0" w:rsidP="003E074D">
      <w:r w:rsidRPr="00111CA8">
        <w:t>The prospective adoption of previous risk assessment ratings is considered on a case-by-case basis by comparing factors relevant to the current commodity/country pathway with those assessed previously. For assessment of the likelihood of importation, factors considered/compared include the commodity type, the prevalence of the pest and commercial production practices, whereas for assessment of the likelihood of distribution of a pest the factors include the commodity type, the time of year when importation occurs, and the availability and susceptibility of hosts at that time. After comparing these factors and reviewing the latest literature, previously determined ratings may be adopted if the department considers the likelihoods to be comparable to those assigned in the previous assessment(s).</w:t>
      </w:r>
    </w:p>
    <w:p w:rsidR="00B52BB0" w:rsidRPr="00111CA8" w:rsidRDefault="00B52BB0" w:rsidP="003E074D">
      <w:r w:rsidRPr="00111CA8">
        <w:t xml:space="preserve">The likelihood of establishment and of spread of a pest species in the PRA area (in this instance, Australia) will be comparable between risk assessments, regardless of the commodity/country pathway through which the pest is imported, as these likelihoods relate specifically to conditions and events that occur in the PRA area, and are independent of the importation pathway. Similarly, the estimate of potential consequences associated with a pest species is also </w:t>
      </w:r>
      <w:r w:rsidRPr="00111CA8">
        <w:lastRenderedPageBreak/>
        <w:t>independent of the importation pathway. Therefore, the likelihoods of establishment and of spread of a pest, and the estimate of potential consequences, are directly comparable between assessments, and may be adopted with confidence.</w:t>
      </w:r>
    </w:p>
    <w:p w:rsidR="00B52BB0" w:rsidRPr="00111CA8" w:rsidRDefault="00B52BB0" w:rsidP="003E074D">
      <w:pPr>
        <w:pStyle w:val="Heading4"/>
      </w:pPr>
      <w:bookmarkStart w:id="31" w:name="_Ref523924658"/>
      <w:r w:rsidRPr="00111CA8">
        <w:t>Application of the Group PRA to this risk analysis</w:t>
      </w:r>
      <w:bookmarkEnd w:id="31"/>
    </w:p>
    <w:p w:rsidR="00B52BB0" w:rsidRPr="00111CA8" w:rsidRDefault="00B52BB0" w:rsidP="003E074D">
      <w:r w:rsidRPr="00111CA8">
        <w:t xml:space="preserve">Risk estimates derived from a Group PRA are ‘indicative’ in character. This is because the likelihood of entry (the combined likelihoods of importation and distribution) can be influenced by a range of pathway-specific factors, as explained in Section </w:t>
      </w:r>
      <w:r>
        <w:fldChar w:fldCharType="begin"/>
      </w:r>
      <w:r>
        <w:instrText xml:space="preserve"> REF _Ref523924726 \r \h </w:instrText>
      </w:r>
      <w:r>
        <w:fldChar w:fldCharType="separate"/>
      </w:r>
      <w:r w:rsidR="00EA7374">
        <w:t>2.2.6</w:t>
      </w:r>
      <w:r>
        <w:fldChar w:fldCharType="end"/>
      </w:r>
      <w:r w:rsidRPr="00111CA8">
        <w:t>. Therefore, the indicative likelihood of entry from a Group PRA needs to be verified on a case-by-case basis.</w:t>
      </w:r>
    </w:p>
    <w:p w:rsidR="00B52BB0" w:rsidRPr="00111CA8" w:rsidRDefault="00B52BB0" w:rsidP="003E074D">
      <w:r w:rsidRPr="00111CA8">
        <w:t xml:space="preserve">In contrast, and as noted in Section </w:t>
      </w:r>
      <w:r>
        <w:fldChar w:fldCharType="begin"/>
      </w:r>
      <w:r>
        <w:instrText xml:space="preserve"> REF _Ref523924726 \r \h </w:instrText>
      </w:r>
      <w:r>
        <w:fldChar w:fldCharType="separate"/>
      </w:r>
      <w:r w:rsidR="00EA7374">
        <w:t>2.2.6</w:t>
      </w:r>
      <w:r>
        <w:fldChar w:fldCharType="end"/>
      </w:r>
      <w:r w:rsidRPr="00111CA8">
        <w:t>, the risk factors considered in the likelihoods of establishment and spread, and the potential consequences associated with a pest species are not pathway-specific, and are therefore comparable across all import pathways within the scope of the Group PRA. This is because at these latter stages of the risk analysis the pest is assumed to have already found a host within Australia at or beyond its point of entry. Therefore, a Group PRA assessment can be applied as the default outcome for any pest species on a plant import pathway once the previously assigned likelihood of entry has been verified.</w:t>
      </w:r>
    </w:p>
    <w:p w:rsidR="00B52BB0" w:rsidRPr="00111CA8" w:rsidRDefault="00B52BB0" w:rsidP="003E074D">
      <w:r w:rsidRPr="00111CA8">
        <w:t xml:space="preserve">In a scenario where the likelihood of entry for a pest species on a commodity is assessed as different to the indicative estimate, the Group PRA-derived likelihoods of establishment and spread and the estimate of consequences can still be used, but the overall risk rating </w:t>
      </w:r>
      <w:r>
        <w:t xml:space="preserve">and measures adopted </w:t>
      </w:r>
      <w:r w:rsidRPr="00111CA8">
        <w:t>may change.</w:t>
      </w:r>
    </w:p>
    <w:p w:rsidR="00B52BB0" w:rsidRPr="0036148C" w:rsidRDefault="00B52BB0" w:rsidP="003E074D">
      <w:r w:rsidRPr="000752FE">
        <w:t xml:space="preserve">The </w:t>
      </w:r>
      <w:r w:rsidRPr="000752FE">
        <w:rPr>
          <w:i/>
        </w:rPr>
        <w:t xml:space="preserve">Final group pest risk analysis for mealybugs and the viruses they transmit on fresh fruit, vegetable, cut flower and foliage imports </w:t>
      </w:r>
      <w:r w:rsidRPr="000752FE">
        <w:t>was finalised in January 2019 and is not applied in this risk analysis. However, its assessments and recommended risk management measures are consistent with the present analysis.</w:t>
      </w:r>
    </w:p>
    <w:p w:rsidR="00B52BB0" w:rsidRPr="00111CA8" w:rsidRDefault="00B52BB0" w:rsidP="003E074D">
      <w:r>
        <w:t xml:space="preserve">The </w:t>
      </w:r>
      <w:r w:rsidRPr="00111CA8">
        <w:t xml:space="preserve">Group PRA that </w:t>
      </w:r>
      <w:r>
        <w:t>was</w:t>
      </w:r>
      <w:r w:rsidRPr="00111CA8">
        <w:t xml:space="preserve"> applied to this risk analysis </w:t>
      </w:r>
      <w:r>
        <w:t>is</w:t>
      </w:r>
      <w:r w:rsidRPr="00111CA8">
        <w:t>:</w:t>
      </w:r>
    </w:p>
    <w:p w:rsidR="00B52BB0" w:rsidRPr="006E7ECD" w:rsidRDefault="00B52BB0" w:rsidP="003E074D">
      <w:pPr>
        <w:ind w:left="397" w:hanging="397"/>
      </w:pPr>
      <w:r w:rsidRPr="00111CA8">
        <w:t>•</w:t>
      </w:r>
      <w:r w:rsidRPr="00111CA8">
        <w:tab/>
      </w:r>
      <w:r w:rsidRPr="00F4407B">
        <w:rPr>
          <w:iCs/>
        </w:rPr>
        <w:t xml:space="preserve">The </w:t>
      </w:r>
      <w:r w:rsidRPr="00111CA8">
        <w:rPr>
          <w:i/>
          <w:iCs/>
        </w:rPr>
        <w:t xml:space="preserve">Final group pest risk analysis for thrips and orthotospoviruses on fresh fruit, vegetable, cut-flower and foliage imports </w:t>
      </w:r>
      <w:r>
        <w:rPr>
          <w:noProof/>
        </w:rPr>
        <w:t>(Australian Government Department of Agriculture and Water Resources 2017)</w:t>
      </w:r>
      <w:r w:rsidRPr="00111CA8">
        <w:t>, which is referred to as the ‘thrips group PRA’.</w:t>
      </w:r>
    </w:p>
    <w:p w:rsidR="00B52BB0" w:rsidRDefault="00B52BB0" w:rsidP="003E074D">
      <w:pPr>
        <w:pStyle w:val="Heading3"/>
      </w:pPr>
      <w:bookmarkStart w:id="32" w:name="_Toc389741444"/>
      <w:bookmarkStart w:id="33" w:name="_Toc7607668"/>
      <w:r>
        <w:t>Stage 3 Pest risk management</w:t>
      </w:r>
      <w:bookmarkEnd w:id="32"/>
      <w:bookmarkEnd w:id="33"/>
    </w:p>
    <w:p w:rsidR="00B52BB0" w:rsidRDefault="00B52BB0">
      <w:r>
        <w:t>Pest risk management describes the process of identifying and implementing phytosanitary measures to manage risks to achieve the ALOP for Australia, while ensuring that any negative effects on trade are minimised.</w:t>
      </w:r>
    </w:p>
    <w:p w:rsidR="00B52BB0" w:rsidRDefault="00B52BB0">
      <w:r>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recommended phytosanitary measures (or combination of measures) is evaluated, using the same approach as used to evaluate the unrestricted risk, to ensure the restricted risk for the relevant pest or pests achieves the ALOP for Australia.</w:t>
      </w:r>
    </w:p>
    <w:p w:rsidR="00B52BB0" w:rsidRDefault="00B52BB0">
      <w:r>
        <w:lastRenderedPageBreak/>
        <w:t xml:space="preserve">ISPM 11 </w:t>
      </w:r>
      <w:r>
        <w:rPr>
          <w:noProof/>
        </w:rPr>
        <w:t>(FAO 2017b)</w:t>
      </w:r>
      <w:r>
        <w:t xml:space="preserve"> provides details on the identification and selection of appropriate risk management options and notes that the choice of measures should be based on their effectiveness in reducing the likelihood of entry of the pest.</w:t>
      </w:r>
    </w:p>
    <w:p w:rsidR="00B52BB0" w:rsidRDefault="00B52BB0">
      <w:r>
        <w:t>Examples given of measures commonly applied to traded commodities include:</w:t>
      </w:r>
    </w:p>
    <w:p w:rsidR="00B52BB0" w:rsidRDefault="00B52BB0" w:rsidP="00B52BB0">
      <w:pPr>
        <w:pStyle w:val="ListBullet"/>
        <w:numPr>
          <w:ilvl w:val="0"/>
          <w:numId w:val="7"/>
        </w:numPr>
      </w:pPr>
      <w:r>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longan</w:t>
      </w:r>
    </w:p>
    <w:p w:rsidR="00B52BB0" w:rsidRDefault="00B52BB0" w:rsidP="00B52BB0">
      <w:pPr>
        <w:pStyle w:val="ListBullet"/>
        <w:numPr>
          <w:ilvl w:val="0"/>
          <w:numId w:val="7"/>
        </w:numPr>
      </w:pPr>
      <w: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rsidR="00B52BB0" w:rsidRDefault="00B52BB0" w:rsidP="00B52BB0">
      <w:pPr>
        <w:pStyle w:val="ListBullet"/>
        <w:numPr>
          <w:ilvl w:val="0"/>
          <w:numId w:val="7"/>
        </w:numPr>
      </w:pPr>
      <w:r>
        <w:t>options ensuring that the area, place or site of production or crop is free from the pest—for example, pest-free area, pest-free place of production or pest-free production site</w:t>
      </w:r>
    </w:p>
    <w:p w:rsidR="00B52BB0" w:rsidRDefault="00B52BB0" w:rsidP="00B52BB0">
      <w:pPr>
        <w:pStyle w:val="ListBullet"/>
        <w:numPr>
          <w:ilvl w:val="0"/>
          <w:numId w:val="7"/>
        </w:numPr>
      </w:pPr>
      <w:r>
        <w:t>options for other types of pathways—for example, consider natural spread, measures for human travellers and their baggage, cleaning or disinfestations of contaminated machinery</w:t>
      </w:r>
    </w:p>
    <w:p w:rsidR="00B52BB0" w:rsidRDefault="00B52BB0" w:rsidP="00B52BB0">
      <w:pPr>
        <w:pStyle w:val="ListBullet"/>
        <w:numPr>
          <w:ilvl w:val="0"/>
          <w:numId w:val="7"/>
        </w:numPr>
      </w:pPr>
      <w:r>
        <w:t>options within the importing Vietnam—for example, surveillance and eradication programs</w:t>
      </w:r>
    </w:p>
    <w:p w:rsidR="00B52BB0" w:rsidRDefault="00B52BB0" w:rsidP="00B52BB0">
      <w:pPr>
        <w:pStyle w:val="ListBullet"/>
        <w:numPr>
          <w:ilvl w:val="0"/>
          <w:numId w:val="7"/>
        </w:numPr>
      </w:pPr>
      <w:proofErr w:type="gramStart"/>
      <w:r>
        <w:t>prohibition</w:t>
      </w:r>
      <w:proofErr w:type="gramEnd"/>
      <w:r>
        <w:t xml:space="preserve"> of commodities—if no satisfactory measure can be found.</w:t>
      </w:r>
    </w:p>
    <w:p w:rsidR="00B52BB0" w:rsidRPr="005D036A" w:rsidRDefault="00B52BB0">
      <w:r>
        <w:t xml:space="preserve">Risk management </w:t>
      </w:r>
      <w:r w:rsidRPr="005D036A">
        <w:t>measures are identified for each quarantine pest where the level of biosecurity risk does not achieve the ALOP for Australia. These are presented in Chapter 5: Pest risk management, of this report.</w:t>
      </w:r>
    </w:p>
    <w:p w:rsidR="00B52BB0" w:rsidRPr="005D036A" w:rsidRDefault="00B52BB0"/>
    <w:p w:rsidR="00B52BB0" w:rsidRPr="005D036A" w:rsidRDefault="00B52BB0" w:rsidP="003E074D">
      <w:pPr>
        <w:pStyle w:val="Heading2"/>
        <w:sectPr w:rsidR="00B52BB0" w:rsidRPr="005D036A" w:rsidSect="003E074D">
          <w:headerReference w:type="default" r:id="rId30"/>
          <w:pgSz w:w="11906" w:h="16838"/>
          <w:pgMar w:top="1418" w:right="1418" w:bottom="1418" w:left="1418" w:header="567" w:footer="283" w:gutter="0"/>
          <w:cols w:space="708"/>
          <w:docGrid w:linePitch="360"/>
        </w:sectPr>
      </w:pPr>
      <w:bookmarkStart w:id="34" w:name="_Toc389741445"/>
    </w:p>
    <w:p w:rsidR="00B52BB0" w:rsidRPr="005D036A" w:rsidRDefault="00B52BB0" w:rsidP="003E074D">
      <w:pPr>
        <w:pStyle w:val="Heading2"/>
      </w:pPr>
      <w:bookmarkStart w:id="35" w:name="_Toc7607669"/>
      <w:r w:rsidRPr="005D036A">
        <w:lastRenderedPageBreak/>
        <w:t xml:space="preserve">Vietnam’s commercial production practices for </w:t>
      </w:r>
      <w:bookmarkEnd w:id="34"/>
      <w:r w:rsidRPr="005D036A">
        <w:t>longan</w:t>
      </w:r>
      <w:bookmarkEnd w:id="35"/>
    </w:p>
    <w:p w:rsidR="00B52BB0" w:rsidRDefault="00B52BB0">
      <w:r w:rsidRPr="005D036A">
        <w:t>This chapter provides information on</w:t>
      </w:r>
      <w:r>
        <w:t xml:space="preserve"> the pre-harvest, harvest and post-harvest practices, considered to be standard practices </w:t>
      </w:r>
      <w:r w:rsidRPr="00344A3B">
        <w:t>in Vietnam</w:t>
      </w:r>
      <w:r>
        <w:t>,</w:t>
      </w:r>
      <w:r w:rsidRPr="00344A3B">
        <w:t xml:space="preserve"> for the production of fresh longan fruit for export. The export capability of Vietnam is also </w:t>
      </w:r>
      <w:r>
        <w:t>outlined.</w:t>
      </w:r>
    </w:p>
    <w:p w:rsidR="00B52BB0" w:rsidRDefault="00B52BB0" w:rsidP="003E074D">
      <w:pPr>
        <w:pStyle w:val="Heading3"/>
      </w:pPr>
      <w:bookmarkStart w:id="36" w:name="_Toc389741446"/>
      <w:bookmarkStart w:id="37" w:name="_Toc7607670"/>
      <w:r>
        <w:t>Considerations used in estimating unrestricted risk</w:t>
      </w:r>
      <w:bookmarkEnd w:id="36"/>
      <w:bookmarkEnd w:id="37"/>
    </w:p>
    <w:p w:rsidR="00B52BB0" w:rsidRDefault="00B52BB0" w:rsidP="003E074D">
      <w:r w:rsidRPr="00344A3B">
        <w:t xml:space="preserve">Vietnam provided Australia with information on the standard practices </w:t>
      </w:r>
      <w:r>
        <w:t>for</w:t>
      </w:r>
      <w:r w:rsidRPr="00344A3B">
        <w:t xml:space="preserve"> </w:t>
      </w:r>
      <w:r>
        <w:t xml:space="preserve">commercial </w:t>
      </w:r>
      <w:r w:rsidRPr="00344A3B">
        <w:t>production of longan</w:t>
      </w:r>
      <w:r>
        <w:t xml:space="preserve"> cultivars</w:t>
      </w:r>
      <w:r w:rsidRPr="00344A3B">
        <w:t xml:space="preserve"> in different regions </w:t>
      </w:r>
      <w:r>
        <w:t>of</w:t>
      </w:r>
      <w:r w:rsidRPr="00344A3B">
        <w:t xml:space="preserve"> Vietnam</w:t>
      </w:r>
      <w:r>
        <w:t xml:space="preserve"> </w:t>
      </w:r>
      <w:r>
        <w:rPr>
          <w:noProof/>
        </w:rPr>
        <w:t>(PPD 2017)</w:t>
      </w:r>
      <w:r w:rsidRPr="00344A3B">
        <w:t xml:space="preserve">. This information </w:t>
      </w:r>
      <w:r>
        <w:t>has been</w:t>
      </w:r>
      <w:r w:rsidRPr="00344A3B">
        <w:t xml:space="preserve"> complemented with data from other sources</w:t>
      </w:r>
      <w:r>
        <w:t>, such as published literature,</w:t>
      </w:r>
      <w:r w:rsidRPr="00344A3B">
        <w:t xml:space="preserve"> and was taken into consideration when estimating the unrestricted risks of pests that may be associated with the </w:t>
      </w:r>
      <w:r>
        <w:t>import of this commodity.</w:t>
      </w:r>
    </w:p>
    <w:p w:rsidR="00B52BB0" w:rsidRPr="00344A3B" w:rsidRDefault="00B52BB0" w:rsidP="003E074D">
      <w:r>
        <w:t>Australian Government</w:t>
      </w:r>
      <w:r w:rsidRPr="00344A3B">
        <w:t xml:space="preserve"> </w:t>
      </w:r>
      <w:r>
        <w:t xml:space="preserve">officials </w:t>
      </w:r>
      <w:r w:rsidRPr="00344A3B">
        <w:t>visited longan production areas in</w:t>
      </w:r>
      <w:r>
        <w:t xml:space="preserve"> the provinces of</w:t>
      </w:r>
      <w:r w:rsidRPr="00344A3B">
        <w:t xml:space="preserve"> Ben Tre and Hung Yen </w:t>
      </w:r>
      <w:r>
        <w:t xml:space="preserve">in </w:t>
      </w:r>
      <w:r w:rsidRPr="00344A3B">
        <w:t xml:space="preserve">February </w:t>
      </w:r>
      <w:r w:rsidRPr="00305B2F">
        <w:t>2018 and the province of Son La in August 2018</w:t>
      </w:r>
      <w:r>
        <w:t>. The objective of these visits was to</w:t>
      </w:r>
      <w:r w:rsidRPr="00344A3B">
        <w:t xml:space="preserve"> observe the harvesting, processing</w:t>
      </w:r>
      <w:r>
        <w:t xml:space="preserve"> and</w:t>
      </w:r>
      <w:r w:rsidRPr="00344A3B">
        <w:t xml:space="preserve"> packing</w:t>
      </w:r>
      <w:r>
        <w:t>,</w:t>
      </w:r>
      <w:r w:rsidRPr="00344A3B">
        <w:t xml:space="preserve"> pest management </w:t>
      </w:r>
      <w:r>
        <w:t>procedures, and other export practices</w:t>
      </w:r>
      <w:r w:rsidRPr="00344A3B">
        <w:t xml:space="preserve"> for longan</w:t>
      </w:r>
      <w:r>
        <w:t xml:space="preserve"> fruit production</w:t>
      </w:r>
      <w:r w:rsidRPr="00344A3B">
        <w:t>. The observations and additional information provided during the</w:t>
      </w:r>
      <w:r>
        <w:t>se</w:t>
      </w:r>
      <w:r w:rsidRPr="00344A3B">
        <w:t xml:space="preserve"> visit</w:t>
      </w:r>
      <w:r>
        <w:t>s</w:t>
      </w:r>
      <w:r w:rsidRPr="00344A3B">
        <w:t xml:space="preserve"> confirmed the production and processing procedures described in this chapter as standard commercial production practices for longan</w:t>
      </w:r>
      <w:r>
        <w:t xml:space="preserve"> fruit for export.</w:t>
      </w:r>
    </w:p>
    <w:p w:rsidR="00B52BB0" w:rsidRDefault="00B52BB0" w:rsidP="003E074D">
      <w:r>
        <w:t>In estimating the likelihood of pest introduction it has been assumed that the pre-harvest, harvest and post-</w:t>
      </w:r>
      <w:r w:rsidRPr="009A7E27">
        <w:t>harvest production practices for longan as described in this chapter are implemented for all regions</w:t>
      </w:r>
      <w:r>
        <w:t>,</w:t>
      </w:r>
      <w:r w:rsidRPr="009A7E27">
        <w:t xml:space="preserve"> an</w:t>
      </w:r>
      <w:r>
        <w:t xml:space="preserve">d for </w:t>
      </w:r>
      <w:r w:rsidRPr="008C4348">
        <w:t xml:space="preserve">all longan </w:t>
      </w:r>
      <w:r>
        <w:t>cultivars,</w:t>
      </w:r>
      <w:r w:rsidRPr="008C4348">
        <w:t xml:space="preserve"> within the scope of this</w:t>
      </w:r>
      <w:r>
        <w:t xml:space="preserve"> analysis. Where a specific practice described in this chapter has not been used to estimate the unrestricted risk, it is clearly identified and explained in Chapter </w:t>
      </w:r>
      <w:r>
        <w:fldChar w:fldCharType="begin"/>
      </w:r>
      <w:r>
        <w:instrText xml:space="preserve"> REF _Ref525641462 \r \h </w:instrText>
      </w:r>
      <w:r>
        <w:fldChar w:fldCharType="separate"/>
      </w:r>
      <w:r w:rsidR="00EA7374">
        <w:t>4</w:t>
      </w:r>
      <w:r>
        <w:fldChar w:fldCharType="end"/>
      </w:r>
      <w:r>
        <w:t>.</w:t>
      </w:r>
    </w:p>
    <w:p w:rsidR="00B52BB0" w:rsidRDefault="00B52BB0" w:rsidP="003E074D">
      <w:pPr>
        <w:pStyle w:val="Heading3"/>
      </w:pPr>
      <w:bookmarkStart w:id="38" w:name="_Toc7607671"/>
      <w:bookmarkStart w:id="39" w:name="_Toc389741447"/>
      <w:r w:rsidRPr="00DA7997">
        <w:t xml:space="preserve">Longan </w:t>
      </w:r>
      <w:r>
        <w:t>production areas</w:t>
      </w:r>
      <w:bookmarkEnd w:id="38"/>
    </w:p>
    <w:p w:rsidR="00B52BB0" w:rsidRDefault="00B52BB0" w:rsidP="003E074D">
      <w:r>
        <w:t xml:space="preserve">Longan fruit is grown throughout Vietnam, with the largest commercial production areas focused in the north of Vietnam in the Highland of North Mountain and Red River Delta regions, and in the south in the Cuulong (Mekong) River Delta region. These regions are shown in </w:t>
      </w:r>
      <w:r>
        <w:fldChar w:fldCharType="begin"/>
      </w:r>
      <w:r>
        <w:instrText xml:space="preserve"> REF _Ref513708433 \h </w:instrText>
      </w:r>
      <w:r>
        <w:fldChar w:fldCharType="separate"/>
      </w:r>
      <w:r w:rsidR="00EA7374">
        <w:t xml:space="preserve">Map </w:t>
      </w:r>
      <w:r w:rsidR="00EA7374">
        <w:rPr>
          <w:noProof/>
        </w:rPr>
        <w:t>3</w:t>
      </w:r>
      <w:r>
        <w:fldChar w:fldCharType="end"/>
      </w:r>
      <w:r>
        <w:t>.</w:t>
      </w:r>
    </w:p>
    <w:p w:rsidR="00B52BB0" w:rsidRPr="00B34306" w:rsidRDefault="00B52BB0" w:rsidP="003E074D">
      <w:r>
        <w:t xml:space="preserve">In 2014, there were approximately 75,100 hectares of longan planted in </w:t>
      </w:r>
      <w:r w:rsidRPr="00B34306">
        <w:t>Vietnam, including 12,900 hectares in the Red River Delta region, 20,400 in the High</w:t>
      </w:r>
      <w:r>
        <w:t>l</w:t>
      </w:r>
      <w:r w:rsidRPr="00B34306">
        <w:t xml:space="preserve">and of North Mountain region and 31,100 in the Cuulong (Mekong) </w:t>
      </w:r>
      <w:r>
        <w:t xml:space="preserve">River </w:t>
      </w:r>
      <w:r w:rsidRPr="00B34306">
        <w:t xml:space="preserve">Delta Region </w:t>
      </w:r>
      <w:r>
        <w:rPr>
          <w:noProof/>
        </w:rPr>
        <w:t>(PPD 2017)</w:t>
      </w:r>
      <w:r w:rsidRPr="00B34306">
        <w:t>.</w:t>
      </w:r>
    </w:p>
    <w:p w:rsidR="00B52BB0" w:rsidRPr="00B34306" w:rsidRDefault="00B52BB0" w:rsidP="003E074D">
      <w:pPr>
        <w:pStyle w:val="Heading3"/>
      </w:pPr>
      <w:bookmarkStart w:id="40" w:name="_Toc7607672"/>
      <w:r w:rsidRPr="00B34306">
        <w:t>Climate in production areas</w:t>
      </w:r>
      <w:bookmarkEnd w:id="39"/>
      <w:bookmarkEnd w:id="40"/>
    </w:p>
    <w:p w:rsidR="00B52BB0" w:rsidRPr="00EE62A7" w:rsidRDefault="00B52BB0" w:rsidP="003E074D">
      <w:bookmarkStart w:id="41" w:name="_Toc384979281"/>
      <w:bookmarkStart w:id="42" w:name="_Toc384979290"/>
      <w:r w:rsidRPr="00B34306">
        <w:t>The climate in Vietnam is typically warm and humid</w:t>
      </w:r>
      <w:r>
        <w:t>,</w:t>
      </w:r>
      <w:r w:rsidRPr="00B34306">
        <w:t xml:space="preserve"> with monsoonal influences leading to high rates of rainfall in the wet season</w:t>
      </w:r>
      <w:r>
        <w:t xml:space="preserve">, which typically lasts from May to November depending on the region </w:t>
      </w:r>
      <w:r>
        <w:rPr>
          <w:noProof/>
        </w:rPr>
        <w:t>(Weatheronline 2018; World Weather Online 2018)</w:t>
      </w:r>
      <w:r>
        <w:t xml:space="preserve">. The climate in the southern parts of Vietnam is divided into a wet season from June to November and a drier season from December to April </w:t>
      </w:r>
      <w:r>
        <w:rPr>
          <w:noProof/>
        </w:rPr>
        <w:t>(Hickery et al. 2015)</w:t>
      </w:r>
      <w:r>
        <w:t>. Northern regions experience four distinct seasons. Temperatures in mountainous areas in the north can drop to below 10 </w:t>
      </w:r>
      <w:r>
        <w:sym w:font="Symbol" w:char="F0B0"/>
      </w:r>
      <w:r>
        <w:t xml:space="preserve">C in the winter </w:t>
      </w:r>
      <w:r>
        <w:rPr>
          <w:noProof/>
        </w:rPr>
        <w:t>(World Weather Online 2018)</w:t>
      </w:r>
      <w:r>
        <w:t xml:space="preserve">. Average monthly temperatures and rainfall for the main longan production regions of Vietnam are shown in </w:t>
      </w:r>
      <w:r>
        <w:fldChar w:fldCharType="begin"/>
      </w:r>
      <w:r>
        <w:instrText xml:space="preserve"> REF _Ref515953191 \h </w:instrText>
      </w:r>
      <w:r>
        <w:fldChar w:fldCharType="separate"/>
      </w:r>
      <w:r w:rsidR="00EA7374">
        <w:t xml:space="preserve">Figure </w:t>
      </w:r>
      <w:r w:rsidR="00EA7374">
        <w:rPr>
          <w:noProof/>
        </w:rPr>
        <w:t>2</w:t>
      </w:r>
      <w:r>
        <w:fldChar w:fldCharType="end"/>
      </w:r>
      <w:r>
        <w:t>.</w:t>
      </w:r>
      <w:r w:rsidRPr="003E41E9">
        <w:t xml:space="preserve"> </w:t>
      </w:r>
      <w:r>
        <w:t xml:space="preserve">The longan season occurs naturally during the part of the year with the most rainfall, but the season can be extended or triggered at other times of the year through the use of irrigation </w:t>
      </w:r>
      <w:r>
        <w:rPr>
          <w:noProof/>
        </w:rPr>
        <w:t>(PPD 2017)</w:t>
      </w:r>
      <w:r>
        <w:t>.</w:t>
      </w:r>
    </w:p>
    <w:p w:rsidR="00B52BB0" w:rsidRDefault="00B52BB0" w:rsidP="003E074D">
      <w:pPr>
        <w:pStyle w:val="Caption"/>
        <w:rPr>
          <w:noProof/>
        </w:rPr>
      </w:pPr>
      <w:bookmarkStart w:id="43" w:name="_Ref513708433"/>
      <w:bookmarkStart w:id="44" w:name="_Toc7607713"/>
      <w:bookmarkEnd w:id="41"/>
      <w:bookmarkEnd w:id="42"/>
      <w:r>
        <w:lastRenderedPageBreak/>
        <w:t xml:space="preserve">Map </w:t>
      </w:r>
      <w:r w:rsidR="008B7377">
        <w:rPr>
          <w:noProof/>
        </w:rPr>
        <w:fldChar w:fldCharType="begin"/>
      </w:r>
      <w:r w:rsidR="008B7377">
        <w:rPr>
          <w:noProof/>
        </w:rPr>
        <w:instrText xml:space="preserve"> SEQ Map \* ARABIC </w:instrText>
      </w:r>
      <w:r w:rsidR="008B7377">
        <w:rPr>
          <w:noProof/>
        </w:rPr>
        <w:fldChar w:fldCharType="separate"/>
      </w:r>
      <w:r w:rsidR="00EA7374">
        <w:rPr>
          <w:noProof/>
        </w:rPr>
        <w:t>3</w:t>
      </w:r>
      <w:r w:rsidR="008B7377">
        <w:rPr>
          <w:noProof/>
        </w:rPr>
        <w:fldChar w:fldCharType="end"/>
      </w:r>
      <w:bookmarkEnd w:id="43"/>
      <w:r w:rsidRPr="00154EB9">
        <w:rPr>
          <w:noProof/>
        </w:rPr>
        <w:t xml:space="preserve"> Regions of Vietnam</w:t>
      </w:r>
      <w:bookmarkEnd w:id="44"/>
    </w:p>
    <w:p w:rsidR="00B52BB0" w:rsidRPr="009D66E4" w:rsidRDefault="00B52BB0" w:rsidP="003E074D">
      <w:r>
        <w:rPr>
          <w:noProof/>
          <w:lang w:eastAsia="en-AU"/>
        </w:rPr>
        <w:drawing>
          <wp:inline distT="0" distB="0" distL="0" distR="0" wp14:anchorId="58E807A3" wp14:editId="5879E17D">
            <wp:extent cx="5752800" cy="6249600"/>
            <wp:effectExtent l="0" t="0" r="635" b="0"/>
            <wp:docPr id="2" name="Picture 2" descr="A map of Vietnam with the following regions identified with colour:&#10;Highland of North Mountain&#10;Red River Delta&#10;North Central Coast&#10;South Central Coast&#10;Central Highland&#10;Southeast&#10;Cuulong (Mekong) River Delta" title="Map of the regions of Vietn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2800" cy="6249600"/>
                    </a:xfrm>
                    <a:prstGeom prst="rect">
                      <a:avLst/>
                    </a:prstGeom>
                    <a:noFill/>
                    <a:ln>
                      <a:noFill/>
                    </a:ln>
                  </pic:spPr>
                </pic:pic>
              </a:graphicData>
            </a:graphic>
          </wp:inline>
        </w:drawing>
      </w:r>
    </w:p>
    <w:p w:rsidR="00B52BB0" w:rsidRDefault="00B52BB0" w:rsidP="003E074D">
      <w:pPr>
        <w:pStyle w:val="FigureTableNoteSource"/>
      </w:pPr>
      <w:r>
        <w:t>Adapted from information provided by Vietnam</w:t>
      </w:r>
      <w:r w:rsidRPr="0079084A">
        <w:t xml:space="preserve"> </w:t>
      </w:r>
      <w:r>
        <w:rPr>
          <w:noProof/>
        </w:rPr>
        <w:t>(PPD 2017)</w:t>
      </w:r>
    </w:p>
    <w:p w:rsidR="00B52BB0" w:rsidRDefault="00B52BB0" w:rsidP="003E074D">
      <w:pPr>
        <w:pStyle w:val="Caption"/>
      </w:pPr>
      <w:bookmarkStart w:id="45" w:name="_Ref515953191"/>
      <w:bookmarkStart w:id="46" w:name="_Toc384979255"/>
      <w:bookmarkStart w:id="47" w:name="_Toc384979282"/>
      <w:bookmarkStart w:id="48" w:name="_Toc389741469"/>
      <w:bookmarkStart w:id="49" w:name="_Toc7607534"/>
      <w:r>
        <w:lastRenderedPageBreak/>
        <w:t xml:space="preserve">Figure </w:t>
      </w:r>
      <w:r>
        <w:rPr>
          <w:noProof/>
        </w:rPr>
        <w:fldChar w:fldCharType="begin"/>
      </w:r>
      <w:r>
        <w:rPr>
          <w:noProof/>
        </w:rPr>
        <w:instrText xml:space="preserve"> SEQ Figure \* ARABIC </w:instrText>
      </w:r>
      <w:r>
        <w:rPr>
          <w:noProof/>
        </w:rPr>
        <w:fldChar w:fldCharType="separate"/>
      </w:r>
      <w:r w:rsidR="00EA7374">
        <w:rPr>
          <w:noProof/>
        </w:rPr>
        <w:t>2</w:t>
      </w:r>
      <w:r>
        <w:rPr>
          <w:noProof/>
        </w:rPr>
        <w:fldChar w:fldCharType="end"/>
      </w:r>
      <w:bookmarkEnd w:id="45"/>
      <w:r>
        <w:t xml:space="preserve"> Maximum and minimum temperatures and mean monthly rainfall in the main longan production </w:t>
      </w:r>
      <w:bookmarkEnd w:id="46"/>
      <w:bookmarkEnd w:id="47"/>
      <w:bookmarkEnd w:id="48"/>
      <w:r>
        <w:t>regions of Vietnam</w:t>
      </w:r>
      <w:bookmarkEnd w:id="49"/>
    </w:p>
    <w:p w:rsidR="00B52BB0" w:rsidRDefault="00B52BB0" w:rsidP="003E074D">
      <w:pPr>
        <w:spacing w:after="0"/>
      </w:pPr>
      <w:r>
        <w:rPr>
          <w:noProof/>
          <w:lang w:eastAsia="en-AU"/>
        </w:rPr>
        <w:drawing>
          <wp:inline distT="0" distB="0" distL="0" distR="0" wp14:anchorId="5CFF51C6" wp14:editId="16481449">
            <wp:extent cx="5759450" cy="3616325"/>
            <wp:effectExtent l="0" t="0" r="0" b="3175"/>
            <wp:docPr id="12" name="Picture 12" descr="Graphs showing average maximum and minimum temperatures and average rainfall by month in the Vietnamese regions of: Highlands of North Mountain, Red River Delta and Cuulong (Mekong) River Delta." title="Climate data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3616325"/>
                    </a:xfrm>
                    <a:prstGeom prst="rect">
                      <a:avLst/>
                    </a:prstGeom>
                  </pic:spPr>
                </pic:pic>
              </a:graphicData>
            </a:graphic>
          </wp:inline>
        </w:drawing>
      </w:r>
    </w:p>
    <w:p w:rsidR="00B52BB0" w:rsidRDefault="00B52BB0" w:rsidP="003E074D">
      <w:pPr>
        <w:pStyle w:val="FigureTableNoteSource"/>
      </w:pPr>
      <w:r>
        <w:t xml:space="preserve">Source: </w:t>
      </w:r>
      <w:r>
        <w:rPr>
          <w:noProof/>
        </w:rPr>
        <w:t>(World Weather Online 2018)</w:t>
      </w:r>
    </w:p>
    <w:p w:rsidR="00B52BB0" w:rsidRDefault="00B52BB0" w:rsidP="003E074D">
      <w:pPr>
        <w:pStyle w:val="Heading3"/>
      </w:pPr>
      <w:bookmarkStart w:id="50" w:name="_Toc389741448"/>
      <w:bookmarkStart w:id="51" w:name="_Toc7607673"/>
      <w:r>
        <w:t>Pre-harvest</w:t>
      </w:r>
      <w:bookmarkEnd w:id="50"/>
      <w:bookmarkEnd w:id="51"/>
    </w:p>
    <w:p w:rsidR="00B52BB0" w:rsidRDefault="00B52BB0" w:rsidP="003E074D">
      <w:pPr>
        <w:pStyle w:val="Heading4"/>
      </w:pPr>
      <w:r>
        <w:t>Cultivars</w:t>
      </w:r>
    </w:p>
    <w:p w:rsidR="00B52BB0" w:rsidRDefault="00B52BB0" w:rsidP="003E074D">
      <w:r>
        <w:t xml:space="preserve">Traditionally, many longan farmers grew the </w:t>
      </w:r>
      <w:r w:rsidRPr="004406E6">
        <w:t>Tiêu da bò</w:t>
      </w:r>
      <w:r>
        <w:t xml:space="preserve"> (Cow skin) cultivar but nurseries now produce cultivars specifically selected to produce higher quality fruit and for resistance to disease. Cuttings of these new cultivars are purchased by farmers and grafted onto existing root stock to replace the traditionally grown cultivars. These new cultivars include Nhãn long, </w:t>
      </w:r>
      <w:r w:rsidRPr="00D351BA">
        <w:t>Xuồng cơm vàng</w:t>
      </w:r>
      <w:r>
        <w:t xml:space="preserve"> (Yellow rice sampan), </w:t>
      </w:r>
      <w:r w:rsidRPr="00203974">
        <w:t>Miền thiết</w:t>
      </w:r>
      <w:r>
        <w:t xml:space="preserve"> and Edor.</w:t>
      </w:r>
    </w:p>
    <w:p w:rsidR="00B52BB0" w:rsidRDefault="00B52BB0" w:rsidP="003E074D">
      <w:pPr>
        <w:pStyle w:val="Heading4"/>
      </w:pPr>
      <w:r>
        <w:t>Cultivation practices</w:t>
      </w:r>
    </w:p>
    <w:p w:rsidR="00B52BB0" w:rsidRDefault="00B52BB0" w:rsidP="003E074D">
      <w:r w:rsidRPr="0032209F">
        <w:t xml:space="preserve">Longan </w:t>
      </w:r>
      <w:r>
        <w:t>trees grow best in sandy soils. The trees are planted in rows and are pruned and maintained by hand. Longan orchards, that are located near each other, are grouped together for administrative purposes so that their pesticide use can be monitored and accredited by the local government. All orchards in the group deliver fruit to a common packing house. However, this grouping is for administrative purposes only, and each orchard is operated by the owner and their workers.</w:t>
      </w:r>
    </w:p>
    <w:p w:rsidR="00B52BB0" w:rsidRPr="0032209F" w:rsidRDefault="00B52BB0" w:rsidP="003E074D">
      <w:r>
        <w:t>Longan seedlings are produced at government-approved nursery orchards. These seedlings are then transplanted or used as grafts onto existing root stock at commercial longan orchards. Nursery stock are inspected by officers of the Provincial Department of Agriculture and Rural Development before they are transported to orchards for commercial production.</w:t>
      </w:r>
    </w:p>
    <w:p w:rsidR="00B52BB0" w:rsidRDefault="00B52BB0" w:rsidP="003E074D">
      <w:r>
        <w:lastRenderedPageBreak/>
        <w:t>In Vietnam, longan trees naturally flower in May and produce a single crop per year. Irrigation can be used to trigger flowering at other times of the year to produce fruit outside of the natural flowering season. However, each tree will still only produce a single crop annually.</w:t>
      </w:r>
    </w:p>
    <w:p w:rsidR="00B52BB0" w:rsidRDefault="00B52BB0" w:rsidP="003E074D">
      <w:r>
        <w:t xml:space="preserve">Keeping the soil around trees drier causes them to produce less leaves and more fruit. Drainage ditches and rings </w:t>
      </w:r>
      <w:r w:rsidRPr="001F4336">
        <w:t>of raised earth</w:t>
      </w:r>
      <w:r>
        <w:t xml:space="preserve"> may be used to help control the amount of water that reaches and remains near each tree (</w:t>
      </w:r>
      <w:r>
        <w:fldChar w:fldCharType="begin"/>
      </w:r>
      <w:r>
        <w:instrText xml:space="preserve"> REF _Ref518543532 \h </w:instrText>
      </w:r>
      <w:r>
        <w:fldChar w:fldCharType="separate"/>
      </w:r>
      <w:r w:rsidR="00EA7374">
        <w:t xml:space="preserve">Figure </w:t>
      </w:r>
      <w:r w:rsidR="00EA7374">
        <w:rPr>
          <w:noProof/>
        </w:rPr>
        <w:t>3</w:t>
      </w:r>
      <w:r>
        <w:fldChar w:fldCharType="end"/>
      </w:r>
      <w:r>
        <w:t>).</w:t>
      </w:r>
    </w:p>
    <w:p w:rsidR="00B52BB0" w:rsidRDefault="00B52BB0" w:rsidP="003E074D">
      <w:pPr>
        <w:pStyle w:val="Caption"/>
      </w:pPr>
      <w:bookmarkStart w:id="52" w:name="_Ref518543532"/>
      <w:bookmarkStart w:id="53" w:name="_Toc7607535"/>
      <w:r>
        <w:t xml:space="preserve">Figure </w:t>
      </w:r>
      <w:r>
        <w:rPr>
          <w:noProof/>
        </w:rPr>
        <w:fldChar w:fldCharType="begin"/>
      </w:r>
      <w:r>
        <w:rPr>
          <w:noProof/>
        </w:rPr>
        <w:instrText xml:space="preserve"> SEQ Figure \* ARABIC </w:instrText>
      </w:r>
      <w:r>
        <w:rPr>
          <w:noProof/>
        </w:rPr>
        <w:fldChar w:fldCharType="separate"/>
      </w:r>
      <w:r w:rsidR="00EA7374">
        <w:rPr>
          <w:noProof/>
        </w:rPr>
        <w:t>3</w:t>
      </w:r>
      <w:r>
        <w:rPr>
          <w:noProof/>
        </w:rPr>
        <w:fldChar w:fldCharType="end"/>
      </w:r>
      <w:bookmarkEnd w:id="52"/>
      <w:r>
        <w:t xml:space="preserve"> Longan orchard with drainage ditches and rings of raised earth to control the amount of water received by each tree</w:t>
      </w:r>
      <w:bookmarkEnd w:id="53"/>
    </w:p>
    <w:p w:rsidR="00B52BB0" w:rsidRDefault="00B52BB0" w:rsidP="003E074D">
      <w:r w:rsidRPr="007A2EA5">
        <w:rPr>
          <w:noProof/>
          <w:lang w:eastAsia="en-AU"/>
        </w:rPr>
        <w:drawing>
          <wp:inline distT="0" distB="0" distL="0" distR="0" wp14:anchorId="087B8637" wp14:editId="05D8AB86">
            <wp:extent cx="5759450" cy="4321260"/>
            <wp:effectExtent l="0" t="0" r="0" b="3175"/>
            <wp:docPr id="13" name="Picture 13" descr="Image of longan trees, each with a ring of raised earth around the trunk to the diametre of the crown. Drainage ditches run between the trees outside of these rings." title="Longan or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lant\Asia Group\COUNTRIES\Vietnam\Import\Longan\Verification visit\Photos\P207008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4321260"/>
                    </a:xfrm>
                    <a:prstGeom prst="rect">
                      <a:avLst/>
                    </a:prstGeom>
                    <a:noFill/>
                    <a:ln>
                      <a:noFill/>
                    </a:ln>
                  </pic:spPr>
                </pic:pic>
              </a:graphicData>
            </a:graphic>
          </wp:inline>
        </w:drawing>
      </w:r>
    </w:p>
    <w:p w:rsidR="00B52BB0" w:rsidRPr="00EE62A7" w:rsidRDefault="00B52BB0" w:rsidP="003E074D">
      <w:pPr>
        <w:pStyle w:val="Heading4"/>
      </w:pPr>
      <w:r>
        <w:t>Pest management</w:t>
      </w:r>
    </w:p>
    <w:p w:rsidR="00B52BB0" w:rsidRDefault="00B52BB0" w:rsidP="003E074D">
      <w:bookmarkStart w:id="54" w:name="_Toc389741449"/>
      <w:r>
        <w:t>Vietnamese farmers producing longan fruit for export are accredited under the Viet GAP (Vietnam Good Agricultural Practices) scheme by their local government. Accredited farmers receive annual training to ensure they can meet export requirements, and use approved pesticides according to spray calendars to meet the residue limits set by the export markets. Pesticides are selected from a list of approved options and pesticide use in the field is monitored by officers of the local government.</w:t>
      </w:r>
    </w:p>
    <w:p w:rsidR="00B52BB0" w:rsidRDefault="00B52BB0" w:rsidP="003E074D">
      <w:r>
        <w:t>Trees are visually monitored by farmers and any signs of pests or diseases are either treated with approved pesticides or pruned from the trees to be disposed of by burning. Pesticide is applied using engine–pumped high pressure sprayers.</w:t>
      </w:r>
    </w:p>
    <w:p w:rsidR="00B52BB0" w:rsidRDefault="00B52BB0" w:rsidP="003E074D">
      <w:pPr>
        <w:pStyle w:val="Heading3"/>
      </w:pPr>
      <w:bookmarkStart w:id="55" w:name="_Toc7607674"/>
      <w:r>
        <w:lastRenderedPageBreak/>
        <w:t>Harvesting and handling procedures</w:t>
      </w:r>
      <w:bookmarkEnd w:id="54"/>
      <w:bookmarkEnd w:id="55"/>
    </w:p>
    <w:p w:rsidR="00B52BB0" w:rsidRDefault="00B52BB0" w:rsidP="003E074D">
      <w:bookmarkStart w:id="56" w:name="_Toc389741450"/>
      <w:r>
        <w:t xml:space="preserve">As longan fruit do not ripen further after being picked, harvest occurs when fruit are fully ripe on the tree </w:t>
      </w:r>
      <w:r>
        <w:rPr>
          <w:noProof/>
        </w:rPr>
        <w:t>(PPD 2017)</w:t>
      </w:r>
      <w:r>
        <w:t>. The harvest period usually consists of two harvests occurring 7–10 days apart, if all the trees in the orchard ripen at the same time. It is possible to extend the harvest season by using irrigation to induce the flowering of some trees at different times.</w:t>
      </w:r>
    </w:p>
    <w:p w:rsidR="00B52BB0" w:rsidRDefault="00B52BB0" w:rsidP="003E074D">
      <w:r>
        <w:t xml:space="preserve">Fruit is harvested by hand, with workers removing clusters of fruit using knives or scissors </w:t>
      </w:r>
      <w:r>
        <w:rPr>
          <w:noProof/>
        </w:rPr>
        <w:t>(PPD 2017)</w:t>
      </w:r>
      <w:r>
        <w:t>. Fruit which is higher on the tree is harvested using secateurs on a long pole (</w:t>
      </w:r>
      <w:r>
        <w:fldChar w:fldCharType="begin"/>
      </w:r>
      <w:r>
        <w:instrText xml:space="preserve"> REF _Ref522717211 \h </w:instrText>
      </w:r>
      <w:r>
        <w:fldChar w:fldCharType="separate"/>
      </w:r>
      <w:r w:rsidR="00EA7374">
        <w:t xml:space="preserve">Figure </w:t>
      </w:r>
      <w:r w:rsidR="00EA7374">
        <w:rPr>
          <w:noProof/>
        </w:rPr>
        <w:t>4</w:t>
      </w:r>
      <w:r>
        <w:fldChar w:fldCharType="end"/>
      </w:r>
      <w:r>
        <w:t>).</w:t>
      </w:r>
    </w:p>
    <w:p w:rsidR="00B52BB0" w:rsidRDefault="00B52BB0" w:rsidP="003E074D">
      <w:pPr>
        <w:pStyle w:val="Caption"/>
      </w:pPr>
      <w:bookmarkStart w:id="57" w:name="_Ref522717211"/>
      <w:bookmarkStart w:id="58" w:name="_Toc7607536"/>
      <w:r>
        <w:t xml:space="preserve">Figure </w:t>
      </w:r>
      <w:r>
        <w:rPr>
          <w:noProof/>
        </w:rPr>
        <w:fldChar w:fldCharType="begin"/>
      </w:r>
      <w:r>
        <w:rPr>
          <w:noProof/>
        </w:rPr>
        <w:instrText xml:space="preserve"> SEQ Figure \* ARABIC </w:instrText>
      </w:r>
      <w:r>
        <w:rPr>
          <w:noProof/>
        </w:rPr>
        <w:fldChar w:fldCharType="separate"/>
      </w:r>
      <w:r w:rsidR="00EA7374">
        <w:rPr>
          <w:noProof/>
        </w:rPr>
        <w:t>4</w:t>
      </w:r>
      <w:r>
        <w:rPr>
          <w:noProof/>
        </w:rPr>
        <w:fldChar w:fldCharType="end"/>
      </w:r>
      <w:bookmarkEnd w:id="57"/>
      <w:r>
        <w:rPr>
          <w:noProof/>
        </w:rPr>
        <w:t xml:space="preserve"> Harvesting longan fruit from high in the tree</w:t>
      </w:r>
      <w:bookmarkEnd w:id="58"/>
    </w:p>
    <w:p w:rsidR="00B52BB0" w:rsidRDefault="00B52BB0" w:rsidP="003E074D">
      <w:r>
        <w:rPr>
          <w:noProof/>
          <w:lang w:eastAsia="en-AU"/>
        </w:rPr>
        <w:drawing>
          <wp:inline distT="0" distB="0" distL="0" distR="0" wp14:anchorId="75BB1BF4" wp14:editId="486BE404">
            <wp:extent cx="5727600" cy="4780800"/>
            <wp:effectExtent l="0" t="0" r="6985" b="1270"/>
            <wp:docPr id="10" name="Picture 10" descr="A farm worker standing on the ground reaches into the upper branches of a longan tree using a long pole with secateurs on the end." title="Harvesting longan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27600" cy="4780800"/>
                    </a:xfrm>
                    <a:prstGeom prst="rect">
                      <a:avLst/>
                    </a:prstGeom>
                  </pic:spPr>
                </pic:pic>
              </a:graphicData>
            </a:graphic>
          </wp:inline>
        </w:drawing>
      </w:r>
    </w:p>
    <w:p w:rsidR="00B52BB0" w:rsidRDefault="00B52BB0" w:rsidP="003E074D">
      <w:r>
        <w:t>The clusters of fruit are then placed into boxes that are provided to orchards by the local packing house. These boxes have a code unique to the orchard, either written directly on the box or on an inserted label, to allow for traceback and to record the amount of fruit supplied to the packing house from each orchard.</w:t>
      </w:r>
    </w:p>
    <w:p w:rsidR="00B52BB0" w:rsidRDefault="00B52BB0" w:rsidP="003E074D">
      <w:r>
        <w:t>Fruit is selected by pickers during harvest, so that damaged fruit is not placed into the boxes. Once the boxes are filled with fruit they may be sealed with plastic wrap (</w:t>
      </w:r>
      <w:r>
        <w:fldChar w:fldCharType="begin"/>
      </w:r>
      <w:r>
        <w:instrText xml:space="preserve"> REF _Ref520367716 \h </w:instrText>
      </w:r>
      <w:r>
        <w:fldChar w:fldCharType="separate"/>
      </w:r>
      <w:r w:rsidR="00EA7374">
        <w:t xml:space="preserve">Figure </w:t>
      </w:r>
      <w:r w:rsidR="00EA7374">
        <w:rPr>
          <w:noProof/>
        </w:rPr>
        <w:t>5</w:t>
      </w:r>
      <w:r>
        <w:fldChar w:fldCharType="end"/>
      </w:r>
      <w:r>
        <w:t>). The boxes are then loaded onto a vehicle to be transported for packing.</w:t>
      </w:r>
    </w:p>
    <w:p w:rsidR="00B52BB0" w:rsidRDefault="00B52BB0" w:rsidP="003E074D">
      <w:pPr>
        <w:pStyle w:val="Caption"/>
      </w:pPr>
      <w:bookmarkStart w:id="59" w:name="_Ref520367716"/>
      <w:bookmarkStart w:id="60" w:name="_Toc7607537"/>
      <w:r>
        <w:lastRenderedPageBreak/>
        <w:t xml:space="preserve">Figure </w:t>
      </w:r>
      <w:r>
        <w:rPr>
          <w:noProof/>
        </w:rPr>
        <w:fldChar w:fldCharType="begin"/>
      </w:r>
      <w:r>
        <w:rPr>
          <w:noProof/>
        </w:rPr>
        <w:instrText xml:space="preserve"> SEQ Figure \* ARABIC </w:instrText>
      </w:r>
      <w:r>
        <w:rPr>
          <w:noProof/>
        </w:rPr>
        <w:fldChar w:fldCharType="separate"/>
      </w:r>
      <w:r w:rsidR="00EA7374">
        <w:rPr>
          <w:noProof/>
        </w:rPr>
        <w:t>5</w:t>
      </w:r>
      <w:r>
        <w:rPr>
          <w:noProof/>
        </w:rPr>
        <w:fldChar w:fldCharType="end"/>
      </w:r>
      <w:bookmarkEnd w:id="59"/>
      <w:r>
        <w:t xml:space="preserve"> Harvested longan fruit placed in boxes and sealed with plastic</w:t>
      </w:r>
      <w:bookmarkEnd w:id="60"/>
    </w:p>
    <w:p w:rsidR="00B52BB0" w:rsidRDefault="00B52BB0" w:rsidP="003E074D">
      <w:r>
        <w:rPr>
          <w:noProof/>
          <w:lang w:eastAsia="en-AU"/>
        </w:rPr>
        <w:drawing>
          <wp:inline distT="0" distB="0" distL="0" distR="0" wp14:anchorId="4A44B3CE" wp14:editId="48B2C79E">
            <wp:extent cx="5759450" cy="4319270"/>
            <wp:effectExtent l="0" t="0" r="0" b="5080"/>
            <wp:docPr id="14" name="Picture 14" descr="Two plastic containers of longan fruit topped with newspaper and wrapped in plastic sitting i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205000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50" cy="4319270"/>
                    </a:xfrm>
                    <a:prstGeom prst="rect">
                      <a:avLst/>
                    </a:prstGeom>
                  </pic:spPr>
                </pic:pic>
              </a:graphicData>
            </a:graphic>
          </wp:inline>
        </w:drawing>
      </w:r>
    </w:p>
    <w:p w:rsidR="00B52BB0" w:rsidRDefault="00B52BB0" w:rsidP="003E074D">
      <w:pPr>
        <w:pStyle w:val="Heading3"/>
      </w:pPr>
      <w:bookmarkStart w:id="61" w:name="_Toc7607675"/>
      <w:r>
        <w:t>Post-harvest</w:t>
      </w:r>
      <w:bookmarkEnd w:id="56"/>
      <w:bookmarkEnd w:id="61"/>
    </w:p>
    <w:p w:rsidR="00B52BB0" w:rsidRDefault="00B52BB0" w:rsidP="003E074D">
      <w:r>
        <w:t>Harvested fruit is loaded onto a vehicle and either taken directly to the local packing house or to a primary collection point. Fruit that goes to a primary collection point is sorted by hand into export or domestic quality fruit. Export quality fruit is selected based on size and quality (no damage or marks). The fruit is clipped from the panicle into individual fruit and the pedicel is trimmed according to the requirements of the importing country.</w:t>
      </w:r>
    </w:p>
    <w:p w:rsidR="00B52BB0" w:rsidRDefault="00B52BB0" w:rsidP="003E074D">
      <w:r>
        <w:t>Fruit selected for export is then placed into vented containers and fumigated for 90 minutes with a vapour mix of sodium metabisulphite, hydrochloric acid and water. This fumigation is not a phytosanitary measure, but a mechanism to clean the fruit and cause the skin to develop colour. The fruit is then repackaged into boxes, still labelled with farm of origin, and transported to the packing house in a refrigerated truck.</w:t>
      </w:r>
    </w:p>
    <w:p w:rsidR="00B52BB0" w:rsidRPr="004D04E6" w:rsidRDefault="00B52BB0" w:rsidP="003E074D">
      <w:pPr>
        <w:pStyle w:val="Heading4"/>
      </w:pPr>
      <w:r w:rsidRPr="004D04E6">
        <w:t>Packing house</w:t>
      </w:r>
    </w:p>
    <w:p w:rsidR="00B52BB0" w:rsidRDefault="00B52BB0" w:rsidP="003E074D">
      <w:r>
        <w:t xml:space="preserve">Packing houses undergo annual inspection and approval by </w:t>
      </w:r>
      <w:r w:rsidRPr="00775E92">
        <w:t>PPD</w:t>
      </w:r>
      <w:r>
        <w:t xml:space="preserve"> officers to be certified to export fruit.</w:t>
      </w:r>
    </w:p>
    <w:p w:rsidR="00B52BB0" w:rsidRDefault="00B52BB0" w:rsidP="003E074D">
      <w:r>
        <w:t>Fruit is stored at 0 to 5 </w:t>
      </w:r>
      <w:r>
        <w:sym w:font="Symbol" w:char="F0B0"/>
      </w:r>
      <w:r>
        <w:t>C except when being sorted and packed. If the fruit has not already been sorted at a primary collection point, it is taken to a room at the packing house to be sorted into export and domestic quality fruit. The export fruit undergoes the same quality checks, clipping, and fumigation as fruit sorted at a primary collection point. The export</w:t>
      </w:r>
      <w:r>
        <w:noBreakHyphen/>
        <w:t xml:space="preserve">quality fruit is then moved to a second room to be packed into export packaging. Export packaging consists of </w:t>
      </w:r>
      <w:r>
        <w:lastRenderedPageBreak/>
        <w:t>vented boxes lined with insect-proof mesh, which is sealed with a cable tie before the box lid is secured in place. Fruit are either packed into these boxes loose or in small mesh bags for individual sale (</w:t>
      </w:r>
      <w:r>
        <w:fldChar w:fldCharType="begin"/>
      </w:r>
      <w:r>
        <w:instrText xml:space="preserve"> REF _Ref521589456 \h </w:instrText>
      </w:r>
      <w:r>
        <w:fldChar w:fldCharType="separate"/>
      </w:r>
      <w:r w:rsidR="00EA7374">
        <w:t xml:space="preserve">Figure </w:t>
      </w:r>
      <w:r w:rsidR="00EA7374">
        <w:rPr>
          <w:noProof/>
        </w:rPr>
        <w:t>6</w:t>
      </w:r>
      <w:r>
        <w:fldChar w:fldCharType="end"/>
      </w:r>
      <w:r>
        <w:t>). The smaller mesh bags contain 40–50 loose longan fruit. Both options allow airflow around packed fruit.</w:t>
      </w:r>
    </w:p>
    <w:p w:rsidR="00B52BB0" w:rsidRDefault="00B52BB0" w:rsidP="003E074D">
      <w:pPr>
        <w:pStyle w:val="Caption"/>
      </w:pPr>
      <w:bookmarkStart w:id="62" w:name="_Ref521589456"/>
      <w:bookmarkStart w:id="63" w:name="_Toc7607538"/>
      <w:r>
        <w:t xml:space="preserve">Figure </w:t>
      </w:r>
      <w:r>
        <w:rPr>
          <w:noProof/>
        </w:rPr>
        <w:fldChar w:fldCharType="begin"/>
      </w:r>
      <w:r>
        <w:rPr>
          <w:noProof/>
        </w:rPr>
        <w:instrText xml:space="preserve"> SEQ Figure \* ARABIC </w:instrText>
      </w:r>
      <w:r>
        <w:rPr>
          <w:noProof/>
        </w:rPr>
        <w:fldChar w:fldCharType="separate"/>
      </w:r>
      <w:r w:rsidR="00EA7374">
        <w:rPr>
          <w:noProof/>
        </w:rPr>
        <w:t>6</w:t>
      </w:r>
      <w:r>
        <w:rPr>
          <w:noProof/>
        </w:rPr>
        <w:fldChar w:fldCharType="end"/>
      </w:r>
      <w:bookmarkEnd w:id="62"/>
      <w:r>
        <w:t xml:space="preserve"> Example of export packaging option of individual longan fruit in small mesh bags for individual sale</w:t>
      </w:r>
      <w:bookmarkEnd w:id="63"/>
    </w:p>
    <w:p w:rsidR="00B52BB0" w:rsidRDefault="00B52BB0" w:rsidP="003E074D">
      <w:r>
        <w:rPr>
          <w:noProof/>
          <w:lang w:eastAsia="en-AU"/>
        </w:rPr>
        <w:drawing>
          <wp:inline distT="0" distB="0" distL="0" distR="0" wp14:anchorId="5703D89D" wp14:editId="4D592DD8">
            <wp:extent cx="5295900" cy="4629150"/>
            <wp:effectExtent l="0" t="0" r="0" b="0"/>
            <wp:docPr id="15" name="Picture 15" descr="A pile of plastic boxes filled with packed longan fruit. The top box is and the main mesh bag within it are open to show the smaller mesh bags packed in the box." title="Packed longan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95900" cy="4629150"/>
                    </a:xfrm>
                    <a:prstGeom prst="rect">
                      <a:avLst/>
                    </a:prstGeom>
                  </pic:spPr>
                </pic:pic>
              </a:graphicData>
            </a:graphic>
          </wp:inline>
        </w:drawing>
      </w:r>
    </w:p>
    <w:p w:rsidR="00B52BB0" w:rsidRPr="004D04E6" w:rsidRDefault="00B52BB0" w:rsidP="003E074D">
      <w:pPr>
        <w:pStyle w:val="Heading5"/>
      </w:pPr>
      <w:r w:rsidRPr="004D04E6">
        <w:t>Export procedures</w:t>
      </w:r>
    </w:p>
    <w:p w:rsidR="00B52BB0" w:rsidRPr="003061A8" w:rsidRDefault="00B52BB0" w:rsidP="003E074D">
      <w:r>
        <w:t xml:space="preserve">When the importing country requires that fruit undergo treatment, fruit packed for export are loaded into a sealed refrigerated truck and transported to a treatment facility. Consignments undergo visual </w:t>
      </w:r>
      <w:r w:rsidRPr="00150663">
        <w:t>inspection by PPD officers</w:t>
      </w:r>
      <w:r>
        <w:t xml:space="preserve"> at the treatment facility before undergoing treatment.</w:t>
      </w:r>
    </w:p>
    <w:p w:rsidR="00B52BB0" w:rsidRPr="004D04E6" w:rsidRDefault="00B52BB0" w:rsidP="003E074D">
      <w:pPr>
        <w:pStyle w:val="Heading4"/>
      </w:pPr>
      <w:r w:rsidRPr="004D04E6">
        <w:t>Transport</w:t>
      </w:r>
    </w:p>
    <w:p w:rsidR="00B52BB0" w:rsidRDefault="00B52BB0" w:rsidP="003E074D">
      <w:bookmarkStart w:id="64" w:name="_Toc384979256"/>
      <w:bookmarkStart w:id="65" w:name="_Toc384979283"/>
      <w:bookmarkStart w:id="66" w:name="_Toc389741470"/>
      <w:r>
        <w:t>Treated consignments are loaded into containers within the treatment facility and transported by truck directly to the port or airport from which they will be exported.</w:t>
      </w:r>
    </w:p>
    <w:p w:rsidR="00B52BB0" w:rsidRDefault="00B52BB0" w:rsidP="003E074D">
      <w:r>
        <w:fldChar w:fldCharType="begin"/>
      </w:r>
      <w:r>
        <w:instrText xml:space="preserve"> REF _Ref526346094 \h </w:instrText>
      </w:r>
      <w:r>
        <w:fldChar w:fldCharType="separate"/>
      </w:r>
      <w:r w:rsidR="00EA7374">
        <w:t xml:space="preserve">Figure </w:t>
      </w:r>
      <w:r w:rsidR="00EA7374">
        <w:rPr>
          <w:noProof/>
        </w:rPr>
        <w:t>7</w:t>
      </w:r>
      <w:r>
        <w:fldChar w:fldCharType="end"/>
      </w:r>
      <w:r>
        <w:t xml:space="preserve"> summarises the operational steps from harvesting to export of fresh longan fruit from Vietnam.</w:t>
      </w:r>
    </w:p>
    <w:p w:rsidR="00B52BB0" w:rsidRDefault="00B52BB0" w:rsidP="003E074D">
      <w:pPr>
        <w:pStyle w:val="Caption"/>
      </w:pPr>
      <w:r>
        <w:br w:type="page"/>
      </w:r>
    </w:p>
    <w:p w:rsidR="00B52BB0" w:rsidRDefault="00B52BB0" w:rsidP="003E074D">
      <w:pPr>
        <w:pStyle w:val="Caption"/>
      </w:pPr>
      <w:bookmarkStart w:id="67" w:name="_Ref526346094"/>
      <w:bookmarkStart w:id="68" w:name="_Toc7607539"/>
      <w:bookmarkEnd w:id="64"/>
      <w:bookmarkEnd w:id="65"/>
      <w:bookmarkEnd w:id="66"/>
      <w:r>
        <w:lastRenderedPageBreak/>
        <w:t xml:space="preserve">Figure </w:t>
      </w:r>
      <w:r>
        <w:rPr>
          <w:noProof/>
        </w:rPr>
        <w:fldChar w:fldCharType="begin"/>
      </w:r>
      <w:r>
        <w:rPr>
          <w:noProof/>
        </w:rPr>
        <w:instrText xml:space="preserve"> SEQ Figure \* ARABIC </w:instrText>
      </w:r>
      <w:r>
        <w:rPr>
          <w:noProof/>
        </w:rPr>
        <w:fldChar w:fldCharType="separate"/>
      </w:r>
      <w:r w:rsidR="00EA7374">
        <w:rPr>
          <w:noProof/>
        </w:rPr>
        <w:t>7</w:t>
      </w:r>
      <w:r>
        <w:rPr>
          <w:noProof/>
        </w:rPr>
        <w:fldChar w:fldCharType="end"/>
      </w:r>
      <w:bookmarkEnd w:id="67"/>
      <w:r>
        <w:t xml:space="preserve"> Summary of orchard and post-harvest steps for </w:t>
      </w:r>
      <w:r w:rsidRPr="00F22933">
        <w:t xml:space="preserve">longan fruit </w:t>
      </w:r>
      <w:r>
        <w:t xml:space="preserve">grown in </w:t>
      </w:r>
      <w:r w:rsidRPr="00F22933">
        <w:t>Vietnam</w:t>
      </w:r>
      <w:r>
        <w:t xml:space="preserve"> for export</w:t>
      </w:r>
      <w:bookmarkEnd w:id="68"/>
    </w:p>
    <w:p w:rsidR="00B52BB0" w:rsidRDefault="00B52BB0" w:rsidP="003E074D">
      <w:r>
        <w:rPr>
          <w:noProof/>
          <w:lang w:eastAsia="en-AU"/>
        </w:rPr>
        <w:drawing>
          <wp:inline distT="0" distB="0" distL="0" distR="0" wp14:anchorId="6DB2C1C6" wp14:editId="6BA11994">
            <wp:extent cx="5759450" cy="8071485"/>
            <wp:effectExtent l="0" t="0" r="0" b="5715"/>
            <wp:docPr id="4" name="Picture 4" descr="Figure contains an eight step, linear flow chart with four sections. The first section, orchard, includes only the first step (harvesting). The second section, primary collection point, covers the steps initial sorting and cleaning. The third section, packing house, repeats the steps initial sorting and cleaning with a note that these will only occur in cases where fruit does not pass through a primary collection point before reaching the packing house. The packing house section also includes the step packing. The final section, distribution and export, covers the steps Treatment and Storage and export." title="Summary of operational steps from harvesting to export for longan fruit from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8071485"/>
                    </a:xfrm>
                    <a:prstGeom prst="rect">
                      <a:avLst/>
                    </a:prstGeom>
                  </pic:spPr>
                </pic:pic>
              </a:graphicData>
            </a:graphic>
          </wp:inline>
        </w:drawing>
      </w:r>
    </w:p>
    <w:p w:rsidR="00B52BB0" w:rsidRDefault="00B52BB0" w:rsidP="003E074D">
      <w:pPr>
        <w:pStyle w:val="Heading3"/>
      </w:pPr>
      <w:r>
        <w:br w:type="page"/>
      </w:r>
      <w:bookmarkStart w:id="69" w:name="_Toc389741451"/>
      <w:bookmarkStart w:id="70" w:name="_Toc7607676"/>
      <w:r>
        <w:lastRenderedPageBreak/>
        <w:t>Export capability</w:t>
      </w:r>
      <w:bookmarkEnd w:id="69"/>
      <w:bookmarkEnd w:id="70"/>
    </w:p>
    <w:p w:rsidR="00B52BB0" w:rsidRDefault="00B52BB0" w:rsidP="003E074D">
      <w:pPr>
        <w:pStyle w:val="Heading4"/>
      </w:pPr>
      <w:r>
        <w:t>Production statistics</w:t>
      </w:r>
    </w:p>
    <w:p w:rsidR="00B52BB0" w:rsidRDefault="00B52BB0" w:rsidP="003E074D">
      <w:r w:rsidRPr="008557F7">
        <w:t>In 2014</w:t>
      </w:r>
      <w:r>
        <w:t xml:space="preserve">, there were 75,000 hectares planted with longan trees in Vietnam </w:t>
      </w:r>
      <w:r>
        <w:rPr>
          <w:noProof/>
        </w:rPr>
        <w:t>(PPD 2017)</w:t>
      </w:r>
      <w:r>
        <w:t xml:space="preserve">. At this time the average production of longan orchards was 5.4–7.2 tonnes per hectare for orchards in the south and 3.6–4.5 tonnes per hectare for orchards in the north </w:t>
      </w:r>
      <w:r>
        <w:rPr>
          <w:noProof/>
        </w:rPr>
        <w:t>(PPD 2017)</w:t>
      </w:r>
      <w:r>
        <w:t>. Selective breeding work in approved nurseries has increased the average production to 9–10.8 tonnes per hectare</w:t>
      </w:r>
      <w:r w:rsidRPr="00EE04FB">
        <w:t xml:space="preserve"> </w:t>
      </w:r>
      <w:r>
        <w:t>in orchards using new longan cultivars.</w:t>
      </w:r>
    </w:p>
    <w:p w:rsidR="00B52BB0" w:rsidRDefault="00B52BB0" w:rsidP="003E074D">
      <w:pPr>
        <w:pStyle w:val="Heading4"/>
      </w:pPr>
      <w:r>
        <w:t>Export statistics</w:t>
      </w:r>
    </w:p>
    <w:p w:rsidR="00B52BB0" w:rsidRDefault="00B52BB0" w:rsidP="003E074D">
      <w:r w:rsidRPr="00F45DC6">
        <w:t xml:space="preserve">Vietnam </w:t>
      </w:r>
      <w:r>
        <w:t xml:space="preserve">exports longan fruit to China, Singapore, Malaysia and the United States. In 2017 Vietnam exported over $246,500 worth of longan fruit to China </w:t>
      </w:r>
      <w:r>
        <w:rPr>
          <w:noProof/>
        </w:rPr>
        <w:t>(International Trade Centre 2018)</w:t>
      </w:r>
      <w:r>
        <w:t>.</w:t>
      </w:r>
    </w:p>
    <w:p w:rsidR="00B52BB0" w:rsidRDefault="00B52BB0" w:rsidP="003E074D">
      <w:pPr>
        <w:pStyle w:val="Heading4"/>
      </w:pPr>
      <w:r>
        <w:t>Export season</w:t>
      </w:r>
    </w:p>
    <w:p w:rsidR="00B52BB0" w:rsidRPr="005D036A" w:rsidRDefault="00B52BB0" w:rsidP="003E074D">
      <w:r>
        <w:t xml:space="preserve">In the north of Vietnam the export season runs from July to September </w:t>
      </w:r>
      <w:r>
        <w:rPr>
          <w:noProof/>
        </w:rPr>
        <w:t>(PPD 2017)</w:t>
      </w:r>
      <w:r>
        <w:t xml:space="preserve">. In the south of Vietnam exports mainly coincide with the peak harvest period of June to July </w:t>
      </w:r>
      <w:r>
        <w:rPr>
          <w:noProof/>
        </w:rPr>
        <w:t>(PPD 2017)</w:t>
      </w:r>
      <w:r>
        <w:t xml:space="preserve">. The smaller volumes of irrigation-induced fruit harvested outside the natural harvest season </w:t>
      </w:r>
      <w:r w:rsidRPr="005D036A">
        <w:t>fetch premium prices at local markets and are unlikely to be exported.</w:t>
      </w:r>
    </w:p>
    <w:p w:rsidR="00B52BB0" w:rsidRPr="005D036A" w:rsidRDefault="00B52BB0"/>
    <w:p w:rsidR="00B52BB0" w:rsidRPr="005D036A" w:rsidRDefault="00B52BB0">
      <w:pPr>
        <w:sectPr w:rsidR="00B52BB0" w:rsidRPr="005D036A" w:rsidSect="003E074D">
          <w:headerReference w:type="default" r:id="rId38"/>
          <w:pgSz w:w="11906" w:h="16838"/>
          <w:pgMar w:top="1418" w:right="1418" w:bottom="1418" w:left="1418" w:header="567" w:footer="283" w:gutter="0"/>
          <w:cols w:space="708"/>
          <w:docGrid w:linePitch="360"/>
        </w:sectPr>
      </w:pPr>
    </w:p>
    <w:p w:rsidR="00B52BB0" w:rsidRDefault="00B52BB0" w:rsidP="003E074D">
      <w:pPr>
        <w:pStyle w:val="Heading2"/>
      </w:pPr>
      <w:bookmarkStart w:id="71" w:name="_Toc389741452"/>
      <w:bookmarkStart w:id="72" w:name="_Ref525641462"/>
      <w:bookmarkStart w:id="73" w:name="_Toc7607677"/>
      <w:r w:rsidRPr="005D036A">
        <w:lastRenderedPageBreak/>
        <w:t>Pest risk assessments</w:t>
      </w:r>
      <w:bookmarkEnd w:id="71"/>
      <w:bookmarkEnd w:id="72"/>
      <w:bookmarkEnd w:id="73"/>
    </w:p>
    <w:p w:rsidR="00B52BB0" w:rsidRDefault="00B52BB0">
      <w:r>
        <w:t xml:space="preserve">A total </w:t>
      </w:r>
      <w:r w:rsidRPr="007604A7">
        <w:t xml:space="preserve">of </w:t>
      </w:r>
      <w:r>
        <w:t>14</w:t>
      </w:r>
      <w:r w:rsidRPr="007604A7">
        <w:t xml:space="preserve"> quarantine</w:t>
      </w:r>
      <w:r>
        <w:t xml:space="preserve"> pests for Australia (</w:t>
      </w:r>
      <w:r>
        <w:fldChar w:fldCharType="begin"/>
      </w:r>
      <w:r>
        <w:instrText xml:space="preserve"> REF _Ref522781447 \h </w:instrText>
      </w:r>
      <w:r>
        <w:fldChar w:fldCharType="separate"/>
      </w:r>
      <w:r w:rsidR="00EA7374" w:rsidRPr="005D036A">
        <w:t xml:space="preserve">Table </w:t>
      </w:r>
      <w:r w:rsidR="00EA7374">
        <w:rPr>
          <w:noProof/>
        </w:rPr>
        <w:t>4</w:t>
      </w:r>
      <w:r w:rsidR="00EA7374" w:rsidRPr="005D036A">
        <w:t>.</w:t>
      </w:r>
      <w:r w:rsidR="00EA7374">
        <w:rPr>
          <w:noProof/>
        </w:rPr>
        <w:t>1</w:t>
      </w:r>
      <w:r>
        <w:fldChar w:fldCharType="end"/>
      </w:r>
      <w:r>
        <w:t>) and two regulated thrips species (</w:t>
      </w:r>
      <w:r>
        <w:fldChar w:fldCharType="begin"/>
      </w:r>
      <w:r>
        <w:instrText xml:space="preserve"> REF _Ref519756144 \h </w:instrText>
      </w:r>
      <w:r>
        <w:fldChar w:fldCharType="separate"/>
      </w:r>
      <w:r w:rsidR="00EA7374">
        <w:t xml:space="preserve">Table </w:t>
      </w:r>
      <w:r w:rsidR="00EA7374">
        <w:rPr>
          <w:noProof/>
        </w:rPr>
        <w:t>4</w:t>
      </w:r>
      <w:r w:rsidR="00EA7374">
        <w:t>.</w:t>
      </w:r>
      <w:r w:rsidR="00EA7374">
        <w:rPr>
          <w:noProof/>
        </w:rPr>
        <w:t>2</w:t>
      </w:r>
      <w:r>
        <w:fldChar w:fldCharType="end"/>
      </w:r>
      <w:r>
        <w:t xml:space="preserve">) (‘regulated articles’, see Section </w:t>
      </w:r>
      <w:r>
        <w:fldChar w:fldCharType="begin"/>
      </w:r>
      <w:r>
        <w:instrText xml:space="preserve"> REF _Ref523924173 \r \h </w:instrText>
      </w:r>
      <w:r>
        <w:fldChar w:fldCharType="separate"/>
      </w:r>
      <w:r w:rsidR="00EA7374">
        <w:t>4.5</w:t>
      </w:r>
      <w:r>
        <w:fldChar w:fldCharType="end"/>
      </w:r>
      <w:r>
        <w:t>), associated with export-quality fresh longan fruit produced in Vietnam were identified in the pest categorisation process (Appendix A). This chapter assesses the likelihood of entry (importation and distribution), establishment and spread of these species, and the economic (including environmental) consequences these species may cause if they were to enter, establish and spread in Australia.</w:t>
      </w:r>
    </w:p>
    <w:p w:rsidR="00B52BB0" w:rsidRDefault="00B52BB0">
      <w:r>
        <w:t>Two pests identified in this assessment have been recorded in some regions of Australia but, due to interstate quarantine regulations and their enforcement, are considered pests of regional concern. The acronym for the state for which the regional pest is considered, ‘WA’ (Western Australia), is used to identify these pests.</w:t>
      </w:r>
    </w:p>
    <w:p w:rsidR="00B52BB0" w:rsidRPr="0048463D" w:rsidRDefault="00B52BB0" w:rsidP="003E074D">
      <w:r w:rsidRPr="007604A7">
        <w:t>All of the</w:t>
      </w:r>
      <w:r w:rsidRPr="0048463D">
        <w:t xml:space="preserve"> </w:t>
      </w:r>
      <w:r>
        <w:t>14 quarantine pests</w:t>
      </w:r>
      <w:r w:rsidRPr="0048463D">
        <w:t xml:space="preserve"> considered here have been assessed previously by the department. Therefore, the outcomes of </w:t>
      </w:r>
      <w:r>
        <w:t xml:space="preserve">the </w:t>
      </w:r>
      <w:r w:rsidRPr="0048463D">
        <w:t xml:space="preserve">previous assessments </w:t>
      </w:r>
      <w:r>
        <w:t xml:space="preserve">for these pests </w:t>
      </w:r>
      <w:r w:rsidRPr="0048463D">
        <w:t xml:space="preserve">have been adopted for </w:t>
      </w:r>
      <w:r>
        <w:t>this risk analysis</w:t>
      </w:r>
      <w:r w:rsidRPr="0048463D">
        <w:t>, unless new information is available that suggests the risk would be different. The</w:t>
      </w:r>
      <w:r>
        <w:t xml:space="preserve"> acronym ‘</w:t>
      </w:r>
      <w:r w:rsidRPr="0048463D">
        <w:t xml:space="preserve">EP’ is used to identify species assessed previously and for which import policy already exists. The adoption of outcomes from previous assessments </w:t>
      </w:r>
      <w:r>
        <w:t>is</w:t>
      </w:r>
      <w:r w:rsidRPr="0048463D">
        <w:t xml:space="preserve"> outlined in Section </w:t>
      </w:r>
      <w:r>
        <w:fldChar w:fldCharType="begin"/>
      </w:r>
      <w:r>
        <w:instrText xml:space="preserve"> REF _Ref523924726 \r \h </w:instrText>
      </w:r>
      <w:r>
        <w:fldChar w:fldCharType="separate"/>
      </w:r>
      <w:r w:rsidR="00EA7374">
        <w:t>2.2.6</w:t>
      </w:r>
      <w:r>
        <w:fldChar w:fldCharType="end"/>
      </w:r>
      <w:r w:rsidRPr="0048463D">
        <w:t>.</w:t>
      </w:r>
    </w:p>
    <w:p w:rsidR="00B52BB0" w:rsidRPr="005D036A" w:rsidRDefault="00B52BB0" w:rsidP="003E074D">
      <w:r>
        <w:t xml:space="preserve">The biosecurity risk posed by thrips and the orthotospoviruses they transmit, from all countries, on fresh fruit, vegetable, cut-flower and foliage imports was previously assessed in the </w:t>
      </w:r>
      <w:r w:rsidRPr="00F4407B">
        <w:rPr>
          <w:i/>
        </w:rPr>
        <w:t>Final group pest risk analysis for thrips and orthotospoviruses on fresh fruit, vegetable, cut-flower and foliage imports</w:t>
      </w:r>
      <w:r>
        <w:t xml:space="preserve"> </w:t>
      </w:r>
      <w:r>
        <w:rPr>
          <w:noProof/>
        </w:rPr>
        <w:t>(Australian Government Department of Agriculture and Water Resources 2017)</w:t>
      </w:r>
      <w:r>
        <w:t xml:space="preserve">. This assessment is applicable to the same pests on fresh longan fruit from Vietnam. The acronym ‘GP’ is used to identify species previously assessed in a Group PRA and for which the Group PRA is applied. The application of the thrips Group PRA to this risk analysis is outlined in Section </w:t>
      </w:r>
      <w:r>
        <w:fldChar w:fldCharType="begin"/>
      </w:r>
      <w:r>
        <w:instrText xml:space="preserve"> REF _Ref523924658 \r \h </w:instrText>
      </w:r>
      <w:r>
        <w:fldChar w:fldCharType="separate"/>
      </w:r>
      <w:r w:rsidR="00EA7374">
        <w:t>2.2.7</w:t>
      </w:r>
      <w:r>
        <w:fldChar w:fldCharType="end"/>
      </w:r>
      <w:r>
        <w:t xml:space="preserve">. A summary of pest information from the thrips Group PRA is presented in this chapter for </w:t>
      </w:r>
      <w:r w:rsidRPr="005D036A">
        <w:t>convenience.</w:t>
      </w:r>
    </w:p>
    <w:p w:rsidR="00B52BB0" w:rsidRPr="005D036A" w:rsidRDefault="00B52BB0" w:rsidP="003E074D">
      <w:bookmarkStart w:id="74" w:name="_Ref457826715"/>
      <w:bookmarkStart w:id="75" w:name="_Toc384979284"/>
      <w:bookmarkStart w:id="76" w:name="_Toc389741476"/>
      <w:r w:rsidRPr="005D036A">
        <w:t>Assessments of risks associated with these species are presented in this chapter unless otherwise indicated.</w:t>
      </w:r>
    </w:p>
    <w:p w:rsidR="00B52BB0" w:rsidRPr="005D036A" w:rsidRDefault="00B52BB0">
      <w:pPr>
        <w:spacing w:after="0" w:line="240" w:lineRule="auto"/>
        <w:rPr>
          <w:rFonts w:eastAsiaTheme="majorEastAsia" w:cstheme="majorBidi"/>
          <w:b/>
          <w:bCs/>
          <w:color w:val="595959" w:themeColor="text1" w:themeTint="A6"/>
          <w:sz w:val="20"/>
          <w:szCs w:val="18"/>
        </w:rPr>
      </w:pPr>
      <w:r w:rsidRPr="005D036A">
        <w:br w:type="page"/>
      </w:r>
    </w:p>
    <w:p w:rsidR="00B52BB0" w:rsidRPr="007632C4" w:rsidRDefault="00B52BB0">
      <w:pPr>
        <w:pStyle w:val="Caption"/>
      </w:pPr>
      <w:bookmarkStart w:id="77" w:name="_Ref522781447"/>
      <w:bookmarkStart w:id="78" w:name="_Toc7607549"/>
      <w:r w:rsidRPr="005D036A">
        <w:lastRenderedPageBreak/>
        <w:t xml:space="preserve">Table </w:t>
      </w:r>
      <w:r>
        <w:rPr>
          <w:noProof/>
        </w:rPr>
        <w:fldChar w:fldCharType="begin"/>
      </w:r>
      <w:r>
        <w:rPr>
          <w:noProof/>
        </w:rPr>
        <w:instrText xml:space="preserve"> STYLEREF 2 \s </w:instrText>
      </w:r>
      <w:r>
        <w:rPr>
          <w:noProof/>
        </w:rPr>
        <w:fldChar w:fldCharType="separate"/>
      </w:r>
      <w:r w:rsidR="00EA7374">
        <w:rPr>
          <w:noProof/>
        </w:rPr>
        <w:t>4</w:t>
      </w:r>
      <w:r>
        <w:rPr>
          <w:noProof/>
        </w:rPr>
        <w:fldChar w:fldCharType="end"/>
      </w:r>
      <w:r w:rsidRPr="005D036A">
        <w:t>.</w:t>
      </w:r>
      <w:r>
        <w:rPr>
          <w:noProof/>
        </w:rPr>
        <w:fldChar w:fldCharType="begin"/>
      </w:r>
      <w:r>
        <w:rPr>
          <w:noProof/>
        </w:rPr>
        <w:instrText xml:space="preserve"> SEQ Table \* ARABIC \s 2 </w:instrText>
      </w:r>
      <w:r>
        <w:rPr>
          <w:noProof/>
        </w:rPr>
        <w:fldChar w:fldCharType="separate"/>
      </w:r>
      <w:r w:rsidR="00EA7374">
        <w:rPr>
          <w:noProof/>
        </w:rPr>
        <w:t>1</w:t>
      </w:r>
      <w:r>
        <w:rPr>
          <w:noProof/>
        </w:rPr>
        <w:fldChar w:fldCharType="end"/>
      </w:r>
      <w:bookmarkEnd w:id="74"/>
      <w:bookmarkEnd w:id="77"/>
      <w:r w:rsidRPr="005D036A">
        <w:t xml:space="preserve"> Quarantine pests associated with</w:t>
      </w:r>
      <w:r w:rsidRPr="007632C4">
        <w:t xml:space="preserve"> longan from Vietnam</w:t>
      </w:r>
      <w:bookmarkEnd w:id="75"/>
      <w:bookmarkEnd w:id="76"/>
      <w:bookmarkEnd w:id="78"/>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B52BB0">
        <w:tc>
          <w:tcPr>
            <w:tcW w:w="2500" w:type="pct"/>
            <w:tcBorders>
              <w:top w:val="single" w:sz="4" w:space="0" w:color="auto"/>
              <w:bottom w:val="single" w:sz="4" w:space="0" w:color="D9D9D9" w:themeColor="background1" w:themeShade="D9"/>
            </w:tcBorders>
          </w:tcPr>
          <w:p w:rsidR="00B52BB0" w:rsidRDefault="00B52BB0">
            <w:pPr>
              <w:pStyle w:val="TableHeading"/>
            </w:pPr>
            <w:r>
              <w:t>Pest</w:t>
            </w:r>
          </w:p>
        </w:tc>
        <w:tc>
          <w:tcPr>
            <w:tcW w:w="2500" w:type="pct"/>
            <w:tcBorders>
              <w:top w:val="single" w:sz="4" w:space="0" w:color="auto"/>
              <w:bottom w:val="single" w:sz="4" w:space="0" w:color="D9D9D9" w:themeColor="background1" w:themeShade="D9"/>
            </w:tcBorders>
          </w:tcPr>
          <w:p w:rsidR="00B52BB0" w:rsidRDefault="00B52BB0">
            <w:pPr>
              <w:pStyle w:val="TableHeading"/>
            </w:pPr>
            <w:r>
              <w:t>Common name</w:t>
            </w:r>
          </w:p>
        </w:tc>
      </w:tr>
      <w:tr w:rsidR="00B52BB0">
        <w:tc>
          <w:tcPr>
            <w:tcW w:w="5000" w:type="pct"/>
            <w:gridSpan w:val="2"/>
            <w:tcBorders>
              <w:top w:val="single" w:sz="4" w:space="0" w:color="D9D9D9" w:themeColor="background1" w:themeShade="D9"/>
              <w:bottom w:val="nil"/>
            </w:tcBorders>
          </w:tcPr>
          <w:p w:rsidR="00B52BB0" w:rsidRPr="001B27F2" w:rsidRDefault="00B52BB0">
            <w:pPr>
              <w:pStyle w:val="TableText"/>
            </w:pPr>
            <w:r w:rsidRPr="001B27F2">
              <w:rPr>
                <w:b/>
              </w:rPr>
              <w:t>Fruit flies [Diptera: Tephritidae]</w:t>
            </w:r>
          </w:p>
        </w:tc>
      </w:tr>
      <w:tr w:rsidR="00B52BB0" w:rsidTr="003E074D">
        <w:tc>
          <w:tcPr>
            <w:tcW w:w="2500" w:type="pct"/>
            <w:tcBorders>
              <w:top w:val="nil"/>
            </w:tcBorders>
          </w:tcPr>
          <w:p w:rsidR="00B52BB0" w:rsidRPr="00E24323" w:rsidRDefault="00B52BB0" w:rsidP="003E074D">
            <w:pPr>
              <w:pStyle w:val="TableText"/>
            </w:pPr>
            <w:r>
              <w:rPr>
                <w:i/>
              </w:rPr>
              <w:t>Bactrocera correcta</w:t>
            </w:r>
            <w:r>
              <w:t xml:space="preserve"> (EP)</w:t>
            </w:r>
          </w:p>
        </w:tc>
        <w:tc>
          <w:tcPr>
            <w:tcW w:w="2500" w:type="pct"/>
            <w:tcBorders>
              <w:top w:val="nil"/>
            </w:tcBorders>
          </w:tcPr>
          <w:p w:rsidR="00B52BB0" w:rsidRPr="001B27F2" w:rsidRDefault="00B52BB0" w:rsidP="003E074D">
            <w:pPr>
              <w:pStyle w:val="TableText"/>
            </w:pPr>
            <w:r>
              <w:t>Guava fruit fly</w:t>
            </w:r>
          </w:p>
        </w:tc>
      </w:tr>
      <w:tr w:rsidR="00B52BB0">
        <w:tc>
          <w:tcPr>
            <w:tcW w:w="2500" w:type="pct"/>
            <w:tcBorders>
              <w:top w:val="nil"/>
            </w:tcBorders>
          </w:tcPr>
          <w:p w:rsidR="00B52BB0" w:rsidRPr="001B27F2" w:rsidRDefault="00B52BB0">
            <w:pPr>
              <w:pStyle w:val="TableText"/>
              <w:rPr>
                <w:i/>
                <w:vertAlign w:val="superscript"/>
              </w:rPr>
            </w:pPr>
            <w:r w:rsidRPr="001B27F2">
              <w:rPr>
                <w:i/>
              </w:rPr>
              <w:t xml:space="preserve">Bactrocera dorsalis </w:t>
            </w:r>
            <w:r w:rsidRPr="002567D9">
              <w:t>(EP)</w:t>
            </w:r>
          </w:p>
        </w:tc>
        <w:tc>
          <w:tcPr>
            <w:tcW w:w="2500" w:type="pct"/>
            <w:tcBorders>
              <w:top w:val="nil"/>
            </w:tcBorders>
          </w:tcPr>
          <w:p w:rsidR="00B52BB0" w:rsidRPr="001B27F2" w:rsidRDefault="00B52BB0">
            <w:pPr>
              <w:pStyle w:val="TableText"/>
            </w:pPr>
            <w:r w:rsidRPr="001B27F2">
              <w:t>Oriental fruit fly</w:t>
            </w:r>
          </w:p>
        </w:tc>
      </w:tr>
      <w:tr w:rsidR="00B52BB0">
        <w:tc>
          <w:tcPr>
            <w:tcW w:w="5000" w:type="pct"/>
            <w:gridSpan w:val="2"/>
            <w:tcBorders>
              <w:top w:val="single" w:sz="4" w:space="0" w:color="D9D9D9" w:themeColor="background1" w:themeShade="D9"/>
              <w:bottom w:val="nil"/>
            </w:tcBorders>
          </w:tcPr>
          <w:p w:rsidR="00B52BB0" w:rsidRPr="001B27F2" w:rsidRDefault="00B52BB0">
            <w:pPr>
              <w:pStyle w:val="TableText"/>
            </w:pPr>
            <w:r w:rsidRPr="001B27F2">
              <w:rPr>
                <w:b/>
              </w:rPr>
              <w:t>Mealybugs [Hemiptera: Pseudococcidae]</w:t>
            </w:r>
          </w:p>
        </w:tc>
      </w:tr>
      <w:tr w:rsidR="00B52BB0">
        <w:tc>
          <w:tcPr>
            <w:tcW w:w="2500" w:type="pct"/>
            <w:tcBorders>
              <w:top w:val="nil"/>
            </w:tcBorders>
          </w:tcPr>
          <w:p w:rsidR="00B52BB0" w:rsidRPr="001B27F2" w:rsidRDefault="00B52BB0">
            <w:pPr>
              <w:pStyle w:val="TableText"/>
              <w:rPr>
                <w:i/>
              </w:rPr>
            </w:pPr>
            <w:r w:rsidRPr="001B27F2">
              <w:rPr>
                <w:i/>
              </w:rPr>
              <w:t xml:space="preserve">Dysmicoccus neobrevipes </w:t>
            </w:r>
            <w:r w:rsidRPr="002567D9">
              <w:t>(EP)</w:t>
            </w:r>
          </w:p>
        </w:tc>
        <w:tc>
          <w:tcPr>
            <w:tcW w:w="2500" w:type="pct"/>
            <w:tcBorders>
              <w:top w:val="nil"/>
            </w:tcBorders>
          </w:tcPr>
          <w:p w:rsidR="00B52BB0" w:rsidRPr="001B27F2" w:rsidRDefault="00B52BB0">
            <w:pPr>
              <w:pStyle w:val="TableText"/>
            </w:pPr>
            <w:r w:rsidRPr="001B27F2">
              <w:t>Grey pineapple mealybug</w:t>
            </w:r>
          </w:p>
        </w:tc>
      </w:tr>
      <w:tr w:rsidR="00B52BB0">
        <w:tc>
          <w:tcPr>
            <w:tcW w:w="2500" w:type="pct"/>
          </w:tcPr>
          <w:p w:rsidR="00B52BB0" w:rsidRPr="001B27F2" w:rsidRDefault="00B52BB0">
            <w:pPr>
              <w:pStyle w:val="TableText"/>
              <w:rPr>
                <w:i/>
              </w:rPr>
            </w:pPr>
            <w:r w:rsidRPr="001B27F2">
              <w:rPr>
                <w:i/>
              </w:rPr>
              <w:t xml:space="preserve">Exallomochlus hispidus </w:t>
            </w:r>
            <w:r w:rsidRPr="002567D9">
              <w:t>(EP)</w:t>
            </w:r>
          </w:p>
        </w:tc>
        <w:tc>
          <w:tcPr>
            <w:tcW w:w="2500" w:type="pct"/>
          </w:tcPr>
          <w:p w:rsidR="00B52BB0" w:rsidRPr="001B27F2" w:rsidRDefault="00B52BB0">
            <w:pPr>
              <w:pStyle w:val="TableText"/>
            </w:pPr>
            <w:r w:rsidRPr="001B27F2">
              <w:t>Cocoa mealybug</w:t>
            </w:r>
          </w:p>
        </w:tc>
      </w:tr>
      <w:tr w:rsidR="00B52BB0">
        <w:tc>
          <w:tcPr>
            <w:tcW w:w="2500" w:type="pct"/>
          </w:tcPr>
          <w:p w:rsidR="00B52BB0" w:rsidRPr="001B27F2" w:rsidRDefault="00B52BB0" w:rsidP="003E074D">
            <w:pPr>
              <w:pStyle w:val="TableText"/>
              <w:rPr>
                <w:i/>
              </w:rPr>
            </w:pPr>
            <w:r w:rsidRPr="001B27F2">
              <w:rPr>
                <w:i/>
              </w:rPr>
              <w:t>Paracoccus interceptus</w:t>
            </w:r>
            <w:r>
              <w:t xml:space="preserve"> (EP)</w:t>
            </w:r>
          </w:p>
        </w:tc>
        <w:tc>
          <w:tcPr>
            <w:tcW w:w="2500" w:type="pct"/>
          </w:tcPr>
          <w:p w:rsidR="00B52BB0" w:rsidRPr="001B27F2" w:rsidRDefault="00B52BB0" w:rsidP="003E074D">
            <w:pPr>
              <w:pStyle w:val="TableText"/>
            </w:pPr>
            <w:r w:rsidRPr="001B27F2">
              <w:t>Intercepted mealybug</w:t>
            </w:r>
          </w:p>
        </w:tc>
      </w:tr>
      <w:tr w:rsidR="00B52BB0" w:rsidTr="003E074D">
        <w:tc>
          <w:tcPr>
            <w:tcW w:w="2500" w:type="pct"/>
          </w:tcPr>
          <w:p w:rsidR="00B52BB0" w:rsidRPr="001B27F2" w:rsidRDefault="00B52BB0" w:rsidP="003E074D">
            <w:pPr>
              <w:pStyle w:val="TableText"/>
              <w:rPr>
                <w:i/>
              </w:rPr>
            </w:pPr>
            <w:r w:rsidRPr="001B27F2">
              <w:rPr>
                <w:i/>
              </w:rPr>
              <w:t>Planococcus lilacinus</w:t>
            </w:r>
            <w:r>
              <w:rPr>
                <w:i/>
              </w:rPr>
              <w:t xml:space="preserve"> </w:t>
            </w:r>
            <w:r w:rsidRPr="002567D9">
              <w:t>(EP)</w:t>
            </w:r>
          </w:p>
        </w:tc>
        <w:tc>
          <w:tcPr>
            <w:tcW w:w="2500" w:type="pct"/>
          </w:tcPr>
          <w:p w:rsidR="00B52BB0" w:rsidRPr="001B27F2" w:rsidRDefault="00B52BB0" w:rsidP="003E074D">
            <w:pPr>
              <w:pStyle w:val="TableText"/>
            </w:pPr>
            <w:r w:rsidRPr="001B27F2">
              <w:t>Coffee mealybug</w:t>
            </w:r>
          </w:p>
        </w:tc>
      </w:tr>
      <w:tr w:rsidR="00B52BB0" w:rsidTr="003E074D">
        <w:tc>
          <w:tcPr>
            <w:tcW w:w="2500" w:type="pct"/>
          </w:tcPr>
          <w:p w:rsidR="00B52BB0" w:rsidRPr="00C214D5" w:rsidRDefault="00B52BB0" w:rsidP="003E074D">
            <w:pPr>
              <w:pStyle w:val="TableText"/>
            </w:pPr>
            <w:r>
              <w:rPr>
                <w:i/>
              </w:rPr>
              <w:t>Planococcus litchi</w:t>
            </w:r>
            <w:r w:rsidRPr="00C214D5">
              <w:t xml:space="preserve"> </w:t>
            </w:r>
            <w:r>
              <w:t>(EP)</w:t>
            </w:r>
          </w:p>
        </w:tc>
        <w:tc>
          <w:tcPr>
            <w:tcW w:w="2500" w:type="pct"/>
          </w:tcPr>
          <w:p w:rsidR="00B52BB0" w:rsidRPr="001B27F2" w:rsidRDefault="00B52BB0" w:rsidP="003E074D">
            <w:pPr>
              <w:pStyle w:val="TableText"/>
            </w:pPr>
            <w:r>
              <w:t>Litchi mealybug</w:t>
            </w:r>
          </w:p>
        </w:tc>
      </w:tr>
      <w:tr w:rsidR="00B52BB0">
        <w:tc>
          <w:tcPr>
            <w:tcW w:w="2500" w:type="pct"/>
          </w:tcPr>
          <w:p w:rsidR="00B52BB0" w:rsidRPr="001B27F2" w:rsidRDefault="00B52BB0" w:rsidP="003E074D">
            <w:pPr>
              <w:pStyle w:val="TableText"/>
              <w:rPr>
                <w:i/>
              </w:rPr>
            </w:pPr>
            <w:r w:rsidRPr="001B27F2">
              <w:rPr>
                <w:i/>
              </w:rPr>
              <w:t xml:space="preserve">Planococcus minor </w:t>
            </w:r>
            <w:r w:rsidRPr="002567D9">
              <w:t>(EP, WA)</w:t>
            </w:r>
          </w:p>
        </w:tc>
        <w:tc>
          <w:tcPr>
            <w:tcW w:w="2500" w:type="pct"/>
          </w:tcPr>
          <w:p w:rsidR="00B52BB0" w:rsidRPr="001B27F2" w:rsidRDefault="00B52BB0" w:rsidP="003E074D">
            <w:pPr>
              <w:pStyle w:val="TableText"/>
            </w:pPr>
            <w:r w:rsidRPr="001B27F2">
              <w:t>Pacific mealybug</w:t>
            </w:r>
          </w:p>
        </w:tc>
      </w:tr>
      <w:tr w:rsidR="00B52BB0">
        <w:tc>
          <w:tcPr>
            <w:tcW w:w="2500" w:type="pct"/>
          </w:tcPr>
          <w:p w:rsidR="00B52BB0" w:rsidRPr="001B27F2" w:rsidRDefault="00B52BB0" w:rsidP="003E074D">
            <w:pPr>
              <w:pStyle w:val="TableText"/>
              <w:rPr>
                <w:i/>
              </w:rPr>
            </w:pPr>
            <w:r>
              <w:rPr>
                <w:i/>
              </w:rPr>
              <w:t>Pseudococcus baliteus</w:t>
            </w:r>
            <w:r>
              <w:t xml:space="preserve"> (EP)</w:t>
            </w:r>
          </w:p>
        </w:tc>
        <w:tc>
          <w:tcPr>
            <w:tcW w:w="2500" w:type="pct"/>
          </w:tcPr>
          <w:p w:rsidR="00B52BB0" w:rsidRPr="001B27F2" w:rsidRDefault="00B52BB0" w:rsidP="003E074D">
            <w:pPr>
              <w:pStyle w:val="TableText"/>
            </w:pPr>
            <w:r>
              <w:t>Aerial root mealybug</w:t>
            </w:r>
          </w:p>
        </w:tc>
      </w:tr>
      <w:tr w:rsidR="00B52BB0">
        <w:tc>
          <w:tcPr>
            <w:tcW w:w="2500" w:type="pct"/>
          </w:tcPr>
          <w:p w:rsidR="00B52BB0" w:rsidRPr="00C214D5" w:rsidRDefault="00B52BB0" w:rsidP="003E074D">
            <w:pPr>
              <w:pStyle w:val="TableText"/>
            </w:pPr>
            <w:r>
              <w:rPr>
                <w:i/>
              </w:rPr>
              <w:t>Pseudococcus cryptus</w:t>
            </w:r>
            <w:r w:rsidRPr="00C214D5">
              <w:t xml:space="preserve"> </w:t>
            </w:r>
            <w:r>
              <w:t>(EP, WA)</w:t>
            </w:r>
          </w:p>
        </w:tc>
        <w:tc>
          <w:tcPr>
            <w:tcW w:w="2500" w:type="pct"/>
          </w:tcPr>
          <w:p w:rsidR="00B52BB0" w:rsidRPr="001B27F2" w:rsidRDefault="00B52BB0" w:rsidP="003E074D">
            <w:pPr>
              <w:pStyle w:val="TableText"/>
            </w:pPr>
            <w:r>
              <w:t>Citriculus mealybug</w:t>
            </w:r>
          </w:p>
        </w:tc>
      </w:tr>
      <w:tr w:rsidR="00B52BB0" w:rsidTr="003E074D">
        <w:tc>
          <w:tcPr>
            <w:tcW w:w="5000" w:type="pct"/>
            <w:gridSpan w:val="2"/>
            <w:tcBorders>
              <w:top w:val="single" w:sz="4" w:space="0" w:color="D9D9D9" w:themeColor="background1" w:themeShade="D9"/>
              <w:bottom w:val="nil"/>
            </w:tcBorders>
            <w:shd w:val="clear" w:color="auto" w:fill="auto"/>
          </w:tcPr>
          <w:p w:rsidR="00B52BB0" w:rsidRPr="001B27F2" w:rsidRDefault="00B52BB0" w:rsidP="003E074D">
            <w:pPr>
              <w:pStyle w:val="TableText"/>
            </w:pPr>
            <w:r w:rsidRPr="001B27F2">
              <w:rPr>
                <w:b/>
              </w:rPr>
              <w:t>Soft scales [Hemiptera: Coccidae]</w:t>
            </w:r>
          </w:p>
        </w:tc>
      </w:tr>
      <w:tr w:rsidR="00B52BB0" w:rsidTr="003E074D">
        <w:tc>
          <w:tcPr>
            <w:tcW w:w="2500" w:type="pct"/>
            <w:tcBorders>
              <w:top w:val="nil"/>
              <w:bottom w:val="single" w:sz="4" w:space="0" w:color="D9D9D9" w:themeColor="background1" w:themeShade="D9"/>
            </w:tcBorders>
            <w:shd w:val="clear" w:color="auto" w:fill="auto"/>
          </w:tcPr>
          <w:p w:rsidR="00B52BB0" w:rsidRPr="0000548D" w:rsidRDefault="00B52BB0" w:rsidP="003E074D">
            <w:pPr>
              <w:pStyle w:val="TableText"/>
              <w:tabs>
                <w:tab w:val="left" w:pos="2151"/>
              </w:tabs>
              <w:rPr>
                <w:highlight w:val="yellow"/>
              </w:rPr>
            </w:pPr>
            <w:r w:rsidRPr="001B27F2">
              <w:rPr>
                <w:i/>
              </w:rPr>
              <w:t>Drepanococcus chiton</w:t>
            </w:r>
            <w:r>
              <w:t xml:space="preserve"> (EP)</w:t>
            </w:r>
          </w:p>
        </w:tc>
        <w:tc>
          <w:tcPr>
            <w:tcW w:w="2500" w:type="pct"/>
            <w:tcBorders>
              <w:top w:val="nil"/>
              <w:bottom w:val="single" w:sz="4" w:space="0" w:color="D9D9D9" w:themeColor="background1" w:themeShade="D9"/>
            </w:tcBorders>
            <w:shd w:val="clear" w:color="auto" w:fill="auto"/>
          </w:tcPr>
          <w:p w:rsidR="00B52BB0" w:rsidRPr="001B27F2" w:rsidRDefault="00B52BB0" w:rsidP="003E074D">
            <w:pPr>
              <w:pStyle w:val="TableText"/>
            </w:pPr>
            <w:r w:rsidRPr="001B27F2">
              <w:t>Longan soft scale</w:t>
            </w:r>
          </w:p>
        </w:tc>
      </w:tr>
      <w:tr w:rsidR="00B52BB0" w:rsidTr="003E074D">
        <w:tc>
          <w:tcPr>
            <w:tcW w:w="5000" w:type="pct"/>
            <w:gridSpan w:val="2"/>
            <w:tcBorders>
              <w:top w:val="single" w:sz="4" w:space="0" w:color="D9D9D9" w:themeColor="background1" w:themeShade="D9"/>
              <w:bottom w:val="nil"/>
            </w:tcBorders>
          </w:tcPr>
          <w:p w:rsidR="00B52BB0" w:rsidRPr="001B27F2" w:rsidRDefault="00B52BB0" w:rsidP="003E074D">
            <w:pPr>
              <w:pStyle w:val="TableText"/>
            </w:pPr>
            <w:r w:rsidRPr="001B27F2">
              <w:rPr>
                <w:b/>
              </w:rPr>
              <w:t>Fruit borers [Lepidoptera: Gracillariidae]</w:t>
            </w:r>
          </w:p>
        </w:tc>
      </w:tr>
      <w:tr w:rsidR="00B52BB0" w:rsidTr="003E074D">
        <w:tc>
          <w:tcPr>
            <w:tcW w:w="2500" w:type="pct"/>
            <w:tcBorders>
              <w:top w:val="nil"/>
              <w:bottom w:val="single" w:sz="4" w:space="0" w:color="D9D9D9" w:themeColor="background1" w:themeShade="D9"/>
            </w:tcBorders>
          </w:tcPr>
          <w:p w:rsidR="00B52BB0" w:rsidRPr="001B27F2" w:rsidRDefault="00B52BB0" w:rsidP="003E074D">
            <w:pPr>
              <w:pStyle w:val="TableText"/>
              <w:rPr>
                <w:i/>
              </w:rPr>
            </w:pPr>
            <w:r w:rsidRPr="001B27F2">
              <w:rPr>
                <w:i/>
              </w:rPr>
              <w:t xml:space="preserve">Conopomorpha sinensis </w:t>
            </w:r>
            <w:r w:rsidRPr="002567D9">
              <w:t>(EP)</w:t>
            </w:r>
            <w:r w:rsidRPr="002567D9">
              <w:tab/>
            </w:r>
          </w:p>
        </w:tc>
        <w:tc>
          <w:tcPr>
            <w:tcW w:w="2500" w:type="pct"/>
            <w:tcBorders>
              <w:top w:val="nil"/>
              <w:bottom w:val="single" w:sz="4" w:space="0" w:color="D9D9D9" w:themeColor="background1" w:themeShade="D9"/>
            </w:tcBorders>
          </w:tcPr>
          <w:p w:rsidR="00B52BB0" w:rsidRPr="001B27F2" w:rsidRDefault="00B52BB0" w:rsidP="003E074D">
            <w:pPr>
              <w:pStyle w:val="TableText"/>
            </w:pPr>
            <w:r>
              <w:t>Litchi fruit borer</w:t>
            </w:r>
          </w:p>
        </w:tc>
      </w:tr>
      <w:tr w:rsidR="00B52BB0" w:rsidRPr="004F0B0B">
        <w:tc>
          <w:tcPr>
            <w:tcW w:w="5000" w:type="pct"/>
            <w:gridSpan w:val="2"/>
            <w:tcBorders>
              <w:top w:val="single" w:sz="4" w:space="0" w:color="D9D9D9" w:themeColor="background1" w:themeShade="D9"/>
              <w:bottom w:val="nil"/>
            </w:tcBorders>
          </w:tcPr>
          <w:p w:rsidR="00B52BB0" w:rsidRPr="004F0B0B" w:rsidRDefault="00B52BB0" w:rsidP="003E074D">
            <w:pPr>
              <w:pStyle w:val="TableText"/>
            </w:pPr>
            <w:r>
              <w:rPr>
                <w:b/>
              </w:rPr>
              <w:t>Chromalveolata</w:t>
            </w:r>
          </w:p>
        </w:tc>
      </w:tr>
      <w:tr w:rsidR="00B52BB0" w:rsidRPr="004F0B0B">
        <w:tc>
          <w:tcPr>
            <w:tcW w:w="2500" w:type="pct"/>
            <w:tcBorders>
              <w:top w:val="nil"/>
            </w:tcBorders>
          </w:tcPr>
          <w:p w:rsidR="00B52BB0" w:rsidRPr="004F0B0B" w:rsidRDefault="007260D5" w:rsidP="003E074D">
            <w:pPr>
              <w:pStyle w:val="TableText"/>
            </w:pPr>
            <w:r w:rsidRPr="004F0B0B">
              <w:rPr>
                <w:i/>
              </w:rPr>
              <w:t>Phytophthora</w:t>
            </w:r>
            <w:r w:rsidR="00B52BB0" w:rsidRPr="004F0B0B">
              <w:rPr>
                <w:i/>
              </w:rPr>
              <w:t xml:space="preserve"> litchii </w:t>
            </w:r>
            <w:r w:rsidR="00B52BB0" w:rsidRPr="002567D9">
              <w:t>(EP)</w:t>
            </w:r>
          </w:p>
        </w:tc>
        <w:tc>
          <w:tcPr>
            <w:tcW w:w="2500" w:type="pct"/>
            <w:tcBorders>
              <w:top w:val="nil"/>
            </w:tcBorders>
          </w:tcPr>
          <w:p w:rsidR="00B52BB0" w:rsidRPr="004F0B0B" w:rsidRDefault="00B52BB0" w:rsidP="003E074D">
            <w:pPr>
              <w:pStyle w:val="TableText"/>
            </w:pPr>
            <w:r>
              <w:t>Brown blight</w:t>
            </w:r>
          </w:p>
        </w:tc>
      </w:tr>
      <w:tr w:rsidR="00B52BB0">
        <w:tc>
          <w:tcPr>
            <w:tcW w:w="5000" w:type="pct"/>
            <w:gridSpan w:val="2"/>
            <w:tcBorders>
              <w:top w:val="single" w:sz="4" w:space="0" w:color="D9D9D9" w:themeColor="background1" w:themeShade="D9"/>
              <w:bottom w:val="nil"/>
            </w:tcBorders>
          </w:tcPr>
          <w:p w:rsidR="00B52BB0" w:rsidRPr="004F0B0B" w:rsidRDefault="00B52BB0" w:rsidP="003E074D">
            <w:pPr>
              <w:pStyle w:val="TableText"/>
            </w:pPr>
            <w:r w:rsidRPr="004F0B0B">
              <w:rPr>
                <w:b/>
              </w:rPr>
              <w:t>Diseases of unknown aetiology</w:t>
            </w:r>
          </w:p>
        </w:tc>
      </w:tr>
      <w:tr w:rsidR="00B52BB0">
        <w:tc>
          <w:tcPr>
            <w:tcW w:w="2500" w:type="pct"/>
            <w:tcBorders>
              <w:top w:val="nil"/>
            </w:tcBorders>
          </w:tcPr>
          <w:p w:rsidR="00B52BB0" w:rsidRDefault="00B52BB0" w:rsidP="003E074D">
            <w:pPr>
              <w:pStyle w:val="TableText"/>
              <w:rPr>
                <w:i/>
                <w:highlight w:val="yellow"/>
                <w:vertAlign w:val="superscript"/>
              </w:rPr>
            </w:pPr>
            <w:r w:rsidRPr="001B27F2">
              <w:rPr>
                <w:i/>
              </w:rPr>
              <w:t xml:space="preserve">Longan Witches’ Broom Disease </w:t>
            </w:r>
            <w:r w:rsidRPr="002567D9">
              <w:t>(EP)</w:t>
            </w:r>
          </w:p>
        </w:tc>
        <w:tc>
          <w:tcPr>
            <w:tcW w:w="2500" w:type="pct"/>
            <w:tcBorders>
              <w:top w:val="nil"/>
            </w:tcBorders>
          </w:tcPr>
          <w:p w:rsidR="00B52BB0" w:rsidRDefault="00B52BB0" w:rsidP="003E074D">
            <w:pPr>
              <w:pStyle w:val="TableText"/>
              <w:rPr>
                <w:highlight w:val="yellow"/>
              </w:rPr>
            </w:pPr>
            <w:r w:rsidRPr="001B27F2">
              <w:t>LWBD</w:t>
            </w:r>
          </w:p>
        </w:tc>
      </w:tr>
    </w:tbl>
    <w:p w:rsidR="00B52BB0" w:rsidRDefault="00B52BB0" w:rsidP="003E074D">
      <w:pPr>
        <w:pStyle w:val="FigureTableNoteSource"/>
      </w:pPr>
      <w:r>
        <w:rPr>
          <w:b/>
        </w:rPr>
        <w:t xml:space="preserve">EP: </w:t>
      </w:r>
      <w:r>
        <w:t xml:space="preserve">Species has been assessed previously and import policy already exists. </w:t>
      </w:r>
      <w:r>
        <w:rPr>
          <w:b/>
        </w:rPr>
        <w:t xml:space="preserve">WA: </w:t>
      </w:r>
      <w:r>
        <w:t>Pest of regional concern for Western Australia.</w:t>
      </w:r>
    </w:p>
    <w:p w:rsidR="00B52BB0" w:rsidRDefault="00B52BB0" w:rsidP="003E074D">
      <w:pPr>
        <w:pStyle w:val="Caption"/>
      </w:pPr>
      <w:bookmarkStart w:id="79" w:name="_Ref519756144"/>
      <w:bookmarkStart w:id="80" w:name="_Toc7607550"/>
      <w:r>
        <w:t xml:space="preserve">Table </w:t>
      </w:r>
      <w:r>
        <w:rPr>
          <w:noProof/>
        </w:rPr>
        <w:fldChar w:fldCharType="begin"/>
      </w:r>
      <w:r>
        <w:rPr>
          <w:noProof/>
        </w:rPr>
        <w:instrText xml:space="preserve"> STYLEREF 2 \s </w:instrText>
      </w:r>
      <w:r>
        <w:rPr>
          <w:noProof/>
        </w:rPr>
        <w:fldChar w:fldCharType="separate"/>
      </w:r>
      <w:r w:rsidR="00EA7374">
        <w:rPr>
          <w:noProof/>
        </w:rPr>
        <w:t>4</w:t>
      </w:r>
      <w:r>
        <w:rPr>
          <w:noProof/>
        </w:rPr>
        <w:fldChar w:fldCharType="end"/>
      </w:r>
      <w:r>
        <w:t>.</w:t>
      </w:r>
      <w:r>
        <w:rPr>
          <w:noProof/>
        </w:rPr>
        <w:fldChar w:fldCharType="begin"/>
      </w:r>
      <w:r>
        <w:rPr>
          <w:noProof/>
        </w:rPr>
        <w:instrText xml:space="preserve"> SEQ Table \* ARABIC \s 2 </w:instrText>
      </w:r>
      <w:r>
        <w:rPr>
          <w:noProof/>
        </w:rPr>
        <w:fldChar w:fldCharType="separate"/>
      </w:r>
      <w:r w:rsidR="00EA7374">
        <w:rPr>
          <w:noProof/>
        </w:rPr>
        <w:t>2</w:t>
      </w:r>
      <w:r>
        <w:rPr>
          <w:noProof/>
        </w:rPr>
        <w:fldChar w:fldCharType="end"/>
      </w:r>
      <w:bookmarkEnd w:id="79"/>
      <w:r>
        <w:t xml:space="preserve"> Regulated thrips associated with longan from Vietnam</w:t>
      </w:r>
      <w:bookmarkEnd w:id="80"/>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B52BB0" w:rsidRPr="00956064" w:rsidTr="003E074D">
        <w:trPr>
          <w:cantSplit/>
        </w:trPr>
        <w:tc>
          <w:tcPr>
            <w:tcW w:w="2500" w:type="pct"/>
            <w:tcBorders>
              <w:top w:val="single" w:sz="4" w:space="0" w:color="auto"/>
              <w:bottom w:val="single" w:sz="4" w:space="0" w:color="D9D9D9" w:themeColor="background1" w:themeShade="D9"/>
            </w:tcBorders>
          </w:tcPr>
          <w:p w:rsidR="00B52BB0" w:rsidRPr="00956064" w:rsidRDefault="00B52BB0" w:rsidP="003E074D">
            <w:pPr>
              <w:pStyle w:val="TableHeading"/>
            </w:pPr>
            <w:r w:rsidRPr="00956064">
              <w:t>T</w:t>
            </w:r>
            <w:r>
              <w:t>hrips [Thysanoptera: Thripidae]</w:t>
            </w:r>
          </w:p>
        </w:tc>
        <w:tc>
          <w:tcPr>
            <w:tcW w:w="2500" w:type="pct"/>
            <w:tcBorders>
              <w:top w:val="single" w:sz="4" w:space="0" w:color="auto"/>
              <w:bottom w:val="single" w:sz="4" w:space="0" w:color="D9D9D9" w:themeColor="background1" w:themeShade="D9"/>
            </w:tcBorders>
          </w:tcPr>
          <w:p w:rsidR="00B52BB0" w:rsidRPr="00956064" w:rsidRDefault="00B52BB0" w:rsidP="003E074D">
            <w:pPr>
              <w:pStyle w:val="TableHeading"/>
            </w:pPr>
            <w:r w:rsidRPr="00956064">
              <w:t>Common name</w:t>
            </w:r>
          </w:p>
        </w:tc>
      </w:tr>
      <w:tr w:rsidR="00B52BB0" w:rsidRPr="00956064" w:rsidTr="003E074D">
        <w:trPr>
          <w:cantSplit/>
        </w:trPr>
        <w:tc>
          <w:tcPr>
            <w:tcW w:w="2500" w:type="pct"/>
            <w:tcBorders>
              <w:top w:val="single" w:sz="4" w:space="0" w:color="D9D9D9" w:themeColor="background1" w:themeShade="D9"/>
              <w:bottom w:val="nil"/>
            </w:tcBorders>
          </w:tcPr>
          <w:p w:rsidR="00B52BB0" w:rsidRPr="00152A44" w:rsidRDefault="00B52BB0" w:rsidP="003E074D">
            <w:pPr>
              <w:pStyle w:val="TableText"/>
            </w:pPr>
            <w:r w:rsidRPr="000A5261">
              <w:rPr>
                <w:i/>
              </w:rPr>
              <w:t>Scirtothrips dorsalis</w:t>
            </w:r>
            <w:r>
              <w:t xml:space="preserve"> (GP)</w:t>
            </w:r>
          </w:p>
        </w:tc>
        <w:tc>
          <w:tcPr>
            <w:tcW w:w="2500" w:type="pct"/>
            <w:tcBorders>
              <w:top w:val="single" w:sz="4" w:space="0" w:color="D9D9D9" w:themeColor="background1" w:themeShade="D9"/>
              <w:bottom w:val="nil"/>
            </w:tcBorders>
          </w:tcPr>
          <w:p w:rsidR="00B52BB0" w:rsidRPr="000A5261" w:rsidRDefault="00B52BB0" w:rsidP="003E074D">
            <w:pPr>
              <w:pStyle w:val="TableText"/>
            </w:pPr>
            <w:r w:rsidRPr="000A5261">
              <w:t>Chilli thrips</w:t>
            </w:r>
          </w:p>
        </w:tc>
      </w:tr>
      <w:tr w:rsidR="00B52BB0" w:rsidRPr="00956064" w:rsidTr="003E074D">
        <w:trPr>
          <w:cantSplit/>
        </w:trPr>
        <w:tc>
          <w:tcPr>
            <w:tcW w:w="2500" w:type="pct"/>
            <w:tcBorders>
              <w:top w:val="nil"/>
              <w:bottom w:val="single" w:sz="4" w:space="0" w:color="auto"/>
            </w:tcBorders>
          </w:tcPr>
          <w:p w:rsidR="00B52BB0" w:rsidRPr="00152A44" w:rsidRDefault="00B52BB0" w:rsidP="003E074D">
            <w:pPr>
              <w:pStyle w:val="TableText"/>
            </w:pPr>
            <w:r w:rsidRPr="000A5261">
              <w:rPr>
                <w:i/>
              </w:rPr>
              <w:t>Thrips tabaci</w:t>
            </w:r>
            <w:r>
              <w:t xml:space="preserve"> (GP)</w:t>
            </w:r>
          </w:p>
        </w:tc>
        <w:tc>
          <w:tcPr>
            <w:tcW w:w="2500" w:type="pct"/>
            <w:tcBorders>
              <w:top w:val="nil"/>
              <w:bottom w:val="single" w:sz="4" w:space="0" w:color="auto"/>
            </w:tcBorders>
          </w:tcPr>
          <w:p w:rsidR="00B52BB0" w:rsidRPr="000A5261" w:rsidRDefault="00B52BB0" w:rsidP="003E074D">
            <w:pPr>
              <w:pStyle w:val="TableText"/>
            </w:pPr>
            <w:r w:rsidRPr="000A5261">
              <w:t>Onion thrips</w:t>
            </w:r>
          </w:p>
        </w:tc>
      </w:tr>
    </w:tbl>
    <w:p w:rsidR="00B52BB0" w:rsidRPr="005D036A" w:rsidRDefault="00B52BB0" w:rsidP="003E074D">
      <w:pPr>
        <w:pStyle w:val="FigureTableNoteSource"/>
      </w:pPr>
      <w:r>
        <w:rPr>
          <w:b/>
        </w:rPr>
        <w:t>GP:</w:t>
      </w:r>
      <w:r>
        <w:t xml:space="preserve"> Species has been assessed previously in a group PRA, and this group PRA has been applied</w:t>
      </w:r>
      <w:r w:rsidRPr="00152A44">
        <w:t xml:space="preserve"> </w:t>
      </w:r>
      <w:r>
        <w:rPr>
          <w:noProof/>
        </w:rPr>
        <w:t>(Australian Government Department of Agriculture and Water Resources 2017)</w:t>
      </w:r>
      <w:r w:rsidRPr="005D036A">
        <w:t>.</w:t>
      </w:r>
    </w:p>
    <w:p w:rsidR="00B52BB0" w:rsidRPr="005D036A" w:rsidRDefault="00B52BB0" w:rsidP="003E074D">
      <w:pPr>
        <w:pStyle w:val="Heading3"/>
      </w:pPr>
      <w:r w:rsidRPr="005D036A">
        <w:br w:type="page"/>
      </w:r>
      <w:bookmarkStart w:id="81" w:name="_Toc7607678"/>
      <w:r w:rsidRPr="005D036A">
        <w:lastRenderedPageBreak/>
        <w:t>Fruit flies</w:t>
      </w:r>
      <w:bookmarkEnd w:id="81"/>
    </w:p>
    <w:p w:rsidR="00B52BB0" w:rsidRPr="005D036A" w:rsidRDefault="00B52BB0" w:rsidP="003E074D">
      <w:pPr>
        <w:pStyle w:val="Heading5"/>
      </w:pPr>
      <w:r w:rsidRPr="005D036A">
        <w:rPr>
          <w:i/>
        </w:rPr>
        <w:t xml:space="preserve">Bactrocera correcta </w:t>
      </w:r>
      <w:r w:rsidRPr="005D036A">
        <w:t>(EP)</w:t>
      </w:r>
      <w:r>
        <w:t xml:space="preserve"> and</w:t>
      </w:r>
      <w:r w:rsidRPr="005D036A">
        <w:rPr>
          <w:i/>
        </w:rPr>
        <w:t xml:space="preserve"> Bactrocera dorsalis</w:t>
      </w:r>
      <w:r w:rsidRPr="005D036A">
        <w:t xml:space="preserve"> (EP)</w:t>
      </w:r>
    </w:p>
    <w:p w:rsidR="00B52BB0" w:rsidRDefault="00B52BB0" w:rsidP="003E074D">
      <w:r w:rsidRPr="005D036A">
        <w:rPr>
          <w:i/>
          <w:iCs/>
        </w:rPr>
        <w:t xml:space="preserve">Bactrocera correcta </w:t>
      </w:r>
      <w:r w:rsidRPr="005D036A">
        <w:rPr>
          <w:iCs/>
        </w:rPr>
        <w:t>(guava fruit fly)</w:t>
      </w:r>
      <w:r>
        <w:rPr>
          <w:iCs/>
        </w:rPr>
        <w:t xml:space="preserve"> and</w:t>
      </w:r>
      <w:r w:rsidRPr="005D036A">
        <w:rPr>
          <w:iCs/>
        </w:rPr>
        <w:t xml:space="preserve"> </w:t>
      </w:r>
      <w:r w:rsidRPr="005D036A">
        <w:rPr>
          <w:i/>
          <w:iCs/>
        </w:rPr>
        <w:t>B. dorsalis</w:t>
      </w:r>
      <w:r>
        <w:t xml:space="preserve"> (Oriental fruit fly) belong to the Tephritidae family. They have been grouped together because of their related biologies, on the basis of which they are predicted to pose similar risks and to require </w:t>
      </w:r>
      <w:r w:rsidRPr="0089653E">
        <w:t xml:space="preserve">similar risk </w:t>
      </w:r>
      <w:r>
        <w:t>management measures. In this assessment, the term ‘fruit flies’ is used to refer to these species. The scientific name is used when the information relates to an individual species.</w:t>
      </w:r>
    </w:p>
    <w:p w:rsidR="00B52BB0" w:rsidRDefault="00B52BB0" w:rsidP="003E074D">
      <w:r w:rsidRPr="007170CA">
        <w:rPr>
          <w:i/>
          <w:iCs/>
        </w:rPr>
        <w:t>Bactrocera invadens</w:t>
      </w:r>
      <w:r>
        <w:t xml:space="preserve"> Drew, Tsuruta &amp; White, </w:t>
      </w:r>
      <w:r w:rsidRPr="007170CA">
        <w:rPr>
          <w:i/>
          <w:iCs/>
        </w:rPr>
        <w:t>B.</w:t>
      </w:r>
      <w:r>
        <w:rPr>
          <w:i/>
          <w:iCs/>
        </w:rPr>
        <w:t> </w:t>
      </w:r>
      <w:r w:rsidRPr="007170CA">
        <w:rPr>
          <w:i/>
          <w:iCs/>
        </w:rPr>
        <w:t>papayae</w:t>
      </w:r>
      <w:r>
        <w:t xml:space="preserve"> Drew &amp; Hancock and </w:t>
      </w:r>
      <w:r w:rsidRPr="007170CA">
        <w:rPr>
          <w:i/>
          <w:iCs/>
        </w:rPr>
        <w:t>B.</w:t>
      </w:r>
      <w:r>
        <w:rPr>
          <w:i/>
          <w:iCs/>
        </w:rPr>
        <w:t> </w:t>
      </w:r>
      <w:r w:rsidRPr="007170CA">
        <w:rPr>
          <w:i/>
          <w:iCs/>
        </w:rPr>
        <w:t>philippinensis</w:t>
      </w:r>
      <w:r>
        <w:t xml:space="preserve"> Drew &amp; Hancock have recently been synonymised with </w:t>
      </w:r>
      <w:r w:rsidRPr="007170CA">
        <w:rPr>
          <w:i/>
          <w:iCs/>
        </w:rPr>
        <w:t>B.</w:t>
      </w:r>
      <w:r>
        <w:rPr>
          <w:i/>
          <w:iCs/>
        </w:rPr>
        <w:t> </w:t>
      </w:r>
      <w:r w:rsidRPr="007170CA">
        <w:rPr>
          <w:i/>
          <w:iCs/>
        </w:rPr>
        <w:t xml:space="preserve">dorsalis </w:t>
      </w:r>
      <w:r>
        <w:rPr>
          <w:noProof/>
        </w:rPr>
        <w:t>(Schutze et al. 2015)</w:t>
      </w:r>
      <w:r>
        <w:t xml:space="preserve">. References to these previously accepted species are now considered to be references to </w:t>
      </w:r>
      <w:r w:rsidRPr="007170CA">
        <w:rPr>
          <w:i/>
          <w:iCs/>
        </w:rPr>
        <w:t>B.</w:t>
      </w:r>
      <w:r>
        <w:rPr>
          <w:i/>
          <w:iCs/>
        </w:rPr>
        <w:t> </w:t>
      </w:r>
      <w:r w:rsidRPr="007170CA">
        <w:rPr>
          <w:i/>
          <w:iCs/>
        </w:rPr>
        <w:t>dorsalis</w:t>
      </w:r>
      <w:r>
        <w:t>, and this is reflected in the assessment of fruit flies for longan fruit from Vietnam.</w:t>
      </w:r>
    </w:p>
    <w:p w:rsidR="00B52BB0" w:rsidRDefault="00B52BB0" w:rsidP="003E074D">
      <w:r w:rsidRPr="007170CA">
        <w:rPr>
          <w:i/>
          <w:iCs/>
        </w:rPr>
        <w:t>Bactrocera</w:t>
      </w:r>
      <w:r>
        <w:rPr>
          <w:i/>
          <w:iCs/>
        </w:rPr>
        <w:t xml:space="preserve"> correcta</w:t>
      </w:r>
      <w:r>
        <w:rPr>
          <w:iCs/>
        </w:rPr>
        <w:t xml:space="preserve"> and </w:t>
      </w:r>
      <w:r>
        <w:rPr>
          <w:i/>
          <w:iCs/>
        </w:rPr>
        <w:t>B. </w:t>
      </w:r>
      <w:r w:rsidRPr="007170CA">
        <w:rPr>
          <w:i/>
          <w:iCs/>
        </w:rPr>
        <w:t>dorsalis</w:t>
      </w:r>
      <w:r>
        <w:t xml:space="preserve"> have been assessed previously in the existing import policies for mangoes from Pakistan </w:t>
      </w:r>
      <w:r>
        <w:rPr>
          <w:noProof/>
        </w:rPr>
        <w:t>(Biosecurity Australia 2011)</w:t>
      </w:r>
      <w:r>
        <w:t xml:space="preserve">, longan and lychees from China and Thailand </w:t>
      </w:r>
      <w:r>
        <w:rPr>
          <w:noProof/>
        </w:rPr>
        <w:t>(DAFF 2004)</w:t>
      </w:r>
      <w:r>
        <w:t xml:space="preserve">, lychee fruit from Taiwan and Vietnam </w:t>
      </w:r>
      <w:r>
        <w:rPr>
          <w:noProof/>
        </w:rPr>
        <w:t>(DAFF 2013)</w:t>
      </w:r>
      <w:r>
        <w:t xml:space="preserve"> and dragon fruit from Vietnam </w:t>
      </w:r>
      <w:r>
        <w:rPr>
          <w:noProof/>
        </w:rPr>
        <w:t>(Department of Agriculture and Water Resources 2017)</w:t>
      </w:r>
      <w:r>
        <w:t>. In those existing policies, the unrestricted risk estimate for fruit flies did not achieve the ALOP for Australia. Therefore, specific risk management measures are required for these pests on the pathway.</w:t>
      </w:r>
    </w:p>
    <w:p w:rsidR="00B52BB0" w:rsidRDefault="00B52BB0" w:rsidP="003E074D">
      <w:r>
        <w:t>The department has assessed the likelihood of importation of these fruit fly species on the longan fruit from Vietnam pathway as being similar to the previous assessments of High for these species on other commodity/country pathways. Tephritid fruit flies lay their eggs directly into host fruit, where the larvae then hatch and grow. While this feeding eventually leads to obvious damage to the fruit, signs of infestation are not obvious when the eggs are initially laid. Longan is recorded as a host for these three species of fruit fly, and the presence of these fruit flies in Vietnam has not changed since they were assessed for lychee and dragon fruit from Vietnam. For these reasons, the likelihood of importation of these fruit fly species on longan fruit from Vietnam is considered similar to previously made assessments of High.</w:t>
      </w:r>
    </w:p>
    <w:p w:rsidR="00B52BB0" w:rsidRDefault="00B52BB0" w:rsidP="003E074D">
      <w:r>
        <w:t>Previous assessments of these fruit fly species on other commodity/country pathways rated the likelihood of distribution as High. Longan fruit from Vietnam are expected to be distributed in Australia in a similar way to other fruit commodities assessed previously. Each of these fruit fly species has a wide host range, and host material is likely to be available at all times in parts of Australia. Additionally, adults of these species are capable of flight, and would thus be able to find a suitable host if infested longans were discarded in the environment. There are climatic conditions suitable for the development of these flies in most parts of Australia. Due to the year-round availability of host material, suitable climatic conditions and the ability of these fruit flies to disperse to find hosts, the department has determined the likelihood of distribution for these fruit fly species on the longan fruit from Vietnam pathway to be similar to previously made assessments. Therefore, the same rating of High for the likelihood of distribution of these fruit flies is adopted for the longan fruit from Vietnam pathway.</w:t>
      </w:r>
    </w:p>
    <w:p w:rsidR="00B52BB0" w:rsidRDefault="00B52BB0" w:rsidP="003E074D">
      <w:r>
        <w:t xml:space="preserve">The likelihoods of establishment and spread of fruit flies in Australia are similar to those of previous assessments. Those likelihoods relate specifically to events that occur in Australia and are essentially independent of the import pathway. The consequences of entry, establishment and spread for fruit flies are also independent of the import pathway and are similar between pest risk assessments. Therefore, the existing ratings for the likelihoods of entry, establishment </w:t>
      </w:r>
      <w:r>
        <w:lastRenderedPageBreak/>
        <w:t>and spread, and the rating for the overall consequences for these fruit fly species have been adopted for the longan fruit from Vietnam pathway.</w:t>
      </w:r>
    </w:p>
    <w:p w:rsidR="00B52BB0" w:rsidRDefault="00B52BB0" w:rsidP="003E074D">
      <w:r>
        <w:t xml:space="preserve">In addition, the department has reviewed the latest literature—for example </w:t>
      </w:r>
      <w:r>
        <w:rPr>
          <w:noProof/>
        </w:rPr>
        <w:t>Hill et al. (2016)</w:t>
      </w:r>
      <w:r>
        <w:t xml:space="preserve">, </w:t>
      </w:r>
      <w:r>
        <w:rPr>
          <w:noProof/>
        </w:rPr>
        <w:t>Huang and Chi (2014)</w:t>
      </w:r>
      <w:r>
        <w:t xml:space="preserve">, </w:t>
      </w:r>
      <w:r>
        <w:rPr>
          <w:noProof/>
        </w:rPr>
        <w:t>Kim and Kim (2018)</w:t>
      </w:r>
      <w:r>
        <w:t xml:space="preserve">, </w:t>
      </w:r>
      <w:r>
        <w:rPr>
          <w:noProof/>
        </w:rPr>
        <w:t>Kunprom, Sopaladawan and Pramual (2015)</w:t>
      </w:r>
      <w:r>
        <w:t xml:space="preserve"> and </w:t>
      </w:r>
      <w:r>
        <w:rPr>
          <w:noProof/>
        </w:rPr>
        <w:t>PHA (2018)</w:t>
      </w:r>
      <w:r>
        <w:t>—and no new information has been identified that would significantly change the risk ratings for importation, distribution, establishment, spread and consequences as set out for fruit flies in the existing policies.</w:t>
      </w:r>
    </w:p>
    <w:p w:rsidR="00B52BB0" w:rsidRPr="009943A6" w:rsidRDefault="00B52BB0" w:rsidP="003E074D">
      <w:r w:rsidRPr="00F105EE">
        <w:t xml:space="preserve">The likelihoods of importation, distribution, establishment and spread for these fruit flies on the longan fruit from Vietnam pathway were all rated as High, and the consequences of entry, establishment, and spread were also rated as High. When these likelihood and consequences ratings are combined using the rules presented in </w:t>
      </w:r>
      <w:r>
        <w:fldChar w:fldCharType="begin"/>
      </w:r>
      <w:r>
        <w:instrText xml:space="preserve"> REF _Ref528764975 \h </w:instrText>
      </w:r>
      <w:r>
        <w:fldChar w:fldCharType="separate"/>
      </w:r>
      <w:r w:rsidR="00EA7374">
        <w:t xml:space="preserve">Table </w:t>
      </w:r>
      <w:r w:rsidR="00EA7374">
        <w:rPr>
          <w:noProof/>
        </w:rPr>
        <w:t>2</w:t>
      </w:r>
      <w:r w:rsidR="00EA7374">
        <w:t>.</w:t>
      </w:r>
      <w:r w:rsidR="00EA7374">
        <w:rPr>
          <w:noProof/>
        </w:rPr>
        <w:t>2</w:t>
      </w:r>
      <w:r>
        <w:fldChar w:fldCharType="end"/>
      </w:r>
      <w:r>
        <w:t xml:space="preserve"> </w:t>
      </w:r>
      <w:r w:rsidRPr="00F105EE">
        <w:t xml:space="preserve">and </w:t>
      </w:r>
      <w:r>
        <w:fldChar w:fldCharType="begin"/>
      </w:r>
      <w:r>
        <w:instrText xml:space="preserve"> REF _Ref457826369 \h </w:instrText>
      </w:r>
      <w:r>
        <w:fldChar w:fldCharType="separate"/>
      </w:r>
      <w:r w:rsidR="00EA7374">
        <w:t xml:space="preserve">Table </w:t>
      </w:r>
      <w:r w:rsidR="00EA7374">
        <w:rPr>
          <w:noProof/>
        </w:rPr>
        <w:t>2</w:t>
      </w:r>
      <w:r w:rsidR="00EA7374">
        <w:t>.</w:t>
      </w:r>
      <w:r w:rsidR="00EA7374">
        <w:rPr>
          <w:noProof/>
        </w:rPr>
        <w:t>5</w:t>
      </w:r>
      <w:r>
        <w:fldChar w:fldCharType="end"/>
      </w:r>
      <w:r w:rsidRPr="00F105EE">
        <w:t xml:space="preserve">, the unrestricted risk is determined to be </w:t>
      </w:r>
      <w:proofErr w:type="gramStart"/>
      <w:r w:rsidRPr="00F105EE">
        <w:t>High</w:t>
      </w:r>
      <w:proofErr w:type="gramEnd"/>
      <w:r w:rsidRPr="00F105EE">
        <w:t xml:space="preserve">. </w:t>
      </w:r>
      <w:r>
        <w:t xml:space="preserve">All likelihood ratings are set out in </w:t>
      </w:r>
      <w:r>
        <w:fldChar w:fldCharType="begin"/>
      </w:r>
      <w:r>
        <w:instrText xml:space="preserve"> REF _Ref526350919 \h </w:instrText>
      </w:r>
      <w:r>
        <w:fldChar w:fldCharType="separate"/>
      </w:r>
      <w:r w:rsidR="00EA7374">
        <w:t xml:space="preserve">Table </w:t>
      </w:r>
      <w:r w:rsidR="00EA7374">
        <w:rPr>
          <w:noProof/>
        </w:rPr>
        <w:t>4</w:t>
      </w:r>
      <w:r w:rsidR="00EA7374">
        <w:t>.</w:t>
      </w:r>
      <w:r w:rsidR="00EA7374">
        <w:rPr>
          <w:noProof/>
        </w:rPr>
        <w:t>5</w:t>
      </w:r>
      <w:r>
        <w:fldChar w:fldCharType="end"/>
      </w:r>
      <w:r>
        <w:t>.</w:t>
      </w:r>
    </w:p>
    <w:p w:rsidR="00B52BB0" w:rsidRDefault="00B52BB0" w:rsidP="003E074D">
      <w:pPr>
        <w:pStyle w:val="Heading5"/>
      </w:pPr>
      <w:r>
        <w:t>Unrestricted risk estimate</w:t>
      </w:r>
    </w:p>
    <w:p w:rsidR="00B52BB0" w:rsidRDefault="00B52BB0">
      <w:r w:rsidRPr="009943A6">
        <w:t xml:space="preserve">The unrestricted risk estimate for fruit flies </w:t>
      </w:r>
      <w:r>
        <w:t>from the</w:t>
      </w:r>
      <w:r w:rsidRPr="009943A6">
        <w:t xml:space="preserve"> longan</w:t>
      </w:r>
      <w:r>
        <w:t xml:space="preserve"> fruit</w:t>
      </w:r>
      <w:r w:rsidRPr="009943A6">
        <w:t xml:space="preserve"> from Vietnam </w:t>
      </w:r>
      <w:r>
        <w:t>pathway is</w:t>
      </w:r>
      <w:r w:rsidRPr="009943A6">
        <w:t xml:space="preserve"> assessed as High, which is </w:t>
      </w:r>
      <w:r>
        <w:t>identical</w:t>
      </w:r>
      <w:r w:rsidRPr="009943A6">
        <w:t xml:space="preserve"> to the </w:t>
      </w:r>
      <w:r>
        <w:t>outcomes of</w:t>
      </w:r>
      <w:r w:rsidRPr="009943A6">
        <w:t xml:space="preserve"> previous assessments, and which does not achieve </w:t>
      </w:r>
      <w:r>
        <w:t xml:space="preserve">the </w:t>
      </w:r>
      <w:r w:rsidRPr="009943A6">
        <w:t>ALOP for Australia. Therefore, specific risk management measures are required for these pests.</w:t>
      </w:r>
    </w:p>
    <w:p w:rsidR="00B52BB0" w:rsidRDefault="00B52BB0" w:rsidP="003E074D">
      <w:pPr>
        <w:pStyle w:val="Heading3"/>
      </w:pPr>
      <w:r>
        <w:br w:type="page"/>
      </w:r>
      <w:bookmarkStart w:id="82" w:name="_Toc7607679"/>
      <w:r>
        <w:lastRenderedPageBreak/>
        <w:t>Mealybugs</w:t>
      </w:r>
      <w:bookmarkEnd w:id="82"/>
    </w:p>
    <w:p w:rsidR="00B52BB0" w:rsidRDefault="00B52BB0" w:rsidP="003E074D">
      <w:pPr>
        <w:pStyle w:val="Heading5"/>
      </w:pPr>
      <w:r w:rsidRPr="00C93785">
        <w:rPr>
          <w:i/>
        </w:rPr>
        <w:t>Dysmicoccus neobrevipes</w:t>
      </w:r>
      <w:r w:rsidRPr="003E2531">
        <w:t xml:space="preserve"> (EP), </w:t>
      </w:r>
      <w:r w:rsidRPr="00C93785">
        <w:rPr>
          <w:i/>
        </w:rPr>
        <w:t>Exallomochlus hispidus</w:t>
      </w:r>
      <w:r w:rsidRPr="003E2531">
        <w:t xml:space="preserve"> (EP), </w:t>
      </w:r>
      <w:r w:rsidRPr="00C93785">
        <w:rPr>
          <w:i/>
        </w:rPr>
        <w:t>Paracoccus interceptus</w:t>
      </w:r>
      <w:r w:rsidRPr="003E2531">
        <w:t xml:space="preserve"> (EP), </w:t>
      </w:r>
      <w:r w:rsidRPr="00C93785">
        <w:rPr>
          <w:i/>
        </w:rPr>
        <w:t>Planococcus lilacinus</w:t>
      </w:r>
      <w:r w:rsidRPr="003E2531">
        <w:t xml:space="preserve"> (EP)</w:t>
      </w:r>
      <w:r>
        <w:t xml:space="preserve">, </w:t>
      </w:r>
      <w:r w:rsidRPr="004D2F0E">
        <w:rPr>
          <w:i/>
        </w:rPr>
        <w:t>Planococcus litchi</w:t>
      </w:r>
      <w:r>
        <w:t xml:space="preserve"> (EP)</w:t>
      </w:r>
      <w:r w:rsidRPr="003E2531">
        <w:t xml:space="preserve">, </w:t>
      </w:r>
      <w:r w:rsidRPr="00C93785">
        <w:rPr>
          <w:i/>
        </w:rPr>
        <w:t>Planococcus minor</w:t>
      </w:r>
      <w:r w:rsidRPr="003E2531">
        <w:t xml:space="preserve"> (EP, WA</w:t>
      </w:r>
      <w:r>
        <w:t xml:space="preserve">), </w:t>
      </w:r>
      <w:r>
        <w:rPr>
          <w:i/>
        </w:rPr>
        <w:t>Pseudococcus baliteus</w:t>
      </w:r>
      <w:r>
        <w:t xml:space="preserve"> (EP) and </w:t>
      </w:r>
      <w:r w:rsidRPr="004D2F0E">
        <w:rPr>
          <w:i/>
        </w:rPr>
        <w:t>Pseudococcus cryptus</w:t>
      </w:r>
      <w:r>
        <w:t xml:space="preserve"> (EP, WA)</w:t>
      </w:r>
    </w:p>
    <w:p w:rsidR="00B52BB0" w:rsidRDefault="00B52BB0" w:rsidP="003E074D">
      <w:r w:rsidRPr="003E2531">
        <w:rPr>
          <w:i/>
          <w:iCs/>
        </w:rPr>
        <w:t>Dysmicoccus neobrevipes</w:t>
      </w:r>
      <w:r>
        <w:t xml:space="preserve"> (grey pineapple mealybug), </w:t>
      </w:r>
      <w:r w:rsidRPr="003E2531">
        <w:rPr>
          <w:i/>
          <w:iCs/>
        </w:rPr>
        <w:t>Exallomochlus hispidus</w:t>
      </w:r>
      <w:r>
        <w:t xml:space="preserve"> (cocoa mealybug), </w:t>
      </w:r>
      <w:r w:rsidRPr="003E2531">
        <w:rPr>
          <w:i/>
          <w:iCs/>
        </w:rPr>
        <w:t>Paracoccus interceptus</w:t>
      </w:r>
      <w:r>
        <w:t xml:space="preserve"> (intercepted mealybug), </w:t>
      </w:r>
      <w:r w:rsidRPr="003E2531">
        <w:rPr>
          <w:i/>
          <w:iCs/>
        </w:rPr>
        <w:t>Planococcus lilacinus</w:t>
      </w:r>
      <w:r>
        <w:t xml:space="preserve"> (coffee mealybug), </w:t>
      </w:r>
      <w:r w:rsidRPr="004D2F0E">
        <w:rPr>
          <w:i/>
        </w:rPr>
        <w:t>Planococcus litchi</w:t>
      </w:r>
      <w:r>
        <w:t xml:space="preserve"> (litchi mealybug), </w:t>
      </w:r>
      <w:r w:rsidRPr="003E2531">
        <w:rPr>
          <w:i/>
          <w:iCs/>
        </w:rPr>
        <w:t>Planococcus minor</w:t>
      </w:r>
      <w:r>
        <w:t xml:space="preserve"> (Pacific mealybug), </w:t>
      </w:r>
      <w:r w:rsidRPr="00130EC2">
        <w:rPr>
          <w:i/>
        </w:rPr>
        <w:t>Pseudococcus baliteus</w:t>
      </w:r>
      <w:r>
        <w:t xml:space="preserve"> (aerial root mealybug) and </w:t>
      </w:r>
      <w:r w:rsidRPr="004D2F0E">
        <w:rPr>
          <w:i/>
        </w:rPr>
        <w:t>Pseudococcus cryptus</w:t>
      </w:r>
      <w:r>
        <w:t xml:space="preserve"> (citriculus mealybug) belong to the Pseudococcidae or mealybug family. They have been grouped together because of their related biologies, on the basis of which they are predicted to pose similar risks and to require similar risk management measures. In this assessment, the term ‘mealybugs’ is used to refer to these seven species. Scientific names are used when the information refers to an individual species.</w:t>
      </w:r>
    </w:p>
    <w:p w:rsidR="00B52BB0" w:rsidRDefault="00B52BB0" w:rsidP="003E074D">
      <w:r w:rsidRPr="003E2531">
        <w:rPr>
          <w:i/>
          <w:iCs/>
        </w:rPr>
        <w:t>Planococcus minor</w:t>
      </w:r>
      <w:r>
        <w:t xml:space="preserve"> and </w:t>
      </w:r>
      <w:r w:rsidRPr="004D2F0E">
        <w:rPr>
          <w:i/>
        </w:rPr>
        <w:t>Pseudococcus cryptus</w:t>
      </w:r>
      <w:r>
        <w:t xml:space="preserve"> are not present in Western Australia and are pests of regional quarantine concern for that state.</w:t>
      </w:r>
    </w:p>
    <w:p w:rsidR="00B52BB0" w:rsidRDefault="00B52BB0" w:rsidP="003E074D">
      <w:r>
        <w:t xml:space="preserve">The mealybug species assessed here have been assessed previously in a number of existing import policies, for example, in the import policies for longan and lychees from China and Thailand </w:t>
      </w:r>
      <w:r>
        <w:rPr>
          <w:noProof/>
        </w:rPr>
        <w:t>(DAFF 2004)</w:t>
      </w:r>
      <w:r>
        <w:t xml:space="preserve">, lychee fruit from Taiwan and Vietnam </w:t>
      </w:r>
      <w:r>
        <w:rPr>
          <w:noProof/>
        </w:rPr>
        <w:t>(DAFF 2013)</w:t>
      </w:r>
      <w:r>
        <w:t xml:space="preserve">, mangosteen from Indonesia </w:t>
      </w:r>
      <w:r>
        <w:rPr>
          <w:noProof/>
        </w:rPr>
        <w:t>(DAFF 2012)</w:t>
      </w:r>
      <w:r>
        <w:t xml:space="preserve"> and dragon fruit from Vietnam </w:t>
      </w:r>
      <w:r>
        <w:rPr>
          <w:noProof/>
        </w:rPr>
        <w:t>(Department of Agriculture and Water Resources 2017)</w:t>
      </w:r>
      <w:r>
        <w:t>. In those existing policies, the unrestricted risk estimate for mealybugs was uniformly assessed as Low, which does not achieve the ALOP for Australia. Therefore specific risk management measures are required for these pests on those pathways.</w:t>
      </w:r>
    </w:p>
    <w:p w:rsidR="00B52BB0" w:rsidRDefault="00B52BB0" w:rsidP="003E074D">
      <w:r>
        <w:t>The department has assessed the likelihood of importation of mealybugs on the longan fruit from Vietnam pathway as being similar to the previous assessments of High for these species on other commodity/country pathways. Mealybugs often feed on the leaves of their hosts but can also be associated with fruit. When a mealybug finds a suitable feeding site it anchors itself to the host plant with its mouthparts. A feeding mealybug is difficult to dislodge as it produces a waxy coating that helps protect it from predators, parasitoids and desiccation, and may make it difficult to remove through fruit packing processes. The small size of mealybugs (adults range from 1 to 4 millimetres) also means they may not be detected on fruit. For these reasons, the likelihood of importation of mealybugs on longan fruit from Vietnam is considered similar to previously made assessments of High.</w:t>
      </w:r>
    </w:p>
    <w:p w:rsidR="00B52BB0" w:rsidRDefault="00B52BB0" w:rsidP="003E074D">
      <w:r>
        <w:t>Previous assessments of mealybugs on other commodity/country pathways rated the likelihood of distribution as Moderate. Longan fruit from Vietnam are expected to be distributed in Australia in a similar way to other fruit commodities assessed previously. Each of these m</w:t>
      </w:r>
      <w:r w:rsidRPr="002735C1">
        <w:t>ealybug</w:t>
      </w:r>
      <w:r>
        <w:t xml:space="preserve">s </w:t>
      </w:r>
      <w:r w:rsidRPr="002735C1">
        <w:t>ha</w:t>
      </w:r>
      <w:r>
        <w:t>s a</w:t>
      </w:r>
      <w:r w:rsidRPr="002735C1">
        <w:t xml:space="preserve"> wide host range and host material is likely to be available</w:t>
      </w:r>
      <w:r>
        <w:t xml:space="preserve"> for these pests</w:t>
      </w:r>
      <w:r w:rsidRPr="002735C1">
        <w:t xml:space="preserve"> </w:t>
      </w:r>
      <w:r>
        <w:t>at all times</w:t>
      </w:r>
      <w:r w:rsidRPr="002735C1">
        <w:t xml:space="preserve"> in Australia</w:t>
      </w:r>
      <w:r>
        <w:t>, especially as they can feed on leaves and stems when fruit is not available</w:t>
      </w:r>
      <w:r w:rsidRPr="002735C1">
        <w:t xml:space="preserve">. </w:t>
      </w:r>
      <w:r>
        <w:t xml:space="preserve">The most active life stage is the ‘crawler’ (first instar) stage, which is considered to be the most likely stage at which a mealybug will reach a host plant through its own activity. Mealybug nymphs and adult females are not capable of flight, but can potentially be carried by wind. Potential mealybug hosts include herbaceous plants that could be found in areas where longan fruit may be discarded. However, as disposed longan fruit would deteriorate quickly, the mealybug crawlers would only have a limited timeframe to find a new host. For these reasons, the department has determined the likelihood of distribution for mealybugs on the longan fruit </w:t>
      </w:r>
      <w:r>
        <w:lastRenderedPageBreak/>
        <w:t>from Vietnam pathway to be similar to previously made assessments. Therefore, the same rating of Moderate for the likelihood of distribution of mealybugs is adopted for the longan fruit from Vietnam pathway.</w:t>
      </w:r>
    </w:p>
    <w:p w:rsidR="00B52BB0" w:rsidRDefault="00B52BB0" w:rsidP="003E074D">
      <w:r>
        <w:t>The likelihoods of establishment and spread of mealybugs in Australia are similar to those of previous assessments. These likelihoods relate specifically to events that occur in Australia and are essentially independent of the import pathway. The consequences of entry, establishment and spread of mealybugs are also independent of the import pathway and are similar between pest risk assessments. Therefore, the existing ratings for the likelihood of entry, establishment and spread and the rating for the overall consequences for mealybugs have been adopted for longan fruit from Vietnam.</w:t>
      </w:r>
    </w:p>
    <w:p w:rsidR="00B52BB0" w:rsidRDefault="00B52BB0" w:rsidP="003E074D">
      <w:r>
        <w:t xml:space="preserve">In addition, the department has reviewed the latest literature—for example </w:t>
      </w:r>
      <w:r>
        <w:rPr>
          <w:noProof/>
        </w:rPr>
        <w:t>Brahman, Awasthi and Kerketta (2018)</w:t>
      </w:r>
      <w:r>
        <w:t xml:space="preserve">, </w:t>
      </w:r>
      <w:r>
        <w:rPr>
          <w:noProof/>
        </w:rPr>
        <w:t>Evans and Dooley (2013)</w:t>
      </w:r>
      <w:r>
        <w:t xml:space="preserve">, </w:t>
      </w:r>
      <w:r>
        <w:rPr>
          <w:noProof/>
        </w:rPr>
        <w:t>García Morales et al. (2019)</w:t>
      </w:r>
      <w:r>
        <w:t xml:space="preserve">, </w:t>
      </w:r>
      <w:r>
        <w:rPr>
          <w:noProof/>
        </w:rPr>
        <w:t>Hu et al. (2017)</w:t>
      </w:r>
      <w:r>
        <w:t xml:space="preserve">, </w:t>
      </w:r>
      <w:r>
        <w:rPr>
          <w:noProof/>
        </w:rPr>
        <w:t>Indarwatmi et al. (2017)</w:t>
      </w:r>
      <w:r>
        <w:t xml:space="preserve">, </w:t>
      </w:r>
      <w:r>
        <w:rPr>
          <w:noProof/>
        </w:rPr>
        <w:t>Kuswadi et al. (2016)</w:t>
      </w:r>
      <w:r>
        <w:t xml:space="preserve"> and </w:t>
      </w:r>
      <w:r>
        <w:rPr>
          <w:noProof/>
        </w:rPr>
        <w:t>Wang et al. (2018)</w:t>
      </w:r>
      <w:r>
        <w:t>—and no new information is available that would significantly change the risk ratings for importation, distribution, establishment, spread and consequences as set out for mealybugs in the existing policies.</w:t>
      </w:r>
    </w:p>
    <w:p w:rsidR="00B52BB0" w:rsidRDefault="00B52BB0" w:rsidP="003E074D">
      <w:r w:rsidRPr="00B16B52">
        <w:t xml:space="preserve">The likelihoods of importation, establishment and spread for these mealybugs on the longan fruit from Vietnam pathway were rated as High, while the likelihood of distribution was rated as Moderate and the consequences of entry, establishment, and spread were rated as Low. When these likelihood and consequences ratings are combined using the rules presented in </w:t>
      </w:r>
      <w:r>
        <w:fldChar w:fldCharType="begin"/>
      </w:r>
      <w:r>
        <w:instrText xml:space="preserve"> REF _Ref457826328 \h </w:instrText>
      </w:r>
      <w:r>
        <w:fldChar w:fldCharType="separate"/>
      </w:r>
      <w:r w:rsidR="00EA7374">
        <w:t xml:space="preserve">Table </w:t>
      </w:r>
      <w:r w:rsidR="00EA7374">
        <w:rPr>
          <w:noProof/>
        </w:rPr>
        <w:t>2</w:t>
      </w:r>
      <w:r w:rsidR="00EA7374">
        <w:t>.</w:t>
      </w:r>
      <w:r w:rsidR="00EA7374">
        <w:rPr>
          <w:noProof/>
        </w:rPr>
        <w:t>2</w:t>
      </w:r>
      <w:r>
        <w:fldChar w:fldCharType="end"/>
      </w:r>
      <w:r>
        <w:t xml:space="preserve"> </w:t>
      </w:r>
      <w:r w:rsidRPr="00B16B52">
        <w:t xml:space="preserve">and </w:t>
      </w:r>
      <w:r>
        <w:fldChar w:fldCharType="begin"/>
      </w:r>
      <w:r>
        <w:instrText xml:space="preserve"> REF _Ref457826369 \h </w:instrText>
      </w:r>
      <w:r>
        <w:fldChar w:fldCharType="separate"/>
      </w:r>
      <w:r w:rsidR="00EA7374">
        <w:t xml:space="preserve">Table </w:t>
      </w:r>
      <w:r w:rsidR="00EA7374">
        <w:rPr>
          <w:noProof/>
        </w:rPr>
        <w:t>2</w:t>
      </w:r>
      <w:r w:rsidR="00EA7374">
        <w:t>.</w:t>
      </w:r>
      <w:r w:rsidR="00EA7374">
        <w:rPr>
          <w:noProof/>
        </w:rPr>
        <w:t>5</w:t>
      </w:r>
      <w:r>
        <w:fldChar w:fldCharType="end"/>
      </w:r>
      <w:r w:rsidRPr="00B16B52">
        <w:t xml:space="preserve">, the unrestricted risk is determined to be Low. </w:t>
      </w:r>
      <w:r>
        <w:t xml:space="preserve">All likelihood ratings are set out in </w:t>
      </w:r>
      <w:r>
        <w:fldChar w:fldCharType="begin"/>
      </w:r>
      <w:r>
        <w:instrText xml:space="preserve"> REF _Ref526350919 \h </w:instrText>
      </w:r>
      <w:r>
        <w:fldChar w:fldCharType="separate"/>
      </w:r>
      <w:r w:rsidR="00EA7374">
        <w:t xml:space="preserve">Table </w:t>
      </w:r>
      <w:r w:rsidR="00EA7374">
        <w:rPr>
          <w:noProof/>
        </w:rPr>
        <w:t>4</w:t>
      </w:r>
      <w:r w:rsidR="00EA7374">
        <w:t>.</w:t>
      </w:r>
      <w:r w:rsidR="00EA7374">
        <w:rPr>
          <w:noProof/>
        </w:rPr>
        <w:t>5</w:t>
      </w:r>
      <w:r>
        <w:fldChar w:fldCharType="end"/>
      </w:r>
      <w:r>
        <w:t>.</w:t>
      </w:r>
    </w:p>
    <w:p w:rsidR="00B52BB0" w:rsidRPr="003E2531" w:rsidRDefault="00B52BB0" w:rsidP="003E074D">
      <w:pPr>
        <w:pStyle w:val="Heading5"/>
      </w:pPr>
      <w:r w:rsidRPr="003E2531">
        <w:t>Unrestricted risk estimate</w:t>
      </w:r>
    </w:p>
    <w:p w:rsidR="00B52BB0" w:rsidRDefault="00B52BB0" w:rsidP="003E074D">
      <w:r w:rsidRPr="00D96F96">
        <w:t xml:space="preserve">The unrestricted risk estimate for mealybugs </w:t>
      </w:r>
      <w:r>
        <w:t>from the</w:t>
      </w:r>
      <w:r w:rsidRPr="00D96F96">
        <w:t xml:space="preserve"> longan fruit from Vietnam </w:t>
      </w:r>
      <w:r>
        <w:t>pathway is</w:t>
      </w:r>
      <w:r w:rsidRPr="00D96F96">
        <w:t xml:space="preserve"> assessed as Low, which is </w:t>
      </w:r>
      <w:r>
        <w:t>identical</w:t>
      </w:r>
      <w:r w:rsidRPr="00D96F96">
        <w:t xml:space="preserve"> to the </w:t>
      </w:r>
      <w:r>
        <w:t>outcomes of</w:t>
      </w:r>
      <w:r w:rsidRPr="00D96F96">
        <w:t xml:space="preserve"> previous assessments, and</w:t>
      </w:r>
      <w:r w:rsidRPr="003E2531">
        <w:t xml:space="preserve"> which does not achieve the ALOP for Australia. Therefore, specific risk management measures are required for these pests.</w:t>
      </w:r>
    </w:p>
    <w:p w:rsidR="00B52BB0" w:rsidRPr="005D036A" w:rsidRDefault="00B52BB0" w:rsidP="003E074D">
      <w:pPr>
        <w:pStyle w:val="Heading3"/>
      </w:pPr>
      <w:r>
        <w:br w:type="page"/>
      </w:r>
      <w:bookmarkStart w:id="83" w:name="_Toc7607680"/>
      <w:r w:rsidRPr="005D036A">
        <w:lastRenderedPageBreak/>
        <w:t>Longan soft scale</w:t>
      </w:r>
      <w:bookmarkEnd w:id="83"/>
    </w:p>
    <w:p w:rsidR="00B52BB0" w:rsidRPr="005D036A" w:rsidRDefault="00B52BB0" w:rsidP="003E074D">
      <w:pPr>
        <w:pStyle w:val="Heading5"/>
      </w:pPr>
      <w:r w:rsidRPr="005D036A">
        <w:rPr>
          <w:i/>
        </w:rPr>
        <w:t>Drepanococcus chiton</w:t>
      </w:r>
      <w:r w:rsidRPr="005D036A">
        <w:t xml:space="preserve"> (EP)</w:t>
      </w:r>
    </w:p>
    <w:p w:rsidR="00B52BB0" w:rsidRPr="005D036A" w:rsidRDefault="00B52BB0" w:rsidP="003E074D">
      <w:r w:rsidRPr="005D036A">
        <w:rPr>
          <w:i/>
          <w:iCs/>
        </w:rPr>
        <w:t>Drepanococcus chiton</w:t>
      </w:r>
      <w:r w:rsidRPr="005D036A">
        <w:t xml:space="preserve"> (longan soft scale, wax scale) is a soft scale in the family Coccidae. It is distributed throughout southern Asia, Indonesia, Papua New Guinea and China </w:t>
      </w:r>
      <w:r>
        <w:rPr>
          <w:noProof/>
        </w:rPr>
        <w:t>(Gavrilov 2013)</w:t>
      </w:r>
      <w:r w:rsidRPr="005D036A">
        <w:t xml:space="preserve">. Its primary host is longan but it is also known to feed on citrus, mulberry, legumes, and several species of ornamental plants </w:t>
      </w:r>
      <w:r>
        <w:rPr>
          <w:noProof/>
        </w:rPr>
        <w:t>(García Morales et al. 2019)</w:t>
      </w:r>
      <w:r w:rsidRPr="005D036A">
        <w:t>.</w:t>
      </w:r>
    </w:p>
    <w:p w:rsidR="00B52BB0" w:rsidRDefault="00B52BB0" w:rsidP="003E074D">
      <w:r w:rsidRPr="005D036A">
        <w:rPr>
          <w:i/>
          <w:iCs/>
        </w:rPr>
        <w:t>Drepanococcus chiton</w:t>
      </w:r>
      <w:r w:rsidRPr="005D036A">
        <w:t xml:space="preserve"> was previously</w:t>
      </w:r>
      <w:r>
        <w:t xml:space="preserve"> assessed in the import policy for mangosteen from Indonesia </w:t>
      </w:r>
      <w:r>
        <w:rPr>
          <w:noProof/>
        </w:rPr>
        <w:t>(DAFF 2012)</w:t>
      </w:r>
      <w:r>
        <w:t xml:space="preserve">. In that existing policy, the unrestricted risk estimate for </w:t>
      </w:r>
      <w:r w:rsidRPr="009B6710">
        <w:rPr>
          <w:i/>
          <w:iCs/>
        </w:rPr>
        <w:t>D. chiton</w:t>
      </w:r>
      <w:r>
        <w:t xml:space="preserve"> was assessed as Very Low, which achieves the ALOP for Australia. Therefore specific risk management measures are not required for the pest on this pathway.</w:t>
      </w:r>
    </w:p>
    <w:p w:rsidR="00B52BB0" w:rsidRDefault="00B52BB0" w:rsidP="003E074D">
      <w:r w:rsidRPr="00222665">
        <w:t xml:space="preserve">The department </w:t>
      </w:r>
      <w:r>
        <w:t>has assessed</w:t>
      </w:r>
      <w:r w:rsidRPr="00222665">
        <w:t xml:space="preserve"> the likelihood of importation for </w:t>
      </w:r>
      <w:r w:rsidRPr="00222665">
        <w:rPr>
          <w:i/>
          <w:iCs/>
        </w:rPr>
        <w:t>D. chiton</w:t>
      </w:r>
      <w:r w:rsidRPr="00222665">
        <w:t xml:space="preserve"> </w:t>
      </w:r>
      <w:r>
        <w:t>on the</w:t>
      </w:r>
      <w:r w:rsidRPr="00222665">
        <w:t xml:space="preserve"> longan fruit from Vietnam</w:t>
      </w:r>
      <w:r>
        <w:t xml:space="preserve"> pathway</w:t>
      </w:r>
      <w:r w:rsidRPr="00222665">
        <w:t xml:space="preserve"> </w:t>
      </w:r>
      <w:r>
        <w:t>as being similar to the previous assessment of High for this species on the mangosteen from Indonesia pathway.</w:t>
      </w:r>
      <w:r w:rsidRPr="00222665">
        <w:t xml:space="preserve"> </w:t>
      </w:r>
      <w:r w:rsidRPr="00D32258">
        <w:rPr>
          <w:i/>
        </w:rPr>
        <w:t xml:space="preserve">Drepanococcus chiton </w:t>
      </w:r>
      <w:r>
        <w:t xml:space="preserve">can be associated with longan fruit and a feeding female produces a waxy shell that will protect her from environmental extremes. These individuals are less than 3 millimetres in length and may not be detected on fruit. For the reasons outlined, the likelihood of importation of </w:t>
      </w:r>
      <w:r w:rsidRPr="00D32258">
        <w:rPr>
          <w:i/>
        </w:rPr>
        <w:t>D. chiton</w:t>
      </w:r>
      <w:r>
        <w:t xml:space="preserve"> on longan fruit from Vietnam is considered similar to the previous assessment of High</w:t>
      </w:r>
      <w:r w:rsidRPr="00222665">
        <w:t>.</w:t>
      </w:r>
    </w:p>
    <w:p w:rsidR="00B52BB0" w:rsidRDefault="00B52BB0" w:rsidP="003E074D">
      <w:r>
        <w:t xml:space="preserve">Previous assessment of </w:t>
      </w:r>
      <w:r w:rsidRPr="008A3AA3">
        <w:rPr>
          <w:i/>
        </w:rPr>
        <w:t>D. chiton</w:t>
      </w:r>
      <w:r>
        <w:t xml:space="preserve"> on the mangosteen from Indonesia pathway rated the likelihood of distribution as Low. </w:t>
      </w:r>
      <w:r>
        <w:rPr>
          <w:iCs/>
        </w:rPr>
        <w:t xml:space="preserve">While </w:t>
      </w:r>
      <w:r w:rsidRPr="009B6710">
        <w:rPr>
          <w:i/>
          <w:iCs/>
        </w:rPr>
        <w:t>D</w:t>
      </w:r>
      <w:r>
        <w:rPr>
          <w:i/>
          <w:iCs/>
        </w:rPr>
        <w:t>. </w:t>
      </w:r>
      <w:r w:rsidRPr="009B6710">
        <w:rPr>
          <w:i/>
          <w:iCs/>
        </w:rPr>
        <w:t>chiton</w:t>
      </w:r>
      <w:r>
        <w:t xml:space="preserve"> has a wide host range and host material is likely to be available at all times in Australia, the mobility of this species is limited. The first nymphal instar is only capable of crawling short distances and, after this initial crawler stage, females attach themselves to the host plant and do not move for the rest of their lives. The crawling nymphs and later-stage males are also vulnerable to environmental extremes and have a low survival rate. Due to the low mobility of this species and the vulnerability of the mobile stages, the department has determined the likelihood of distribution for </w:t>
      </w:r>
      <w:r>
        <w:rPr>
          <w:i/>
        </w:rPr>
        <w:t xml:space="preserve">D. chiton </w:t>
      </w:r>
      <w:r>
        <w:t xml:space="preserve">on the longan fruit from Vietnam pathway to be similar to previous assessments. Therefore, the previously determined rating of Low for the likelihood of distribution of </w:t>
      </w:r>
      <w:r>
        <w:rPr>
          <w:i/>
        </w:rPr>
        <w:t>D. chiton</w:t>
      </w:r>
      <w:r>
        <w:t xml:space="preserve"> is adopted for the longan fruit from Vietnam pathway.</w:t>
      </w:r>
    </w:p>
    <w:p w:rsidR="00B52BB0" w:rsidRDefault="00B52BB0" w:rsidP="003E074D">
      <w:r>
        <w:t xml:space="preserve">The likelihoods of establishment and spread of </w:t>
      </w:r>
      <w:r w:rsidRPr="009B6710">
        <w:rPr>
          <w:i/>
          <w:iCs/>
        </w:rPr>
        <w:t>D.</w:t>
      </w:r>
      <w:r>
        <w:rPr>
          <w:i/>
          <w:iCs/>
        </w:rPr>
        <w:t> </w:t>
      </w:r>
      <w:r w:rsidRPr="009B6710">
        <w:rPr>
          <w:i/>
          <w:iCs/>
        </w:rPr>
        <w:t>chiton</w:t>
      </w:r>
      <w:r>
        <w:t xml:space="preserve"> in Australia for longan fruit from Vietnam are similar to those of previous assessments. Those likelihoods relate specifically to events that occur in Australia and are principally independent of the import pathway. The consequences of entry, establishment and spread for </w:t>
      </w:r>
      <w:r w:rsidRPr="009B6710">
        <w:rPr>
          <w:i/>
          <w:iCs/>
        </w:rPr>
        <w:t>D.</w:t>
      </w:r>
      <w:r>
        <w:rPr>
          <w:i/>
          <w:iCs/>
        </w:rPr>
        <w:t> </w:t>
      </w:r>
      <w:r w:rsidRPr="009B6710">
        <w:rPr>
          <w:i/>
          <w:iCs/>
        </w:rPr>
        <w:t>chiton</w:t>
      </w:r>
      <w:r>
        <w:t xml:space="preserve"> are also independent of the import pathway and are similar between pest risk assessments. Therefore, the existing ratings for the likelihoods of entry, establishment and spread, and the rating for the overall consequences for </w:t>
      </w:r>
      <w:r>
        <w:rPr>
          <w:i/>
        </w:rPr>
        <w:t>D. chiton</w:t>
      </w:r>
      <w:r>
        <w:t xml:space="preserve"> have been adopted for the longan fruit from Vietnam pathway.</w:t>
      </w:r>
    </w:p>
    <w:p w:rsidR="00B52BB0" w:rsidRPr="0047275C" w:rsidRDefault="00B52BB0" w:rsidP="003E074D">
      <w:r>
        <w:t xml:space="preserve">In addition, the department has reviewed the latest literature—for example </w:t>
      </w:r>
      <w:r>
        <w:rPr>
          <w:noProof/>
        </w:rPr>
        <w:t>Evans and Dooley (2013)</w:t>
      </w:r>
      <w:r>
        <w:t xml:space="preserve">, </w:t>
      </w:r>
      <w:r>
        <w:rPr>
          <w:noProof/>
        </w:rPr>
        <w:t>García Morales et al. (2019)</w:t>
      </w:r>
      <w:r>
        <w:t xml:space="preserve">, </w:t>
      </w:r>
      <w:r>
        <w:rPr>
          <w:noProof/>
        </w:rPr>
        <w:t>Mani and Krishnamoorthy (2010)</w:t>
      </w:r>
      <w:r>
        <w:t xml:space="preserve"> and </w:t>
      </w:r>
      <w:r>
        <w:rPr>
          <w:noProof/>
        </w:rPr>
        <w:t>Suh and Bombay (2015)</w:t>
      </w:r>
      <w:r>
        <w:t xml:space="preserve">—and no new information has been identified that would significantly change the risk ratings for importation, distribution, establishment, spread or consequences as set out for </w:t>
      </w:r>
      <w:r w:rsidRPr="009B6710">
        <w:rPr>
          <w:i/>
          <w:iCs/>
        </w:rPr>
        <w:t>D</w:t>
      </w:r>
      <w:r>
        <w:rPr>
          <w:i/>
          <w:iCs/>
        </w:rPr>
        <w:t>. </w:t>
      </w:r>
      <w:r w:rsidRPr="009B6710">
        <w:rPr>
          <w:i/>
          <w:iCs/>
        </w:rPr>
        <w:t>chiton</w:t>
      </w:r>
      <w:r>
        <w:t xml:space="preserve"> in the existing </w:t>
      </w:r>
      <w:r w:rsidRPr="0047275C">
        <w:t>policy.</w:t>
      </w:r>
    </w:p>
    <w:p w:rsidR="00B52BB0" w:rsidRPr="005D036A" w:rsidRDefault="00B52BB0" w:rsidP="003E074D">
      <w:r w:rsidRPr="0047275C">
        <w:t xml:space="preserve">While the likelihoods of importation, establishment and spread for </w:t>
      </w:r>
      <w:r w:rsidRPr="0047275C">
        <w:rPr>
          <w:i/>
        </w:rPr>
        <w:t>D. chiton</w:t>
      </w:r>
      <w:r w:rsidRPr="0047275C">
        <w:t xml:space="preserve"> on the longan fruit from Vietnam pathway were rated as High, the likelihood of distribution and the consequences </w:t>
      </w:r>
      <w:r w:rsidRPr="0047275C">
        <w:lastRenderedPageBreak/>
        <w:t xml:space="preserve">of entry, establishment, and spread were rated as Low. When these likelihood and consequences ratings are combined using the rules presented in </w:t>
      </w:r>
      <w:r w:rsidRPr="0047275C">
        <w:fldChar w:fldCharType="begin"/>
      </w:r>
      <w:r w:rsidRPr="0047275C">
        <w:instrText xml:space="preserve"> REF _Ref457826328 \h  \* MERGEFORMAT </w:instrText>
      </w:r>
      <w:r w:rsidRPr="0047275C">
        <w:fldChar w:fldCharType="separate"/>
      </w:r>
      <w:r w:rsidR="00EA7374">
        <w:t xml:space="preserve">Table </w:t>
      </w:r>
      <w:r w:rsidR="00EA7374">
        <w:rPr>
          <w:noProof/>
        </w:rPr>
        <w:t>2.2</w:t>
      </w:r>
      <w:r w:rsidRPr="0047275C">
        <w:fldChar w:fldCharType="end"/>
      </w:r>
      <w:r w:rsidRPr="0047275C">
        <w:t xml:space="preserve"> and </w:t>
      </w:r>
      <w:r w:rsidRPr="0047275C">
        <w:fldChar w:fldCharType="begin"/>
      </w:r>
      <w:r w:rsidRPr="0047275C">
        <w:instrText xml:space="preserve"> REF _Ref457826369 \h  \* MERGEFORMAT </w:instrText>
      </w:r>
      <w:r w:rsidRPr="0047275C">
        <w:fldChar w:fldCharType="separate"/>
      </w:r>
      <w:r w:rsidR="00EA7374">
        <w:t xml:space="preserve">Table </w:t>
      </w:r>
      <w:r w:rsidR="00EA7374">
        <w:rPr>
          <w:noProof/>
        </w:rPr>
        <w:t>2.5</w:t>
      </w:r>
      <w:r w:rsidRPr="0047275C">
        <w:fldChar w:fldCharType="end"/>
      </w:r>
      <w:r w:rsidRPr="0047275C">
        <w:t>, the unrestricted risk is determined to be Very Low. All</w:t>
      </w:r>
      <w:r>
        <w:t xml:space="preserve"> these likelihood ratings are set out in </w:t>
      </w:r>
      <w:r w:rsidRPr="005D036A">
        <w:fldChar w:fldCharType="begin"/>
      </w:r>
      <w:r w:rsidRPr="005D036A">
        <w:instrText xml:space="preserve"> REF _Ref526350919 \h </w:instrText>
      </w:r>
      <w:r>
        <w:instrText xml:space="preserve"> \* MERGEFORMAT </w:instrText>
      </w:r>
      <w:r w:rsidRPr="005D036A">
        <w:fldChar w:fldCharType="separate"/>
      </w:r>
      <w:r w:rsidR="00EA7374">
        <w:t xml:space="preserve">Table </w:t>
      </w:r>
      <w:r w:rsidR="00EA7374">
        <w:rPr>
          <w:noProof/>
        </w:rPr>
        <w:t>4.5</w:t>
      </w:r>
      <w:r w:rsidRPr="005D036A">
        <w:fldChar w:fldCharType="end"/>
      </w:r>
      <w:r w:rsidRPr="005D036A">
        <w:t>.</w:t>
      </w:r>
    </w:p>
    <w:p w:rsidR="00B52BB0" w:rsidRPr="005D036A" w:rsidRDefault="00B52BB0" w:rsidP="003E074D">
      <w:pPr>
        <w:pStyle w:val="Heading5"/>
      </w:pPr>
      <w:r w:rsidRPr="005D036A">
        <w:t>Unrestricted risk estimate</w:t>
      </w:r>
    </w:p>
    <w:p w:rsidR="00B52BB0" w:rsidRDefault="00B52BB0" w:rsidP="003E074D">
      <w:r w:rsidRPr="005D036A">
        <w:t xml:space="preserve">The unrestricted risk estimate for </w:t>
      </w:r>
      <w:r w:rsidRPr="005D036A">
        <w:rPr>
          <w:i/>
        </w:rPr>
        <w:t>D. chiton</w:t>
      </w:r>
      <w:r w:rsidRPr="005D036A">
        <w:t xml:space="preserve"> from the longan fruit from Vietnam pathway is assessed as Very Low, which is identical to the outcomes of previous assessments, and which achieves the ALOP for Austra</w:t>
      </w:r>
      <w:r w:rsidRPr="009B6710">
        <w:t>lia. Therefore, specific risk management measures are not required for this pest.</w:t>
      </w:r>
    </w:p>
    <w:p w:rsidR="00B52BB0" w:rsidRDefault="00B52BB0" w:rsidP="003E074D">
      <w:pPr>
        <w:pStyle w:val="Heading3"/>
      </w:pPr>
      <w:r>
        <w:br w:type="page"/>
      </w:r>
      <w:bookmarkStart w:id="84" w:name="_Toc7607681"/>
      <w:bookmarkStart w:id="85" w:name="_Toc389741455"/>
      <w:r w:rsidRPr="00ED2437">
        <w:lastRenderedPageBreak/>
        <w:t>Litchi fruit borer</w:t>
      </w:r>
      <w:bookmarkEnd w:id="84"/>
    </w:p>
    <w:p w:rsidR="00B52BB0" w:rsidRDefault="00B52BB0" w:rsidP="003E074D">
      <w:pPr>
        <w:pStyle w:val="Heading5"/>
      </w:pPr>
      <w:r w:rsidRPr="001F62B7">
        <w:rPr>
          <w:i/>
        </w:rPr>
        <w:t>Conopomorpha sinensis</w:t>
      </w:r>
      <w:r w:rsidRPr="00ED2437">
        <w:t xml:space="preserve"> (EP)</w:t>
      </w:r>
    </w:p>
    <w:p w:rsidR="00B52BB0" w:rsidRDefault="00B52BB0" w:rsidP="003E074D">
      <w:r w:rsidRPr="00ED2437">
        <w:rPr>
          <w:i/>
          <w:iCs/>
        </w:rPr>
        <w:t>Conopomorpha sinensis</w:t>
      </w:r>
      <w:r>
        <w:t xml:space="preserve"> (Litchi fruit borer) is a moth in the family Gracillariidae. It is found throughout Asia and is a known pest of lychee and longan </w:t>
      </w:r>
      <w:r>
        <w:rPr>
          <w:noProof/>
        </w:rPr>
        <w:t>(Meng et al. 2018; Waite &amp; Hwang 2002)</w:t>
      </w:r>
      <w:r>
        <w:t>.</w:t>
      </w:r>
    </w:p>
    <w:p w:rsidR="00B52BB0" w:rsidRDefault="00B52BB0" w:rsidP="003E074D">
      <w:r w:rsidRPr="00ED2437">
        <w:rPr>
          <w:i/>
          <w:iCs/>
        </w:rPr>
        <w:t>Conopomorpha sinensis</w:t>
      </w:r>
      <w:r>
        <w:t xml:space="preserve"> has been assessed previously in the import policies for longan and lychees from China and Thailand </w:t>
      </w:r>
      <w:r>
        <w:rPr>
          <w:noProof/>
        </w:rPr>
        <w:t>(DAFF 2004)</w:t>
      </w:r>
      <w:r>
        <w:t xml:space="preserve">, and lychee fruit from Taiwan and Vietnam </w:t>
      </w:r>
      <w:r>
        <w:rPr>
          <w:noProof/>
        </w:rPr>
        <w:t>(DAFF 2013)</w:t>
      </w:r>
      <w:r>
        <w:t>. In those policies the unrestricted risk estimate was assessed as Low, which did not achieve the ALOP for Australia. Therefore, specific risk management measures are required for this pest on those pathways.</w:t>
      </w:r>
    </w:p>
    <w:p w:rsidR="00B52BB0" w:rsidRDefault="00B52BB0" w:rsidP="003E074D">
      <w:r>
        <w:t xml:space="preserve">The department has assessed the likelihood of importation of </w:t>
      </w:r>
      <w:r w:rsidRPr="007E6CD6">
        <w:rPr>
          <w:i/>
        </w:rPr>
        <w:t>C. sinensis</w:t>
      </w:r>
      <w:r>
        <w:t xml:space="preserve"> on the longan fruit from Vietnam pathway as being similar to the previous assessments of High for this species on other commodity/country pathways. </w:t>
      </w:r>
      <w:r w:rsidRPr="00894DB1">
        <w:rPr>
          <w:i/>
        </w:rPr>
        <w:t>Conopomorpha sinensis</w:t>
      </w:r>
      <w:r>
        <w:t xml:space="preserve"> lays eggs on longan trees, including directly onto the fruit. When the eggs hatch, the larvae burrow into the fruit to feed on the flesh and seed. While the entry hole may contain visible frass (fruit debris ejected by the larvae), or</w:t>
      </w:r>
      <w:r w:rsidRPr="00894DB1">
        <w:t xml:space="preserve"> </w:t>
      </w:r>
      <w:r>
        <w:t xml:space="preserve">infestation may begin to cause the fruit to rot, recent entry holes may not be detected on fruit that is harvested and packed. For these reasons, the likelihood of importation of </w:t>
      </w:r>
      <w:r w:rsidRPr="007E6CD6">
        <w:rPr>
          <w:i/>
        </w:rPr>
        <w:t>C. sinensis</w:t>
      </w:r>
      <w:r>
        <w:t xml:space="preserve"> on longan fruit from Vietnam is considered similar to previously made assessments of High.</w:t>
      </w:r>
    </w:p>
    <w:p w:rsidR="00B52BB0" w:rsidRDefault="00B52BB0" w:rsidP="003E074D">
      <w:r>
        <w:t xml:space="preserve">Previous assessments of </w:t>
      </w:r>
      <w:r>
        <w:rPr>
          <w:i/>
        </w:rPr>
        <w:t>C</w:t>
      </w:r>
      <w:r w:rsidRPr="008A3AA3">
        <w:rPr>
          <w:i/>
        </w:rPr>
        <w:t>. </w:t>
      </w:r>
      <w:r>
        <w:rPr>
          <w:i/>
        </w:rPr>
        <w:t xml:space="preserve">sinensis </w:t>
      </w:r>
      <w:r>
        <w:t xml:space="preserve">on other commodity/country pathways rated the likelihood of distribution as Moderate. Longan fruit from Vietnam are expected to be distributed in Australia in a similar way to other fruit commodities assessed previously. </w:t>
      </w:r>
      <w:r w:rsidR="007260D5" w:rsidRPr="00ED2437">
        <w:rPr>
          <w:i/>
          <w:iCs/>
        </w:rPr>
        <w:t>Conopomorpha</w:t>
      </w:r>
      <w:r w:rsidRPr="00ED2437">
        <w:rPr>
          <w:i/>
          <w:iCs/>
        </w:rPr>
        <w:t xml:space="preserve"> sinensis</w:t>
      </w:r>
      <w:r>
        <w:t xml:space="preserve"> only feeds on longan and lychees, but these hosts are available in parts of Australia. Adult </w:t>
      </w:r>
      <w:r w:rsidRPr="009C3497">
        <w:rPr>
          <w:i/>
        </w:rPr>
        <w:t>C. sinensis</w:t>
      </w:r>
      <w:r>
        <w:t xml:space="preserve"> are capable of flight, and would thus be able to find a suitable host if infested longans were discarded in the environment. There are climatic conditions suitable for the development of </w:t>
      </w:r>
      <w:r w:rsidRPr="009C3497">
        <w:rPr>
          <w:i/>
        </w:rPr>
        <w:t>C. sinensis</w:t>
      </w:r>
      <w:r>
        <w:t xml:space="preserve"> in those parts of Australia where longan and lychee fruit are grown. Due to the existence of suitable climatic conditions in Australia and the ability of </w:t>
      </w:r>
      <w:r w:rsidRPr="009C3497">
        <w:rPr>
          <w:i/>
        </w:rPr>
        <w:t>C. sinensis</w:t>
      </w:r>
      <w:r>
        <w:t xml:space="preserve"> to disperse to find hosts, moderated by its limited host range, the department has determined the likelihood of distribution for this species on the longan fruit from Vietnam pathway to be similar to previous assessments. Therefore, the same rating of Moderate for the likelihood of distribution of </w:t>
      </w:r>
      <w:r>
        <w:rPr>
          <w:i/>
        </w:rPr>
        <w:t>C. sinensis</w:t>
      </w:r>
      <w:r>
        <w:t xml:space="preserve"> is adopted for the longan fruit from Vietnam pathway.</w:t>
      </w:r>
    </w:p>
    <w:p w:rsidR="00B52BB0" w:rsidRDefault="00B52BB0" w:rsidP="003E074D">
      <w:r>
        <w:t xml:space="preserve">The likelihoods of establishment and spread of </w:t>
      </w:r>
      <w:r w:rsidRPr="00ED2437">
        <w:rPr>
          <w:i/>
          <w:iCs/>
        </w:rPr>
        <w:t>C.</w:t>
      </w:r>
      <w:r>
        <w:rPr>
          <w:i/>
          <w:iCs/>
        </w:rPr>
        <w:t> </w:t>
      </w:r>
      <w:r w:rsidRPr="00ED2437">
        <w:rPr>
          <w:i/>
          <w:iCs/>
        </w:rPr>
        <w:t>sinensis</w:t>
      </w:r>
      <w:r>
        <w:t xml:space="preserve"> in Australia are similar to previous assessments. Those likelihoods relate specifically to events that occur in Australia and are essentially independent of the import pathway. The consequences of entry, establishment and spread for </w:t>
      </w:r>
      <w:r w:rsidRPr="00ED2437">
        <w:rPr>
          <w:i/>
          <w:iCs/>
        </w:rPr>
        <w:t>C.</w:t>
      </w:r>
      <w:r>
        <w:rPr>
          <w:i/>
          <w:iCs/>
        </w:rPr>
        <w:t> </w:t>
      </w:r>
      <w:r w:rsidRPr="00ED2437">
        <w:rPr>
          <w:i/>
          <w:iCs/>
        </w:rPr>
        <w:t>sinensis</w:t>
      </w:r>
      <w:r>
        <w:t xml:space="preserve"> are also independent of the import pathway and are similar between pest risk assessments. Therefore, the existing ratings for the likelihoods of entry, establishment and spread and the rating for the overall consequences for </w:t>
      </w:r>
      <w:r w:rsidRPr="00ED2437">
        <w:rPr>
          <w:i/>
          <w:iCs/>
        </w:rPr>
        <w:t>C.</w:t>
      </w:r>
      <w:r>
        <w:rPr>
          <w:i/>
          <w:iCs/>
        </w:rPr>
        <w:t> </w:t>
      </w:r>
      <w:r w:rsidRPr="00ED2437">
        <w:rPr>
          <w:i/>
          <w:iCs/>
        </w:rPr>
        <w:t>sinensis</w:t>
      </w:r>
      <w:r>
        <w:t xml:space="preserve"> have been adopted for the longan fruit from Vietnam pathway.</w:t>
      </w:r>
    </w:p>
    <w:p w:rsidR="00B52BB0" w:rsidRDefault="00B52BB0" w:rsidP="003E074D">
      <w:r>
        <w:t xml:space="preserve">In addition, the department has reviewed the latest literature—for example </w:t>
      </w:r>
      <w:r>
        <w:rPr>
          <w:noProof/>
        </w:rPr>
        <w:t>Srivastava et al. (2016)</w:t>
      </w:r>
      <w:r>
        <w:t xml:space="preserve">, </w:t>
      </w:r>
      <w:r>
        <w:rPr>
          <w:noProof/>
        </w:rPr>
        <w:t>Li et al. (2014)</w:t>
      </w:r>
      <w:r>
        <w:t xml:space="preserve">, </w:t>
      </w:r>
      <w:r>
        <w:rPr>
          <w:noProof/>
        </w:rPr>
        <w:t>Meng et al. (2018)</w:t>
      </w:r>
      <w:r>
        <w:t xml:space="preserve"> and </w:t>
      </w:r>
      <w:r>
        <w:rPr>
          <w:noProof/>
        </w:rPr>
        <w:t>Ranjan (2013)</w:t>
      </w:r>
      <w:r>
        <w:t xml:space="preserve">—and no new information has been identified that would significantly change the risk ratings for importation, distribution, establishment, spread or consequences as set out for </w:t>
      </w:r>
      <w:r>
        <w:rPr>
          <w:i/>
          <w:iCs/>
        </w:rPr>
        <w:t>C. </w:t>
      </w:r>
      <w:r w:rsidRPr="00ED2437">
        <w:rPr>
          <w:i/>
          <w:iCs/>
        </w:rPr>
        <w:t>sinensis</w:t>
      </w:r>
      <w:r>
        <w:t xml:space="preserve"> in the existing policies.</w:t>
      </w:r>
    </w:p>
    <w:p w:rsidR="00B52BB0" w:rsidRPr="002A5D93" w:rsidRDefault="00B52BB0" w:rsidP="003E074D">
      <w:r w:rsidRPr="00BC7643">
        <w:lastRenderedPageBreak/>
        <w:t xml:space="preserve">While the likelihood of establishment for </w:t>
      </w:r>
      <w:r w:rsidRPr="000650E2">
        <w:rPr>
          <w:i/>
        </w:rPr>
        <w:t>C. sinensis</w:t>
      </w:r>
      <w:r w:rsidRPr="00BC7643">
        <w:t xml:space="preserve"> on the longan fruit from Vietnam pathway was rated as Low, the likelihood of importation was rated as High and the likelihoods of distribution and spread and the consequences of entry, establishment, and spread were rated as Moderate. When these likelihood and consequences ratings are combined using the rules presented in </w:t>
      </w:r>
      <w:r>
        <w:fldChar w:fldCharType="begin"/>
      </w:r>
      <w:r>
        <w:instrText xml:space="preserve"> REF _Ref457826328 \h </w:instrText>
      </w:r>
      <w:r>
        <w:fldChar w:fldCharType="separate"/>
      </w:r>
      <w:r w:rsidR="00EA7374">
        <w:t xml:space="preserve">Table </w:t>
      </w:r>
      <w:r w:rsidR="00EA7374">
        <w:rPr>
          <w:noProof/>
        </w:rPr>
        <w:t>2</w:t>
      </w:r>
      <w:r w:rsidR="00EA7374">
        <w:t>.</w:t>
      </w:r>
      <w:r w:rsidR="00EA7374">
        <w:rPr>
          <w:noProof/>
        </w:rPr>
        <w:t>2</w:t>
      </w:r>
      <w:r>
        <w:fldChar w:fldCharType="end"/>
      </w:r>
      <w:r w:rsidRPr="00BC7643">
        <w:t xml:space="preserve"> and </w:t>
      </w:r>
      <w:r>
        <w:fldChar w:fldCharType="begin"/>
      </w:r>
      <w:r>
        <w:instrText xml:space="preserve"> REF _Ref457826369 \h </w:instrText>
      </w:r>
      <w:r>
        <w:fldChar w:fldCharType="separate"/>
      </w:r>
      <w:r w:rsidR="00EA7374">
        <w:t xml:space="preserve">Table </w:t>
      </w:r>
      <w:r w:rsidR="00EA7374">
        <w:rPr>
          <w:noProof/>
        </w:rPr>
        <w:t>2</w:t>
      </w:r>
      <w:r w:rsidR="00EA7374">
        <w:t>.</w:t>
      </w:r>
      <w:r w:rsidR="00EA7374">
        <w:rPr>
          <w:noProof/>
        </w:rPr>
        <w:t>5</w:t>
      </w:r>
      <w:r>
        <w:fldChar w:fldCharType="end"/>
      </w:r>
      <w:r w:rsidRPr="00BC7643">
        <w:t xml:space="preserve">, the unrestricted risk is determined to be Low. </w:t>
      </w:r>
      <w:r>
        <w:t xml:space="preserve">All likelihood ratings are set out in </w:t>
      </w:r>
      <w:r>
        <w:fldChar w:fldCharType="begin"/>
      </w:r>
      <w:r>
        <w:instrText xml:space="preserve"> REF _Ref526350919 \h </w:instrText>
      </w:r>
      <w:r>
        <w:fldChar w:fldCharType="separate"/>
      </w:r>
      <w:r w:rsidR="00EA7374">
        <w:t xml:space="preserve">Table </w:t>
      </w:r>
      <w:r w:rsidR="00EA7374">
        <w:rPr>
          <w:noProof/>
        </w:rPr>
        <w:t>4</w:t>
      </w:r>
      <w:r w:rsidR="00EA7374">
        <w:t>.</w:t>
      </w:r>
      <w:r w:rsidR="00EA7374">
        <w:rPr>
          <w:noProof/>
        </w:rPr>
        <w:t>5</w:t>
      </w:r>
      <w:r>
        <w:fldChar w:fldCharType="end"/>
      </w:r>
      <w:r>
        <w:t>.</w:t>
      </w:r>
    </w:p>
    <w:p w:rsidR="00B52BB0" w:rsidRDefault="00B52BB0" w:rsidP="003E074D">
      <w:pPr>
        <w:pStyle w:val="Heading5"/>
      </w:pPr>
      <w:r w:rsidRPr="00ED2437">
        <w:t>Unrestricted risk estimate</w:t>
      </w:r>
    </w:p>
    <w:p w:rsidR="00B52BB0" w:rsidRDefault="00B52BB0" w:rsidP="003E074D">
      <w:r>
        <w:t xml:space="preserve">The unrestricted risk estimate for </w:t>
      </w:r>
      <w:r w:rsidRPr="00ED2437">
        <w:rPr>
          <w:i/>
          <w:iCs/>
        </w:rPr>
        <w:t>C</w:t>
      </w:r>
      <w:r>
        <w:rPr>
          <w:i/>
          <w:iCs/>
        </w:rPr>
        <w:t>. </w:t>
      </w:r>
      <w:r w:rsidRPr="00ED2437">
        <w:rPr>
          <w:i/>
          <w:iCs/>
        </w:rPr>
        <w:t>sinensis</w:t>
      </w:r>
      <w:r>
        <w:t xml:space="preserve"> from the longan fruit from Vietnam pathway is assessed as Low, which is identical to the outcomes of previous assessments, and which does not achieve the ALOP for Australia. Therefore, specific risk management measures are required for this pest.</w:t>
      </w:r>
      <w:r>
        <w:br w:type="page"/>
      </w:r>
    </w:p>
    <w:p w:rsidR="00B52BB0" w:rsidRDefault="00B52BB0" w:rsidP="003E074D">
      <w:pPr>
        <w:pStyle w:val="Heading3"/>
      </w:pPr>
      <w:bookmarkStart w:id="86" w:name="_Ref523924173"/>
      <w:bookmarkStart w:id="87" w:name="_Toc7607682"/>
      <w:r>
        <w:lastRenderedPageBreak/>
        <w:t>R</w:t>
      </w:r>
      <w:r w:rsidRPr="005723ED">
        <w:t>egulated thrips</w:t>
      </w:r>
      <w:r>
        <w:t xml:space="preserve"> as vectors of</w:t>
      </w:r>
      <w:r w:rsidRPr="005723ED">
        <w:t xml:space="preserve"> </w:t>
      </w:r>
      <w:r>
        <w:t>e</w:t>
      </w:r>
      <w:r w:rsidRPr="005723ED">
        <w:t xml:space="preserve">merging </w:t>
      </w:r>
      <w:r>
        <w:t xml:space="preserve">quarantine </w:t>
      </w:r>
      <w:r w:rsidRPr="005723ED">
        <w:t>orthotospoviruses</w:t>
      </w:r>
      <w:bookmarkEnd w:id="86"/>
      <w:bookmarkEnd w:id="87"/>
    </w:p>
    <w:p w:rsidR="00B52BB0" w:rsidRPr="00DA2CDD" w:rsidRDefault="00B52BB0" w:rsidP="003E074D">
      <w:pPr>
        <w:pStyle w:val="Heading5"/>
        <w:rPr>
          <w:iCs/>
        </w:rPr>
      </w:pPr>
      <w:r w:rsidRPr="00D964B6">
        <w:rPr>
          <w:i/>
          <w:iCs/>
        </w:rPr>
        <w:t>Scirtothrips dorsalis</w:t>
      </w:r>
      <w:r w:rsidRPr="00DA2CDD">
        <w:rPr>
          <w:iCs/>
        </w:rPr>
        <w:t xml:space="preserve">, </w:t>
      </w:r>
      <w:r w:rsidRPr="00D964B6">
        <w:rPr>
          <w:i/>
          <w:iCs/>
        </w:rPr>
        <w:t>Thrips tabaci</w:t>
      </w:r>
    </w:p>
    <w:p w:rsidR="00B52BB0" w:rsidRDefault="00B52BB0" w:rsidP="003E074D">
      <w:r w:rsidRPr="0081148D">
        <w:t xml:space="preserve">No thrips species </w:t>
      </w:r>
      <w:r>
        <w:t xml:space="preserve">that are quarantine pests for Australia </w:t>
      </w:r>
      <w:r w:rsidRPr="0081148D">
        <w:t xml:space="preserve">were identified on the </w:t>
      </w:r>
      <w:r>
        <w:t xml:space="preserve">fresh </w:t>
      </w:r>
      <w:r w:rsidRPr="0081148D">
        <w:t xml:space="preserve">longan </w:t>
      </w:r>
      <w:r>
        <w:t xml:space="preserve">fruit </w:t>
      </w:r>
      <w:r w:rsidRPr="0081148D">
        <w:t xml:space="preserve">from Vietnam pathway. However, </w:t>
      </w:r>
      <w:r w:rsidRPr="00D964B6">
        <w:rPr>
          <w:i/>
          <w:iCs/>
        </w:rPr>
        <w:t>Scirtothrips dorsalis</w:t>
      </w:r>
      <w:r w:rsidRPr="0081148D">
        <w:t xml:space="preserve"> and </w:t>
      </w:r>
      <w:r w:rsidRPr="00D964B6">
        <w:rPr>
          <w:i/>
          <w:iCs/>
        </w:rPr>
        <w:t>Thrips tabaci</w:t>
      </w:r>
      <w:r w:rsidRPr="0081148D">
        <w:t xml:space="preserve"> are </w:t>
      </w:r>
      <w:r w:rsidRPr="003A5B91">
        <w:t>identified as regulated articles because they are capable of harbouring and spreading (vectoring) emerging</w:t>
      </w:r>
      <w:r w:rsidRPr="0081148D">
        <w:t xml:space="preserve"> </w:t>
      </w:r>
      <w:r w:rsidRPr="003A5B91">
        <w:t xml:space="preserve">orthotospoviruses that are quarantine pests for Australia, as detailed in the thrips </w:t>
      </w:r>
      <w:r>
        <w:t>G</w:t>
      </w:r>
      <w:r w:rsidRPr="003A5B91">
        <w:t xml:space="preserve">roup PRA </w:t>
      </w:r>
      <w:r>
        <w:rPr>
          <w:noProof/>
        </w:rPr>
        <w:t>(Australian Government Department of Agriculture and Water Resources 2017)</w:t>
      </w:r>
      <w:r w:rsidRPr="003A5B91">
        <w:t>.</w:t>
      </w:r>
    </w:p>
    <w:p w:rsidR="00B52BB0" w:rsidRDefault="00B52BB0" w:rsidP="003E074D">
      <w:r w:rsidRPr="003A5B91">
        <w:t xml:space="preserve">A regulated article is defined by the IPPC as ‘Any plant, plant product, storage place, packaging, conveyance, container, soil and any other organism, object or material capable of harbouring or spreading pests, deemed to require phytosanitary measures, particularly where international transportation is involved’ </w:t>
      </w:r>
      <w:r>
        <w:rPr>
          <w:noProof/>
        </w:rPr>
        <w:t>(FAO 2019a)</w:t>
      </w:r>
      <w:r w:rsidRPr="003A5B91">
        <w:t xml:space="preserve">. For readability and simplicity, </w:t>
      </w:r>
      <w:r w:rsidRPr="00D964B6">
        <w:rPr>
          <w:i/>
          <w:iCs/>
        </w:rPr>
        <w:t>S</w:t>
      </w:r>
      <w:r>
        <w:rPr>
          <w:i/>
          <w:iCs/>
        </w:rPr>
        <w:t>. </w:t>
      </w:r>
      <w:r w:rsidRPr="00D964B6">
        <w:rPr>
          <w:i/>
          <w:iCs/>
        </w:rPr>
        <w:t>dorsalis</w:t>
      </w:r>
      <w:r w:rsidRPr="0081148D">
        <w:t xml:space="preserve"> </w:t>
      </w:r>
      <w:r w:rsidRPr="003A5B91">
        <w:t xml:space="preserve">and </w:t>
      </w:r>
      <w:r w:rsidRPr="003A5B91">
        <w:rPr>
          <w:i/>
        </w:rPr>
        <w:t>T</w:t>
      </w:r>
      <w:r>
        <w:rPr>
          <w:i/>
        </w:rPr>
        <w:t>.</w:t>
      </w:r>
      <w:r w:rsidRPr="003A5B91">
        <w:rPr>
          <w:i/>
        </w:rPr>
        <w:t> tabaci</w:t>
      </w:r>
      <w:r w:rsidRPr="003A5B91">
        <w:t xml:space="preserve"> are referred to as ‘regulated thrips’ in this document</w:t>
      </w:r>
      <w:r>
        <w:t>, where appropriate</w:t>
      </w:r>
      <w:r w:rsidRPr="003A5B91">
        <w:t>.</w:t>
      </w:r>
    </w:p>
    <w:p w:rsidR="00B52BB0" w:rsidRDefault="00B52BB0" w:rsidP="003E074D">
      <w:r w:rsidRPr="00B670F2">
        <w:t xml:space="preserve">The indicative likelihood of entry for all thrips is assessed in the thrips </w:t>
      </w:r>
      <w:r>
        <w:t>G</w:t>
      </w:r>
      <w:r w:rsidRPr="00B670F2">
        <w:t>roup PRA as Moderate. This indicative likelihood is also relevant to regulated thrips that transmit quarantine orthotospoviruses. After assessment of relevant pathway-specific factors (see</w:t>
      </w:r>
      <w:r>
        <w:t xml:space="preserve"> Section</w:t>
      </w:r>
      <w:r w:rsidRPr="00B670F2">
        <w:t xml:space="preserve"> </w:t>
      </w:r>
      <w:r>
        <w:fldChar w:fldCharType="begin"/>
      </w:r>
      <w:r>
        <w:instrText xml:space="preserve"> REF _Ref523924658 \r \h </w:instrText>
      </w:r>
      <w:r>
        <w:fldChar w:fldCharType="separate"/>
      </w:r>
      <w:r w:rsidR="00EA7374">
        <w:t>2.2.7</w:t>
      </w:r>
      <w:r>
        <w:fldChar w:fldCharType="end"/>
      </w:r>
      <w:r w:rsidRPr="00B670F2">
        <w:t xml:space="preserve">) for </w:t>
      </w:r>
      <w:r>
        <w:t>fresh longan fruit</w:t>
      </w:r>
      <w:r w:rsidRPr="00B670F2">
        <w:t xml:space="preserve"> from </w:t>
      </w:r>
      <w:r>
        <w:t>Vietnam</w:t>
      </w:r>
      <w:r w:rsidRPr="00B670F2">
        <w:t>, likelihoods of entry of Moderate were verified as appropriate for these regulated thrips (</w:t>
      </w:r>
      <w:r>
        <w:fldChar w:fldCharType="begin"/>
      </w:r>
      <w:r>
        <w:instrText xml:space="preserve"> REF _Ref523319346 \h </w:instrText>
      </w:r>
      <w:r>
        <w:fldChar w:fldCharType="separate"/>
      </w:r>
      <w:r w:rsidR="00EA7374">
        <w:t xml:space="preserve">Table </w:t>
      </w:r>
      <w:r w:rsidR="00EA7374">
        <w:rPr>
          <w:noProof/>
        </w:rPr>
        <w:t>4</w:t>
      </w:r>
      <w:r w:rsidR="00EA7374">
        <w:t>.</w:t>
      </w:r>
      <w:r w:rsidR="00EA7374">
        <w:rPr>
          <w:noProof/>
        </w:rPr>
        <w:t>3</w:t>
      </w:r>
      <w:r>
        <w:fldChar w:fldCharType="end"/>
      </w:r>
      <w:r w:rsidRPr="00B670F2">
        <w:t>).</w:t>
      </w:r>
    </w:p>
    <w:p w:rsidR="00B52BB0" w:rsidRDefault="00B52BB0" w:rsidP="003E074D">
      <w:pPr>
        <w:pStyle w:val="Caption"/>
      </w:pPr>
      <w:bookmarkStart w:id="88" w:name="_Ref523319346"/>
      <w:bookmarkStart w:id="89" w:name="_Toc7607551"/>
      <w:r>
        <w:t xml:space="preserve">Table </w:t>
      </w:r>
      <w:r>
        <w:rPr>
          <w:noProof/>
        </w:rPr>
        <w:fldChar w:fldCharType="begin"/>
      </w:r>
      <w:r>
        <w:rPr>
          <w:noProof/>
        </w:rPr>
        <w:instrText xml:space="preserve"> STYLEREF 2 \s </w:instrText>
      </w:r>
      <w:r>
        <w:rPr>
          <w:noProof/>
        </w:rPr>
        <w:fldChar w:fldCharType="separate"/>
      </w:r>
      <w:r w:rsidR="00EA7374">
        <w:rPr>
          <w:noProof/>
        </w:rPr>
        <w:t>4</w:t>
      </w:r>
      <w:r>
        <w:rPr>
          <w:noProof/>
        </w:rPr>
        <w:fldChar w:fldCharType="end"/>
      </w:r>
      <w:r>
        <w:t>.</w:t>
      </w:r>
      <w:r>
        <w:rPr>
          <w:noProof/>
        </w:rPr>
        <w:fldChar w:fldCharType="begin"/>
      </w:r>
      <w:r>
        <w:rPr>
          <w:noProof/>
        </w:rPr>
        <w:instrText xml:space="preserve"> SEQ Table \* ARABIC \s 2 </w:instrText>
      </w:r>
      <w:r>
        <w:rPr>
          <w:noProof/>
        </w:rPr>
        <w:fldChar w:fldCharType="separate"/>
      </w:r>
      <w:r w:rsidR="00EA7374">
        <w:rPr>
          <w:noProof/>
        </w:rPr>
        <w:t>3</w:t>
      </w:r>
      <w:r>
        <w:rPr>
          <w:noProof/>
        </w:rPr>
        <w:fldChar w:fldCharType="end"/>
      </w:r>
      <w:bookmarkEnd w:id="88"/>
      <w:r>
        <w:t xml:space="preserve"> Regulated thrips species for longan fruit from Vietnam</w:t>
      </w:r>
      <w:bookmarkEnd w:id="8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0"/>
        <w:gridCol w:w="1510"/>
        <w:gridCol w:w="1510"/>
        <w:gridCol w:w="1510"/>
        <w:gridCol w:w="1510"/>
        <w:gridCol w:w="1510"/>
      </w:tblGrid>
      <w:tr w:rsidR="00B52BB0" w:rsidTr="003E074D">
        <w:trPr>
          <w:cantSplit/>
          <w:trHeight w:val="74"/>
        </w:trPr>
        <w:tc>
          <w:tcPr>
            <w:tcW w:w="1510" w:type="dxa"/>
            <w:tcBorders>
              <w:top w:val="single" w:sz="4" w:space="0" w:color="auto"/>
            </w:tcBorders>
          </w:tcPr>
          <w:p w:rsidR="00B52BB0" w:rsidRDefault="00B52BB0" w:rsidP="003E074D">
            <w:pPr>
              <w:pStyle w:val="TableHeading"/>
              <w:spacing w:after="0"/>
            </w:pPr>
            <w:r>
              <w:t>Pest</w:t>
            </w:r>
          </w:p>
        </w:tc>
        <w:tc>
          <w:tcPr>
            <w:tcW w:w="1510" w:type="dxa"/>
            <w:tcBorders>
              <w:top w:val="single" w:sz="4" w:space="0" w:color="auto"/>
            </w:tcBorders>
          </w:tcPr>
          <w:p w:rsidR="00B52BB0" w:rsidRDefault="00B52BB0" w:rsidP="003E074D">
            <w:pPr>
              <w:pStyle w:val="TableHeading"/>
              <w:spacing w:after="0"/>
            </w:pPr>
            <w:r>
              <w:t>In thrips group PRA</w:t>
            </w:r>
          </w:p>
        </w:tc>
        <w:tc>
          <w:tcPr>
            <w:tcW w:w="1510" w:type="dxa"/>
            <w:tcBorders>
              <w:top w:val="single" w:sz="4" w:space="0" w:color="auto"/>
            </w:tcBorders>
          </w:tcPr>
          <w:p w:rsidR="00B52BB0" w:rsidRDefault="00B52BB0" w:rsidP="003E074D">
            <w:pPr>
              <w:pStyle w:val="TableHeading"/>
              <w:spacing w:after="0"/>
            </w:pPr>
            <w:r>
              <w:t>Quarantine pests</w:t>
            </w:r>
          </w:p>
        </w:tc>
        <w:tc>
          <w:tcPr>
            <w:tcW w:w="1510" w:type="dxa"/>
            <w:tcBorders>
              <w:top w:val="single" w:sz="4" w:space="0" w:color="auto"/>
            </w:tcBorders>
          </w:tcPr>
          <w:p w:rsidR="00B52BB0" w:rsidRDefault="00B52BB0" w:rsidP="003E074D">
            <w:pPr>
              <w:pStyle w:val="TableHeading"/>
              <w:spacing w:after="0"/>
            </w:pPr>
            <w:r>
              <w:t>Regulated thrips</w:t>
            </w:r>
          </w:p>
        </w:tc>
        <w:tc>
          <w:tcPr>
            <w:tcW w:w="1510" w:type="dxa"/>
            <w:tcBorders>
              <w:top w:val="single" w:sz="4" w:space="0" w:color="auto"/>
            </w:tcBorders>
          </w:tcPr>
          <w:p w:rsidR="00B52BB0" w:rsidRDefault="00B52BB0" w:rsidP="003E074D">
            <w:pPr>
              <w:pStyle w:val="TableHeading"/>
              <w:spacing w:after="0"/>
            </w:pPr>
            <w:r>
              <w:t>On longan pathway</w:t>
            </w:r>
          </w:p>
        </w:tc>
        <w:tc>
          <w:tcPr>
            <w:tcW w:w="1510" w:type="dxa"/>
            <w:tcBorders>
              <w:top w:val="single" w:sz="4" w:space="0" w:color="auto"/>
            </w:tcBorders>
          </w:tcPr>
          <w:p w:rsidR="00B52BB0" w:rsidRDefault="00B52BB0" w:rsidP="003E074D">
            <w:pPr>
              <w:pStyle w:val="TableHeading"/>
              <w:spacing w:after="0"/>
            </w:pPr>
            <w:r>
              <w:t>Moderate indicative likelihood of entry for thrips verified</w:t>
            </w:r>
          </w:p>
        </w:tc>
      </w:tr>
      <w:tr w:rsidR="00B52BB0" w:rsidTr="003E074D">
        <w:trPr>
          <w:cantSplit/>
          <w:trHeight w:val="74"/>
        </w:trPr>
        <w:tc>
          <w:tcPr>
            <w:tcW w:w="1510" w:type="dxa"/>
          </w:tcPr>
          <w:p w:rsidR="00B52BB0" w:rsidRPr="00F15518" w:rsidRDefault="00B52BB0" w:rsidP="003E074D">
            <w:pPr>
              <w:spacing w:before="0" w:after="0" w:line="240" w:lineRule="auto"/>
              <w:rPr>
                <w:i/>
                <w:iCs/>
                <w:szCs w:val="18"/>
              </w:rPr>
            </w:pPr>
            <w:r w:rsidRPr="00F15518">
              <w:rPr>
                <w:i/>
                <w:iCs/>
                <w:szCs w:val="18"/>
              </w:rPr>
              <w:t>Scirtothrips dorsalis</w:t>
            </w:r>
          </w:p>
        </w:tc>
        <w:tc>
          <w:tcPr>
            <w:tcW w:w="1510" w:type="dxa"/>
          </w:tcPr>
          <w:p w:rsidR="00B52BB0" w:rsidRPr="00F15518" w:rsidRDefault="00B52BB0" w:rsidP="003E074D">
            <w:pPr>
              <w:spacing w:after="0"/>
              <w:rPr>
                <w:szCs w:val="18"/>
              </w:rPr>
            </w:pPr>
            <w:r w:rsidRPr="00F15518">
              <w:rPr>
                <w:szCs w:val="18"/>
              </w:rPr>
              <w:t>Yes</w:t>
            </w:r>
          </w:p>
        </w:tc>
        <w:tc>
          <w:tcPr>
            <w:tcW w:w="1510" w:type="dxa"/>
          </w:tcPr>
          <w:p w:rsidR="00B52BB0" w:rsidRPr="00F15518" w:rsidRDefault="00B52BB0" w:rsidP="003E074D">
            <w:pPr>
              <w:spacing w:after="0"/>
              <w:rPr>
                <w:szCs w:val="18"/>
              </w:rPr>
            </w:pPr>
            <w:r w:rsidRPr="00F15518">
              <w:rPr>
                <w:szCs w:val="18"/>
              </w:rPr>
              <w:t>No</w:t>
            </w:r>
          </w:p>
        </w:tc>
        <w:tc>
          <w:tcPr>
            <w:tcW w:w="1510" w:type="dxa"/>
          </w:tcPr>
          <w:p w:rsidR="00B52BB0" w:rsidRPr="00F15518" w:rsidRDefault="00B52BB0" w:rsidP="003E074D">
            <w:pPr>
              <w:spacing w:after="0"/>
              <w:rPr>
                <w:szCs w:val="18"/>
              </w:rPr>
            </w:pPr>
            <w:r w:rsidRPr="00F15518">
              <w:rPr>
                <w:szCs w:val="18"/>
              </w:rPr>
              <w:t>Yes</w:t>
            </w:r>
          </w:p>
        </w:tc>
        <w:tc>
          <w:tcPr>
            <w:tcW w:w="1510" w:type="dxa"/>
          </w:tcPr>
          <w:p w:rsidR="00B52BB0" w:rsidRPr="00F15518" w:rsidRDefault="00B52BB0" w:rsidP="003E074D">
            <w:pPr>
              <w:spacing w:after="0"/>
              <w:rPr>
                <w:szCs w:val="18"/>
              </w:rPr>
            </w:pPr>
            <w:r w:rsidRPr="00F15518">
              <w:rPr>
                <w:szCs w:val="18"/>
              </w:rPr>
              <w:t>Yes</w:t>
            </w:r>
          </w:p>
        </w:tc>
        <w:tc>
          <w:tcPr>
            <w:tcW w:w="1510" w:type="dxa"/>
          </w:tcPr>
          <w:p w:rsidR="00B52BB0" w:rsidRPr="00F15518" w:rsidRDefault="00B52BB0" w:rsidP="003E074D">
            <w:pPr>
              <w:spacing w:after="0"/>
              <w:rPr>
                <w:szCs w:val="18"/>
              </w:rPr>
            </w:pPr>
            <w:r w:rsidRPr="00F15518">
              <w:rPr>
                <w:szCs w:val="18"/>
              </w:rPr>
              <w:t>Yes</w:t>
            </w:r>
          </w:p>
        </w:tc>
      </w:tr>
      <w:tr w:rsidR="00B52BB0" w:rsidTr="003E074D">
        <w:trPr>
          <w:cantSplit/>
          <w:trHeight w:val="74"/>
        </w:trPr>
        <w:tc>
          <w:tcPr>
            <w:tcW w:w="1510" w:type="dxa"/>
            <w:tcBorders>
              <w:bottom w:val="single" w:sz="4" w:space="0" w:color="auto"/>
            </w:tcBorders>
          </w:tcPr>
          <w:p w:rsidR="00B52BB0" w:rsidRPr="00F15518" w:rsidRDefault="00B52BB0" w:rsidP="003E074D">
            <w:pPr>
              <w:spacing w:after="0"/>
              <w:rPr>
                <w:i/>
                <w:iCs/>
                <w:szCs w:val="18"/>
              </w:rPr>
            </w:pPr>
            <w:r w:rsidRPr="00F15518">
              <w:rPr>
                <w:i/>
                <w:iCs/>
                <w:szCs w:val="18"/>
              </w:rPr>
              <w:t>Thrips tabaci</w:t>
            </w:r>
          </w:p>
        </w:tc>
        <w:tc>
          <w:tcPr>
            <w:tcW w:w="1510" w:type="dxa"/>
            <w:tcBorders>
              <w:bottom w:val="single" w:sz="4" w:space="0" w:color="auto"/>
            </w:tcBorders>
          </w:tcPr>
          <w:p w:rsidR="00B52BB0" w:rsidRPr="00F15518" w:rsidRDefault="00B52BB0" w:rsidP="003E074D">
            <w:pPr>
              <w:spacing w:after="0"/>
              <w:rPr>
                <w:szCs w:val="18"/>
              </w:rPr>
            </w:pPr>
            <w:r w:rsidRPr="00F15518">
              <w:rPr>
                <w:szCs w:val="18"/>
              </w:rPr>
              <w:t>Yes</w:t>
            </w:r>
          </w:p>
        </w:tc>
        <w:tc>
          <w:tcPr>
            <w:tcW w:w="1510" w:type="dxa"/>
            <w:tcBorders>
              <w:bottom w:val="single" w:sz="4" w:space="0" w:color="auto"/>
            </w:tcBorders>
          </w:tcPr>
          <w:p w:rsidR="00B52BB0" w:rsidRPr="00F15518" w:rsidRDefault="00B52BB0" w:rsidP="003E074D">
            <w:pPr>
              <w:spacing w:after="0"/>
              <w:rPr>
                <w:szCs w:val="18"/>
              </w:rPr>
            </w:pPr>
            <w:r w:rsidRPr="00F15518">
              <w:rPr>
                <w:szCs w:val="18"/>
              </w:rPr>
              <w:t>No</w:t>
            </w:r>
          </w:p>
        </w:tc>
        <w:tc>
          <w:tcPr>
            <w:tcW w:w="1510" w:type="dxa"/>
            <w:tcBorders>
              <w:bottom w:val="single" w:sz="4" w:space="0" w:color="auto"/>
            </w:tcBorders>
          </w:tcPr>
          <w:p w:rsidR="00B52BB0" w:rsidRPr="00F15518" w:rsidRDefault="00B52BB0" w:rsidP="003E074D">
            <w:pPr>
              <w:spacing w:after="0"/>
              <w:rPr>
                <w:szCs w:val="18"/>
              </w:rPr>
            </w:pPr>
            <w:r w:rsidRPr="00F15518">
              <w:rPr>
                <w:szCs w:val="18"/>
              </w:rPr>
              <w:t>Yes</w:t>
            </w:r>
          </w:p>
        </w:tc>
        <w:tc>
          <w:tcPr>
            <w:tcW w:w="1510" w:type="dxa"/>
            <w:tcBorders>
              <w:bottom w:val="single" w:sz="4" w:space="0" w:color="auto"/>
            </w:tcBorders>
          </w:tcPr>
          <w:p w:rsidR="00B52BB0" w:rsidRPr="00F15518" w:rsidRDefault="00B52BB0" w:rsidP="003E074D">
            <w:pPr>
              <w:spacing w:after="0"/>
              <w:rPr>
                <w:szCs w:val="18"/>
              </w:rPr>
            </w:pPr>
            <w:r w:rsidRPr="00F15518">
              <w:rPr>
                <w:szCs w:val="18"/>
              </w:rPr>
              <w:t>Yes</w:t>
            </w:r>
          </w:p>
        </w:tc>
        <w:tc>
          <w:tcPr>
            <w:tcW w:w="1510" w:type="dxa"/>
            <w:tcBorders>
              <w:bottom w:val="single" w:sz="4" w:space="0" w:color="auto"/>
            </w:tcBorders>
          </w:tcPr>
          <w:p w:rsidR="00B52BB0" w:rsidRPr="00F15518" w:rsidRDefault="00B52BB0" w:rsidP="003E074D">
            <w:pPr>
              <w:spacing w:after="0"/>
              <w:rPr>
                <w:szCs w:val="18"/>
              </w:rPr>
            </w:pPr>
            <w:r w:rsidRPr="00F15518">
              <w:rPr>
                <w:szCs w:val="18"/>
              </w:rPr>
              <w:t>Yes</w:t>
            </w:r>
          </w:p>
        </w:tc>
      </w:tr>
    </w:tbl>
    <w:p w:rsidR="00B52BB0" w:rsidRDefault="00B52BB0" w:rsidP="003E074D">
      <w:pPr>
        <w:spacing w:before="200"/>
      </w:pPr>
      <w:r>
        <w:t xml:space="preserve">A summary of the risk assessment for quarantine orthotospoviruses transmitted by thrips is presented in </w:t>
      </w:r>
      <w:r>
        <w:fldChar w:fldCharType="begin"/>
      </w:r>
      <w:r>
        <w:instrText xml:space="preserve"> REF _Ref519756091 \h </w:instrText>
      </w:r>
      <w:r>
        <w:fldChar w:fldCharType="separate"/>
      </w:r>
      <w:r w:rsidR="00EA7374">
        <w:t xml:space="preserve">Table </w:t>
      </w:r>
      <w:r w:rsidR="00EA7374">
        <w:rPr>
          <w:noProof/>
        </w:rPr>
        <w:t>4</w:t>
      </w:r>
      <w:r w:rsidR="00EA7374">
        <w:t>.</w:t>
      </w:r>
      <w:r w:rsidR="00EA7374">
        <w:rPr>
          <w:noProof/>
        </w:rPr>
        <w:t>4</w:t>
      </w:r>
      <w:r>
        <w:fldChar w:fldCharType="end"/>
      </w:r>
      <w:r>
        <w:t xml:space="preserve"> for convenience.</w:t>
      </w:r>
    </w:p>
    <w:p w:rsidR="00B52BB0" w:rsidRDefault="00B52BB0" w:rsidP="003E074D">
      <w:pPr>
        <w:pStyle w:val="Caption"/>
      </w:pPr>
      <w:bookmarkStart w:id="90" w:name="_Ref519756091"/>
      <w:bookmarkStart w:id="91" w:name="_Toc7607552"/>
      <w:r>
        <w:t xml:space="preserve">Table </w:t>
      </w:r>
      <w:r>
        <w:rPr>
          <w:noProof/>
        </w:rPr>
        <w:fldChar w:fldCharType="begin"/>
      </w:r>
      <w:r>
        <w:rPr>
          <w:noProof/>
        </w:rPr>
        <w:instrText xml:space="preserve"> STYLEREF 2 \s </w:instrText>
      </w:r>
      <w:r>
        <w:rPr>
          <w:noProof/>
        </w:rPr>
        <w:fldChar w:fldCharType="separate"/>
      </w:r>
      <w:r w:rsidR="00EA7374">
        <w:rPr>
          <w:noProof/>
        </w:rPr>
        <w:t>4</w:t>
      </w:r>
      <w:r>
        <w:rPr>
          <w:noProof/>
        </w:rPr>
        <w:fldChar w:fldCharType="end"/>
      </w:r>
      <w:r>
        <w:t>.</w:t>
      </w:r>
      <w:r>
        <w:rPr>
          <w:noProof/>
        </w:rPr>
        <w:fldChar w:fldCharType="begin"/>
      </w:r>
      <w:r>
        <w:rPr>
          <w:noProof/>
        </w:rPr>
        <w:instrText xml:space="preserve"> SEQ Table \* ARABIC \s 2 </w:instrText>
      </w:r>
      <w:r>
        <w:rPr>
          <w:noProof/>
        </w:rPr>
        <w:fldChar w:fldCharType="separate"/>
      </w:r>
      <w:r w:rsidR="00EA7374">
        <w:rPr>
          <w:noProof/>
        </w:rPr>
        <w:t>4</w:t>
      </w:r>
      <w:r>
        <w:rPr>
          <w:noProof/>
        </w:rPr>
        <w:fldChar w:fldCharType="end"/>
      </w:r>
      <w:bookmarkEnd w:id="90"/>
      <w:r>
        <w:t xml:space="preserve"> Risk estimates for emerging quarantine orthotospoviruses vectored by regulated thrips</w:t>
      </w:r>
      <w:bookmarkEnd w:id="91"/>
    </w:p>
    <w:tbl>
      <w:tblPr>
        <w:tblW w:w="5000" w:type="pct"/>
        <w:tblLook w:val="01E0" w:firstRow="1" w:lastRow="1" w:firstColumn="1" w:lastColumn="1" w:noHBand="0" w:noVBand="0"/>
      </w:tblPr>
      <w:tblGrid>
        <w:gridCol w:w="5386"/>
        <w:gridCol w:w="3684"/>
      </w:tblGrid>
      <w:tr w:rsidR="00B52BB0" w:rsidRPr="00223D6E" w:rsidTr="003E074D">
        <w:tc>
          <w:tcPr>
            <w:tcW w:w="2969" w:type="pct"/>
            <w:tcBorders>
              <w:top w:val="single" w:sz="4" w:space="0" w:color="auto"/>
            </w:tcBorders>
            <w:shd w:val="clear" w:color="auto" w:fill="auto"/>
          </w:tcPr>
          <w:p w:rsidR="00B52BB0" w:rsidRPr="00223D6E" w:rsidRDefault="00B52BB0" w:rsidP="003E074D">
            <w:pPr>
              <w:pStyle w:val="TableHeading"/>
            </w:pPr>
            <w:r w:rsidRPr="00223D6E">
              <w:t xml:space="preserve">Risk component </w:t>
            </w:r>
          </w:p>
        </w:tc>
        <w:tc>
          <w:tcPr>
            <w:tcW w:w="2031" w:type="pct"/>
            <w:tcBorders>
              <w:top w:val="single" w:sz="4" w:space="0" w:color="auto"/>
            </w:tcBorders>
          </w:tcPr>
          <w:p w:rsidR="00B52BB0" w:rsidRPr="00223D6E" w:rsidRDefault="00B52BB0" w:rsidP="003E074D">
            <w:pPr>
              <w:pStyle w:val="TableHeading"/>
            </w:pPr>
            <w:r w:rsidRPr="00223D6E">
              <w:t xml:space="preserve">Rating for </w:t>
            </w:r>
            <w:r>
              <w:t xml:space="preserve">emerging </w:t>
            </w:r>
            <w:r w:rsidRPr="00223D6E">
              <w:t>quarantine orthotospovirus</w:t>
            </w:r>
            <w:r>
              <w:t xml:space="preserve"> (</w:t>
            </w:r>
            <w:r w:rsidRPr="00465F36">
              <w:rPr>
                <w:bCs/>
              </w:rPr>
              <w:t>a</w:t>
            </w:r>
            <w:r>
              <w:rPr>
                <w:bCs/>
              </w:rPr>
              <w:t>)</w:t>
            </w:r>
          </w:p>
        </w:tc>
      </w:tr>
      <w:tr w:rsidR="00B52BB0" w:rsidRPr="00223D6E" w:rsidTr="003E074D">
        <w:tc>
          <w:tcPr>
            <w:tcW w:w="2969" w:type="pct"/>
            <w:shd w:val="clear" w:color="auto" w:fill="auto"/>
          </w:tcPr>
          <w:p w:rsidR="00B52BB0" w:rsidRPr="00223D6E" w:rsidRDefault="00B52BB0" w:rsidP="003E074D">
            <w:pPr>
              <w:pStyle w:val="TableText"/>
            </w:pPr>
            <w:r w:rsidRPr="00223D6E">
              <w:t>Likelihood of entry (importation x distribution)</w:t>
            </w:r>
          </w:p>
        </w:tc>
        <w:tc>
          <w:tcPr>
            <w:tcW w:w="2031" w:type="pct"/>
          </w:tcPr>
          <w:p w:rsidR="00B52BB0" w:rsidRPr="00223D6E" w:rsidRDefault="00B52BB0" w:rsidP="003E074D">
            <w:pPr>
              <w:pStyle w:val="TableText"/>
            </w:pPr>
            <w:r w:rsidRPr="00223D6E">
              <w:t>Low (Moderate x Moderate)</w:t>
            </w:r>
          </w:p>
        </w:tc>
      </w:tr>
      <w:tr w:rsidR="00B52BB0" w:rsidRPr="00223D6E" w:rsidTr="003E074D">
        <w:tc>
          <w:tcPr>
            <w:tcW w:w="2969" w:type="pct"/>
            <w:shd w:val="clear" w:color="auto" w:fill="auto"/>
          </w:tcPr>
          <w:p w:rsidR="00B52BB0" w:rsidRPr="00223D6E" w:rsidRDefault="00B52BB0" w:rsidP="003E074D">
            <w:pPr>
              <w:pStyle w:val="TableText"/>
            </w:pPr>
            <w:r w:rsidRPr="00223D6E">
              <w:t>Likelihood of establishment</w:t>
            </w:r>
          </w:p>
        </w:tc>
        <w:tc>
          <w:tcPr>
            <w:tcW w:w="2031" w:type="pct"/>
          </w:tcPr>
          <w:p w:rsidR="00B52BB0" w:rsidRPr="00223D6E" w:rsidRDefault="00B52BB0" w:rsidP="003E074D">
            <w:pPr>
              <w:pStyle w:val="TableText"/>
            </w:pPr>
            <w:r w:rsidRPr="00223D6E">
              <w:t>Moderate</w:t>
            </w:r>
          </w:p>
        </w:tc>
      </w:tr>
      <w:tr w:rsidR="00B52BB0" w:rsidRPr="00223D6E" w:rsidTr="003E074D">
        <w:tc>
          <w:tcPr>
            <w:tcW w:w="2969" w:type="pct"/>
            <w:shd w:val="clear" w:color="auto" w:fill="auto"/>
          </w:tcPr>
          <w:p w:rsidR="00B52BB0" w:rsidRPr="00223D6E" w:rsidRDefault="00B52BB0" w:rsidP="003E074D">
            <w:pPr>
              <w:pStyle w:val="TableText"/>
            </w:pPr>
            <w:r w:rsidRPr="00223D6E">
              <w:t>Likelihood of spread</w:t>
            </w:r>
          </w:p>
        </w:tc>
        <w:tc>
          <w:tcPr>
            <w:tcW w:w="2031" w:type="pct"/>
          </w:tcPr>
          <w:p w:rsidR="00B52BB0" w:rsidRPr="00223D6E" w:rsidRDefault="00B52BB0" w:rsidP="003E074D">
            <w:pPr>
              <w:pStyle w:val="TableText"/>
            </w:pPr>
            <w:r w:rsidRPr="00223D6E">
              <w:t>High</w:t>
            </w:r>
          </w:p>
        </w:tc>
      </w:tr>
      <w:tr w:rsidR="00B52BB0" w:rsidRPr="00223D6E" w:rsidTr="003E074D">
        <w:tc>
          <w:tcPr>
            <w:tcW w:w="2969" w:type="pct"/>
            <w:shd w:val="clear" w:color="auto" w:fill="auto"/>
            <w:hideMark/>
          </w:tcPr>
          <w:p w:rsidR="00B52BB0" w:rsidRPr="00223D6E" w:rsidRDefault="00B52BB0" w:rsidP="003E074D">
            <w:pPr>
              <w:pStyle w:val="TableText"/>
            </w:pPr>
            <w:r w:rsidRPr="00223D6E">
              <w:t xml:space="preserve">Overall likelihood of entry, establishment and spread </w:t>
            </w:r>
          </w:p>
        </w:tc>
        <w:tc>
          <w:tcPr>
            <w:tcW w:w="2031" w:type="pct"/>
          </w:tcPr>
          <w:p w:rsidR="00B52BB0" w:rsidRPr="00223D6E" w:rsidRDefault="00B52BB0" w:rsidP="003E074D">
            <w:pPr>
              <w:pStyle w:val="TableText"/>
            </w:pPr>
            <w:r w:rsidRPr="00223D6E">
              <w:t>Low</w:t>
            </w:r>
          </w:p>
        </w:tc>
      </w:tr>
      <w:tr w:rsidR="00B52BB0" w:rsidRPr="00223D6E" w:rsidTr="003E074D">
        <w:tc>
          <w:tcPr>
            <w:tcW w:w="2969" w:type="pct"/>
            <w:shd w:val="clear" w:color="auto" w:fill="auto"/>
            <w:hideMark/>
          </w:tcPr>
          <w:p w:rsidR="00B52BB0" w:rsidRPr="00223D6E" w:rsidRDefault="00B52BB0" w:rsidP="003E074D">
            <w:pPr>
              <w:pStyle w:val="TableText"/>
            </w:pPr>
            <w:r w:rsidRPr="00223D6E">
              <w:t xml:space="preserve">Consequences </w:t>
            </w:r>
          </w:p>
        </w:tc>
        <w:tc>
          <w:tcPr>
            <w:tcW w:w="2031" w:type="pct"/>
          </w:tcPr>
          <w:p w:rsidR="00B52BB0" w:rsidRPr="00223D6E" w:rsidRDefault="00B52BB0" w:rsidP="003E074D">
            <w:pPr>
              <w:pStyle w:val="TableText"/>
            </w:pPr>
            <w:r w:rsidRPr="00223D6E">
              <w:t>Moderate</w:t>
            </w:r>
          </w:p>
        </w:tc>
      </w:tr>
      <w:tr w:rsidR="00B52BB0" w:rsidRPr="00223D6E" w:rsidTr="003E074D">
        <w:tc>
          <w:tcPr>
            <w:tcW w:w="2969" w:type="pct"/>
            <w:tcBorders>
              <w:bottom w:val="single" w:sz="4" w:space="0" w:color="auto"/>
            </w:tcBorders>
            <w:shd w:val="clear" w:color="auto" w:fill="auto"/>
            <w:hideMark/>
          </w:tcPr>
          <w:p w:rsidR="00B52BB0" w:rsidRPr="00223D6E" w:rsidRDefault="00B52BB0" w:rsidP="003E074D">
            <w:pPr>
              <w:pStyle w:val="TableHeading"/>
            </w:pPr>
            <w:r w:rsidRPr="00223D6E">
              <w:t>Unrestricted risk</w:t>
            </w:r>
          </w:p>
        </w:tc>
        <w:tc>
          <w:tcPr>
            <w:tcW w:w="2031" w:type="pct"/>
            <w:tcBorders>
              <w:bottom w:val="single" w:sz="4" w:space="0" w:color="auto"/>
            </w:tcBorders>
          </w:tcPr>
          <w:p w:rsidR="00B52BB0" w:rsidRPr="00223D6E" w:rsidRDefault="00B52BB0" w:rsidP="003E074D">
            <w:pPr>
              <w:pStyle w:val="TableHeading"/>
            </w:pPr>
            <w:r w:rsidRPr="00223D6E">
              <w:t>Low</w:t>
            </w:r>
          </w:p>
        </w:tc>
      </w:tr>
    </w:tbl>
    <w:p w:rsidR="00B52BB0" w:rsidRDefault="00B52BB0" w:rsidP="003E074D">
      <w:pPr>
        <w:pStyle w:val="FigureTableNoteSource"/>
      </w:pPr>
      <w:r>
        <w:rPr>
          <w:b/>
          <w:bCs/>
        </w:rPr>
        <w:t>(</w:t>
      </w:r>
      <w:r w:rsidRPr="00465F36">
        <w:rPr>
          <w:b/>
          <w:bCs/>
        </w:rPr>
        <w:t>a</w:t>
      </w:r>
      <w:r>
        <w:rPr>
          <w:b/>
          <w:bCs/>
        </w:rPr>
        <w:t>)</w:t>
      </w:r>
      <w:r w:rsidRPr="00465F36">
        <w:t>:</w:t>
      </w:r>
      <w:r>
        <w:t xml:space="preserve"> The identified regulated thrips vector emerging quarantine orthotospoviruses. This table presents the risk estimates for these viruses from the thrips group PRA.</w:t>
      </w:r>
    </w:p>
    <w:p w:rsidR="00B52BB0" w:rsidRDefault="00B52BB0" w:rsidP="003E074D">
      <w:r>
        <w:t>The indicative unrestricted risk estimate for emerging quarantine orthotospoviruses transmitted by regulated thrips is Low, which does not achieve the ALOP for Australia, as assessed in the thrips group PRA (</w:t>
      </w:r>
      <w:r>
        <w:fldChar w:fldCharType="begin"/>
      </w:r>
      <w:r>
        <w:instrText xml:space="preserve"> REF _Ref519756091 \h </w:instrText>
      </w:r>
      <w:r>
        <w:fldChar w:fldCharType="separate"/>
      </w:r>
      <w:r w:rsidR="00EA7374">
        <w:t xml:space="preserve">Table </w:t>
      </w:r>
      <w:r w:rsidR="00EA7374">
        <w:rPr>
          <w:noProof/>
        </w:rPr>
        <w:t>4</w:t>
      </w:r>
      <w:r w:rsidR="00EA7374">
        <w:t>.</w:t>
      </w:r>
      <w:r w:rsidR="00EA7374">
        <w:rPr>
          <w:noProof/>
        </w:rPr>
        <w:t>4</w:t>
      </w:r>
      <w:r>
        <w:fldChar w:fldCharType="end"/>
      </w:r>
      <w:r>
        <w:t>).</w:t>
      </w:r>
    </w:p>
    <w:p w:rsidR="00B52BB0" w:rsidRDefault="00B52BB0" w:rsidP="003E074D">
      <w:r>
        <w:lastRenderedPageBreak/>
        <w:t>This indicative unrestricted risk estimate is considered to be applicable for the emerging orthotospoviruses known to be vectored by the thrips species present on the pathway for fresh longan fruit from Vietnam. Therefore, specific risk management measures are required for regulated thrips to mitigate the risks posed by emerging quarantine orthotospoviruses in order to achieve the ALOP for Australia.</w:t>
      </w:r>
    </w:p>
    <w:p w:rsidR="00B52BB0" w:rsidRDefault="00B52BB0" w:rsidP="003E074D">
      <w:r>
        <w:t>The conclusion of this risk assessment, which is based on the thrips Group PRA, applies to all phytophagous quarantine thrips and regulated thrips on the fresh longan fruit from Vietnam pathway, irrespective of their specific identification in this document.</w:t>
      </w:r>
      <w:r>
        <w:br w:type="page"/>
      </w:r>
    </w:p>
    <w:p w:rsidR="00B52BB0" w:rsidRDefault="00B52BB0" w:rsidP="003E074D">
      <w:pPr>
        <w:pStyle w:val="Heading3"/>
      </w:pPr>
      <w:bookmarkStart w:id="92" w:name="_Toc7607683"/>
      <w:r>
        <w:lastRenderedPageBreak/>
        <w:t>Brown blight</w:t>
      </w:r>
      <w:bookmarkEnd w:id="92"/>
    </w:p>
    <w:p w:rsidR="00B52BB0" w:rsidRPr="00DA2CDD" w:rsidRDefault="00B52BB0" w:rsidP="003E074D">
      <w:pPr>
        <w:pStyle w:val="Heading5"/>
        <w:rPr>
          <w:iCs/>
        </w:rPr>
      </w:pPr>
      <w:r w:rsidRPr="00DA2CDD">
        <w:rPr>
          <w:i/>
          <w:iCs/>
        </w:rPr>
        <w:t xml:space="preserve">Phytophthora litchii </w:t>
      </w:r>
      <w:r w:rsidRPr="00DA2CDD">
        <w:rPr>
          <w:iCs/>
        </w:rPr>
        <w:t>(EP)</w:t>
      </w:r>
    </w:p>
    <w:p w:rsidR="00B52BB0" w:rsidRDefault="00B52BB0" w:rsidP="003E074D">
      <w:r w:rsidRPr="008C02A7">
        <w:rPr>
          <w:i/>
        </w:rPr>
        <w:t>Phytophthora litchii</w:t>
      </w:r>
      <w:r>
        <w:t xml:space="preserve"> (litchi brown blight, downy blight) is </w:t>
      </w:r>
      <w:r w:rsidRPr="007B1012">
        <w:t>a water mould in the family Pythiaceae. It has</w:t>
      </w:r>
      <w:r>
        <w:t xml:space="preserve"> a</w:t>
      </w:r>
      <w:r w:rsidRPr="007B1012">
        <w:t xml:space="preserve"> restricted distribution in Asia, </w:t>
      </w:r>
      <w:r>
        <w:t xml:space="preserve">being </w:t>
      </w:r>
      <w:r w:rsidRPr="007B1012">
        <w:t xml:space="preserve">found in China, Thailand, Vietnam and India </w:t>
      </w:r>
      <w:r>
        <w:rPr>
          <w:noProof/>
        </w:rPr>
        <w:t>(Wang et al. 2010)</w:t>
      </w:r>
      <w:r w:rsidRPr="007B1012">
        <w:t>, and is known to infect lychee and longan</w:t>
      </w:r>
      <w:r>
        <w:t xml:space="preserve"> fruits </w:t>
      </w:r>
      <w:r>
        <w:rPr>
          <w:noProof/>
        </w:rPr>
        <w:t>(Ye et al. 2016)</w:t>
      </w:r>
      <w:r>
        <w:t xml:space="preserve">. Recent analysis has confirmed that </w:t>
      </w:r>
      <w:r w:rsidRPr="00031670">
        <w:rPr>
          <w:i/>
        </w:rPr>
        <w:t>P. litchii</w:t>
      </w:r>
      <w:r>
        <w:t xml:space="preserve"> is in the genus </w:t>
      </w:r>
      <w:r w:rsidRPr="00031670">
        <w:rPr>
          <w:i/>
        </w:rPr>
        <w:t>Phytophthora</w:t>
      </w:r>
      <w:r>
        <w:t xml:space="preserve">, rather than its previous genus </w:t>
      </w:r>
      <w:r w:rsidRPr="00031670">
        <w:rPr>
          <w:i/>
        </w:rPr>
        <w:t>Peronophythora</w:t>
      </w:r>
      <w:r>
        <w:t xml:space="preserve"> </w:t>
      </w:r>
      <w:r>
        <w:rPr>
          <w:noProof/>
        </w:rPr>
        <w:t>(Sun et al. 2017)</w:t>
      </w:r>
      <w:r>
        <w:t>.</w:t>
      </w:r>
    </w:p>
    <w:p w:rsidR="00B52BB0" w:rsidRDefault="00B52BB0" w:rsidP="003E074D">
      <w:r w:rsidRPr="00031670">
        <w:rPr>
          <w:i/>
        </w:rPr>
        <w:t>Phytophthora litchii</w:t>
      </w:r>
      <w:r>
        <w:t xml:space="preserve"> has been assessed previously in the import policies for longan and lychees from China and Thailand </w:t>
      </w:r>
      <w:r>
        <w:rPr>
          <w:noProof/>
        </w:rPr>
        <w:t>(DAFF 2004)</w:t>
      </w:r>
      <w:r>
        <w:t xml:space="preserve"> and lychee fruit from Taiwan and Vietnam </w:t>
      </w:r>
      <w:r>
        <w:rPr>
          <w:noProof/>
        </w:rPr>
        <w:t>(DAFF 2013)</w:t>
      </w:r>
      <w:r>
        <w:t>. In these existing policies the unrestricted risk estimate was assessed as Negligible, which achieves the ALOP for Australia. Therefore, specific risk management measures are not required for this pest on these pathways.</w:t>
      </w:r>
    </w:p>
    <w:p w:rsidR="00B52BB0" w:rsidRDefault="00B52BB0" w:rsidP="003E074D">
      <w:r>
        <w:t xml:space="preserve">The department has assessed the likelihood of importation of </w:t>
      </w:r>
      <w:r w:rsidRPr="00031670">
        <w:rPr>
          <w:i/>
        </w:rPr>
        <w:t>P. litchii</w:t>
      </w:r>
      <w:r>
        <w:t xml:space="preserve"> on the longan fruit from Vietnam pathway as being similar to the previous assessments of Moderate for this species on other commodity/country pathways. Fruit infected with </w:t>
      </w:r>
      <w:r>
        <w:rPr>
          <w:i/>
          <w:iCs/>
        </w:rPr>
        <w:t>P. litchii</w:t>
      </w:r>
      <w:r>
        <w:t xml:space="preserve"> develop symptoms which include visible necrosis and irregular brown lesions. Infected fruit eventually turn brown and become covered in a white downy growth of hyphae, sporangiophores and sporangia. Most infected developing fruit will fall from the tree before harvest and, due to visible symptoms of the disease at the flower budding and fruitlet stage, control measures can be applied before fruit maturity. However, it is possible that infected fruit without evident symptoms, or with only minor symptoms may not be detected. For these reasons, the likelihood of importation of </w:t>
      </w:r>
      <w:r w:rsidRPr="00031670">
        <w:rPr>
          <w:i/>
        </w:rPr>
        <w:t>P. litchii</w:t>
      </w:r>
      <w:r>
        <w:t xml:space="preserve"> on longan fruit from Vietnam would be similar to previous assessments of Moderate.</w:t>
      </w:r>
    </w:p>
    <w:p w:rsidR="00B52BB0" w:rsidRDefault="00B52BB0" w:rsidP="003E074D">
      <w:r>
        <w:rPr>
          <w:iCs/>
        </w:rPr>
        <w:t xml:space="preserve">Previous assessments of </w:t>
      </w:r>
      <w:r w:rsidRPr="00031670">
        <w:rPr>
          <w:i/>
        </w:rPr>
        <w:t>P</w:t>
      </w:r>
      <w:r>
        <w:rPr>
          <w:i/>
        </w:rPr>
        <w:t>. </w:t>
      </w:r>
      <w:r w:rsidRPr="00031670">
        <w:rPr>
          <w:i/>
        </w:rPr>
        <w:t>litchii</w:t>
      </w:r>
      <w:r>
        <w:t xml:space="preserve"> on other commodity/country pathways rated the likelihood of distribution as High. </w:t>
      </w:r>
      <w:r w:rsidRPr="00031670">
        <w:rPr>
          <w:i/>
        </w:rPr>
        <w:t>Phytophthora litchii</w:t>
      </w:r>
      <w:r>
        <w:t xml:space="preserve"> has a wide host range, and host material is likely to be available at all in times in Australia. Additionally, </w:t>
      </w:r>
      <w:r>
        <w:rPr>
          <w:i/>
          <w:iCs/>
        </w:rPr>
        <w:t>P. litchii</w:t>
      </w:r>
      <w:r>
        <w:t xml:space="preserve"> is likely to survive storage and transport, and can be spread via water droplets and rain splash. </w:t>
      </w:r>
      <w:r>
        <w:rPr>
          <w:i/>
        </w:rPr>
        <w:t>Phytophthora litchii</w:t>
      </w:r>
      <w:r>
        <w:t xml:space="preserve"> is able to persist in tropical or subtropical environments and germinate and spread as sporangia from discarded fruit skins. Due to the year-round availability of host material, suitable climatic conditions and the potential for </w:t>
      </w:r>
      <w:r w:rsidRPr="00031670">
        <w:rPr>
          <w:i/>
        </w:rPr>
        <w:t>P</w:t>
      </w:r>
      <w:r>
        <w:rPr>
          <w:i/>
        </w:rPr>
        <w:t>. </w:t>
      </w:r>
      <w:r w:rsidRPr="00031670">
        <w:rPr>
          <w:i/>
        </w:rPr>
        <w:t>litchii</w:t>
      </w:r>
      <w:r>
        <w:t xml:space="preserve"> to be dispersed by rain splash, the department has determined the likelihood of distribution for </w:t>
      </w:r>
      <w:r w:rsidRPr="00031670">
        <w:rPr>
          <w:i/>
        </w:rPr>
        <w:t>P</w:t>
      </w:r>
      <w:r>
        <w:rPr>
          <w:i/>
        </w:rPr>
        <w:t>. </w:t>
      </w:r>
      <w:r w:rsidRPr="00031670">
        <w:rPr>
          <w:i/>
        </w:rPr>
        <w:t>litchii</w:t>
      </w:r>
      <w:r>
        <w:t xml:space="preserve"> on the longan fruit from Vietnam pathway to be similar to previous assessments. Therefore, the same rating of High for the likelihood of distribution of </w:t>
      </w:r>
      <w:r w:rsidRPr="00031670">
        <w:rPr>
          <w:i/>
        </w:rPr>
        <w:t>P</w:t>
      </w:r>
      <w:r>
        <w:rPr>
          <w:i/>
        </w:rPr>
        <w:t>. </w:t>
      </w:r>
      <w:r w:rsidRPr="00031670">
        <w:rPr>
          <w:i/>
        </w:rPr>
        <w:t>litchii</w:t>
      </w:r>
      <w:r>
        <w:t xml:space="preserve"> is adopted for the longan fruit from Vietnam pathway.</w:t>
      </w:r>
    </w:p>
    <w:p w:rsidR="00B52BB0" w:rsidRDefault="00B52BB0" w:rsidP="003E074D">
      <w:r>
        <w:t xml:space="preserve">The likelihoods of establishment and spread of </w:t>
      </w:r>
      <w:r w:rsidRPr="00031670">
        <w:rPr>
          <w:i/>
        </w:rPr>
        <w:t>P. litchii</w:t>
      </w:r>
      <w:r>
        <w:t xml:space="preserve"> in Australia are similar to those of previous assessments. These likelihoods relate specifically to events that occur in Australia and are principally independent of the import pathway. The consequences of entry, establishment and spread of </w:t>
      </w:r>
      <w:r w:rsidRPr="00031670">
        <w:rPr>
          <w:i/>
        </w:rPr>
        <w:t>P. litchii</w:t>
      </w:r>
      <w:r>
        <w:t xml:space="preserve"> in Australia are also independent of the import pathway and are similar across pest risk assessments. Therefore the existing ratings for the likelihoods of entry, establishment and spread, and the rating for the overall consequences for </w:t>
      </w:r>
      <w:r>
        <w:rPr>
          <w:i/>
          <w:iCs/>
        </w:rPr>
        <w:t xml:space="preserve">P. litchii </w:t>
      </w:r>
      <w:r>
        <w:t>have been adopted for the longan fruit from Vietnam pathway.</w:t>
      </w:r>
    </w:p>
    <w:p w:rsidR="00B52BB0" w:rsidRDefault="00B52BB0" w:rsidP="003E074D">
      <w:r>
        <w:t xml:space="preserve">In addition, the department has reviewed the latest literature—for example </w:t>
      </w:r>
      <w:r>
        <w:rPr>
          <w:noProof/>
        </w:rPr>
        <w:t>Bourret et al. (2018)</w:t>
      </w:r>
      <w:r>
        <w:t xml:space="preserve">, </w:t>
      </w:r>
      <w:r>
        <w:rPr>
          <w:noProof/>
        </w:rPr>
        <w:t>Sun et al. (2017)</w:t>
      </w:r>
      <w:r>
        <w:t xml:space="preserve"> and </w:t>
      </w:r>
      <w:r>
        <w:rPr>
          <w:noProof/>
        </w:rPr>
        <w:t>Ye et al. (2016)</w:t>
      </w:r>
      <w:r>
        <w:t xml:space="preserve">—and no new information has been identified that would significantly change the risk ratings for importation, distribution, establishment, spread or consequences, as set out for </w:t>
      </w:r>
      <w:r w:rsidRPr="00031670">
        <w:rPr>
          <w:i/>
        </w:rPr>
        <w:t>P. litchii</w:t>
      </w:r>
      <w:r>
        <w:t xml:space="preserve"> in existing policies.</w:t>
      </w:r>
    </w:p>
    <w:p w:rsidR="00B52BB0" w:rsidRDefault="00B52BB0" w:rsidP="003E074D">
      <w:r w:rsidRPr="00BF61C7">
        <w:lastRenderedPageBreak/>
        <w:t xml:space="preserve">While the likelihood of distribution for </w:t>
      </w:r>
      <w:r w:rsidRPr="00BF61C7">
        <w:rPr>
          <w:i/>
        </w:rPr>
        <w:t>P. litchii</w:t>
      </w:r>
      <w:r w:rsidRPr="00BF61C7">
        <w:t xml:space="preserve"> on the longan fruit from Vietnam pathway was rated as High, the likelihood of importation was rated as Moderate, and the likelihoods of establishment and spread and the consequences of entry, establishment, and spread were rated as Low. When these likelihood and consequences ratings are combined using the rules presented in </w:t>
      </w:r>
      <w:r w:rsidRPr="00BF61C7">
        <w:fldChar w:fldCharType="begin"/>
      </w:r>
      <w:r w:rsidRPr="00BF61C7">
        <w:instrText xml:space="preserve"> REF _Ref457826328 \h  \* MERGEFORMAT </w:instrText>
      </w:r>
      <w:r w:rsidRPr="00BF61C7">
        <w:fldChar w:fldCharType="separate"/>
      </w:r>
      <w:r w:rsidR="00EA7374">
        <w:t xml:space="preserve">Table </w:t>
      </w:r>
      <w:r w:rsidR="00EA7374">
        <w:rPr>
          <w:noProof/>
        </w:rPr>
        <w:t>2.2</w:t>
      </w:r>
      <w:r w:rsidRPr="00BF61C7">
        <w:fldChar w:fldCharType="end"/>
      </w:r>
      <w:r w:rsidRPr="00BF61C7">
        <w:t xml:space="preserve"> and </w:t>
      </w:r>
      <w:r w:rsidRPr="00BF61C7">
        <w:fldChar w:fldCharType="begin"/>
      </w:r>
      <w:r w:rsidRPr="00BF61C7">
        <w:instrText xml:space="preserve"> REF _Ref457826369 \h  \* MERGEFORMAT </w:instrText>
      </w:r>
      <w:r w:rsidRPr="00BF61C7">
        <w:fldChar w:fldCharType="separate"/>
      </w:r>
      <w:r w:rsidR="00EA7374">
        <w:t xml:space="preserve">Table </w:t>
      </w:r>
      <w:r w:rsidR="00EA7374">
        <w:rPr>
          <w:noProof/>
        </w:rPr>
        <w:t>2.5</w:t>
      </w:r>
      <w:r w:rsidRPr="00BF61C7">
        <w:fldChar w:fldCharType="end"/>
      </w:r>
      <w:r w:rsidRPr="00BF61C7">
        <w:t xml:space="preserve">, the unrestricted risk is determined to be Negligible. </w:t>
      </w:r>
      <w:r>
        <w:t xml:space="preserve">All these likelihood ratings are set out in </w:t>
      </w:r>
      <w:r>
        <w:fldChar w:fldCharType="begin"/>
      </w:r>
      <w:r>
        <w:instrText xml:space="preserve"> REF _Ref526350919 \h </w:instrText>
      </w:r>
      <w:r>
        <w:fldChar w:fldCharType="separate"/>
      </w:r>
      <w:r w:rsidR="00EA7374">
        <w:t xml:space="preserve">Table </w:t>
      </w:r>
      <w:r w:rsidR="00EA7374">
        <w:rPr>
          <w:noProof/>
        </w:rPr>
        <w:t>4</w:t>
      </w:r>
      <w:r w:rsidR="00EA7374">
        <w:t>.</w:t>
      </w:r>
      <w:r w:rsidR="00EA7374">
        <w:rPr>
          <w:noProof/>
        </w:rPr>
        <w:t>5</w:t>
      </w:r>
      <w:r>
        <w:fldChar w:fldCharType="end"/>
      </w:r>
      <w:r>
        <w:t>.</w:t>
      </w:r>
    </w:p>
    <w:p w:rsidR="00B52BB0" w:rsidRDefault="00B52BB0" w:rsidP="003E074D">
      <w:pPr>
        <w:pStyle w:val="Heading5"/>
      </w:pPr>
      <w:r w:rsidRPr="007C2EA9">
        <w:t>Unrestricted risk estimate</w:t>
      </w:r>
    </w:p>
    <w:p w:rsidR="00B52BB0" w:rsidRDefault="00B52BB0" w:rsidP="003E074D">
      <w:r>
        <w:t xml:space="preserve">The unrestricted risk estimate for </w:t>
      </w:r>
      <w:r w:rsidRPr="00031670">
        <w:rPr>
          <w:i/>
        </w:rPr>
        <w:t>Phytophthora litchii</w:t>
      </w:r>
      <w:r>
        <w:t xml:space="preserve"> from the longan fruit from Vietnam pathway is assessed as Negligible, which is identical to the outcomes of previous assessments, and which achieves the ALOP for Australia. Therefore, specific risk management measures are not required for this pest on this pathway.</w:t>
      </w:r>
      <w:r>
        <w:br w:type="page"/>
      </w:r>
    </w:p>
    <w:p w:rsidR="00B52BB0" w:rsidRDefault="00B52BB0" w:rsidP="003E074D">
      <w:pPr>
        <w:pStyle w:val="Heading3"/>
      </w:pPr>
      <w:bookmarkStart w:id="93" w:name="_Toc7607684"/>
      <w:r w:rsidRPr="007C2EA9">
        <w:lastRenderedPageBreak/>
        <w:t>Longan Witches’ Broom Disease (EP)</w:t>
      </w:r>
      <w:bookmarkEnd w:id="93"/>
    </w:p>
    <w:p w:rsidR="00B52BB0" w:rsidRPr="00DA2CDD" w:rsidRDefault="00B52BB0" w:rsidP="003E074D">
      <w:pPr>
        <w:pStyle w:val="Heading5"/>
        <w:rPr>
          <w:iCs/>
        </w:rPr>
      </w:pPr>
      <w:r>
        <w:rPr>
          <w:i/>
          <w:iCs/>
        </w:rPr>
        <w:t>Longan Witches’ Broom Disease</w:t>
      </w:r>
      <w:r w:rsidRPr="00DA2CDD">
        <w:rPr>
          <w:i/>
          <w:iCs/>
        </w:rPr>
        <w:t xml:space="preserve"> </w:t>
      </w:r>
      <w:r w:rsidRPr="00DA2CDD">
        <w:rPr>
          <w:iCs/>
        </w:rPr>
        <w:t>(EP)</w:t>
      </w:r>
    </w:p>
    <w:p w:rsidR="00B52BB0" w:rsidRDefault="00B52BB0" w:rsidP="003E074D">
      <w:r w:rsidRPr="002253F0">
        <w:rPr>
          <w:i/>
        </w:rPr>
        <w:t>Longan Witches’ Broom Disease</w:t>
      </w:r>
      <w:r>
        <w:t xml:space="preserve"> (LWBD) is a disease syndrome of longan, known to cause losses of up to 100 per cent of longan fruit on farms in Vietnam </w:t>
      </w:r>
      <w:r>
        <w:rPr>
          <w:noProof/>
        </w:rPr>
        <w:t>(Hoat et al. 2017)</w:t>
      </w:r>
      <w:r>
        <w:t xml:space="preserve">. The cause of the disease syndrome is not known. </w:t>
      </w:r>
      <w:r w:rsidRPr="00DD4BB9">
        <w:t>However, its effects, potential causativ</w:t>
      </w:r>
      <w:r>
        <w:t xml:space="preserve">e factors and method of spread </w:t>
      </w:r>
      <w:r w:rsidRPr="00DD4BB9">
        <w:t>and transmissibility</w:t>
      </w:r>
      <w:r>
        <w:t xml:space="preserve"> ha</w:t>
      </w:r>
      <w:r w:rsidRPr="00DD4BB9">
        <w:t>ve been widely observed and studied over several decades.</w:t>
      </w:r>
      <w:r>
        <w:t xml:space="preserve"> Although it is symptomatically similar to </w:t>
      </w:r>
      <w:r w:rsidRPr="002253F0">
        <w:rPr>
          <w:i/>
        </w:rPr>
        <w:t>Litchi Witches’ Broom Disease</w:t>
      </w:r>
      <w:r>
        <w:t xml:space="preserve">, which affects lychees </w:t>
      </w:r>
      <w:r>
        <w:rPr>
          <w:noProof/>
        </w:rPr>
        <w:t>(Chen et al. 1996)</w:t>
      </w:r>
      <w:r>
        <w:t xml:space="preserve">, there is insufficient evidence to suggest that the two disease syndromes have the same causal agent, or that LWBD is capable of affecting other hosts. Similar symptoms have also been observed on longan trees in China, Thailand and Hong Kong, which were attributed to LWBD </w:t>
      </w:r>
      <w:r>
        <w:rPr>
          <w:noProof/>
        </w:rPr>
        <w:t>(Hoat et al. 2017)</w:t>
      </w:r>
      <w:r>
        <w:t>. Because there is no definitive evidence for a specific causal agent for LWBD, this analysis will focus on the species which are associated most closely with the disease syndrome in the literature.</w:t>
      </w:r>
    </w:p>
    <w:p w:rsidR="00B52BB0" w:rsidRDefault="00B52BB0" w:rsidP="003E074D">
      <w:r w:rsidRPr="002253F0">
        <w:rPr>
          <w:i/>
        </w:rPr>
        <w:t>Longan Witches’ Broom Disease</w:t>
      </w:r>
      <w:r>
        <w:t xml:space="preserve"> has been assessed previously on longan in the import policy for longan and lychees from China and Thailand </w:t>
      </w:r>
      <w:r>
        <w:rPr>
          <w:noProof/>
        </w:rPr>
        <w:t>(DAFF 2004)</w:t>
      </w:r>
      <w:r>
        <w:t>. In this policy the unrestricted risk estimate was assessed as Negligible, which achieves the ALOP for Australia. Therefore, specific risk management measures were not required for this pest on these pathways.</w:t>
      </w:r>
    </w:p>
    <w:p w:rsidR="00B52BB0" w:rsidRDefault="00B52BB0" w:rsidP="003E074D">
      <w:r>
        <w:t xml:space="preserve">The department has assessed the likelihood of importation of LWBD on the longan fruit from Vietnam pathway as being similar to the previous assessment of Very </w:t>
      </w:r>
      <w:r w:rsidRPr="00634710">
        <w:t>L</w:t>
      </w:r>
      <w:r>
        <w:t xml:space="preserve">ow for this disease on longan and lychees from China and Thailand. There are several arthropod species considered to be vectors of LWBD present in Vietnam, including the stink bug </w:t>
      </w:r>
      <w:r w:rsidRPr="005D7AC6">
        <w:rPr>
          <w:i/>
          <w:iCs/>
        </w:rPr>
        <w:t>Tessaratoma papillosa</w:t>
      </w:r>
      <w:r w:rsidRPr="005D7AC6">
        <w:t xml:space="preserve"> and the mite </w:t>
      </w:r>
      <w:r w:rsidRPr="005D7AC6">
        <w:rPr>
          <w:i/>
          <w:iCs/>
        </w:rPr>
        <w:t>Eriophyes dimocarpi</w:t>
      </w:r>
      <w:r w:rsidRPr="005D7AC6">
        <w:t xml:space="preserve">. </w:t>
      </w:r>
      <w:r w:rsidRPr="00EC7276">
        <w:t>However, these arthropod vectors are not associated with the longan fruit export pathway</w:t>
      </w:r>
      <w:r>
        <w:t xml:space="preserve"> </w:t>
      </w:r>
      <w:r>
        <w:rPr>
          <w:noProof/>
        </w:rPr>
        <w:t>(DAFF 2013; Peña, Sharp &amp; Wysoki 2002; USDA-APHIS 2007)</w:t>
      </w:r>
      <w:r>
        <w:t xml:space="preserve">. </w:t>
      </w:r>
      <w:r w:rsidRPr="005D7AC6">
        <w:t xml:space="preserve">There are reports of LWBD infection possibly </w:t>
      </w:r>
      <w:r>
        <w:t xml:space="preserve">being associated with seed in other longan producing countries </w:t>
      </w:r>
      <w:r>
        <w:rPr>
          <w:noProof/>
        </w:rPr>
        <w:t>(Chen, Chen &amp; Xu 2001)</w:t>
      </w:r>
      <w:r w:rsidRPr="005D7AC6">
        <w:rPr>
          <w:noProof/>
        </w:rPr>
        <w:t xml:space="preserve">, but </w:t>
      </w:r>
      <w:r>
        <w:rPr>
          <w:noProof/>
        </w:rPr>
        <w:t>this association in not supported for cases of LWBD in Vietnam Hoat et al. (2017)</w:t>
      </w:r>
      <w:r w:rsidRPr="005D7AC6">
        <w:t>.</w:t>
      </w:r>
      <w:r>
        <w:t xml:space="preserve"> </w:t>
      </w:r>
      <w:r w:rsidRPr="005D7AC6">
        <w:t>For these reasons</w:t>
      </w:r>
      <w:r>
        <w:t>, the likelihood of importation of LWBD on the longan fruit from Vietnam pathway is considered similar to the previous assessment of Very Low.</w:t>
      </w:r>
    </w:p>
    <w:p w:rsidR="00B52BB0" w:rsidRDefault="00B52BB0" w:rsidP="003E074D">
      <w:r>
        <w:rPr>
          <w:iCs/>
        </w:rPr>
        <w:t xml:space="preserve">Previous assessments of LWBD on </w:t>
      </w:r>
      <w:r>
        <w:t xml:space="preserve">longan in the longan and lychees from China and Thailand report rated the likelihood of distribution as Moderate. </w:t>
      </w:r>
      <w:r w:rsidRPr="002253F0">
        <w:rPr>
          <w:i/>
        </w:rPr>
        <w:t>Longan Witches’ Broom Disease</w:t>
      </w:r>
      <w:r>
        <w:t xml:space="preserve"> infects longan trees, and host material is available in parts of Australia. There is limited experimental evidence to suggest that LWBD is transmissible by seed in some longan producing countries </w:t>
      </w:r>
      <w:r>
        <w:rPr>
          <w:noProof/>
        </w:rPr>
        <w:t>(Chen, Chen &amp; Xu 2001)</w:t>
      </w:r>
      <w:r>
        <w:t xml:space="preserve">. However, there is no evidence that cases of LWBD recorded in Vietnam have been transmitted by seed. Instead, LWBD cases recorded in Vietnam have been associated with arthropod vector species </w:t>
      </w:r>
      <w:r>
        <w:rPr>
          <w:noProof/>
        </w:rPr>
        <w:t>Hoat et al. (2017)</w:t>
      </w:r>
      <w:r>
        <w:t>. Additionally, t</w:t>
      </w:r>
      <w:r w:rsidRPr="00DF4863">
        <w:t xml:space="preserve">here are several </w:t>
      </w:r>
      <w:r>
        <w:t>a</w:t>
      </w:r>
      <w:r w:rsidRPr="00DF4863">
        <w:t xml:space="preserve">rthropod species present in Australia with potential to be vectors for LWBD </w:t>
      </w:r>
      <w:r>
        <w:rPr>
          <w:noProof/>
        </w:rPr>
        <w:t>(DAFF 2004; Plant Health Australia 2019)</w:t>
      </w:r>
      <w:r>
        <w:t xml:space="preserve">. These include the fruit spotting bug </w:t>
      </w:r>
      <w:r>
        <w:rPr>
          <w:i/>
          <w:iCs/>
        </w:rPr>
        <w:t xml:space="preserve">Amblypelta </w:t>
      </w:r>
      <w:r w:rsidRPr="00033F60">
        <w:rPr>
          <w:i/>
          <w:iCs/>
        </w:rPr>
        <w:t>nitida</w:t>
      </w:r>
      <w:r>
        <w:t xml:space="preserve"> and the mite </w:t>
      </w:r>
      <w:r>
        <w:rPr>
          <w:i/>
          <w:iCs/>
        </w:rPr>
        <w:t xml:space="preserve">Aceria </w:t>
      </w:r>
      <w:r w:rsidRPr="00033F60">
        <w:rPr>
          <w:i/>
          <w:iCs/>
        </w:rPr>
        <w:t>litchii</w:t>
      </w:r>
      <w:r>
        <w:t xml:space="preserve">, which are both pests of longan </w:t>
      </w:r>
      <w:r>
        <w:rPr>
          <w:noProof/>
        </w:rPr>
        <w:t>(FAO 2002)</w:t>
      </w:r>
      <w:r>
        <w:t xml:space="preserve">. </w:t>
      </w:r>
      <w:r w:rsidRPr="00C272B7">
        <w:t>Due</w:t>
      </w:r>
      <w:r>
        <w:t xml:space="preserve"> to the presence of potential vectors for this disease, moderated by its limited host range, the department has assessed the likelihood of distribution of LWBD on the longan fruit from Vietnam pathway to be similar to the previous assessment of this disease syndrome on longan and lychees from China and Thailand. Therefore, the same rating of Moderate for the likelihood of distribution of LWBD is adopted for the longan fruit from Vietnam pathway.</w:t>
      </w:r>
    </w:p>
    <w:p w:rsidR="00B52BB0" w:rsidRDefault="00B52BB0" w:rsidP="003E074D">
      <w:r>
        <w:lastRenderedPageBreak/>
        <w:t>The likelihoods of establishment and spread of LWBD in Australia are similar to those in previous assessment of this disease syndrome in the longan and lychees from China and Thailand report. These likelihoods relate specifically to events that occur in Australia and are essentially independent of the import pathway. The consequences of entry, establishment and spread of LWBD in Australia are also independent of the import pathway and are similar between pest risk assessments. Therefore, the existing ratings for the likelihood of entry, establishment and spread, and the rating for the overall consequences for LWBD have been adopted for the longan fruit from Vietnam pathway.</w:t>
      </w:r>
    </w:p>
    <w:p w:rsidR="00B52BB0" w:rsidRDefault="00B52BB0" w:rsidP="003E074D">
      <w:r>
        <w:t xml:space="preserve">In addition, the department has also reviewed the latest literature—for example </w:t>
      </w:r>
      <w:r>
        <w:rPr>
          <w:noProof/>
        </w:rPr>
        <w:t>Hoat et al. (2017)</w:t>
      </w:r>
      <w:r>
        <w:t xml:space="preserve">, </w:t>
      </w:r>
      <w:r>
        <w:rPr>
          <w:noProof/>
        </w:rPr>
        <w:t>Qiu (2014)</w:t>
      </w:r>
      <w:r>
        <w:t xml:space="preserve"> and </w:t>
      </w:r>
      <w:r>
        <w:rPr>
          <w:noProof/>
        </w:rPr>
        <w:t>Seo et al. (2017)</w:t>
      </w:r>
      <w:r>
        <w:t>—and no new information has been identified that would significantly change the risk ratings for importation, distribution, establishment, spread and consequences, as set out for LWBD in the existing policy for longan and lychees from China and Thailand.</w:t>
      </w:r>
    </w:p>
    <w:p w:rsidR="00B52BB0" w:rsidRPr="007C2EA9" w:rsidRDefault="00B52BB0" w:rsidP="003E074D">
      <w:r w:rsidRPr="00C611DD">
        <w:t xml:space="preserve">While the likelihoods of distribution and spread for LWBD on the longan fruit from Vietnam pathway were rated as Moderate, the likelihood of establishment and the consequences of entry, establishment, and spread were rated as Low, and the likelihood of importation was rated as Very Low. When these likelihood and consequences ratings are combined using the rules presented in </w:t>
      </w:r>
      <w:r w:rsidRPr="00C611DD">
        <w:fldChar w:fldCharType="begin"/>
      </w:r>
      <w:r w:rsidRPr="00C611DD">
        <w:instrText xml:space="preserve"> REF _Ref457826328 \h  \* MERGEFORMAT </w:instrText>
      </w:r>
      <w:r w:rsidRPr="00C611DD">
        <w:fldChar w:fldCharType="separate"/>
      </w:r>
      <w:r w:rsidR="00EA7374">
        <w:t xml:space="preserve">Table </w:t>
      </w:r>
      <w:r w:rsidR="00EA7374">
        <w:rPr>
          <w:noProof/>
        </w:rPr>
        <w:t>2.2</w:t>
      </w:r>
      <w:r w:rsidRPr="00C611DD">
        <w:fldChar w:fldCharType="end"/>
      </w:r>
      <w:r w:rsidRPr="00C611DD">
        <w:t xml:space="preserve"> and </w:t>
      </w:r>
      <w:r w:rsidRPr="00C611DD">
        <w:fldChar w:fldCharType="begin"/>
      </w:r>
      <w:r w:rsidRPr="00C611DD">
        <w:instrText xml:space="preserve"> REF _Ref457826369 \h  \* MERGEFORMAT </w:instrText>
      </w:r>
      <w:r w:rsidRPr="00C611DD">
        <w:fldChar w:fldCharType="separate"/>
      </w:r>
      <w:r w:rsidR="00EA7374">
        <w:t xml:space="preserve">Table </w:t>
      </w:r>
      <w:r w:rsidR="00EA7374">
        <w:rPr>
          <w:noProof/>
        </w:rPr>
        <w:t>2.5</w:t>
      </w:r>
      <w:r w:rsidRPr="00C611DD">
        <w:fldChar w:fldCharType="end"/>
      </w:r>
      <w:r w:rsidRPr="00C611DD">
        <w:t xml:space="preserve">, the unrestricted risk is determined to be Negligible. </w:t>
      </w:r>
      <w:r>
        <w:t xml:space="preserve">All these likelihood ratings are set out in </w:t>
      </w:r>
      <w:r>
        <w:fldChar w:fldCharType="begin"/>
      </w:r>
      <w:r>
        <w:instrText xml:space="preserve"> REF _Ref526350919 \h </w:instrText>
      </w:r>
      <w:r>
        <w:fldChar w:fldCharType="separate"/>
      </w:r>
      <w:r w:rsidR="00EA7374">
        <w:t xml:space="preserve">Table </w:t>
      </w:r>
      <w:r w:rsidR="00EA7374">
        <w:rPr>
          <w:noProof/>
        </w:rPr>
        <w:t>4</w:t>
      </w:r>
      <w:r w:rsidR="00EA7374">
        <w:t>.</w:t>
      </w:r>
      <w:r w:rsidR="00EA7374">
        <w:rPr>
          <w:noProof/>
        </w:rPr>
        <w:t>5</w:t>
      </w:r>
      <w:r>
        <w:fldChar w:fldCharType="end"/>
      </w:r>
      <w:r>
        <w:t>.</w:t>
      </w:r>
    </w:p>
    <w:p w:rsidR="00B52BB0" w:rsidRDefault="00B52BB0" w:rsidP="003E074D">
      <w:pPr>
        <w:pStyle w:val="Heading5"/>
      </w:pPr>
      <w:r w:rsidRPr="007C2EA9">
        <w:t>1.8.1</w:t>
      </w:r>
      <w:r w:rsidRPr="007C2EA9">
        <w:tab/>
        <w:t>Unrestricted risk estimate</w:t>
      </w:r>
    </w:p>
    <w:p w:rsidR="00B52BB0" w:rsidRDefault="00B52BB0" w:rsidP="003E074D">
      <w:r>
        <w:t xml:space="preserve">The unrestricted risk estimate for </w:t>
      </w:r>
      <w:r w:rsidRPr="002253F0">
        <w:rPr>
          <w:i/>
        </w:rPr>
        <w:t>Longan Witches’ Broom Disease</w:t>
      </w:r>
      <w:r>
        <w:t xml:space="preserve"> from the longan fruit from Vietnam pathway is assessed as Negligible, which is identical to the outcome assessed in the existing import policy for longan and lychees from China and Thailand </w:t>
      </w:r>
      <w:r>
        <w:rPr>
          <w:noProof/>
        </w:rPr>
        <w:t>(DAFF 2004)</w:t>
      </w:r>
      <w:r>
        <w:t>. This achieves the ALOP for Australia. Therefore, specific risk management measures are not required for this disease syndrome on this pathway.</w:t>
      </w:r>
    </w:p>
    <w:p w:rsidR="00B52BB0" w:rsidRDefault="00B52BB0" w:rsidP="003E074D">
      <w:r w:rsidRPr="00E17A92">
        <w:t>The department will consider any new information which may affect this assessment as it becomes available in the future.</w:t>
      </w:r>
    </w:p>
    <w:bookmarkEnd w:id="85"/>
    <w:p w:rsidR="00B52BB0" w:rsidRDefault="00B52BB0"/>
    <w:p w:rsidR="00B52BB0" w:rsidRDefault="00B52BB0">
      <w:pPr>
        <w:sectPr w:rsidR="00B52BB0" w:rsidSect="003E074D">
          <w:headerReference w:type="default" r:id="rId39"/>
          <w:pgSz w:w="11906" w:h="16838"/>
          <w:pgMar w:top="1418" w:right="1418" w:bottom="1418" w:left="1418" w:header="567" w:footer="283" w:gutter="0"/>
          <w:cols w:space="708"/>
          <w:docGrid w:linePitch="360"/>
        </w:sectPr>
      </w:pPr>
    </w:p>
    <w:p w:rsidR="00B52BB0" w:rsidRDefault="00B52BB0" w:rsidP="003E074D">
      <w:pPr>
        <w:pStyle w:val="Heading3"/>
      </w:pPr>
      <w:bookmarkStart w:id="94" w:name="_Toc7607685"/>
      <w:bookmarkStart w:id="95" w:name="_Ref522804529"/>
      <w:r>
        <w:lastRenderedPageBreak/>
        <w:t>Pest risk assessment conclusions</w:t>
      </w:r>
      <w:bookmarkEnd w:id="94"/>
    </w:p>
    <w:p w:rsidR="00B52BB0" w:rsidRPr="004E7499" w:rsidRDefault="00B52BB0" w:rsidP="003E074D">
      <w:pPr>
        <w:pStyle w:val="Caption"/>
      </w:pPr>
      <w:bookmarkStart w:id="96" w:name="_Ref526350919"/>
      <w:bookmarkStart w:id="97" w:name="_Toc7607553"/>
      <w:r>
        <w:t xml:space="preserve">Table </w:t>
      </w:r>
      <w:r>
        <w:rPr>
          <w:noProof/>
        </w:rPr>
        <w:fldChar w:fldCharType="begin"/>
      </w:r>
      <w:r>
        <w:rPr>
          <w:noProof/>
        </w:rPr>
        <w:instrText xml:space="preserve"> STYLEREF 2 \s </w:instrText>
      </w:r>
      <w:r>
        <w:rPr>
          <w:noProof/>
        </w:rPr>
        <w:fldChar w:fldCharType="separate"/>
      </w:r>
      <w:r w:rsidR="00EA7374">
        <w:rPr>
          <w:noProof/>
        </w:rPr>
        <w:t>4</w:t>
      </w:r>
      <w:r>
        <w:rPr>
          <w:noProof/>
        </w:rPr>
        <w:fldChar w:fldCharType="end"/>
      </w:r>
      <w:r>
        <w:t>.</w:t>
      </w:r>
      <w:r>
        <w:rPr>
          <w:noProof/>
        </w:rPr>
        <w:fldChar w:fldCharType="begin"/>
      </w:r>
      <w:r>
        <w:rPr>
          <w:noProof/>
        </w:rPr>
        <w:instrText xml:space="preserve"> SEQ Table \* ARABIC \s 2 </w:instrText>
      </w:r>
      <w:r>
        <w:rPr>
          <w:noProof/>
        </w:rPr>
        <w:fldChar w:fldCharType="separate"/>
      </w:r>
      <w:r w:rsidR="00EA7374">
        <w:rPr>
          <w:noProof/>
        </w:rPr>
        <w:t>5</w:t>
      </w:r>
      <w:r>
        <w:rPr>
          <w:noProof/>
        </w:rPr>
        <w:fldChar w:fldCharType="end"/>
      </w:r>
      <w:bookmarkEnd w:id="95"/>
      <w:bookmarkEnd w:id="96"/>
      <w:r>
        <w:t xml:space="preserve"> </w:t>
      </w:r>
      <w:r w:rsidRPr="00E35380">
        <w:t>Summary of unrestricted risk estimates for quarantine pests associated with fresh longan fruit from Vietnam</w:t>
      </w:r>
      <w:bookmarkEnd w:id="97"/>
    </w:p>
    <w:tbl>
      <w:tblPr>
        <w:tblW w:w="4997" w:type="pct"/>
        <w:tblBorders>
          <w:top w:val="single" w:sz="4" w:space="0" w:color="auto"/>
          <w:left w:val="single" w:sz="4" w:space="0" w:color="auto"/>
          <w:bottom w:val="single" w:sz="4" w:space="0" w:color="auto"/>
          <w:right w:val="single" w:sz="4" w:space="0" w:color="auto"/>
          <w:insideH w:val="single" w:sz="4" w:space="0" w:color="BFBFBF" w:themeColor="background1" w:themeShade="BF"/>
        </w:tblBorders>
        <w:tblLayout w:type="fixed"/>
        <w:tblLook w:val="0000" w:firstRow="0" w:lastRow="0" w:firstColumn="0" w:lastColumn="0" w:noHBand="0" w:noVBand="0"/>
      </w:tblPr>
      <w:tblGrid>
        <w:gridCol w:w="2556"/>
        <w:gridCol w:w="1277"/>
        <w:gridCol w:w="1273"/>
        <w:gridCol w:w="1276"/>
        <w:gridCol w:w="1419"/>
        <w:gridCol w:w="1273"/>
        <w:gridCol w:w="1419"/>
        <w:gridCol w:w="2267"/>
        <w:gridCol w:w="1234"/>
      </w:tblGrid>
      <w:tr w:rsidR="00B52BB0" w:rsidRPr="00260E8D" w:rsidTr="003E074D">
        <w:trPr>
          <w:cantSplit/>
          <w:tblHeader/>
        </w:trPr>
        <w:tc>
          <w:tcPr>
            <w:tcW w:w="3749" w:type="pct"/>
            <w:gridSpan w:val="7"/>
            <w:tcBorders>
              <w:top w:val="single" w:sz="4" w:space="0" w:color="auto"/>
              <w:left w:val="nil"/>
              <w:bottom w:val="nil"/>
            </w:tcBorders>
          </w:tcPr>
          <w:p w:rsidR="00B52BB0" w:rsidRPr="008E1D24" w:rsidRDefault="00B52BB0" w:rsidP="003E074D">
            <w:pPr>
              <w:pStyle w:val="TableHeading"/>
              <w:jc w:val="center"/>
            </w:pPr>
            <w:r w:rsidRPr="008E1D24">
              <w:t>Likelihood of</w:t>
            </w:r>
          </w:p>
        </w:tc>
        <w:tc>
          <w:tcPr>
            <w:tcW w:w="810" w:type="pct"/>
            <w:vMerge w:val="restart"/>
            <w:tcBorders>
              <w:top w:val="single" w:sz="4" w:space="0" w:color="auto"/>
            </w:tcBorders>
            <w:shd w:val="clear" w:color="auto" w:fill="auto"/>
          </w:tcPr>
          <w:p w:rsidR="00B52BB0" w:rsidRPr="008E1D24" w:rsidRDefault="00B52BB0" w:rsidP="003E074D">
            <w:pPr>
              <w:pStyle w:val="TableHeading"/>
              <w:jc w:val="center"/>
            </w:pPr>
            <w:r w:rsidRPr="008E1D24">
              <w:t>Consequences</w:t>
            </w:r>
          </w:p>
        </w:tc>
        <w:tc>
          <w:tcPr>
            <w:tcW w:w="441" w:type="pct"/>
            <w:vMerge w:val="restart"/>
            <w:tcBorders>
              <w:top w:val="single" w:sz="4" w:space="0" w:color="auto"/>
              <w:right w:val="nil"/>
            </w:tcBorders>
            <w:shd w:val="clear" w:color="auto" w:fill="auto"/>
          </w:tcPr>
          <w:p w:rsidR="00B52BB0" w:rsidRPr="008E1D24" w:rsidRDefault="00B52BB0" w:rsidP="003E074D">
            <w:pPr>
              <w:pStyle w:val="TableHeading"/>
            </w:pPr>
            <w:r w:rsidRPr="008E1D24">
              <w:t>URE</w:t>
            </w:r>
          </w:p>
        </w:tc>
      </w:tr>
      <w:tr w:rsidR="00B52BB0" w:rsidRPr="00260E8D" w:rsidTr="003E074D">
        <w:trPr>
          <w:cantSplit/>
          <w:tblHeader/>
        </w:trPr>
        <w:tc>
          <w:tcPr>
            <w:tcW w:w="913" w:type="pct"/>
            <w:vMerge w:val="restart"/>
            <w:tcBorders>
              <w:top w:val="nil"/>
              <w:left w:val="nil"/>
              <w:bottom w:val="nil"/>
              <w:right w:val="nil"/>
            </w:tcBorders>
          </w:tcPr>
          <w:p w:rsidR="00B52BB0" w:rsidRPr="008E1D24" w:rsidRDefault="00B52BB0" w:rsidP="003E074D">
            <w:pPr>
              <w:pStyle w:val="TableHeading"/>
            </w:pPr>
            <w:r w:rsidRPr="008E1D24">
              <w:t>Pest name</w:t>
            </w:r>
          </w:p>
        </w:tc>
        <w:tc>
          <w:tcPr>
            <w:tcW w:w="1367" w:type="pct"/>
            <w:gridSpan w:val="3"/>
            <w:tcBorders>
              <w:top w:val="single" w:sz="4" w:space="0" w:color="BFBFBF" w:themeColor="background1" w:themeShade="BF"/>
              <w:left w:val="nil"/>
            </w:tcBorders>
            <w:shd w:val="clear" w:color="auto" w:fill="auto"/>
            <w:vAlign w:val="center"/>
          </w:tcPr>
          <w:p w:rsidR="00B52BB0" w:rsidRPr="008E1D24" w:rsidRDefault="00B52BB0" w:rsidP="003E074D">
            <w:pPr>
              <w:pStyle w:val="TableText"/>
              <w:rPr>
                <w:b/>
              </w:rPr>
            </w:pPr>
            <w:r w:rsidRPr="008E1D24">
              <w:rPr>
                <w:b/>
              </w:rPr>
              <w:t>Entry</w:t>
            </w:r>
          </w:p>
        </w:tc>
        <w:tc>
          <w:tcPr>
            <w:tcW w:w="507" w:type="pct"/>
            <w:vMerge w:val="restart"/>
            <w:tcBorders>
              <w:top w:val="single" w:sz="4" w:space="0" w:color="BFBFBF" w:themeColor="background1" w:themeShade="BF"/>
            </w:tcBorders>
            <w:shd w:val="clear" w:color="auto" w:fill="auto"/>
          </w:tcPr>
          <w:p w:rsidR="00B52BB0" w:rsidRPr="008E1D24" w:rsidRDefault="00B52BB0" w:rsidP="003E074D">
            <w:pPr>
              <w:pStyle w:val="TableText"/>
              <w:rPr>
                <w:b/>
              </w:rPr>
            </w:pPr>
            <w:r w:rsidRPr="008E1D24">
              <w:rPr>
                <w:b/>
              </w:rPr>
              <w:t>Establishment</w:t>
            </w:r>
          </w:p>
        </w:tc>
        <w:tc>
          <w:tcPr>
            <w:tcW w:w="455" w:type="pct"/>
            <w:vMerge w:val="restart"/>
            <w:tcBorders>
              <w:top w:val="single" w:sz="4" w:space="0" w:color="BFBFBF" w:themeColor="background1" w:themeShade="BF"/>
            </w:tcBorders>
            <w:shd w:val="clear" w:color="auto" w:fill="auto"/>
          </w:tcPr>
          <w:p w:rsidR="00B52BB0" w:rsidRPr="008E1D24" w:rsidRDefault="00B52BB0" w:rsidP="003E074D">
            <w:pPr>
              <w:pStyle w:val="TableText"/>
              <w:rPr>
                <w:b/>
              </w:rPr>
            </w:pPr>
            <w:r w:rsidRPr="008E1D24">
              <w:rPr>
                <w:b/>
              </w:rPr>
              <w:t>Spread</w:t>
            </w:r>
          </w:p>
        </w:tc>
        <w:tc>
          <w:tcPr>
            <w:tcW w:w="507" w:type="pct"/>
            <w:vMerge w:val="restart"/>
            <w:tcBorders>
              <w:top w:val="single" w:sz="4" w:space="0" w:color="BFBFBF" w:themeColor="background1" w:themeShade="BF"/>
            </w:tcBorders>
            <w:shd w:val="clear" w:color="auto" w:fill="auto"/>
          </w:tcPr>
          <w:p w:rsidR="00B52BB0" w:rsidRPr="008E1D24" w:rsidRDefault="00B52BB0" w:rsidP="003E074D">
            <w:pPr>
              <w:pStyle w:val="TableText"/>
              <w:rPr>
                <w:b/>
              </w:rPr>
            </w:pPr>
            <w:r w:rsidRPr="008E1D24">
              <w:rPr>
                <w:b/>
              </w:rPr>
              <w:t>EES</w:t>
            </w:r>
          </w:p>
        </w:tc>
        <w:tc>
          <w:tcPr>
            <w:tcW w:w="810" w:type="pct"/>
            <w:vMerge/>
            <w:shd w:val="clear" w:color="auto" w:fill="auto"/>
          </w:tcPr>
          <w:p w:rsidR="00B52BB0" w:rsidRPr="008E1D24" w:rsidRDefault="00B52BB0" w:rsidP="003E074D">
            <w:pPr>
              <w:pStyle w:val="TableText"/>
            </w:pPr>
          </w:p>
        </w:tc>
        <w:tc>
          <w:tcPr>
            <w:tcW w:w="441" w:type="pct"/>
            <w:vMerge/>
            <w:tcBorders>
              <w:right w:val="nil"/>
            </w:tcBorders>
            <w:shd w:val="clear" w:color="auto" w:fill="auto"/>
          </w:tcPr>
          <w:p w:rsidR="00B52BB0" w:rsidRPr="008E1D24" w:rsidRDefault="00B52BB0" w:rsidP="003E074D">
            <w:pPr>
              <w:pStyle w:val="TableText"/>
            </w:pPr>
          </w:p>
        </w:tc>
      </w:tr>
      <w:tr w:rsidR="00B52BB0" w:rsidRPr="00260E8D" w:rsidTr="003E074D">
        <w:trPr>
          <w:cantSplit/>
          <w:tblHeader/>
        </w:trPr>
        <w:tc>
          <w:tcPr>
            <w:tcW w:w="913" w:type="pct"/>
            <w:vMerge/>
            <w:tcBorders>
              <w:top w:val="single" w:sz="4" w:space="0" w:color="BFBFBF" w:themeColor="background1" w:themeShade="BF"/>
              <w:left w:val="nil"/>
              <w:bottom w:val="nil"/>
              <w:right w:val="nil"/>
            </w:tcBorders>
          </w:tcPr>
          <w:p w:rsidR="00B52BB0" w:rsidRPr="00091601" w:rsidRDefault="00B52BB0" w:rsidP="003E074D">
            <w:pPr>
              <w:pStyle w:val="TableText"/>
              <w:rPr>
                <w:highlight w:val="green"/>
              </w:rPr>
            </w:pPr>
          </w:p>
        </w:tc>
        <w:tc>
          <w:tcPr>
            <w:tcW w:w="456" w:type="pct"/>
            <w:tcBorders>
              <w:left w:val="nil"/>
            </w:tcBorders>
            <w:shd w:val="clear" w:color="auto" w:fill="auto"/>
          </w:tcPr>
          <w:p w:rsidR="00B52BB0" w:rsidRPr="008E1D24" w:rsidRDefault="00B52BB0" w:rsidP="003E074D">
            <w:pPr>
              <w:pStyle w:val="TableText"/>
            </w:pPr>
            <w:r w:rsidRPr="008E1D24">
              <w:t>Importation</w:t>
            </w:r>
          </w:p>
        </w:tc>
        <w:tc>
          <w:tcPr>
            <w:tcW w:w="455" w:type="pct"/>
            <w:shd w:val="clear" w:color="auto" w:fill="auto"/>
          </w:tcPr>
          <w:p w:rsidR="00B52BB0" w:rsidRPr="008E1D24" w:rsidRDefault="00B52BB0" w:rsidP="003E074D">
            <w:pPr>
              <w:pStyle w:val="TableText"/>
            </w:pPr>
            <w:r w:rsidRPr="008E1D24">
              <w:t>Distribution</w:t>
            </w:r>
          </w:p>
        </w:tc>
        <w:tc>
          <w:tcPr>
            <w:tcW w:w="456" w:type="pct"/>
            <w:shd w:val="clear" w:color="auto" w:fill="auto"/>
          </w:tcPr>
          <w:p w:rsidR="00B52BB0" w:rsidRPr="008E1D24" w:rsidRDefault="00B52BB0" w:rsidP="003E074D">
            <w:pPr>
              <w:pStyle w:val="TableText"/>
              <w:rPr>
                <w:b/>
              </w:rPr>
            </w:pPr>
            <w:r w:rsidRPr="008E1D24">
              <w:rPr>
                <w:b/>
              </w:rPr>
              <w:t>Overall</w:t>
            </w:r>
          </w:p>
        </w:tc>
        <w:tc>
          <w:tcPr>
            <w:tcW w:w="507" w:type="pct"/>
            <w:vMerge/>
            <w:shd w:val="clear" w:color="auto" w:fill="auto"/>
          </w:tcPr>
          <w:p w:rsidR="00B52BB0" w:rsidRPr="008E1D24" w:rsidRDefault="00B52BB0" w:rsidP="003E074D">
            <w:pPr>
              <w:pStyle w:val="TableText"/>
            </w:pPr>
          </w:p>
        </w:tc>
        <w:tc>
          <w:tcPr>
            <w:tcW w:w="455" w:type="pct"/>
            <w:vMerge/>
            <w:shd w:val="clear" w:color="auto" w:fill="auto"/>
          </w:tcPr>
          <w:p w:rsidR="00B52BB0" w:rsidRPr="008E1D24" w:rsidRDefault="00B52BB0" w:rsidP="003E074D">
            <w:pPr>
              <w:pStyle w:val="TableText"/>
            </w:pPr>
          </w:p>
        </w:tc>
        <w:tc>
          <w:tcPr>
            <w:tcW w:w="507" w:type="pct"/>
            <w:vMerge/>
            <w:shd w:val="clear" w:color="auto" w:fill="auto"/>
          </w:tcPr>
          <w:p w:rsidR="00B52BB0" w:rsidRPr="008E1D24" w:rsidRDefault="00B52BB0" w:rsidP="003E074D">
            <w:pPr>
              <w:pStyle w:val="TableText"/>
            </w:pPr>
          </w:p>
        </w:tc>
        <w:tc>
          <w:tcPr>
            <w:tcW w:w="810" w:type="pct"/>
            <w:vMerge/>
            <w:shd w:val="clear" w:color="auto" w:fill="auto"/>
          </w:tcPr>
          <w:p w:rsidR="00B52BB0" w:rsidRPr="008E1D24" w:rsidRDefault="00B52BB0" w:rsidP="003E074D">
            <w:pPr>
              <w:pStyle w:val="TableText"/>
              <w:rPr>
                <w:b/>
              </w:rPr>
            </w:pPr>
          </w:p>
        </w:tc>
        <w:tc>
          <w:tcPr>
            <w:tcW w:w="441" w:type="pct"/>
            <w:vMerge/>
            <w:tcBorders>
              <w:right w:val="nil"/>
            </w:tcBorders>
            <w:shd w:val="clear" w:color="auto" w:fill="auto"/>
          </w:tcPr>
          <w:p w:rsidR="00B52BB0" w:rsidRPr="00091601" w:rsidRDefault="00B52BB0" w:rsidP="003E074D">
            <w:pPr>
              <w:pStyle w:val="TableText"/>
              <w:rPr>
                <w:highlight w:val="green"/>
              </w:rPr>
            </w:pPr>
          </w:p>
        </w:tc>
      </w:tr>
      <w:tr w:rsidR="00B52BB0" w:rsidRPr="00387213" w:rsidTr="003E074D">
        <w:tc>
          <w:tcPr>
            <w:tcW w:w="5000" w:type="pct"/>
            <w:gridSpan w:val="9"/>
            <w:tcBorders>
              <w:top w:val="single" w:sz="4" w:space="0" w:color="BFBFBF" w:themeColor="background1" w:themeShade="BF"/>
              <w:left w:val="nil"/>
              <w:bottom w:val="single" w:sz="4" w:space="0" w:color="FFFFFF" w:themeColor="background1"/>
              <w:right w:val="nil"/>
            </w:tcBorders>
            <w:shd w:val="clear" w:color="auto" w:fill="auto"/>
          </w:tcPr>
          <w:p w:rsidR="00B52BB0" w:rsidRPr="00387213" w:rsidRDefault="00B52BB0" w:rsidP="003E074D">
            <w:pPr>
              <w:pStyle w:val="TableHeading"/>
            </w:pPr>
            <w:r w:rsidRPr="006E33C7">
              <w:t>Fruit flies [Diptera: Tephritidae]</w:t>
            </w:r>
          </w:p>
        </w:tc>
      </w:tr>
      <w:tr w:rsidR="00B52BB0" w:rsidRPr="00387213" w:rsidTr="003E074D">
        <w:trPr>
          <w:trHeight w:val="165"/>
        </w:trPr>
        <w:tc>
          <w:tcPr>
            <w:tcW w:w="913" w:type="pct"/>
            <w:tcBorders>
              <w:top w:val="single" w:sz="4" w:space="0" w:color="FFFFFF" w:themeColor="background1"/>
              <w:left w:val="nil"/>
              <w:bottom w:val="single" w:sz="4" w:space="0" w:color="FFFFFF" w:themeColor="background1"/>
            </w:tcBorders>
          </w:tcPr>
          <w:p w:rsidR="00B52BB0" w:rsidRPr="00872E2D" w:rsidRDefault="00B52BB0" w:rsidP="003E074D">
            <w:pPr>
              <w:pStyle w:val="TableText"/>
            </w:pPr>
            <w:r>
              <w:rPr>
                <w:i/>
              </w:rPr>
              <w:t>Bactrocera correcta</w:t>
            </w:r>
            <w:r>
              <w:t xml:space="preserve"> (EP)</w:t>
            </w:r>
          </w:p>
        </w:tc>
        <w:tc>
          <w:tcPr>
            <w:tcW w:w="456" w:type="pct"/>
            <w:tcBorders>
              <w:top w:val="single" w:sz="4" w:space="0" w:color="FFFFFF" w:themeColor="background1"/>
              <w:bottom w:val="single" w:sz="4" w:space="0" w:color="FFFFFF" w:themeColor="background1"/>
            </w:tcBorders>
            <w:shd w:val="clear" w:color="auto" w:fill="auto"/>
          </w:tcPr>
          <w:p w:rsidR="00B52BB0" w:rsidRDefault="00B52BB0" w:rsidP="003E074D">
            <w:pPr>
              <w:pStyle w:val="TableText"/>
            </w:pPr>
            <w:r>
              <w:t>High</w:t>
            </w:r>
          </w:p>
        </w:tc>
        <w:tc>
          <w:tcPr>
            <w:tcW w:w="455" w:type="pct"/>
            <w:tcBorders>
              <w:top w:val="single" w:sz="4" w:space="0" w:color="FFFFFF" w:themeColor="background1"/>
              <w:bottom w:val="single" w:sz="4" w:space="0" w:color="FFFFFF" w:themeColor="background1"/>
            </w:tcBorders>
            <w:shd w:val="clear" w:color="auto" w:fill="auto"/>
          </w:tcPr>
          <w:p w:rsidR="00B52BB0" w:rsidRDefault="00B52BB0" w:rsidP="003E074D">
            <w:pPr>
              <w:pStyle w:val="TableText"/>
            </w:pPr>
            <w:r>
              <w:t>High</w:t>
            </w:r>
          </w:p>
        </w:tc>
        <w:tc>
          <w:tcPr>
            <w:tcW w:w="456" w:type="pct"/>
            <w:tcBorders>
              <w:top w:val="single" w:sz="4" w:space="0" w:color="FFFFFF" w:themeColor="background1"/>
              <w:bottom w:val="single" w:sz="4" w:space="0" w:color="FFFFFF" w:themeColor="background1"/>
            </w:tcBorders>
            <w:shd w:val="clear" w:color="auto" w:fill="auto"/>
          </w:tcPr>
          <w:p w:rsidR="00B52BB0" w:rsidRDefault="00B52BB0" w:rsidP="003E074D">
            <w:pPr>
              <w:pStyle w:val="TableText"/>
              <w:rPr>
                <w:b/>
              </w:rPr>
            </w:pPr>
            <w:r>
              <w:rPr>
                <w:b/>
              </w:rPr>
              <w:t>High</w:t>
            </w:r>
          </w:p>
        </w:tc>
        <w:tc>
          <w:tcPr>
            <w:tcW w:w="507" w:type="pct"/>
            <w:tcBorders>
              <w:top w:val="single" w:sz="4" w:space="0" w:color="FFFFFF" w:themeColor="background1"/>
              <w:bottom w:val="single" w:sz="4" w:space="0" w:color="FFFFFF" w:themeColor="background1"/>
            </w:tcBorders>
            <w:shd w:val="clear" w:color="auto" w:fill="auto"/>
          </w:tcPr>
          <w:p w:rsidR="00B52BB0" w:rsidRDefault="00B52BB0" w:rsidP="003E074D">
            <w:pPr>
              <w:pStyle w:val="TableText"/>
            </w:pPr>
            <w:r>
              <w:t>High</w:t>
            </w:r>
          </w:p>
        </w:tc>
        <w:tc>
          <w:tcPr>
            <w:tcW w:w="455" w:type="pct"/>
            <w:tcBorders>
              <w:top w:val="single" w:sz="4" w:space="0" w:color="FFFFFF" w:themeColor="background1"/>
              <w:bottom w:val="single" w:sz="4" w:space="0" w:color="FFFFFF" w:themeColor="background1"/>
            </w:tcBorders>
            <w:shd w:val="clear" w:color="auto" w:fill="auto"/>
          </w:tcPr>
          <w:p w:rsidR="00B52BB0" w:rsidRDefault="00B52BB0" w:rsidP="003E074D">
            <w:pPr>
              <w:pStyle w:val="TableText"/>
            </w:pPr>
            <w:r>
              <w:t>High</w:t>
            </w:r>
          </w:p>
        </w:tc>
        <w:tc>
          <w:tcPr>
            <w:tcW w:w="507" w:type="pct"/>
            <w:tcBorders>
              <w:top w:val="single" w:sz="4" w:space="0" w:color="FFFFFF" w:themeColor="background1"/>
              <w:bottom w:val="single" w:sz="4" w:space="0" w:color="FFFFFF" w:themeColor="background1"/>
            </w:tcBorders>
            <w:shd w:val="clear" w:color="auto" w:fill="auto"/>
          </w:tcPr>
          <w:p w:rsidR="00B52BB0" w:rsidRPr="006E33C7" w:rsidRDefault="00B52BB0" w:rsidP="003E074D">
            <w:pPr>
              <w:pStyle w:val="TableText"/>
            </w:pPr>
            <w:r w:rsidRPr="006E33C7">
              <w:t>High</w:t>
            </w:r>
          </w:p>
        </w:tc>
        <w:tc>
          <w:tcPr>
            <w:tcW w:w="810" w:type="pct"/>
            <w:tcBorders>
              <w:top w:val="single" w:sz="4" w:space="0" w:color="FFFFFF" w:themeColor="background1"/>
              <w:bottom w:val="single" w:sz="4" w:space="0" w:color="FFFFFF" w:themeColor="background1"/>
            </w:tcBorders>
            <w:shd w:val="clear" w:color="auto" w:fill="auto"/>
          </w:tcPr>
          <w:p w:rsidR="00B52BB0" w:rsidRPr="00DB7AEF" w:rsidRDefault="00B52BB0" w:rsidP="003E074D">
            <w:pPr>
              <w:pStyle w:val="TableText"/>
              <w:jc w:val="center"/>
            </w:pPr>
            <w:r w:rsidRPr="00DB7AEF">
              <w:t>High</w:t>
            </w:r>
          </w:p>
        </w:tc>
        <w:tc>
          <w:tcPr>
            <w:tcW w:w="441" w:type="pct"/>
            <w:tcBorders>
              <w:top w:val="single" w:sz="4" w:space="0" w:color="FFFFFF" w:themeColor="background1"/>
              <w:bottom w:val="single" w:sz="4" w:space="0" w:color="FFFFFF" w:themeColor="background1"/>
              <w:right w:val="nil"/>
            </w:tcBorders>
            <w:shd w:val="clear" w:color="auto" w:fill="auto"/>
          </w:tcPr>
          <w:p w:rsidR="00B52BB0" w:rsidRPr="00DB7AEF" w:rsidRDefault="00B52BB0" w:rsidP="003E074D">
            <w:pPr>
              <w:pStyle w:val="TableText"/>
              <w:rPr>
                <w:b/>
              </w:rPr>
            </w:pPr>
            <w:r w:rsidRPr="00DB7AEF">
              <w:rPr>
                <w:b/>
              </w:rPr>
              <w:t>High</w:t>
            </w:r>
          </w:p>
        </w:tc>
      </w:tr>
      <w:tr w:rsidR="00B52BB0" w:rsidRPr="00387213" w:rsidTr="003E074D">
        <w:trPr>
          <w:trHeight w:val="165"/>
        </w:trPr>
        <w:tc>
          <w:tcPr>
            <w:tcW w:w="913" w:type="pct"/>
            <w:tcBorders>
              <w:top w:val="single" w:sz="4" w:space="0" w:color="FFFFFF" w:themeColor="background1"/>
              <w:left w:val="nil"/>
              <w:bottom w:val="single" w:sz="4" w:space="0" w:color="FFFFFF" w:themeColor="background1"/>
            </w:tcBorders>
          </w:tcPr>
          <w:p w:rsidR="00B52BB0" w:rsidRPr="00387213" w:rsidRDefault="00B52BB0" w:rsidP="003E074D">
            <w:pPr>
              <w:pStyle w:val="TableText"/>
              <w:rPr>
                <w:i/>
                <w:lang w:eastAsia="en-AU"/>
              </w:rPr>
            </w:pPr>
            <w:r w:rsidRPr="0022075B">
              <w:rPr>
                <w:i/>
              </w:rPr>
              <w:t xml:space="preserve">Bactrocera dorsalis </w:t>
            </w:r>
            <w:r w:rsidRPr="00BF179B">
              <w:t>(EP)</w:t>
            </w:r>
          </w:p>
        </w:tc>
        <w:tc>
          <w:tcPr>
            <w:tcW w:w="456"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t>High</w:t>
            </w:r>
          </w:p>
        </w:tc>
        <w:tc>
          <w:tcPr>
            <w:tcW w:w="455"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t>High</w:t>
            </w:r>
          </w:p>
        </w:tc>
        <w:tc>
          <w:tcPr>
            <w:tcW w:w="456"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rPr>
                <w:b/>
              </w:rPr>
            </w:pPr>
            <w:r>
              <w:rPr>
                <w:b/>
              </w:rPr>
              <w:t>High</w:t>
            </w:r>
          </w:p>
        </w:tc>
        <w:tc>
          <w:tcPr>
            <w:tcW w:w="507"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t>High</w:t>
            </w:r>
          </w:p>
        </w:tc>
        <w:tc>
          <w:tcPr>
            <w:tcW w:w="455"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t>High</w:t>
            </w:r>
          </w:p>
        </w:tc>
        <w:tc>
          <w:tcPr>
            <w:tcW w:w="507" w:type="pct"/>
            <w:tcBorders>
              <w:top w:val="single" w:sz="4" w:space="0" w:color="FFFFFF" w:themeColor="background1"/>
              <w:bottom w:val="single" w:sz="4" w:space="0" w:color="FFFFFF" w:themeColor="background1"/>
            </w:tcBorders>
            <w:shd w:val="clear" w:color="auto" w:fill="auto"/>
          </w:tcPr>
          <w:p w:rsidR="00B52BB0" w:rsidRPr="006E33C7" w:rsidRDefault="00B52BB0" w:rsidP="003E074D">
            <w:pPr>
              <w:pStyle w:val="TableText"/>
            </w:pPr>
            <w:r w:rsidRPr="006E33C7">
              <w:t>High</w:t>
            </w:r>
          </w:p>
        </w:tc>
        <w:tc>
          <w:tcPr>
            <w:tcW w:w="810" w:type="pct"/>
            <w:tcBorders>
              <w:top w:val="single" w:sz="4" w:space="0" w:color="FFFFFF" w:themeColor="background1"/>
              <w:bottom w:val="single" w:sz="4" w:space="0" w:color="FFFFFF" w:themeColor="background1"/>
            </w:tcBorders>
            <w:shd w:val="clear" w:color="auto" w:fill="auto"/>
          </w:tcPr>
          <w:p w:rsidR="00B52BB0" w:rsidRDefault="00B52BB0" w:rsidP="003E074D">
            <w:pPr>
              <w:pStyle w:val="TableText"/>
              <w:jc w:val="center"/>
            </w:pPr>
            <w:r w:rsidRPr="00DB7AEF">
              <w:t>High</w:t>
            </w:r>
          </w:p>
        </w:tc>
        <w:tc>
          <w:tcPr>
            <w:tcW w:w="441" w:type="pct"/>
            <w:tcBorders>
              <w:top w:val="single" w:sz="4" w:space="0" w:color="FFFFFF" w:themeColor="background1"/>
              <w:bottom w:val="single" w:sz="4" w:space="0" w:color="FFFFFF" w:themeColor="background1"/>
              <w:right w:val="nil"/>
            </w:tcBorders>
            <w:shd w:val="clear" w:color="auto" w:fill="auto"/>
          </w:tcPr>
          <w:p w:rsidR="00B52BB0" w:rsidRPr="00387213" w:rsidRDefault="00B52BB0" w:rsidP="003E074D">
            <w:pPr>
              <w:pStyle w:val="TableText"/>
              <w:rPr>
                <w:b/>
              </w:rPr>
            </w:pPr>
            <w:r w:rsidRPr="00DB7AEF">
              <w:rPr>
                <w:b/>
              </w:rPr>
              <w:t>High</w:t>
            </w:r>
          </w:p>
        </w:tc>
      </w:tr>
      <w:tr w:rsidR="00B52BB0" w:rsidRPr="00387213" w:rsidTr="003E074D">
        <w:tc>
          <w:tcPr>
            <w:tcW w:w="5000" w:type="pct"/>
            <w:gridSpan w:val="9"/>
            <w:tcBorders>
              <w:top w:val="single" w:sz="4" w:space="0" w:color="BFBFBF" w:themeColor="background1" w:themeShade="BF"/>
              <w:left w:val="nil"/>
              <w:bottom w:val="single" w:sz="4" w:space="0" w:color="FFFFFF" w:themeColor="background1"/>
              <w:right w:val="nil"/>
            </w:tcBorders>
            <w:shd w:val="clear" w:color="auto" w:fill="auto"/>
          </w:tcPr>
          <w:p w:rsidR="00B52BB0" w:rsidRPr="00091601" w:rsidRDefault="00B52BB0" w:rsidP="003E074D">
            <w:pPr>
              <w:pStyle w:val="TableHeading"/>
            </w:pPr>
            <w:r w:rsidRPr="00387213">
              <w:t>Mealybugs [Hemiptera: Pseudococcidae]</w:t>
            </w:r>
          </w:p>
        </w:tc>
      </w:tr>
      <w:tr w:rsidR="00B52BB0" w:rsidRPr="00387213" w:rsidTr="003E074D">
        <w:trPr>
          <w:trHeight w:val="165"/>
        </w:trPr>
        <w:tc>
          <w:tcPr>
            <w:tcW w:w="913" w:type="pct"/>
            <w:tcBorders>
              <w:top w:val="single" w:sz="4" w:space="0" w:color="FFFFFF" w:themeColor="background1"/>
              <w:left w:val="nil"/>
              <w:bottom w:val="single" w:sz="4" w:space="0" w:color="FFFFFF" w:themeColor="background1"/>
            </w:tcBorders>
          </w:tcPr>
          <w:p w:rsidR="00B52BB0" w:rsidRPr="003B3F21" w:rsidRDefault="00B52BB0" w:rsidP="003E074D">
            <w:pPr>
              <w:pStyle w:val="TableText"/>
              <w:rPr>
                <w:highlight w:val="yellow"/>
                <w:lang w:eastAsia="en-AU"/>
              </w:rPr>
            </w:pPr>
            <w:r w:rsidRPr="00387213">
              <w:rPr>
                <w:i/>
                <w:lang w:eastAsia="en-AU"/>
              </w:rPr>
              <w:t xml:space="preserve">Dysmicoccus neobrevipes </w:t>
            </w:r>
            <w:r w:rsidRPr="00387213">
              <w:rPr>
                <w:lang w:eastAsia="en-AU"/>
              </w:rPr>
              <w:t>(EP)</w:t>
            </w:r>
          </w:p>
        </w:tc>
        <w:tc>
          <w:tcPr>
            <w:tcW w:w="456" w:type="pct"/>
            <w:tcBorders>
              <w:top w:val="single" w:sz="4" w:space="0" w:color="FFFFFF" w:themeColor="background1"/>
              <w:bottom w:val="single" w:sz="4" w:space="0" w:color="FFFFFF" w:themeColor="background1"/>
            </w:tcBorders>
            <w:shd w:val="clear" w:color="auto" w:fill="auto"/>
          </w:tcPr>
          <w:p w:rsidR="00B52BB0" w:rsidRPr="003B3F21" w:rsidRDefault="00B52BB0" w:rsidP="003E074D">
            <w:pPr>
              <w:pStyle w:val="TableText"/>
              <w:rPr>
                <w:highlight w:val="yellow"/>
              </w:rPr>
            </w:pPr>
            <w:r w:rsidRPr="00387213">
              <w:t>High</w:t>
            </w:r>
          </w:p>
        </w:tc>
        <w:tc>
          <w:tcPr>
            <w:tcW w:w="455" w:type="pct"/>
            <w:tcBorders>
              <w:top w:val="single" w:sz="4" w:space="0" w:color="FFFFFF" w:themeColor="background1"/>
              <w:bottom w:val="single" w:sz="4" w:space="0" w:color="FFFFFF" w:themeColor="background1"/>
            </w:tcBorders>
            <w:shd w:val="clear" w:color="auto" w:fill="auto"/>
          </w:tcPr>
          <w:p w:rsidR="00B52BB0" w:rsidRPr="003B3F21" w:rsidRDefault="00B52BB0" w:rsidP="003E074D">
            <w:pPr>
              <w:pStyle w:val="TableText"/>
              <w:rPr>
                <w:highlight w:val="yellow"/>
              </w:rPr>
            </w:pPr>
            <w:r w:rsidRPr="00387213">
              <w:t>Moderate</w:t>
            </w:r>
          </w:p>
        </w:tc>
        <w:tc>
          <w:tcPr>
            <w:tcW w:w="456" w:type="pct"/>
            <w:tcBorders>
              <w:top w:val="single" w:sz="4" w:space="0" w:color="FFFFFF" w:themeColor="background1"/>
              <w:bottom w:val="single" w:sz="4" w:space="0" w:color="FFFFFF" w:themeColor="background1"/>
            </w:tcBorders>
            <w:shd w:val="clear" w:color="auto" w:fill="auto"/>
          </w:tcPr>
          <w:p w:rsidR="00B52BB0" w:rsidRPr="003B3F21" w:rsidRDefault="00B52BB0" w:rsidP="003E074D">
            <w:pPr>
              <w:pStyle w:val="TableText"/>
              <w:rPr>
                <w:b/>
                <w:highlight w:val="yellow"/>
              </w:rPr>
            </w:pPr>
            <w:r w:rsidRPr="00387213">
              <w:rPr>
                <w:b/>
              </w:rPr>
              <w:t>Moderate</w:t>
            </w:r>
          </w:p>
        </w:tc>
        <w:tc>
          <w:tcPr>
            <w:tcW w:w="507" w:type="pct"/>
            <w:tcBorders>
              <w:top w:val="single" w:sz="4" w:space="0" w:color="FFFFFF" w:themeColor="background1"/>
              <w:bottom w:val="single" w:sz="4" w:space="0" w:color="FFFFFF" w:themeColor="background1"/>
            </w:tcBorders>
            <w:shd w:val="clear" w:color="auto" w:fill="auto"/>
          </w:tcPr>
          <w:p w:rsidR="00B52BB0" w:rsidRPr="003B3F21" w:rsidRDefault="00B52BB0" w:rsidP="003E074D">
            <w:pPr>
              <w:pStyle w:val="TableText"/>
              <w:rPr>
                <w:highlight w:val="yellow"/>
              </w:rPr>
            </w:pPr>
            <w:r w:rsidRPr="00387213">
              <w:t>High</w:t>
            </w:r>
          </w:p>
        </w:tc>
        <w:tc>
          <w:tcPr>
            <w:tcW w:w="455" w:type="pct"/>
            <w:tcBorders>
              <w:top w:val="single" w:sz="4" w:space="0" w:color="FFFFFF" w:themeColor="background1"/>
              <w:bottom w:val="single" w:sz="4" w:space="0" w:color="FFFFFF" w:themeColor="background1"/>
            </w:tcBorders>
            <w:shd w:val="clear" w:color="auto" w:fill="auto"/>
          </w:tcPr>
          <w:p w:rsidR="00B52BB0" w:rsidRPr="003B3F21" w:rsidRDefault="00B52BB0" w:rsidP="003E074D">
            <w:pPr>
              <w:pStyle w:val="TableText"/>
              <w:rPr>
                <w:highlight w:val="yellow"/>
              </w:rPr>
            </w:pPr>
            <w:r w:rsidRPr="00387213">
              <w:t>High</w:t>
            </w:r>
          </w:p>
        </w:tc>
        <w:tc>
          <w:tcPr>
            <w:tcW w:w="507" w:type="pct"/>
            <w:tcBorders>
              <w:top w:val="single" w:sz="4" w:space="0" w:color="FFFFFF" w:themeColor="background1"/>
              <w:bottom w:val="single" w:sz="4" w:space="0" w:color="FFFFFF" w:themeColor="background1"/>
            </w:tcBorders>
            <w:shd w:val="clear" w:color="auto" w:fill="auto"/>
          </w:tcPr>
          <w:p w:rsidR="00B52BB0" w:rsidRPr="003B3F21" w:rsidRDefault="00B52BB0" w:rsidP="003E074D">
            <w:pPr>
              <w:pStyle w:val="TableText"/>
              <w:rPr>
                <w:highlight w:val="yellow"/>
              </w:rPr>
            </w:pPr>
            <w:r w:rsidRPr="00387213">
              <w:t>Moderate</w:t>
            </w:r>
          </w:p>
        </w:tc>
        <w:tc>
          <w:tcPr>
            <w:tcW w:w="810" w:type="pct"/>
            <w:tcBorders>
              <w:top w:val="single" w:sz="4" w:space="0" w:color="FFFFFF" w:themeColor="background1"/>
              <w:bottom w:val="single" w:sz="4" w:space="0" w:color="FFFFFF" w:themeColor="background1"/>
            </w:tcBorders>
            <w:shd w:val="clear" w:color="auto" w:fill="auto"/>
          </w:tcPr>
          <w:p w:rsidR="00B52BB0" w:rsidRPr="003B3F21" w:rsidRDefault="00B52BB0" w:rsidP="003E074D">
            <w:pPr>
              <w:pStyle w:val="TableText"/>
              <w:jc w:val="center"/>
              <w:rPr>
                <w:highlight w:val="yellow"/>
              </w:rPr>
            </w:pPr>
            <w:r>
              <w:t>Low</w:t>
            </w:r>
          </w:p>
        </w:tc>
        <w:tc>
          <w:tcPr>
            <w:tcW w:w="441" w:type="pct"/>
            <w:tcBorders>
              <w:top w:val="single" w:sz="4" w:space="0" w:color="FFFFFF" w:themeColor="background1"/>
              <w:bottom w:val="single" w:sz="4" w:space="0" w:color="FFFFFF" w:themeColor="background1"/>
              <w:right w:val="nil"/>
            </w:tcBorders>
            <w:shd w:val="clear" w:color="auto" w:fill="auto"/>
          </w:tcPr>
          <w:p w:rsidR="00B52BB0" w:rsidRPr="003B3F21" w:rsidRDefault="00B52BB0" w:rsidP="003E074D">
            <w:pPr>
              <w:pStyle w:val="TableText"/>
              <w:rPr>
                <w:b/>
                <w:highlight w:val="yellow"/>
              </w:rPr>
            </w:pPr>
            <w:r w:rsidRPr="00387213">
              <w:rPr>
                <w:b/>
              </w:rPr>
              <w:t>Low</w:t>
            </w:r>
          </w:p>
        </w:tc>
      </w:tr>
      <w:tr w:rsidR="00B52BB0" w:rsidRPr="00387213" w:rsidTr="003E074D">
        <w:trPr>
          <w:trHeight w:val="165"/>
        </w:trPr>
        <w:tc>
          <w:tcPr>
            <w:tcW w:w="913" w:type="pct"/>
            <w:tcBorders>
              <w:top w:val="single" w:sz="4" w:space="0" w:color="FFFFFF" w:themeColor="background1"/>
              <w:left w:val="nil"/>
              <w:bottom w:val="single" w:sz="4" w:space="0" w:color="FFFFFF" w:themeColor="background1"/>
            </w:tcBorders>
          </w:tcPr>
          <w:p w:rsidR="00B52BB0" w:rsidRPr="003B3F21" w:rsidRDefault="00B52BB0" w:rsidP="003E074D">
            <w:pPr>
              <w:pStyle w:val="TableText"/>
              <w:rPr>
                <w:i/>
                <w:highlight w:val="yellow"/>
              </w:rPr>
            </w:pPr>
            <w:r w:rsidRPr="008E12F3">
              <w:rPr>
                <w:i/>
              </w:rPr>
              <w:t xml:space="preserve">Exallomochlus hispidus </w:t>
            </w:r>
            <w:r w:rsidRPr="00BF179B">
              <w:t>(EP)</w:t>
            </w:r>
          </w:p>
        </w:tc>
        <w:tc>
          <w:tcPr>
            <w:tcW w:w="456" w:type="pct"/>
            <w:tcBorders>
              <w:top w:val="single" w:sz="4" w:space="0" w:color="FFFFFF" w:themeColor="background1"/>
              <w:bottom w:val="single" w:sz="4" w:space="0" w:color="FFFFFF" w:themeColor="background1"/>
            </w:tcBorders>
            <w:shd w:val="clear" w:color="auto" w:fill="auto"/>
          </w:tcPr>
          <w:p w:rsidR="00B52BB0" w:rsidRPr="003B3F21" w:rsidRDefault="00B52BB0" w:rsidP="003E074D">
            <w:pPr>
              <w:pStyle w:val="TableText"/>
              <w:rPr>
                <w:highlight w:val="yellow"/>
              </w:rPr>
            </w:pPr>
            <w:r w:rsidRPr="00387213">
              <w:t>High</w:t>
            </w:r>
          </w:p>
        </w:tc>
        <w:tc>
          <w:tcPr>
            <w:tcW w:w="455" w:type="pct"/>
            <w:tcBorders>
              <w:top w:val="single" w:sz="4" w:space="0" w:color="FFFFFF" w:themeColor="background1"/>
              <w:bottom w:val="single" w:sz="4" w:space="0" w:color="FFFFFF" w:themeColor="background1"/>
            </w:tcBorders>
            <w:shd w:val="clear" w:color="auto" w:fill="auto"/>
          </w:tcPr>
          <w:p w:rsidR="00B52BB0" w:rsidRPr="003B3F21" w:rsidRDefault="00B52BB0" w:rsidP="003E074D">
            <w:pPr>
              <w:pStyle w:val="TableText"/>
              <w:rPr>
                <w:highlight w:val="yellow"/>
              </w:rPr>
            </w:pPr>
            <w:r w:rsidRPr="00387213">
              <w:t>Moderate</w:t>
            </w:r>
          </w:p>
        </w:tc>
        <w:tc>
          <w:tcPr>
            <w:tcW w:w="456" w:type="pct"/>
            <w:tcBorders>
              <w:top w:val="single" w:sz="4" w:space="0" w:color="FFFFFF" w:themeColor="background1"/>
              <w:bottom w:val="single" w:sz="4" w:space="0" w:color="FFFFFF" w:themeColor="background1"/>
            </w:tcBorders>
            <w:shd w:val="clear" w:color="auto" w:fill="auto"/>
          </w:tcPr>
          <w:p w:rsidR="00B52BB0" w:rsidRPr="003B3F21" w:rsidRDefault="00B52BB0" w:rsidP="003E074D">
            <w:pPr>
              <w:pStyle w:val="TableText"/>
              <w:rPr>
                <w:b/>
                <w:highlight w:val="yellow"/>
              </w:rPr>
            </w:pPr>
            <w:r w:rsidRPr="00387213">
              <w:rPr>
                <w:b/>
              </w:rPr>
              <w:t>Moderate</w:t>
            </w:r>
          </w:p>
        </w:tc>
        <w:tc>
          <w:tcPr>
            <w:tcW w:w="507" w:type="pct"/>
            <w:tcBorders>
              <w:top w:val="single" w:sz="4" w:space="0" w:color="FFFFFF" w:themeColor="background1"/>
              <w:bottom w:val="single" w:sz="4" w:space="0" w:color="FFFFFF" w:themeColor="background1"/>
            </w:tcBorders>
            <w:shd w:val="clear" w:color="auto" w:fill="auto"/>
          </w:tcPr>
          <w:p w:rsidR="00B52BB0" w:rsidRPr="003B3F21" w:rsidRDefault="00B52BB0" w:rsidP="003E074D">
            <w:pPr>
              <w:pStyle w:val="TableText"/>
              <w:rPr>
                <w:highlight w:val="yellow"/>
              </w:rPr>
            </w:pPr>
            <w:r w:rsidRPr="00387213">
              <w:t>High</w:t>
            </w:r>
          </w:p>
        </w:tc>
        <w:tc>
          <w:tcPr>
            <w:tcW w:w="455" w:type="pct"/>
            <w:tcBorders>
              <w:top w:val="single" w:sz="4" w:space="0" w:color="FFFFFF" w:themeColor="background1"/>
              <w:bottom w:val="single" w:sz="4" w:space="0" w:color="FFFFFF" w:themeColor="background1"/>
            </w:tcBorders>
            <w:shd w:val="clear" w:color="auto" w:fill="auto"/>
          </w:tcPr>
          <w:p w:rsidR="00B52BB0" w:rsidRPr="003B3F21" w:rsidRDefault="00B52BB0" w:rsidP="003E074D">
            <w:pPr>
              <w:pStyle w:val="TableText"/>
              <w:rPr>
                <w:highlight w:val="yellow"/>
              </w:rPr>
            </w:pPr>
            <w:r w:rsidRPr="00387213">
              <w:t>High</w:t>
            </w:r>
          </w:p>
        </w:tc>
        <w:tc>
          <w:tcPr>
            <w:tcW w:w="507" w:type="pct"/>
            <w:tcBorders>
              <w:top w:val="single" w:sz="4" w:space="0" w:color="FFFFFF" w:themeColor="background1"/>
              <w:bottom w:val="single" w:sz="4" w:space="0" w:color="FFFFFF" w:themeColor="background1"/>
            </w:tcBorders>
            <w:shd w:val="clear" w:color="auto" w:fill="auto"/>
          </w:tcPr>
          <w:p w:rsidR="00B52BB0" w:rsidRPr="003B3F21" w:rsidRDefault="00B52BB0" w:rsidP="003E074D">
            <w:pPr>
              <w:pStyle w:val="TableText"/>
              <w:rPr>
                <w:highlight w:val="yellow"/>
              </w:rPr>
            </w:pPr>
            <w:r w:rsidRPr="00387213">
              <w:t>Moderate</w:t>
            </w:r>
          </w:p>
        </w:tc>
        <w:tc>
          <w:tcPr>
            <w:tcW w:w="810" w:type="pct"/>
            <w:tcBorders>
              <w:top w:val="single" w:sz="4" w:space="0" w:color="FFFFFF" w:themeColor="background1"/>
              <w:bottom w:val="single" w:sz="4" w:space="0" w:color="FFFFFF" w:themeColor="background1"/>
            </w:tcBorders>
            <w:shd w:val="clear" w:color="auto" w:fill="auto"/>
          </w:tcPr>
          <w:p w:rsidR="00B52BB0" w:rsidRPr="003B3F21" w:rsidRDefault="00B52BB0" w:rsidP="003E074D">
            <w:pPr>
              <w:pStyle w:val="TableText"/>
              <w:jc w:val="center"/>
              <w:rPr>
                <w:highlight w:val="yellow"/>
              </w:rPr>
            </w:pPr>
            <w:r>
              <w:t>Low</w:t>
            </w:r>
          </w:p>
        </w:tc>
        <w:tc>
          <w:tcPr>
            <w:tcW w:w="441" w:type="pct"/>
            <w:tcBorders>
              <w:top w:val="single" w:sz="4" w:space="0" w:color="FFFFFF" w:themeColor="background1"/>
              <w:bottom w:val="single" w:sz="4" w:space="0" w:color="FFFFFF" w:themeColor="background1"/>
              <w:right w:val="nil"/>
            </w:tcBorders>
            <w:shd w:val="clear" w:color="auto" w:fill="auto"/>
          </w:tcPr>
          <w:p w:rsidR="00B52BB0" w:rsidRPr="003B3F21" w:rsidRDefault="00B52BB0" w:rsidP="003E074D">
            <w:pPr>
              <w:pStyle w:val="TableText"/>
              <w:rPr>
                <w:b/>
                <w:highlight w:val="yellow"/>
              </w:rPr>
            </w:pPr>
            <w:r w:rsidRPr="00387213">
              <w:rPr>
                <w:b/>
              </w:rPr>
              <w:t>Low</w:t>
            </w:r>
          </w:p>
        </w:tc>
      </w:tr>
      <w:tr w:rsidR="00B52BB0" w:rsidRPr="00387213" w:rsidTr="003E074D">
        <w:trPr>
          <w:trHeight w:val="165"/>
        </w:trPr>
        <w:tc>
          <w:tcPr>
            <w:tcW w:w="913" w:type="pct"/>
            <w:tcBorders>
              <w:top w:val="single" w:sz="4" w:space="0" w:color="FFFFFF" w:themeColor="background1"/>
              <w:left w:val="nil"/>
              <w:bottom w:val="single" w:sz="4" w:space="0" w:color="FFFFFF" w:themeColor="background1"/>
            </w:tcBorders>
          </w:tcPr>
          <w:p w:rsidR="00B52BB0" w:rsidRPr="00387213" w:rsidRDefault="00B52BB0" w:rsidP="003E074D">
            <w:pPr>
              <w:pStyle w:val="TableText"/>
              <w:rPr>
                <w:i/>
              </w:rPr>
            </w:pPr>
            <w:r w:rsidRPr="008E12F3">
              <w:rPr>
                <w:i/>
              </w:rPr>
              <w:t xml:space="preserve">Paracoccus interceptus </w:t>
            </w:r>
            <w:r w:rsidRPr="00BF179B">
              <w:t>(EP)</w:t>
            </w:r>
          </w:p>
        </w:tc>
        <w:tc>
          <w:tcPr>
            <w:tcW w:w="456"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High</w:t>
            </w:r>
          </w:p>
        </w:tc>
        <w:tc>
          <w:tcPr>
            <w:tcW w:w="455"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Moderate</w:t>
            </w:r>
          </w:p>
        </w:tc>
        <w:tc>
          <w:tcPr>
            <w:tcW w:w="456"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rPr>
                <w:b/>
              </w:rPr>
            </w:pPr>
            <w:r w:rsidRPr="00387213">
              <w:rPr>
                <w:b/>
              </w:rPr>
              <w:t>Moderate</w:t>
            </w:r>
          </w:p>
        </w:tc>
        <w:tc>
          <w:tcPr>
            <w:tcW w:w="507"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High</w:t>
            </w:r>
          </w:p>
        </w:tc>
        <w:tc>
          <w:tcPr>
            <w:tcW w:w="455"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High</w:t>
            </w:r>
          </w:p>
        </w:tc>
        <w:tc>
          <w:tcPr>
            <w:tcW w:w="507"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Moderate</w:t>
            </w:r>
          </w:p>
        </w:tc>
        <w:tc>
          <w:tcPr>
            <w:tcW w:w="810" w:type="pct"/>
            <w:tcBorders>
              <w:top w:val="single" w:sz="4" w:space="0" w:color="FFFFFF" w:themeColor="background1"/>
              <w:bottom w:val="single" w:sz="4" w:space="0" w:color="FFFFFF" w:themeColor="background1"/>
            </w:tcBorders>
            <w:shd w:val="clear" w:color="auto" w:fill="auto"/>
          </w:tcPr>
          <w:p w:rsidR="00B52BB0" w:rsidRDefault="00B52BB0" w:rsidP="003E074D">
            <w:pPr>
              <w:pStyle w:val="TableText"/>
              <w:jc w:val="center"/>
            </w:pPr>
            <w:r>
              <w:t>Low</w:t>
            </w:r>
          </w:p>
        </w:tc>
        <w:tc>
          <w:tcPr>
            <w:tcW w:w="441" w:type="pct"/>
            <w:tcBorders>
              <w:top w:val="single" w:sz="4" w:space="0" w:color="FFFFFF" w:themeColor="background1"/>
              <w:bottom w:val="single" w:sz="4" w:space="0" w:color="FFFFFF" w:themeColor="background1"/>
              <w:right w:val="nil"/>
            </w:tcBorders>
            <w:shd w:val="clear" w:color="auto" w:fill="auto"/>
          </w:tcPr>
          <w:p w:rsidR="00B52BB0" w:rsidRPr="00387213" w:rsidRDefault="00B52BB0" w:rsidP="003E074D">
            <w:pPr>
              <w:pStyle w:val="TableText"/>
              <w:rPr>
                <w:b/>
              </w:rPr>
            </w:pPr>
            <w:r w:rsidRPr="00387213">
              <w:rPr>
                <w:b/>
              </w:rPr>
              <w:t>Low</w:t>
            </w:r>
          </w:p>
        </w:tc>
      </w:tr>
      <w:tr w:rsidR="00B52BB0" w:rsidRPr="00387213" w:rsidTr="003E074D">
        <w:trPr>
          <w:trHeight w:val="165"/>
        </w:trPr>
        <w:tc>
          <w:tcPr>
            <w:tcW w:w="913" w:type="pct"/>
            <w:tcBorders>
              <w:top w:val="single" w:sz="4" w:space="0" w:color="FFFFFF" w:themeColor="background1"/>
              <w:left w:val="nil"/>
              <w:bottom w:val="single" w:sz="4" w:space="0" w:color="FFFFFF" w:themeColor="background1"/>
            </w:tcBorders>
          </w:tcPr>
          <w:p w:rsidR="00B52BB0" w:rsidRPr="008E12F3" w:rsidRDefault="00B52BB0" w:rsidP="003E074D">
            <w:pPr>
              <w:pStyle w:val="TableText"/>
              <w:rPr>
                <w:i/>
              </w:rPr>
            </w:pPr>
            <w:r w:rsidRPr="00D37B27">
              <w:rPr>
                <w:i/>
              </w:rPr>
              <w:t xml:space="preserve">Planococcus lilacinus </w:t>
            </w:r>
            <w:r w:rsidRPr="00BF179B">
              <w:t>(EP)</w:t>
            </w:r>
          </w:p>
        </w:tc>
        <w:tc>
          <w:tcPr>
            <w:tcW w:w="456"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High</w:t>
            </w:r>
          </w:p>
        </w:tc>
        <w:tc>
          <w:tcPr>
            <w:tcW w:w="455"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Moderate</w:t>
            </w:r>
          </w:p>
        </w:tc>
        <w:tc>
          <w:tcPr>
            <w:tcW w:w="456"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rPr>
                <w:b/>
              </w:rPr>
            </w:pPr>
            <w:r w:rsidRPr="00387213">
              <w:rPr>
                <w:b/>
              </w:rPr>
              <w:t>Moderate</w:t>
            </w:r>
          </w:p>
        </w:tc>
        <w:tc>
          <w:tcPr>
            <w:tcW w:w="507"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High</w:t>
            </w:r>
          </w:p>
        </w:tc>
        <w:tc>
          <w:tcPr>
            <w:tcW w:w="455"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High</w:t>
            </w:r>
          </w:p>
        </w:tc>
        <w:tc>
          <w:tcPr>
            <w:tcW w:w="507"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Moderate</w:t>
            </w:r>
          </w:p>
        </w:tc>
        <w:tc>
          <w:tcPr>
            <w:tcW w:w="810" w:type="pct"/>
            <w:tcBorders>
              <w:top w:val="single" w:sz="4" w:space="0" w:color="FFFFFF" w:themeColor="background1"/>
              <w:bottom w:val="single" w:sz="4" w:space="0" w:color="FFFFFF" w:themeColor="background1"/>
            </w:tcBorders>
            <w:shd w:val="clear" w:color="auto" w:fill="auto"/>
          </w:tcPr>
          <w:p w:rsidR="00B52BB0" w:rsidRDefault="00B52BB0" w:rsidP="003E074D">
            <w:pPr>
              <w:pStyle w:val="TableText"/>
              <w:jc w:val="center"/>
            </w:pPr>
            <w:r>
              <w:t>Low</w:t>
            </w:r>
          </w:p>
        </w:tc>
        <w:tc>
          <w:tcPr>
            <w:tcW w:w="441" w:type="pct"/>
            <w:tcBorders>
              <w:top w:val="single" w:sz="4" w:space="0" w:color="FFFFFF" w:themeColor="background1"/>
              <w:bottom w:val="single" w:sz="4" w:space="0" w:color="FFFFFF" w:themeColor="background1"/>
              <w:right w:val="nil"/>
            </w:tcBorders>
            <w:shd w:val="clear" w:color="auto" w:fill="auto"/>
          </w:tcPr>
          <w:p w:rsidR="00B52BB0" w:rsidRPr="00387213" w:rsidRDefault="00B52BB0" w:rsidP="003E074D">
            <w:pPr>
              <w:pStyle w:val="TableText"/>
              <w:rPr>
                <w:b/>
              </w:rPr>
            </w:pPr>
            <w:r w:rsidRPr="00387213">
              <w:rPr>
                <w:b/>
              </w:rPr>
              <w:t>Low</w:t>
            </w:r>
          </w:p>
        </w:tc>
      </w:tr>
      <w:tr w:rsidR="00B52BB0" w:rsidRPr="00387213" w:rsidTr="003E074D">
        <w:trPr>
          <w:trHeight w:val="165"/>
        </w:trPr>
        <w:tc>
          <w:tcPr>
            <w:tcW w:w="913" w:type="pct"/>
            <w:tcBorders>
              <w:top w:val="single" w:sz="4" w:space="0" w:color="FFFFFF" w:themeColor="background1"/>
              <w:left w:val="nil"/>
              <w:bottom w:val="single" w:sz="4" w:space="0" w:color="FFFFFF" w:themeColor="background1"/>
            </w:tcBorders>
          </w:tcPr>
          <w:p w:rsidR="00B52BB0" w:rsidRPr="008E12F3" w:rsidRDefault="00B52BB0" w:rsidP="003E074D">
            <w:pPr>
              <w:pStyle w:val="TableText"/>
              <w:rPr>
                <w:i/>
              </w:rPr>
            </w:pPr>
            <w:r>
              <w:rPr>
                <w:i/>
              </w:rPr>
              <w:t xml:space="preserve">Planococcus litchi </w:t>
            </w:r>
            <w:r w:rsidRPr="00BF179B">
              <w:t>(EP)</w:t>
            </w:r>
          </w:p>
        </w:tc>
        <w:tc>
          <w:tcPr>
            <w:tcW w:w="456"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High</w:t>
            </w:r>
          </w:p>
        </w:tc>
        <w:tc>
          <w:tcPr>
            <w:tcW w:w="455"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Moderate</w:t>
            </w:r>
          </w:p>
        </w:tc>
        <w:tc>
          <w:tcPr>
            <w:tcW w:w="456"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rPr>
                <w:b/>
              </w:rPr>
            </w:pPr>
            <w:r w:rsidRPr="00387213">
              <w:rPr>
                <w:b/>
              </w:rPr>
              <w:t>Moderate</w:t>
            </w:r>
          </w:p>
        </w:tc>
        <w:tc>
          <w:tcPr>
            <w:tcW w:w="507"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High</w:t>
            </w:r>
          </w:p>
        </w:tc>
        <w:tc>
          <w:tcPr>
            <w:tcW w:w="455"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High</w:t>
            </w:r>
          </w:p>
        </w:tc>
        <w:tc>
          <w:tcPr>
            <w:tcW w:w="507"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Moderate</w:t>
            </w:r>
          </w:p>
        </w:tc>
        <w:tc>
          <w:tcPr>
            <w:tcW w:w="810" w:type="pct"/>
            <w:tcBorders>
              <w:top w:val="single" w:sz="4" w:space="0" w:color="FFFFFF" w:themeColor="background1"/>
              <w:bottom w:val="single" w:sz="4" w:space="0" w:color="FFFFFF" w:themeColor="background1"/>
            </w:tcBorders>
            <w:shd w:val="clear" w:color="auto" w:fill="auto"/>
          </w:tcPr>
          <w:p w:rsidR="00B52BB0" w:rsidRDefault="00B52BB0" w:rsidP="003E074D">
            <w:pPr>
              <w:pStyle w:val="TableText"/>
              <w:jc w:val="center"/>
            </w:pPr>
            <w:r>
              <w:t>Low</w:t>
            </w:r>
          </w:p>
        </w:tc>
        <w:tc>
          <w:tcPr>
            <w:tcW w:w="441" w:type="pct"/>
            <w:tcBorders>
              <w:top w:val="single" w:sz="4" w:space="0" w:color="FFFFFF" w:themeColor="background1"/>
              <w:bottom w:val="single" w:sz="4" w:space="0" w:color="FFFFFF" w:themeColor="background1"/>
              <w:right w:val="nil"/>
            </w:tcBorders>
            <w:shd w:val="clear" w:color="auto" w:fill="auto"/>
          </w:tcPr>
          <w:p w:rsidR="00B52BB0" w:rsidRPr="00387213" w:rsidRDefault="00B52BB0" w:rsidP="003E074D">
            <w:pPr>
              <w:pStyle w:val="TableText"/>
              <w:rPr>
                <w:b/>
              </w:rPr>
            </w:pPr>
            <w:r w:rsidRPr="00387213">
              <w:rPr>
                <w:b/>
              </w:rPr>
              <w:t>Low</w:t>
            </w:r>
          </w:p>
        </w:tc>
      </w:tr>
      <w:tr w:rsidR="00B52BB0" w:rsidRPr="00387213" w:rsidTr="003E074D">
        <w:trPr>
          <w:trHeight w:val="165"/>
        </w:trPr>
        <w:tc>
          <w:tcPr>
            <w:tcW w:w="913" w:type="pct"/>
            <w:tcBorders>
              <w:top w:val="single" w:sz="4" w:space="0" w:color="FFFFFF" w:themeColor="background1"/>
              <w:left w:val="nil"/>
              <w:bottom w:val="single" w:sz="4" w:space="0" w:color="FFFFFF" w:themeColor="background1"/>
            </w:tcBorders>
          </w:tcPr>
          <w:p w:rsidR="00B52BB0" w:rsidRPr="00387213" w:rsidRDefault="00B52BB0" w:rsidP="003E074D">
            <w:pPr>
              <w:pStyle w:val="TableText"/>
              <w:rPr>
                <w:i/>
              </w:rPr>
            </w:pPr>
            <w:r w:rsidRPr="00387213">
              <w:rPr>
                <w:i/>
              </w:rPr>
              <w:t xml:space="preserve">Planococcus minor </w:t>
            </w:r>
            <w:r w:rsidRPr="00387213">
              <w:t>(EP, WA)</w:t>
            </w:r>
          </w:p>
        </w:tc>
        <w:tc>
          <w:tcPr>
            <w:tcW w:w="456"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High</w:t>
            </w:r>
          </w:p>
        </w:tc>
        <w:tc>
          <w:tcPr>
            <w:tcW w:w="455"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Moderate</w:t>
            </w:r>
          </w:p>
        </w:tc>
        <w:tc>
          <w:tcPr>
            <w:tcW w:w="456"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rPr>
                <w:b/>
              </w:rPr>
            </w:pPr>
            <w:r w:rsidRPr="00387213">
              <w:rPr>
                <w:b/>
              </w:rPr>
              <w:t>Moderate</w:t>
            </w:r>
          </w:p>
        </w:tc>
        <w:tc>
          <w:tcPr>
            <w:tcW w:w="507"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High</w:t>
            </w:r>
          </w:p>
        </w:tc>
        <w:tc>
          <w:tcPr>
            <w:tcW w:w="455"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High</w:t>
            </w:r>
          </w:p>
        </w:tc>
        <w:tc>
          <w:tcPr>
            <w:tcW w:w="507"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Moderate</w:t>
            </w:r>
          </w:p>
        </w:tc>
        <w:tc>
          <w:tcPr>
            <w:tcW w:w="810" w:type="pct"/>
            <w:tcBorders>
              <w:top w:val="single" w:sz="4" w:space="0" w:color="FFFFFF" w:themeColor="background1"/>
              <w:bottom w:val="single" w:sz="4" w:space="0" w:color="FFFFFF" w:themeColor="background1"/>
            </w:tcBorders>
            <w:shd w:val="clear" w:color="auto" w:fill="auto"/>
          </w:tcPr>
          <w:p w:rsidR="00B52BB0" w:rsidRDefault="00B52BB0" w:rsidP="003E074D">
            <w:pPr>
              <w:pStyle w:val="TableText"/>
              <w:jc w:val="center"/>
            </w:pPr>
            <w:r>
              <w:t>Low</w:t>
            </w:r>
          </w:p>
        </w:tc>
        <w:tc>
          <w:tcPr>
            <w:tcW w:w="441" w:type="pct"/>
            <w:tcBorders>
              <w:top w:val="single" w:sz="4" w:space="0" w:color="FFFFFF" w:themeColor="background1"/>
              <w:bottom w:val="single" w:sz="4" w:space="0" w:color="FFFFFF" w:themeColor="background1"/>
              <w:right w:val="nil"/>
            </w:tcBorders>
            <w:shd w:val="clear" w:color="auto" w:fill="auto"/>
          </w:tcPr>
          <w:p w:rsidR="00B52BB0" w:rsidRPr="00387213" w:rsidRDefault="00B52BB0" w:rsidP="003E074D">
            <w:pPr>
              <w:pStyle w:val="TableText"/>
              <w:rPr>
                <w:b/>
              </w:rPr>
            </w:pPr>
            <w:r w:rsidRPr="00387213">
              <w:rPr>
                <w:b/>
              </w:rPr>
              <w:t>Low</w:t>
            </w:r>
          </w:p>
        </w:tc>
      </w:tr>
      <w:tr w:rsidR="00B52BB0" w:rsidRPr="00387213" w:rsidTr="003E074D">
        <w:trPr>
          <w:trHeight w:val="165"/>
        </w:trPr>
        <w:tc>
          <w:tcPr>
            <w:tcW w:w="913" w:type="pct"/>
            <w:tcBorders>
              <w:top w:val="single" w:sz="4" w:space="0" w:color="FFFFFF" w:themeColor="background1"/>
              <w:left w:val="nil"/>
              <w:bottom w:val="single" w:sz="4" w:space="0" w:color="FFFFFF" w:themeColor="background1"/>
            </w:tcBorders>
          </w:tcPr>
          <w:p w:rsidR="00B52BB0" w:rsidRPr="00130EC2" w:rsidRDefault="00B52BB0" w:rsidP="003E074D">
            <w:pPr>
              <w:pStyle w:val="TableText"/>
            </w:pPr>
            <w:r>
              <w:rPr>
                <w:i/>
              </w:rPr>
              <w:t>Pseudococcus baliteus</w:t>
            </w:r>
            <w:r>
              <w:t xml:space="preserve"> (EP)</w:t>
            </w:r>
          </w:p>
        </w:tc>
        <w:tc>
          <w:tcPr>
            <w:tcW w:w="456"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High</w:t>
            </w:r>
          </w:p>
        </w:tc>
        <w:tc>
          <w:tcPr>
            <w:tcW w:w="455"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Moderate</w:t>
            </w:r>
          </w:p>
        </w:tc>
        <w:tc>
          <w:tcPr>
            <w:tcW w:w="456"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rPr>
                <w:b/>
              </w:rPr>
            </w:pPr>
            <w:r w:rsidRPr="00387213">
              <w:rPr>
                <w:b/>
              </w:rPr>
              <w:t>Moderate</w:t>
            </w:r>
          </w:p>
        </w:tc>
        <w:tc>
          <w:tcPr>
            <w:tcW w:w="507"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High</w:t>
            </w:r>
          </w:p>
        </w:tc>
        <w:tc>
          <w:tcPr>
            <w:tcW w:w="455"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High</w:t>
            </w:r>
          </w:p>
        </w:tc>
        <w:tc>
          <w:tcPr>
            <w:tcW w:w="507" w:type="pct"/>
            <w:tcBorders>
              <w:top w:val="single" w:sz="4" w:space="0" w:color="FFFFFF" w:themeColor="background1"/>
              <w:bottom w:val="single" w:sz="4" w:space="0" w:color="FFFFFF" w:themeColor="background1"/>
            </w:tcBorders>
            <w:shd w:val="clear" w:color="auto" w:fill="auto"/>
          </w:tcPr>
          <w:p w:rsidR="00B52BB0" w:rsidRPr="00387213" w:rsidRDefault="00B52BB0" w:rsidP="003E074D">
            <w:pPr>
              <w:pStyle w:val="TableText"/>
            </w:pPr>
            <w:r w:rsidRPr="00387213">
              <w:t>Moderate</w:t>
            </w:r>
          </w:p>
        </w:tc>
        <w:tc>
          <w:tcPr>
            <w:tcW w:w="810" w:type="pct"/>
            <w:tcBorders>
              <w:top w:val="single" w:sz="4" w:space="0" w:color="FFFFFF" w:themeColor="background1"/>
              <w:bottom w:val="single" w:sz="4" w:space="0" w:color="FFFFFF" w:themeColor="background1"/>
            </w:tcBorders>
            <w:shd w:val="clear" w:color="auto" w:fill="auto"/>
          </w:tcPr>
          <w:p w:rsidR="00B52BB0" w:rsidRDefault="00B52BB0" w:rsidP="003E074D">
            <w:pPr>
              <w:pStyle w:val="TableText"/>
              <w:jc w:val="center"/>
            </w:pPr>
            <w:r>
              <w:t>Low</w:t>
            </w:r>
          </w:p>
        </w:tc>
        <w:tc>
          <w:tcPr>
            <w:tcW w:w="441" w:type="pct"/>
            <w:tcBorders>
              <w:top w:val="single" w:sz="4" w:space="0" w:color="FFFFFF" w:themeColor="background1"/>
              <w:bottom w:val="single" w:sz="4" w:space="0" w:color="FFFFFF" w:themeColor="background1"/>
              <w:right w:val="nil"/>
            </w:tcBorders>
            <w:shd w:val="clear" w:color="auto" w:fill="auto"/>
          </w:tcPr>
          <w:p w:rsidR="00B52BB0" w:rsidRPr="00387213" w:rsidRDefault="00B52BB0" w:rsidP="003E074D">
            <w:pPr>
              <w:pStyle w:val="TableText"/>
              <w:rPr>
                <w:b/>
              </w:rPr>
            </w:pPr>
            <w:r w:rsidRPr="00387213">
              <w:rPr>
                <w:b/>
              </w:rPr>
              <w:t>Low</w:t>
            </w:r>
          </w:p>
        </w:tc>
      </w:tr>
      <w:tr w:rsidR="00B52BB0" w:rsidRPr="00387213" w:rsidTr="003E074D">
        <w:trPr>
          <w:trHeight w:val="165"/>
        </w:trPr>
        <w:tc>
          <w:tcPr>
            <w:tcW w:w="913" w:type="pct"/>
            <w:tcBorders>
              <w:top w:val="single" w:sz="4" w:space="0" w:color="FFFFFF" w:themeColor="background1"/>
              <w:left w:val="nil"/>
              <w:bottom w:val="single" w:sz="4" w:space="0" w:color="BFBFBF" w:themeColor="background1" w:themeShade="BF"/>
            </w:tcBorders>
            <w:shd w:val="clear" w:color="auto" w:fill="auto"/>
          </w:tcPr>
          <w:p w:rsidR="00B52BB0" w:rsidRPr="00387213" w:rsidRDefault="00B52BB0" w:rsidP="003E074D">
            <w:pPr>
              <w:pStyle w:val="TableText"/>
              <w:rPr>
                <w:i/>
              </w:rPr>
            </w:pPr>
            <w:r>
              <w:rPr>
                <w:i/>
              </w:rPr>
              <w:t>Pseudococcus cryptus</w:t>
            </w:r>
            <w:r w:rsidRPr="00387213">
              <w:rPr>
                <w:i/>
              </w:rPr>
              <w:t xml:space="preserve"> </w:t>
            </w:r>
            <w:r w:rsidRPr="00387213">
              <w:t>(EP)</w:t>
            </w:r>
          </w:p>
        </w:tc>
        <w:tc>
          <w:tcPr>
            <w:tcW w:w="456" w:type="pct"/>
            <w:tcBorders>
              <w:top w:val="single" w:sz="4" w:space="0" w:color="FFFFFF" w:themeColor="background1"/>
              <w:bottom w:val="single" w:sz="4" w:space="0" w:color="BFBFBF" w:themeColor="background1" w:themeShade="BF"/>
            </w:tcBorders>
            <w:shd w:val="clear" w:color="auto" w:fill="auto"/>
          </w:tcPr>
          <w:p w:rsidR="00B52BB0" w:rsidRPr="00387213" w:rsidRDefault="00B52BB0" w:rsidP="003E074D">
            <w:pPr>
              <w:pStyle w:val="TableText"/>
            </w:pPr>
            <w:r w:rsidRPr="00387213">
              <w:t>High</w:t>
            </w:r>
          </w:p>
        </w:tc>
        <w:tc>
          <w:tcPr>
            <w:tcW w:w="455" w:type="pct"/>
            <w:tcBorders>
              <w:top w:val="single" w:sz="4" w:space="0" w:color="FFFFFF" w:themeColor="background1"/>
              <w:bottom w:val="single" w:sz="4" w:space="0" w:color="BFBFBF" w:themeColor="background1" w:themeShade="BF"/>
            </w:tcBorders>
            <w:shd w:val="clear" w:color="auto" w:fill="auto"/>
          </w:tcPr>
          <w:p w:rsidR="00B52BB0" w:rsidRPr="00387213" w:rsidRDefault="00B52BB0" w:rsidP="003E074D">
            <w:pPr>
              <w:pStyle w:val="TableText"/>
            </w:pPr>
            <w:r w:rsidRPr="00387213">
              <w:t>Moderate</w:t>
            </w:r>
          </w:p>
        </w:tc>
        <w:tc>
          <w:tcPr>
            <w:tcW w:w="456" w:type="pct"/>
            <w:tcBorders>
              <w:top w:val="single" w:sz="4" w:space="0" w:color="FFFFFF" w:themeColor="background1"/>
              <w:bottom w:val="single" w:sz="4" w:space="0" w:color="BFBFBF" w:themeColor="background1" w:themeShade="BF"/>
            </w:tcBorders>
            <w:shd w:val="clear" w:color="auto" w:fill="auto"/>
          </w:tcPr>
          <w:p w:rsidR="00B52BB0" w:rsidRPr="00387213" w:rsidRDefault="00B52BB0" w:rsidP="003E074D">
            <w:pPr>
              <w:pStyle w:val="TableText"/>
              <w:rPr>
                <w:b/>
              </w:rPr>
            </w:pPr>
            <w:r w:rsidRPr="00387213">
              <w:rPr>
                <w:b/>
              </w:rPr>
              <w:t>Moderate</w:t>
            </w:r>
          </w:p>
        </w:tc>
        <w:tc>
          <w:tcPr>
            <w:tcW w:w="507" w:type="pct"/>
            <w:tcBorders>
              <w:top w:val="single" w:sz="4" w:space="0" w:color="FFFFFF" w:themeColor="background1"/>
              <w:bottom w:val="single" w:sz="4" w:space="0" w:color="BFBFBF" w:themeColor="background1" w:themeShade="BF"/>
            </w:tcBorders>
            <w:shd w:val="clear" w:color="auto" w:fill="auto"/>
          </w:tcPr>
          <w:p w:rsidR="00B52BB0" w:rsidRPr="00387213" w:rsidRDefault="00B52BB0" w:rsidP="003E074D">
            <w:pPr>
              <w:pStyle w:val="TableText"/>
            </w:pPr>
            <w:r w:rsidRPr="00387213">
              <w:t>High</w:t>
            </w:r>
          </w:p>
        </w:tc>
        <w:tc>
          <w:tcPr>
            <w:tcW w:w="455" w:type="pct"/>
            <w:tcBorders>
              <w:top w:val="single" w:sz="4" w:space="0" w:color="FFFFFF" w:themeColor="background1"/>
              <w:bottom w:val="single" w:sz="4" w:space="0" w:color="BFBFBF" w:themeColor="background1" w:themeShade="BF"/>
            </w:tcBorders>
            <w:shd w:val="clear" w:color="auto" w:fill="auto"/>
          </w:tcPr>
          <w:p w:rsidR="00B52BB0" w:rsidRPr="00387213" w:rsidRDefault="00B52BB0" w:rsidP="003E074D">
            <w:pPr>
              <w:pStyle w:val="TableText"/>
            </w:pPr>
            <w:r w:rsidRPr="00387213">
              <w:t>High</w:t>
            </w:r>
          </w:p>
        </w:tc>
        <w:tc>
          <w:tcPr>
            <w:tcW w:w="507" w:type="pct"/>
            <w:tcBorders>
              <w:top w:val="single" w:sz="4" w:space="0" w:color="FFFFFF" w:themeColor="background1"/>
              <w:bottom w:val="single" w:sz="4" w:space="0" w:color="BFBFBF" w:themeColor="background1" w:themeShade="BF"/>
            </w:tcBorders>
            <w:shd w:val="clear" w:color="auto" w:fill="auto"/>
          </w:tcPr>
          <w:p w:rsidR="00B52BB0" w:rsidRPr="00387213" w:rsidRDefault="00B52BB0" w:rsidP="003E074D">
            <w:pPr>
              <w:pStyle w:val="TableText"/>
            </w:pPr>
            <w:r w:rsidRPr="00387213">
              <w:t>Moderate</w:t>
            </w:r>
          </w:p>
        </w:tc>
        <w:tc>
          <w:tcPr>
            <w:tcW w:w="810" w:type="pct"/>
            <w:tcBorders>
              <w:top w:val="single" w:sz="4" w:space="0" w:color="FFFFFF" w:themeColor="background1"/>
              <w:bottom w:val="single" w:sz="4" w:space="0" w:color="BFBFBF" w:themeColor="background1" w:themeShade="BF"/>
            </w:tcBorders>
            <w:shd w:val="clear" w:color="auto" w:fill="auto"/>
          </w:tcPr>
          <w:p w:rsidR="00B52BB0" w:rsidRDefault="00B52BB0" w:rsidP="003E074D">
            <w:pPr>
              <w:pStyle w:val="TableText"/>
              <w:jc w:val="center"/>
            </w:pPr>
            <w:r>
              <w:t>Low</w:t>
            </w:r>
          </w:p>
        </w:tc>
        <w:tc>
          <w:tcPr>
            <w:tcW w:w="441" w:type="pct"/>
            <w:tcBorders>
              <w:top w:val="single" w:sz="4" w:space="0" w:color="FFFFFF" w:themeColor="background1"/>
              <w:bottom w:val="single" w:sz="4" w:space="0" w:color="BFBFBF" w:themeColor="background1" w:themeShade="BF"/>
              <w:right w:val="nil"/>
            </w:tcBorders>
            <w:shd w:val="clear" w:color="auto" w:fill="auto"/>
          </w:tcPr>
          <w:p w:rsidR="00B52BB0" w:rsidRPr="00387213" w:rsidRDefault="00B52BB0" w:rsidP="003E074D">
            <w:pPr>
              <w:pStyle w:val="TableText"/>
              <w:rPr>
                <w:b/>
              </w:rPr>
            </w:pPr>
            <w:r w:rsidRPr="00387213">
              <w:rPr>
                <w:b/>
              </w:rPr>
              <w:t>Low</w:t>
            </w:r>
          </w:p>
        </w:tc>
      </w:tr>
      <w:tr w:rsidR="00B52BB0" w:rsidRPr="00387213" w:rsidTr="003E074D">
        <w:trPr>
          <w:trHeight w:val="165"/>
        </w:trPr>
        <w:tc>
          <w:tcPr>
            <w:tcW w:w="5000" w:type="pct"/>
            <w:gridSpan w:val="9"/>
            <w:tcBorders>
              <w:top w:val="single" w:sz="4" w:space="0" w:color="FFFFFF" w:themeColor="background1"/>
              <w:left w:val="nil"/>
              <w:bottom w:val="single" w:sz="4" w:space="0" w:color="FFFFFF" w:themeColor="background1"/>
              <w:right w:val="single" w:sz="4" w:space="0" w:color="FFFFFF" w:themeColor="background1"/>
            </w:tcBorders>
            <w:shd w:val="clear" w:color="auto" w:fill="auto"/>
          </w:tcPr>
          <w:p w:rsidR="00B52BB0" w:rsidRPr="00387213" w:rsidRDefault="00B52BB0" w:rsidP="003E074D">
            <w:pPr>
              <w:pStyle w:val="TableHeading"/>
            </w:pPr>
            <w:r>
              <w:t>Soft</w:t>
            </w:r>
            <w:r w:rsidRPr="003F24F1">
              <w:t xml:space="preserve"> scales [Hemiptera: </w:t>
            </w:r>
            <w:r>
              <w:t>Coccidae</w:t>
            </w:r>
            <w:r w:rsidRPr="003F24F1">
              <w:t>]</w:t>
            </w:r>
          </w:p>
        </w:tc>
      </w:tr>
      <w:tr w:rsidR="00B52BB0" w:rsidRPr="00387213" w:rsidTr="003E074D">
        <w:trPr>
          <w:trHeight w:val="165"/>
        </w:trPr>
        <w:tc>
          <w:tcPr>
            <w:tcW w:w="913" w:type="pct"/>
            <w:tcBorders>
              <w:top w:val="single" w:sz="4" w:space="0" w:color="FFFFFF" w:themeColor="background1"/>
              <w:left w:val="nil"/>
              <w:bottom w:val="single" w:sz="4" w:space="0" w:color="BFBFBF" w:themeColor="background1" w:themeShade="BF"/>
            </w:tcBorders>
            <w:shd w:val="clear" w:color="auto" w:fill="auto"/>
          </w:tcPr>
          <w:p w:rsidR="00B52BB0" w:rsidRPr="00387213" w:rsidRDefault="00B52BB0" w:rsidP="003E074D">
            <w:pPr>
              <w:pStyle w:val="TableText"/>
              <w:rPr>
                <w:i/>
              </w:rPr>
            </w:pPr>
            <w:r w:rsidRPr="009E33B6">
              <w:rPr>
                <w:i/>
              </w:rPr>
              <w:t xml:space="preserve">Drepanococcus chiton </w:t>
            </w:r>
            <w:r w:rsidRPr="00BF179B">
              <w:t>(EP)</w:t>
            </w:r>
          </w:p>
        </w:tc>
        <w:tc>
          <w:tcPr>
            <w:tcW w:w="456" w:type="pct"/>
            <w:tcBorders>
              <w:top w:val="single" w:sz="4" w:space="0" w:color="FFFFFF" w:themeColor="background1"/>
              <w:bottom w:val="single" w:sz="4" w:space="0" w:color="BFBFBF" w:themeColor="background1" w:themeShade="BF"/>
            </w:tcBorders>
            <w:shd w:val="clear" w:color="auto" w:fill="auto"/>
          </w:tcPr>
          <w:p w:rsidR="00B52BB0" w:rsidRPr="00387213" w:rsidRDefault="00B52BB0" w:rsidP="003E074D">
            <w:pPr>
              <w:pStyle w:val="TableText"/>
            </w:pPr>
            <w:r w:rsidRPr="00387213">
              <w:t>High</w:t>
            </w:r>
          </w:p>
        </w:tc>
        <w:tc>
          <w:tcPr>
            <w:tcW w:w="455" w:type="pct"/>
            <w:tcBorders>
              <w:top w:val="single" w:sz="4" w:space="0" w:color="FFFFFF" w:themeColor="background1"/>
              <w:bottom w:val="single" w:sz="4" w:space="0" w:color="BFBFBF" w:themeColor="background1" w:themeShade="BF"/>
            </w:tcBorders>
            <w:shd w:val="clear" w:color="auto" w:fill="auto"/>
          </w:tcPr>
          <w:p w:rsidR="00B52BB0" w:rsidRPr="00387213" w:rsidRDefault="00B52BB0" w:rsidP="003E074D">
            <w:pPr>
              <w:pStyle w:val="TableText"/>
            </w:pPr>
            <w:r>
              <w:t>Low</w:t>
            </w:r>
          </w:p>
        </w:tc>
        <w:tc>
          <w:tcPr>
            <w:tcW w:w="456" w:type="pct"/>
            <w:tcBorders>
              <w:top w:val="single" w:sz="4" w:space="0" w:color="FFFFFF" w:themeColor="background1"/>
              <w:bottom w:val="single" w:sz="4" w:space="0" w:color="BFBFBF" w:themeColor="background1" w:themeShade="BF"/>
            </w:tcBorders>
            <w:shd w:val="clear" w:color="auto" w:fill="auto"/>
          </w:tcPr>
          <w:p w:rsidR="00B52BB0" w:rsidRPr="00387213" w:rsidRDefault="00B52BB0" w:rsidP="003E074D">
            <w:pPr>
              <w:pStyle w:val="TableText"/>
              <w:rPr>
                <w:b/>
              </w:rPr>
            </w:pPr>
            <w:r>
              <w:rPr>
                <w:b/>
              </w:rPr>
              <w:t>Low</w:t>
            </w:r>
          </w:p>
        </w:tc>
        <w:tc>
          <w:tcPr>
            <w:tcW w:w="507" w:type="pct"/>
            <w:tcBorders>
              <w:top w:val="single" w:sz="4" w:space="0" w:color="FFFFFF" w:themeColor="background1"/>
              <w:bottom w:val="single" w:sz="4" w:space="0" w:color="BFBFBF" w:themeColor="background1" w:themeShade="BF"/>
            </w:tcBorders>
            <w:shd w:val="clear" w:color="auto" w:fill="auto"/>
          </w:tcPr>
          <w:p w:rsidR="00B52BB0" w:rsidRPr="00387213" w:rsidRDefault="00B52BB0" w:rsidP="003E074D">
            <w:pPr>
              <w:pStyle w:val="TableText"/>
            </w:pPr>
            <w:r w:rsidRPr="00387213">
              <w:t>High</w:t>
            </w:r>
          </w:p>
        </w:tc>
        <w:tc>
          <w:tcPr>
            <w:tcW w:w="455" w:type="pct"/>
            <w:tcBorders>
              <w:top w:val="single" w:sz="4" w:space="0" w:color="FFFFFF" w:themeColor="background1"/>
              <w:bottom w:val="single" w:sz="4" w:space="0" w:color="BFBFBF" w:themeColor="background1" w:themeShade="BF"/>
            </w:tcBorders>
            <w:shd w:val="clear" w:color="auto" w:fill="auto"/>
          </w:tcPr>
          <w:p w:rsidR="00B52BB0" w:rsidRPr="00387213" w:rsidRDefault="00B52BB0" w:rsidP="003E074D">
            <w:pPr>
              <w:pStyle w:val="TableText"/>
            </w:pPr>
            <w:r w:rsidRPr="00387213">
              <w:t>High</w:t>
            </w:r>
          </w:p>
        </w:tc>
        <w:tc>
          <w:tcPr>
            <w:tcW w:w="507" w:type="pct"/>
            <w:tcBorders>
              <w:top w:val="single" w:sz="4" w:space="0" w:color="FFFFFF" w:themeColor="background1"/>
              <w:bottom w:val="single" w:sz="4" w:space="0" w:color="BFBFBF" w:themeColor="background1" w:themeShade="BF"/>
            </w:tcBorders>
            <w:shd w:val="clear" w:color="auto" w:fill="auto"/>
          </w:tcPr>
          <w:p w:rsidR="00B52BB0" w:rsidRPr="00387213" w:rsidRDefault="00B52BB0" w:rsidP="003E074D">
            <w:pPr>
              <w:pStyle w:val="TableText"/>
            </w:pPr>
            <w:r>
              <w:t>Low</w:t>
            </w:r>
          </w:p>
        </w:tc>
        <w:tc>
          <w:tcPr>
            <w:tcW w:w="810" w:type="pct"/>
            <w:tcBorders>
              <w:top w:val="single" w:sz="4" w:space="0" w:color="FFFFFF" w:themeColor="background1"/>
              <w:bottom w:val="single" w:sz="4" w:space="0" w:color="BFBFBF" w:themeColor="background1" w:themeShade="BF"/>
            </w:tcBorders>
            <w:shd w:val="clear" w:color="auto" w:fill="auto"/>
          </w:tcPr>
          <w:p w:rsidR="00B52BB0" w:rsidRDefault="00B52BB0" w:rsidP="003E074D">
            <w:pPr>
              <w:pStyle w:val="TableText"/>
              <w:jc w:val="center"/>
            </w:pPr>
            <w:r>
              <w:t>Low</w:t>
            </w:r>
          </w:p>
        </w:tc>
        <w:tc>
          <w:tcPr>
            <w:tcW w:w="441" w:type="pct"/>
            <w:tcBorders>
              <w:top w:val="single" w:sz="4" w:space="0" w:color="FFFFFF" w:themeColor="background1"/>
              <w:bottom w:val="single" w:sz="4" w:space="0" w:color="BFBFBF" w:themeColor="background1" w:themeShade="BF"/>
              <w:right w:val="nil"/>
            </w:tcBorders>
            <w:shd w:val="clear" w:color="auto" w:fill="auto"/>
          </w:tcPr>
          <w:p w:rsidR="00B52BB0" w:rsidRPr="00387213" w:rsidRDefault="00B52BB0" w:rsidP="003E074D">
            <w:pPr>
              <w:pStyle w:val="TableText"/>
              <w:rPr>
                <w:b/>
              </w:rPr>
            </w:pPr>
            <w:r>
              <w:rPr>
                <w:b/>
              </w:rPr>
              <w:t xml:space="preserve">Very </w:t>
            </w:r>
            <w:r w:rsidRPr="00387213">
              <w:rPr>
                <w:b/>
              </w:rPr>
              <w:t>Low</w:t>
            </w:r>
          </w:p>
        </w:tc>
      </w:tr>
      <w:tr w:rsidR="00B52BB0" w:rsidRPr="00387213" w:rsidTr="003E074D">
        <w:trPr>
          <w:trHeight w:val="165"/>
        </w:trPr>
        <w:tc>
          <w:tcPr>
            <w:tcW w:w="5000" w:type="pct"/>
            <w:gridSpan w:val="9"/>
            <w:tcBorders>
              <w:top w:val="single" w:sz="4" w:space="0" w:color="FFFFFF" w:themeColor="background1"/>
              <w:left w:val="nil"/>
              <w:bottom w:val="single" w:sz="4" w:space="0" w:color="FFFFFF" w:themeColor="background1"/>
              <w:right w:val="single" w:sz="4" w:space="0" w:color="FFFFFF" w:themeColor="background1"/>
            </w:tcBorders>
            <w:shd w:val="clear" w:color="auto" w:fill="auto"/>
          </w:tcPr>
          <w:p w:rsidR="00B52BB0" w:rsidRPr="00387213" w:rsidRDefault="00B52BB0" w:rsidP="003E074D">
            <w:pPr>
              <w:pStyle w:val="TableHeading"/>
            </w:pPr>
            <w:r w:rsidRPr="00D50EAE">
              <w:t>Fruit borers [Lepidoptera: Gracillariidae]</w:t>
            </w:r>
          </w:p>
        </w:tc>
      </w:tr>
      <w:tr w:rsidR="00B52BB0" w:rsidRPr="00387213" w:rsidTr="003E074D">
        <w:trPr>
          <w:trHeight w:val="165"/>
        </w:trPr>
        <w:tc>
          <w:tcPr>
            <w:tcW w:w="913" w:type="pct"/>
            <w:tcBorders>
              <w:top w:val="single" w:sz="4" w:space="0" w:color="FFFFFF" w:themeColor="background1"/>
              <w:left w:val="nil"/>
              <w:bottom w:val="single" w:sz="4" w:space="0" w:color="BFBFBF" w:themeColor="background1" w:themeShade="BF"/>
            </w:tcBorders>
            <w:shd w:val="clear" w:color="auto" w:fill="auto"/>
          </w:tcPr>
          <w:p w:rsidR="00B52BB0" w:rsidRPr="00387213" w:rsidRDefault="00B52BB0" w:rsidP="003E074D">
            <w:pPr>
              <w:pStyle w:val="TableText"/>
              <w:rPr>
                <w:i/>
              </w:rPr>
            </w:pPr>
            <w:r w:rsidRPr="009E33B6">
              <w:rPr>
                <w:i/>
              </w:rPr>
              <w:t xml:space="preserve">Conopomorpha sinensis </w:t>
            </w:r>
            <w:r w:rsidRPr="00BF179B">
              <w:t>(EP)</w:t>
            </w:r>
          </w:p>
        </w:tc>
        <w:tc>
          <w:tcPr>
            <w:tcW w:w="456" w:type="pct"/>
            <w:tcBorders>
              <w:top w:val="single" w:sz="4" w:space="0" w:color="FFFFFF" w:themeColor="background1"/>
              <w:bottom w:val="single" w:sz="4" w:space="0" w:color="BFBFBF" w:themeColor="background1" w:themeShade="BF"/>
            </w:tcBorders>
            <w:shd w:val="clear" w:color="auto" w:fill="auto"/>
          </w:tcPr>
          <w:p w:rsidR="00B52BB0" w:rsidRPr="00387213" w:rsidRDefault="00B52BB0" w:rsidP="003E074D">
            <w:pPr>
              <w:pStyle w:val="TableText"/>
            </w:pPr>
            <w:r w:rsidRPr="00612E64">
              <w:t>High</w:t>
            </w:r>
          </w:p>
        </w:tc>
        <w:tc>
          <w:tcPr>
            <w:tcW w:w="455" w:type="pct"/>
            <w:tcBorders>
              <w:top w:val="single" w:sz="4" w:space="0" w:color="FFFFFF" w:themeColor="background1"/>
              <w:bottom w:val="single" w:sz="4" w:space="0" w:color="BFBFBF" w:themeColor="background1" w:themeShade="BF"/>
            </w:tcBorders>
            <w:shd w:val="clear" w:color="auto" w:fill="auto"/>
          </w:tcPr>
          <w:p w:rsidR="00B52BB0" w:rsidRPr="00387213" w:rsidRDefault="00B52BB0" w:rsidP="003E074D">
            <w:pPr>
              <w:pStyle w:val="TableText"/>
            </w:pPr>
            <w:r>
              <w:t>Moderate</w:t>
            </w:r>
          </w:p>
        </w:tc>
        <w:tc>
          <w:tcPr>
            <w:tcW w:w="456" w:type="pct"/>
            <w:tcBorders>
              <w:top w:val="single" w:sz="4" w:space="0" w:color="FFFFFF" w:themeColor="background1"/>
              <w:bottom w:val="single" w:sz="4" w:space="0" w:color="BFBFBF" w:themeColor="background1" w:themeShade="BF"/>
            </w:tcBorders>
            <w:shd w:val="clear" w:color="auto" w:fill="auto"/>
          </w:tcPr>
          <w:p w:rsidR="00B52BB0" w:rsidRPr="00387213" w:rsidRDefault="00B52BB0" w:rsidP="003E074D">
            <w:pPr>
              <w:pStyle w:val="TableText"/>
              <w:rPr>
                <w:b/>
              </w:rPr>
            </w:pPr>
            <w:r>
              <w:rPr>
                <w:b/>
              </w:rPr>
              <w:t>Moderate</w:t>
            </w:r>
          </w:p>
        </w:tc>
        <w:tc>
          <w:tcPr>
            <w:tcW w:w="507" w:type="pct"/>
            <w:tcBorders>
              <w:top w:val="single" w:sz="4" w:space="0" w:color="FFFFFF" w:themeColor="background1"/>
              <w:bottom w:val="single" w:sz="4" w:space="0" w:color="BFBFBF" w:themeColor="background1" w:themeShade="BF"/>
            </w:tcBorders>
            <w:shd w:val="clear" w:color="auto" w:fill="auto"/>
          </w:tcPr>
          <w:p w:rsidR="00B52BB0" w:rsidRPr="00387213" w:rsidRDefault="00B52BB0" w:rsidP="003E074D">
            <w:pPr>
              <w:pStyle w:val="TableText"/>
            </w:pPr>
            <w:r>
              <w:t>Low</w:t>
            </w:r>
          </w:p>
        </w:tc>
        <w:tc>
          <w:tcPr>
            <w:tcW w:w="455" w:type="pct"/>
            <w:tcBorders>
              <w:top w:val="single" w:sz="4" w:space="0" w:color="FFFFFF" w:themeColor="background1"/>
              <w:bottom w:val="single" w:sz="4" w:space="0" w:color="BFBFBF" w:themeColor="background1" w:themeShade="BF"/>
            </w:tcBorders>
            <w:shd w:val="clear" w:color="auto" w:fill="auto"/>
          </w:tcPr>
          <w:p w:rsidR="00B52BB0" w:rsidRPr="00387213" w:rsidRDefault="00B52BB0" w:rsidP="003E074D">
            <w:pPr>
              <w:pStyle w:val="TableText"/>
            </w:pPr>
            <w:r>
              <w:t>Moderate</w:t>
            </w:r>
          </w:p>
        </w:tc>
        <w:tc>
          <w:tcPr>
            <w:tcW w:w="507" w:type="pct"/>
            <w:tcBorders>
              <w:top w:val="single" w:sz="4" w:space="0" w:color="FFFFFF" w:themeColor="background1"/>
              <w:bottom w:val="single" w:sz="4" w:space="0" w:color="BFBFBF" w:themeColor="background1" w:themeShade="BF"/>
            </w:tcBorders>
            <w:shd w:val="clear" w:color="auto" w:fill="auto"/>
          </w:tcPr>
          <w:p w:rsidR="00B52BB0" w:rsidRPr="00387213" w:rsidRDefault="00B52BB0" w:rsidP="003E074D">
            <w:pPr>
              <w:pStyle w:val="TableText"/>
            </w:pPr>
            <w:r w:rsidRPr="00D50EAE">
              <w:t>Low</w:t>
            </w:r>
          </w:p>
        </w:tc>
        <w:tc>
          <w:tcPr>
            <w:tcW w:w="810" w:type="pct"/>
            <w:tcBorders>
              <w:top w:val="single" w:sz="4" w:space="0" w:color="FFFFFF" w:themeColor="background1"/>
              <w:bottom w:val="single" w:sz="4" w:space="0" w:color="BFBFBF" w:themeColor="background1" w:themeShade="BF"/>
            </w:tcBorders>
            <w:shd w:val="clear" w:color="auto" w:fill="auto"/>
          </w:tcPr>
          <w:p w:rsidR="00B52BB0" w:rsidRDefault="00B52BB0" w:rsidP="003E074D">
            <w:pPr>
              <w:pStyle w:val="TableText"/>
              <w:jc w:val="center"/>
            </w:pPr>
            <w:r>
              <w:t>Moderate</w:t>
            </w:r>
          </w:p>
        </w:tc>
        <w:tc>
          <w:tcPr>
            <w:tcW w:w="441" w:type="pct"/>
            <w:tcBorders>
              <w:top w:val="single" w:sz="4" w:space="0" w:color="FFFFFF" w:themeColor="background1"/>
              <w:bottom w:val="single" w:sz="4" w:space="0" w:color="BFBFBF" w:themeColor="background1" w:themeShade="BF"/>
              <w:right w:val="nil"/>
            </w:tcBorders>
            <w:shd w:val="clear" w:color="auto" w:fill="auto"/>
          </w:tcPr>
          <w:p w:rsidR="00B52BB0" w:rsidRPr="00387213" w:rsidRDefault="00B52BB0" w:rsidP="003E074D">
            <w:pPr>
              <w:pStyle w:val="TableText"/>
              <w:rPr>
                <w:b/>
              </w:rPr>
            </w:pPr>
            <w:r>
              <w:rPr>
                <w:b/>
              </w:rPr>
              <w:t>Low</w:t>
            </w:r>
          </w:p>
        </w:tc>
      </w:tr>
      <w:tr w:rsidR="00B52BB0" w:rsidRPr="00387213" w:rsidTr="003E074D">
        <w:trPr>
          <w:trHeight w:val="165"/>
        </w:trPr>
        <w:tc>
          <w:tcPr>
            <w:tcW w:w="5000" w:type="pct"/>
            <w:gridSpan w:val="9"/>
            <w:tcBorders>
              <w:top w:val="single" w:sz="4" w:space="0" w:color="FFFFFF" w:themeColor="background1"/>
              <w:left w:val="nil"/>
              <w:bottom w:val="single" w:sz="4" w:space="0" w:color="FFFFFF" w:themeColor="background1"/>
              <w:right w:val="single" w:sz="4" w:space="0" w:color="FFFFFF" w:themeColor="background1"/>
            </w:tcBorders>
            <w:shd w:val="clear" w:color="auto" w:fill="auto"/>
          </w:tcPr>
          <w:p w:rsidR="00B52BB0" w:rsidRPr="00387213" w:rsidRDefault="00B52BB0" w:rsidP="003E074D">
            <w:pPr>
              <w:pStyle w:val="TableHeading"/>
            </w:pPr>
            <w:r w:rsidRPr="00610007">
              <w:t>Chromalveolata</w:t>
            </w:r>
          </w:p>
        </w:tc>
      </w:tr>
      <w:tr w:rsidR="00B52BB0" w:rsidRPr="00387213" w:rsidTr="003E074D">
        <w:trPr>
          <w:trHeight w:val="165"/>
        </w:trPr>
        <w:tc>
          <w:tcPr>
            <w:tcW w:w="913" w:type="pct"/>
            <w:tcBorders>
              <w:top w:val="single" w:sz="4" w:space="0" w:color="FFFFFF" w:themeColor="background1"/>
              <w:left w:val="nil"/>
              <w:bottom w:val="nil"/>
            </w:tcBorders>
            <w:shd w:val="clear" w:color="auto" w:fill="auto"/>
          </w:tcPr>
          <w:p w:rsidR="00B52BB0" w:rsidRPr="00387213" w:rsidRDefault="00B52BB0" w:rsidP="003E074D">
            <w:pPr>
              <w:pStyle w:val="TableText"/>
              <w:rPr>
                <w:i/>
              </w:rPr>
            </w:pPr>
            <w:r w:rsidRPr="009E33B6">
              <w:rPr>
                <w:i/>
              </w:rPr>
              <w:t xml:space="preserve">Phytophthora litchii </w:t>
            </w:r>
            <w:r w:rsidRPr="00BF179B">
              <w:t>(EP)</w:t>
            </w:r>
          </w:p>
        </w:tc>
        <w:tc>
          <w:tcPr>
            <w:tcW w:w="456" w:type="pct"/>
            <w:tcBorders>
              <w:top w:val="single" w:sz="4" w:space="0" w:color="FFFFFF" w:themeColor="background1"/>
              <w:bottom w:val="nil"/>
            </w:tcBorders>
            <w:shd w:val="clear" w:color="auto" w:fill="auto"/>
          </w:tcPr>
          <w:p w:rsidR="00B52BB0" w:rsidRPr="00387213" w:rsidRDefault="00B52BB0" w:rsidP="003E074D">
            <w:pPr>
              <w:pStyle w:val="TableText"/>
            </w:pPr>
            <w:r w:rsidRPr="009E33B6">
              <w:t>Moderate</w:t>
            </w:r>
          </w:p>
        </w:tc>
        <w:tc>
          <w:tcPr>
            <w:tcW w:w="455" w:type="pct"/>
            <w:tcBorders>
              <w:top w:val="single" w:sz="4" w:space="0" w:color="FFFFFF" w:themeColor="background1"/>
              <w:bottom w:val="nil"/>
            </w:tcBorders>
            <w:shd w:val="clear" w:color="auto" w:fill="auto"/>
          </w:tcPr>
          <w:p w:rsidR="00B52BB0" w:rsidRPr="00387213" w:rsidRDefault="00B52BB0" w:rsidP="003E074D">
            <w:pPr>
              <w:pStyle w:val="TableText"/>
            </w:pPr>
            <w:r w:rsidRPr="009E33B6">
              <w:t>High</w:t>
            </w:r>
          </w:p>
        </w:tc>
        <w:tc>
          <w:tcPr>
            <w:tcW w:w="456" w:type="pct"/>
            <w:tcBorders>
              <w:top w:val="single" w:sz="4" w:space="0" w:color="FFFFFF" w:themeColor="background1"/>
              <w:bottom w:val="nil"/>
            </w:tcBorders>
            <w:shd w:val="clear" w:color="auto" w:fill="auto"/>
          </w:tcPr>
          <w:p w:rsidR="00B52BB0" w:rsidRPr="00387213" w:rsidRDefault="00B52BB0" w:rsidP="003E074D">
            <w:pPr>
              <w:pStyle w:val="TableText"/>
              <w:rPr>
                <w:b/>
              </w:rPr>
            </w:pPr>
            <w:r w:rsidRPr="009E33B6">
              <w:rPr>
                <w:b/>
                <w:bCs/>
              </w:rPr>
              <w:t>Moderate</w:t>
            </w:r>
          </w:p>
        </w:tc>
        <w:tc>
          <w:tcPr>
            <w:tcW w:w="507" w:type="pct"/>
            <w:tcBorders>
              <w:top w:val="single" w:sz="4" w:space="0" w:color="FFFFFF" w:themeColor="background1"/>
              <w:bottom w:val="nil"/>
            </w:tcBorders>
            <w:shd w:val="clear" w:color="auto" w:fill="auto"/>
          </w:tcPr>
          <w:p w:rsidR="00B52BB0" w:rsidRPr="00387213" w:rsidRDefault="00B52BB0" w:rsidP="003E074D">
            <w:pPr>
              <w:pStyle w:val="TableText"/>
            </w:pPr>
            <w:r w:rsidRPr="009E33B6">
              <w:t>Low</w:t>
            </w:r>
          </w:p>
        </w:tc>
        <w:tc>
          <w:tcPr>
            <w:tcW w:w="455" w:type="pct"/>
            <w:tcBorders>
              <w:top w:val="single" w:sz="4" w:space="0" w:color="FFFFFF" w:themeColor="background1"/>
              <w:bottom w:val="nil"/>
            </w:tcBorders>
            <w:shd w:val="clear" w:color="auto" w:fill="auto"/>
          </w:tcPr>
          <w:p w:rsidR="00B52BB0" w:rsidRPr="00387213" w:rsidRDefault="00B52BB0" w:rsidP="003E074D">
            <w:pPr>
              <w:pStyle w:val="TableText"/>
            </w:pPr>
            <w:r w:rsidRPr="009E33B6">
              <w:t>Low</w:t>
            </w:r>
          </w:p>
        </w:tc>
        <w:tc>
          <w:tcPr>
            <w:tcW w:w="507" w:type="pct"/>
            <w:tcBorders>
              <w:top w:val="single" w:sz="4" w:space="0" w:color="FFFFFF" w:themeColor="background1"/>
              <w:bottom w:val="nil"/>
            </w:tcBorders>
            <w:shd w:val="clear" w:color="auto" w:fill="auto"/>
          </w:tcPr>
          <w:p w:rsidR="00B52BB0" w:rsidRPr="00610007" w:rsidRDefault="00B52BB0" w:rsidP="003E074D">
            <w:pPr>
              <w:pStyle w:val="TableText"/>
            </w:pPr>
            <w:r w:rsidRPr="00610007">
              <w:rPr>
                <w:bCs/>
              </w:rPr>
              <w:t>Very Low</w:t>
            </w:r>
          </w:p>
        </w:tc>
        <w:tc>
          <w:tcPr>
            <w:tcW w:w="810" w:type="pct"/>
            <w:tcBorders>
              <w:top w:val="single" w:sz="4" w:space="0" w:color="FFFFFF" w:themeColor="background1"/>
              <w:bottom w:val="nil"/>
            </w:tcBorders>
            <w:shd w:val="clear" w:color="auto" w:fill="auto"/>
          </w:tcPr>
          <w:p w:rsidR="00B52BB0" w:rsidRDefault="00B52BB0" w:rsidP="003E074D">
            <w:pPr>
              <w:pStyle w:val="TableText"/>
              <w:jc w:val="center"/>
            </w:pPr>
            <w:r>
              <w:t>Low</w:t>
            </w:r>
          </w:p>
        </w:tc>
        <w:tc>
          <w:tcPr>
            <w:tcW w:w="441" w:type="pct"/>
            <w:tcBorders>
              <w:top w:val="single" w:sz="4" w:space="0" w:color="FFFFFF" w:themeColor="background1"/>
              <w:bottom w:val="nil"/>
              <w:right w:val="nil"/>
            </w:tcBorders>
            <w:shd w:val="clear" w:color="auto" w:fill="auto"/>
          </w:tcPr>
          <w:p w:rsidR="00B52BB0" w:rsidRPr="00387213" w:rsidRDefault="00B52BB0" w:rsidP="003E074D">
            <w:pPr>
              <w:pStyle w:val="TableText"/>
              <w:rPr>
                <w:b/>
              </w:rPr>
            </w:pPr>
            <w:r w:rsidRPr="009E33B6">
              <w:rPr>
                <w:b/>
                <w:bCs/>
              </w:rPr>
              <w:t>Negligible</w:t>
            </w:r>
          </w:p>
        </w:tc>
      </w:tr>
      <w:tr w:rsidR="00B52BB0" w:rsidRPr="00387213" w:rsidTr="003E074D">
        <w:trPr>
          <w:trHeight w:val="165"/>
        </w:trPr>
        <w:tc>
          <w:tcPr>
            <w:tcW w:w="5000" w:type="pct"/>
            <w:gridSpan w:val="9"/>
            <w:tcBorders>
              <w:top w:val="single" w:sz="4" w:space="0" w:color="FFFFFF" w:themeColor="background1"/>
              <w:left w:val="nil"/>
              <w:bottom w:val="single" w:sz="4" w:space="0" w:color="FFFFFF" w:themeColor="background1"/>
              <w:right w:val="single" w:sz="4" w:space="0" w:color="FFFFFF" w:themeColor="background1"/>
            </w:tcBorders>
            <w:shd w:val="clear" w:color="auto" w:fill="auto"/>
          </w:tcPr>
          <w:p w:rsidR="00B52BB0" w:rsidRPr="00387213" w:rsidRDefault="00B52BB0" w:rsidP="003E074D">
            <w:pPr>
              <w:pStyle w:val="TableHeading"/>
            </w:pPr>
            <w:r w:rsidRPr="00701A2D">
              <w:t>Diseases of unknown aetiology</w:t>
            </w:r>
          </w:p>
        </w:tc>
      </w:tr>
      <w:tr w:rsidR="00B52BB0" w:rsidRPr="00387213" w:rsidTr="003E074D">
        <w:trPr>
          <w:trHeight w:val="165"/>
        </w:trPr>
        <w:tc>
          <w:tcPr>
            <w:tcW w:w="913" w:type="pct"/>
            <w:tcBorders>
              <w:top w:val="single" w:sz="4" w:space="0" w:color="FFFFFF" w:themeColor="background1"/>
              <w:left w:val="nil"/>
              <w:bottom w:val="single" w:sz="4" w:space="0" w:color="BFBFBF" w:themeColor="background1" w:themeShade="BF"/>
            </w:tcBorders>
            <w:shd w:val="clear" w:color="auto" w:fill="auto"/>
          </w:tcPr>
          <w:p w:rsidR="00B52BB0" w:rsidRPr="009E33B6" w:rsidRDefault="00B52BB0" w:rsidP="003E074D">
            <w:pPr>
              <w:pStyle w:val="TableText"/>
              <w:rPr>
                <w:i/>
              </w:rPr>
            </w:pPr>
            <w:r w:rsidRPr="009E33B6">
              <w:rPr>
                <w:i/>
              </w:rPr>
              <w:t xml:space="preserve">Longan Witches’ Broom Disease </w:t>
            </w:r>
            <w:r w:rsidRPr="00BF179B">
              <w:t>(EP)</w:t>
            </w:r>
          </w:p>
        </w:tc>
        <w:tc>
          <w:tcPr>
            <w:tcW w:w="456" w:type="pct"/>
            <w:tcBorders>
              <w:top w:val="single" w:sz="4" w:space="0" w:color="FFFFFF" w:themeColor="background1"/>
              <w:bottom w:val="single" w:sz="4" w:space="0" w:color="BFBFBF" w:themeColor="background1" w:themeShade="BF"/>
            </w:tcBorders>
            <w:shd w:val="clear" w:color="auto" w:fill="auto"/>
          </w:tcPr>
          <w:p w:rsidR="00B52BB0" w:rsidRPr="00387213" w:rsidRDefault="00B52BB0" w:rsidP="003E074D">
            <w:pPr>
              <w:pStyle w:val="TableText"/>
            </w:pPr>
            <w:r w:rsidRPr="009E33B6">
              <w:t>Very Low</w:t>
            </w:r>
          </w:p>
        </w:tc>
        <w:tc>
          <w:tcPr>
            <w:tcW w:w="455" w:type="pct"/>
            <w:tcBorders>
              <w:top w:val="single" w:sz="4" w:space="0" w:color="FFFFFF" w:themeColor="background1"/>
              <w:bottom w:val="single" w:sz="4" w:space="0" w:color="BFBFBF" w:themeColor="background1" w:themeShade="BF"/>
            </w:tcBorders>
            <w:shd w:val="clear" w:color="auto" w:fill="auto"/>
          </w:tcPr>
          <w:p w:rsidR="00B52BB0" w:rsidRDefault="00B52BB0" w:rsidP="003E074D">
            <w:pPr>
              <w:pStyle w:val="TableText"/>
            </w:pPr>
            <w:r>
              <w:t>Moderate</w:t>
            </w:r>
          </w:p>
        </w:tc>
        <w:tc>
          <w:tcPr>
            <w:tcW w:w="456" w:type="pct"/>
            <w:tcBorders>
              <w:top w:val="single" w:sz="4" w:space="0" w:color="FFFFFF" w:themeColor="background1"/>
              <w:bottom w:val="single" w:sz="4" w:space="0" w:color="BFBFBF" w:themeColor="background1" w:themeShade="BF"/>
            </w:tcBorders>
            <w:shd w:val="clear" w:color="auto" w:fill="auto"/>
          </w:tcPr>
          <w:p w:rsidR="00B52BB0" w:rsidRDefault="00B52BB0" w:rsidP="003E074D">
            <w:pPr>
              <w:pStyle w:val="TableText"/>
              <w:rPr>
                <w:b/>
              </w:rPr>
            </w:pPr>
            <w:r w:rsidRPr="00F72EE8">
              <w:rPr>
                <w:b/>
                <w:bCs/>
              </w:rPr>
              <w:t>Very Low</w:t>
            </w:r>
          </w:p>
        </w:tc>
        <w:tc>
          <w:tcPr>
            <w:tcW w:w="507" w:type="pct"/>
            <w:tcBorders>
              <w:top w:val="single" w:sz="4" w:space="0" w:color="FFFFFF" w:themeColor="background1"/>
              <w:bottom w:val="single" w:sz="4" w:space="0" w:color="BFBFBF" w:themeColor="background1" w:themeShade="BF"/>
            </w:tcBorders>
            <w:shd w:val="clear" w:color="auto" w:fill="auto"/>
          </w:tcPr>
          <w:p w:rsidR="00B52BB0" w:rsidRPr="00387213" w:rsidRDefault="00B52BB0" w:rsidP="003E074D">
            <w:pPr>
              <w:pStyle w:val="TableText"/>
            </w:pPr>
            <w:r>
              <w:t>Low</w:t>
            </w:r>
          </w:p>
        </w:tc>
        <w:tc>
          <w:tcPr>
            <w:tcW w:w="455" w:type="pct"/>
            <w:tcBorders>
              <w:top w:val="single" w:sz="4" w:space="0" w:color="FFFFFF" w:themeColor="background1"/>
              <w:bottom w:val="single" w:sz="4" w:space="0" w:color="BFBFBF" w:themeColor="background1" w:themeShade="BF"/>
            </w:tcBorders>
            <w:shd w:val="clear" w:color="auto" w:fill="auto"/>
          </w:tcPr>
          <w:p w:rsidR="00B52BB0" w:rsidRPr="00387213" w:rsidRDefault="00B52BB0" w:rsidP="003E074D">
            <w:pPr>
              <w:pStyle w:val="TableText"/>
            </w:pPr>
            <w:r>
              <w:t>Moderate</w:t>
            </w:r>
          </w:p>
        </w:tc>
        <w:tc>
          <w:tcPr>
            <w:tcW w:w="507" w:type="pct"/>
            <w:tcBorders>
              <w:top w:val="single" w:sz="4" w:space="0" w:color="FFFFFF" w:themeColor="background1"/>
              <w:bottom w:val="single" w:sz="4" w:space="0" w:color="BFBFBF" w:themeColor="background1" w:themeShade="BF"/>
            </w:tcBorders>
            <w:shd w:val="clear" w:color="auto" w:fill="auto"/>
          </w:tcPr>
          <w:p w:rsidR="00B52BB0" w:rsidRPr="00701A2D" w:rsidRDefault="00B52BB0" w:rsidP="003E074D">
            <w:pPr>
              <w:pStyle w:val="TableText"/>
            </w:pPr>
            <w:r w:rsidRPr="00701A2D">
              <w:rPr>
                <w:bCs/>
              </w:rPr>
              <w:t>Very Low</w:t>
            </w:r>
          </w:p>
        </w:tc>
        <w:tc>
          <w:tcPr>
            <w:tcW w:w="810" w:type="pct"/>
            <w:tcBorders>
              <w:top w:val="single" w:sz="4" w:space="0" w:color="FFFFFF" w:themeColor="background1"/>
              <w:bottom w:val="single" w:sz="4" w:space="0" w:color="BFBFBF" w:themeColor="background1" w:themeShade="BF"/>
            </w:tcBorders>
            <w:shd w:val="clear" w:color="auto" w:fill="auto"/>
          </w:tcPr>
          <w:p w:rsidR="00B52BB0" w:rsidRDefault="00B52BB0" w:rsidP="003E074D">
            <w:pPr>
              <w:pStyle w:val="TableText"/>
              <w:jc w:val="center"/>
            </w:pPr>
            <w:r>
              <w:t>Low</w:t>
            </w:r>
          </w:p>
        </w:tc>
        <w:tc>
          <w:tcPr>
            <w:tcW w:w="441" w:type="pct"/>
            <w:tcBorders>
              <w:top w:val="single" w:sz="4" w:space="0" w:color="FFFFFF" w:themeColor="background1"/>
              <w:bottom w:val="single" w:sz="4" w:space="0" w:color="BFBFBF" w:themeColor="background1" w:themeShade="BF"/>
              <w:right w:val="nil"/>
            </w:tcBorders>
            <w:shd w:val="clear" w:color="auto" w:fill="auto"/>
          </w:tcPr>
          <w:p w:rsidR="00B52BB0" w:rsidRDefault="00B52BB0" w:rsidP="003E074D">
            <w:pPr>
              <w:pStyle w:val="TableText"/>
              <w:rPr>
                <w:b/>
              </w:rPr>
            </w:pPr>
            <w:r w:rsidRPr="00F72EE8">
              <w:rPr>
                <w:b/>
                <w:bCs/>
              </w:rPr>
              <w:t>Negligible</w:t>
            </w:r>
          </w:p>
        </w:tc>
      </w:tr>
      <w:tr w:rsidR="00B52BB0" w:rsidRPr="00387213" w:rsidTr="003E074D">
        <w:trPr>
          <w:trHeight w:val="165"/>
        </w:trPr>
        <w:tc>
          <w:tcPr>
            <w:tcW w:w="5000" w:type="pct"/>
            <w:gridSpan w:val="9"/>
            <w:tcBorders>
              <w:top w:val="single" w:sz="4" w:space="0" w:color="BFBFBF" w:themeColor="background1" w:themeShade="BF"/>
              <w:left w:val="nil"/>
              <w:bottom w:val="single" w:sz="4" w:space="0" w:color="FFFFFF" w:themeColor="background1"/>
              <w:right w:val="single" w:sz="4" w:space="0" w:color="FFFFFF" w:themeColor="background1"/>
            </w:tcBorders>
            <w:shd w:val="clear" w:color="auto" w:fill="auto"/>
          </w:tcPr>
          <w:p w:rsidR="00B52BB0" w:rsidRPr="00200CE8" w:rsidRDefault="00B52BB0" w:rsidP="003E074D">
            <w:pPr>
              <w:pStyle w:val="TableHeading"/>
            </w:pPr>
            <w:r>
              <w:lastRenderedPageBreak/>
              <w:t>O</w:t>
            </w:r>
            <w:r w:rsidRPr="008776EE">
              <w:t>rthotospovirus</w:t>
            </w:r>
            <w:r>
              <w:t>es</w:t>
            </w:r>
            <w:r w:rsidRPr="008776EE">
              <w:t xml:space="preserve"> [Bunyavirales: Tospoviridae]</w:t>
            </w:r>
            <w:r>
              <w:t xml:space="preserve"> vectored by regulated thrips (</w:t>
            </w:r>
            <w:r>
              <w:rPr>
                <w:i/>
              </w:rPr>
              <w:t xml:space="preserve">Scirtothrips dorsalis </w:t>
            </w:r>
            <w:r>
              <w:t xml:space="preserve">and </w:t>
            </w:r>
            <w:r>
              <w:rPr>
                <w:i/>
              </w:rPr>
              <w:t>Thrips tabaci</w:t>
            </w:r>
            <w:r>
              <w:t xml:space="preserve">) </w:t>
            </w:r>
            <w:r w:rsidRPr="00465F36">
              <w:rPr>
                <w:bCs/>
              </w:rPr>
              <w:t>a</w:t>
            </w:r>
          </w:p>
        </w:tc>
      </w:tr>
      <w:tr w:rsidR="00B52BB0" w:rsidRPr="00387213" w:rsidTr="003E074D">
        <w:trPr>
          <w:trHeight w:val="165"/>
        </w:trPr>
        <w:tc>
          <w:tcPr>
            <w:tcW w:w="913" w:type="pct"/>
            <w:tcBorders>
              <w:top w:val="single" w:sz="4" w:space="0" w:color="FFFFFF" w:themeColor="background1"/>
              <w:left w:val="nil"/>
              <w:bottom w:val="single" w:sz="4" w:space="0" w:color="auto"/>
            </w:tcBorders>
            <w:shd w:val="clear" w:color="auto" w:fill="auto"/>
          </w:tcPr>
          <w:p w:rsidR="00B52BB0" w:rsidRPr="00387213" w:rsidRDefault="00B52BB0" w:rsidP="003E074D">
            <w:pPr>
              <w:pStyle w:val="TableText"/>
              <w:rPr>
                <w:i/>
              </w:rPr>
            </w:pPr>
            <w:r w:rsidRPr="008776EE">
              <w:t xml:space="preserve">Listed </w:t>
            </w:r>
            <w:r w:rsidRPr="00200CE8">
              <w:t>in</w:t>
            </w:r>
            <w:r w:rsidRPr="008776EE">
              <w:t xml:space="preserve"> the thrips group PRA </w:t>
            </w:r>
          </w:p>
        </w:tc>
        <w:tc>
          <w:tcPr>
            <w:tcW w:w="456" w:type="pct"/>
            <w:tcBorders>
              <w:top w:val="single" w:sz="4" w:space="0" w:color="FFFFFF" w:themeColor="background1"/>
              <w:bottom w:val="single" w:sz="4" w:space="0" w:color="auto"/>
            </w:tcBorders>
            <w:shd w:val="clear" w:color="auto" w:fill="auto"/>
          </w:tcPr>
          <w:p w:rsidR="00B52BB0" w:rsidRPr="00200CE8" w:rsidRDefault="00B52BB0" w:rsidP="003E074D">
            <w:pPr>
              <w:pStyle w:val="TableText"/>
            </w:pPr>
            <w:r w:rsidRPr="00200CE8">
              <w:t>Moderate</w:t>
            </w:r>
          </w:p>
        </w:tc>
        <w:tc>
          <w:tcPr>
            <w:tcW w:w="455" w:type="pct"/>
            <w:tcBorders>
              <w:top w:val="single" w:sz="4" w:space="0" w:color="FFFFFF" w:themeColor="background1"/>
              <w:bottom w:val="single" w:sz="4" w:space="0" w:color="auto"/>
            </w:tcBorders>
            <w:shd w:val="clear" w:color="auto" w:fill="auto"/>
          </w:tcPr>
          <w:p w:rsidR="00B52BB0" w:rsidRPr="00200CE8" w:rsidRDefault="00B52BB0" w:rsidP="003E074D">
            <w:pPr>
              <w:pStyle w:val="TableText"/>
            </w:pPr>
            <w:r w:rsidRPr="00200CE8">
              <w:t>Moderate</w:t>
            </w:r>
          </w:p>
        </w:tc>
        <w:tc>
          <w:tcPr>
            <w:tcW w:w="456" w:type="pct"/>
            <w:tcBorders>
              <w:top w:val="single" w:sz="4" w:space="0" w:color="FFFFFF" w:themeColor="background1"/>
              <w:bottom w:val="single" w:sz="4" w:space="0" w:color="auto"/>
            </w:tcBorders>
            <w:shd w:val="clear" w:color="auto" w:fill="auto"/>
          </w:tcPr>
          <w:p w:rsidR="00B52BB0" w:rsidRPr="00200CE8" w:rsidRDefault="00B52BB0" w:rsidP="003E074D">
            <w:pPr>
              <w:pStyle w:val="TableText"/>
            </w:pPr>
            <w:r w:rsidRPr="00200CE8">
              <w:t>Low</w:t>
            </w:r>
          </w:p>
        </w:tc>
        <w:tc>
          <w:tcPr>
            <w:tcW w:w="507" w:type="pct"/>
            <w:tcBorders>
              <w:top w:val="single" w:sz="4" w:space="0" w:color="FFFFFF" w:themeColor="background1"/>
              <w:bottom w:val="single" w:sz="4" w:space="0" w:color="auto"/>
            </w:tcBorders>
            <w:shd w:val="clear" w:color="auto" w:fill="auto"/>
          </w:tcPr>
          <w:p w:rsidR="00B52BB0" w:rsidRPr="00200CE8" w:rsidRDefault="00B52BB0" w:rsidP="003E074D">
            <w:pPr>
              <w:pStyle w:val="TableText"/>
            </w:pPr>
            <w:r w:rsidRPr="00200CE8">
              <w:t xml:space="preserve">Moderate </w:t>
            </w:r>
          </w:p>
        </w:tc>
        <w:tc>
          <w:tcPr>
            <w:tcW w:w="455" w:type="pct"/>
            <w:tcBorders>
              <w:top w:val="single" w:sz="4" w:space="0" w:color="FFFFFF" w:themeColor="background1"/>
              <w:bottom w:val="single" w:sz="4" w:space="0" w:color="auto"/>
            </w:tcBorders>
            <w:shd w:val="clear" w:color="auto" w:fill="auto"/>
          </w:tcPr>
          <w:p w:rsidR="00B52BB0" w:rsidRPr="00200CE8" w:rsidRDefault="00B52BB0" w:rsidP="003E074D">
            <w:pPr>
              <w:pStyle w:val="TableText"/>
            </w:pPr>
            <w:r w:rsidRPr="00200CE8">
              <w:t>High</w:t>
            </w:r>
          </w:p>
        </w:tc>
        <w:tc>
          <w:tcPr>
            <w:tcW w:w="507" w:type="pct"/>
            <w:tcBorders>
              <w:top w:val="single" w:sz="4" w:space="0" w:color="FFFFFF" w:themeColor="background1"/>
              <w:bottom w:val="single" w:sz="4" w:space="0" w:color="auto"/>
            </w:tcBorders>
            <w:shd w:val="clear" w:color="auto" w:fill="auto"/>
          </w:tcPr>
          <w:p w:rsidR="00B52BB0" w:rsidRPr="00200CE8" w:rsidRDefault="00B52BB0" w:rsidP="003E074D">
            <w:pPr>
              <w:pStyle w:val="TableText"/>
            </w:pPr>
            <w:r w:rsidRPr="00200CE8">
              <w:t>Low</w:t>
            </w:r>
          </w:p>
        </w:tc>
        <w:tc>
          <w:tcPr>
            <w:tcW w:w="810" w:type="pct"/>
            <w:tcBorders>
              <w:top w:val="single" w:sz="4" w:space="0" w:color="FFFFFF" w:themeColor="background1"/>
              <w:bottom w:val="single" w:sz="4" w:space="0" w:color="auto"/>
            </w:tcBorders>
            <w:shd w:val="clear" w:color="auto" w:fill="auto"/>
          </w:tcPr>
          <w:p w:rsidR="00B52BB0" w:rsidRPr="00200CE8" w:rsidRDefault="00B52BB0" w:rsidP="003E074D">
            <w:pPr>
              <w:pStyle w:val="TableText"/>
              <w:jc w:val="center"/>
            </w:pPr>
            <w:r>
              <w:t>Moderate</w:t>
            </w:r>
          </w:p>
        </w:tc>
        <w:tc>
          <w:tcPr>
            <w:tcW w:w="441" w:type="pct"/>
            <w:tcBorders>
              <w:top w:val="single" w:sz="4" w:space="0" w:color="FFFFFF" w:themeColor="background1"/>
              <w:bottom w:val="single" w:sz="4" w:space="0" w:color="auto"/>
              <w:right w:val="nil"/>
            </w:tcBorders>
            <w:shd w:val="clear" w:color="auto" w:fill="auto"/>
          </w:tcPr>
          <w:p w:rsidR="00B52BB0" w:rsidRPr="00F600D8" w:rsidRDefault="00B52BB0" w:rsidP="003E074D">
            <w:pPr>
              <w:pStyle w:val="TableText"/>
              <w:rPr>
                <w:b/>
              </w:rPr>
            </w:pPr>
            <w:r w:rsidRPr="00F600D8">
              <w:rPr>
                <w:b/>
              </w:rPr>
              <w:t>Low</w:t>
            </w:r>
          </w:p>
        </w:tc>
      </w:tr>
    </w:tbl>
    <w:p w:rsidR="00B52BB0" w:rsidRDefault="00B52BB0" w:rsidP="003E074D">
      <w:pPr>
        <w:pStyle w:val="FigureTableNoteSource"/>
      </w:pPr>
      <w:r>
        <w:rPr>
          <w:b/>
        </w:rPr>
        <w:t>EP</w:t>
      </w:r>
      <w:r w:rsidRPr="00200CE8">
        <w:t>:</w:t>
      </w:r>
      <w:r>
        <w:rPr>
          <w:b/>
        </w:rPr>
        <w:t xml:space="preserve"> </w:t>
      </w:r>
      <w:r>
        <w:t xml:space="preserve">Species has been assessed previously and import policy already exists. </w:t>
      </w:r>
      <w:r>
        <w:rPr>
          <w:b/>
        </w:rPr>
        <w:t>WA</w:t>
      </w:r>
      <w:r w:rsidRPr="00200CE8">
        <w:t>:</w:t>
      </w:r>
      <w:r>
        <w:rPr>
          <w:b/>
        </w:rPr>
        <w:t xml:space="preserve"> </w:t>
      </w:r>
      <w:r>
        <w:t xml:space="preserve">Pest of quarantine concern for Western Australia. </w:t>
      </w:r>
      <w:r w:rsidRPr="00B86437">
        <w:rPr>
          <w:b/>
        </w:rPr>
        <w:t>EES</w:t>
      </w:r>
      <w:r>
        <w:t>:</w:t>
      </w:r>
      <w:r w:rsidRPr="00B86437">
        <w:t xml:space="preserve"> </w:t>
      </w:r>
      <w:r>
        <w:t>O</w:t>
      </w:r>
      <w:r w:rsidRPr="00B86437">
        <w:t>verall likelihood of entry, establishment and spread</w:t>
      </w:r>
      <w:r>
        <w:t xml:space="preserve">. </w:t>
      </w:r>
      <w:r w:rsidRPr="00B86437">
        <w:rPr>
          <w:b/>
        </w:rPr>
        <w:t>URE</w:t>
      </w:r>
      <w:r>
        <w:t>: U</w:t>
      </w:r>
      <w:r w:rsidRPr="00B86437">
        <w:t xml:space="preserve">nrestricted </w:t>
      </w:r>
      <w:r>
        <w:t>r</w:t>
      </w:r>
      <w:r w:rsidRPr="00B86437">
        <w:t>i</w:t>
      </w:r>
      <w:r>
        <w:t xml:space="preserve">sk estimate. This is expressed </w:t>
      </w:r>
      <w:r w:rsidRPr="00B86437">
        <w:t>in an ascending scale from negligible to extreme</w:t>
      </w:r>
      <w:r>
        <w:t xml:space="preserve"> as explained in Section </w:t>
      </w:r>
      <w:r>
        <w:fldChar w:fldCharType="begin"/>
      </w:r>
      <w:r>
        <w:instrText xml:space="preserve"> REF _Ref523928414 \r \h </w:instrText>
      </w:r>
      <w:r>
        <w:fldChar w:fldCharType="separate"/>
      </w:r>
      <w:r w:rsidR="00EA7374">
        <w:t>2.2.4</w:t>
      </w:r>
      <w:r>
        <w:fldChar w:fldCharType="end"/>
      </w:r>
      <w:r>
        <w:t>.</w:t>
      </w:r>
      <w:r>
        <w:br/>
      </w:r>
      <w:r>
        <w:rPr>
          <w:b/>
          <w:bCs/>
        </w:rPr>
        <w:t>a</w:t>
      </w:r>
      <w:r>
        <w:t>:</w:t>
      </w:r>
      <w:r w:rsidRPr="004B1767">
        <w:t xml:space="preserve"> The identified regulated thrips vector emerging quarantine orthotospoviruses, and this table presents the risk estimates for these viruses from the thrips group PRA</w:t>
      </w:r>
      <w:r>
        <w:t xml:space="preserve"> </w:t>
      </w:r>
      <w:r>
        <w:rPr>
          <w:noProof/>
        </w:rPr>
        <w:t>(Australian Government Department of Agriculture and Water Resources 2017)</w:t>
      </w:r>
      <w:r>
        <w:t>.</w:t>
      </w:r>
    </w:p>
    <w:p w:rsidR="00B52BB0" w:rsidRDefault="00B52BB0"/>
    <w:p w:rsidR="00B52BB0" w:rsidRDefault="00B52BB0">
      <w:pPr>
        <w:sectPr w:rsidR="00B52BB0" w:rsidSect="003E074D">
          <w:footerReference w:type="default" r:id="rId40"/>
          <w:pgSz w:w="16838" w:h="11906" w:orient="landscape"/>
          <w:pgMar w:top="1418" w:right="1418" w:bottom="1418" w:left="1418" w:header="567" w:footer="283" w:gutter="0"/>
          <w:cols w:space="708"/>
          <w:docGrid w:linePitch="360"/>
        </w:sectPr>
      </w:pPr>
    </w:p>
    <w:p w:rsidR="00B52BB0" w:rsidRPr="00F72EE8" w:rsidRDefault="00B52BB0" w:rsidP="003E074D">
      <w:pPr>
        <w:pStyle w:val="Heading3"/>
      </w:pPr>
      <w:bookmarkStart w:id="98" w:name="_Toc7607686"/>
      <w:r w:rsidRPr="00F72EE8">
        <w:lastRenderedPageBreak/>
        <w:t>Summary of assessment of quarantine pests of concern</w:t>
      </w:r>
      <w:bookmarkEnd w:id="98"/>
    </w:p>
    <w:p w:rsidR="00B52BB0" w:rsidRDefault="00B52BB0" w:rsidP="003E074D">
      <w:r w:rsidRPr="00F72EE8">
        <w:t xml:space="preserve">This section provides a summary of the </w:t>
      </w:r>
      <w:r>
        <w:t xml:space="preserve">process of </w:t>
      </w:r>
      <w:r w:rsidRPr="00F72EE8">
        <w:t xml:space="preserve">assessment of </w:t>
      </w:r>
      <w:r>
        <w:t xml:space="preserve">potential and confirmed </w:t>
      </w:r>
      <w:r w:rsidRPr="00F72EE8">
        <w:t>quarantine pests of concern (shown in</w:t>
      </w:r>
      <w:r>
        <w:t xml:space="preserve"> </w:t>
      </w:r>
      <w:r>
        <w:rPr>
          <w:highlight w:val="yellow"/>
        </w:rPr>
        <w:fldChar w:fldCharType="begin"/>
      </w:r>
      <w:r>
        <w:instrText xml:space="preserve"> REF _Ref523319205 \h </w:instrText>
      </w:r>
      <w:r>
        <w:rPr>
          <w:highlight w:val="yellow"/>
        </w:rPr>
      </w:r>
      <w:r>
        <w:rPr>
          <w:highlight w:val="yellow"/>
        </w:rPr>
        <w:fldChar w:fldCharType="separate"/>
      </w:r>
      <w:r w:rsidR="00EA7374">
        <w:t xml:space="preserve">Figure </w:t>
      </w:r>
      <w:r w:rsidR="00EA7374">
        <w:rPr>
          <w:noProof/>
        </w:rPr>
        <w:t>8</w:t>
      </w:r>
      <w:r>
        <w:rPr>
          <w:highlight w:val="yellow"/>
        </w:rPr>
        <w:fldChar w:fldCharType="end"/>
      </w:r>
      <w:r>
        <w:t>).</w:t>
      </w:r>
    </w:p>
    <w:p w:rsidR="00B52BB0" w:rsidRPr="00853039" w:rsidRDefault="00B52BB0" w:rsidP="003E074D">
      <w:r w:rsidRPr="00F72EE8">
        <w:t xml:space="preserve">The pest </w:t>
      </w:r>
      <w:r w:rsidRPr="00853039">
        <w:t>categorisation process (Appendix A) identified 1</w:t>
      </w:r>
      <w:r>
        <w:t>11</w:t>
      </w:r>
      <w:r w:rsidRPr="00853039">
        <w:t xml:space="preserve"> pests. Of these 1</w:t>
      </w:r>
      <w:r>
        <w:t>11</w:t>
      </w:r>
      <w:r w:rsidRPr="00853039">
        <w:t xml:space="preserve"> pests:</w:t>
      </w:r>
    </w:p>
    <w:p w:rsidR="00B52BB0" w:rsidRPr="00853039" w:rsidRDefault="00B52BB0" w:rsidP="003E074D">
      <w:pPr>
        <w:pStyle w:val="ListParagraph"/>
        <w:numPr>
          <w:ilvl w:val="0"/>
          <w:numId w:val="14"/>
        </w:numPr>
        <w:spacing w:line="240" w:lineRule="auto"/>
      </w:pPr>
      <w:r w:rsidRPr="00853039">
        <w:t>3</w:t>
      </w:r>
      <w:r>
        <w:t>5</w:t>
      </w:r>
      <w:r w:rsidRPr="00853039">
        <w:t xml:space="preserve"> pests are already present in Australia and not under official control, and therefore were not considered further;</w:t>
      </w:r>
    </w:p>
    <w:p w:rsidR="00B52BB0" w:rsidRPr="00853039" w:rsidRDefault="00B52BB0" w:rsidP="003E074D">
      <w:pPr>
        <w:pStyle w:val="ListParagraph"/>
        <w:numPr>
          <w:ilvl w:val="0"/>
          <w:numId w:val="14"/>
        </w:numPr>
        <w:spacing w:line="240" w:lineRule="auto"/>
      </w:pPr>
      <w:r>
        <w:t>60</w:t>
      </w:r>
      <w:r w:rsidRPr="00853039">
        <w:t xml:space="preserve"> pests were assessed as not having potential to be on the fresh longan pathway, and therefore did not undergo further assessment;</w:t>
      </w:r>
    </w:p>
    <w:p w:rsidR="00B52BB0" w:rsidRPr="00853039" w:rsidRDefault="00B52BB0" w:rsidP="003E074D">
      <w:r w:rsidRPr="00853039">
        <w:t xml:space="preserve">The outcome of this process </w:t>
      </w:r>
      <w:r>
        <w:t>left 14</w:t>
      </w:r>
      <w:r w:rsidRPr="00853039">
        <w:t xml:space="preserve"> pests and two regulated thrips that require further consideration</w:t>
      </w:r>
      <w:r>
        <w:t>, that is,</w:t>
      </w:r>
      <w:r w:rsidRPr="00853039">
        <w:t xml:space="preserve"> a pest risk assessment. Pest risk assessments for these </w:t>
      </w:r>
      <w:r>
        <w:t>16</w:t>
      </w:r>
      <w:r w:rsidRPr="00853039">
        <w:t xml:space="preserve"> species were subsequently completed.</w:t>
      </w:r>
    </w:p>
    <w:p w:rsidR="00B52BB0" w:rsidRPr="00853039" w:rsidRDefault="00B52BB0" w:rsidP="003E074D">
      <w:pPr>
        <w:pStyle w:val="ListParagraph"/>
        <w:numPr>
          <w:ilvl w:val="0"/>
          <w:numId w:val="15"/>
        </w:numPr>
        <w:spacing w:line="240" w:lineRule="auto"/>
      </w:pPr>
      <w:r w:rsidRPr="00853039">
        <w:t xml:space="preserve">The estimated risk for </w:t>
      </w:r>
      <w:r>
        <w:t>three</w:t>
      </w:r>
      <w:r w:rsidRPr="00853039">
        <w:t xml:space="preserve"> of the pests was assessed as achieving the ALOP for Australia, and thus no specific risk management measures are required</w:t>
      </w:r>
      <w:r>
        <w:t xml:space="preserve"> for this pathway</w:t>
      </w:r>
      <w:r w:rsidRPr="00853039">
        <w:t>. These pests are:</w:t>
      </w:r>
    </w:p>
    <w:p w:rsidR="00B52BB0" w:rsidRPr="00853039" w:rsidRDefault="00B52BB0" w:rsidP="003E074D">
      <w:pPr>
        <w:pStyle w:val="ListParagraph"/>
        <w:numPr>
          <w:ilvl w:val="1"/>
          <w:numId w:val="15"/>
        </w:numPr>
        <w:spacing w:after="0" w:line="240" w:lineRule="auto"/>
        <w:rPr>
          <w:i/>
          <w:iCs/>
        </w:rPr>
      </w:pPr>
      <w:r w:rsidRPr="00853039">
        <w:rPr>
          <w:i/>
          <w:iCs/>
        </w:rPr>
        <w:t>Drepanococcus chiton</w:t>
      </w:r>
    </w:p>
    <w:p w:rsidR="00B52BB0" w:rsidRPr="00853039" w:rsidRDefault="00B52BB0" w:rsidP="003E074D">
      <w:pPr>
        <w:pStyle w:val="ListParagraph"/>
        <w:numPr>
          <w:ilvl w:val="1"/>
          <w:numId w:val="15"/>
        </w:numPr>
        <w:spacing w:after="0" w:line="240" w:lineRule="auto"/>
        <w:ind w:left="1066" w:hanging="357"/>
        <w:rPr>
          <w:i/>
          <w:iCs/>
        </w:rPr>
      </w:pPr>
      <w:r w:rsidRPr="00853039">
        <w:rPr>
          <w:i/>
          <w:iCs/>
        </w:rPr>
        <w:t>Phytophthora litchii</w:t>
      </w:r>
    </w:p>
    <w:p w:rsidR="00B52BB0" w:rsidRPr="00853039" w:rsidRDefault="00B52BB0" w:rsidP="003E074D">
      <w:pPr>
        <w:pStyle w:val="ListParagraph"/>
        <w:numPr>
          <w:ilvl w:val="1"/>
          <w:numId w:val="15"/>
        </w:numPr>
        <w:spacing w:line="240" w:lineRule="auto"/>
        <w:rPr>
          <w:i/>
          <w:iCs/>
        </w:rPr>
      </w:pPr>
      <w:r w:rsidRPr="00853039">
        <w:t>Longan Witches’ Broom Disease</w:t>
      </w:r>
    </w:p>
    <w:p w:rsidR="00B52BB0" w:rsidRPr="00AA0054" w:rsidRDefault="00B52BB0" w:rsidP="003E074D">
      <w:pPr>
        <w:pStyle w:val="ListParagraph"/>
        <w:numPr>
          <w:ilvl w:val="0"/>
          <w:numId w:val="15"/>
        </w:numPr>
        <w:spacing w:line="240" w:lineRule="auto"/>
        <w:rPr>
          <w:iCs/>
        </w:rPr>
      </w:pPr>
      <w:r w:rsidRPr="00853039">
        <w:t>The estimated risk for 11 quarantine pests were assessed as not achieving the ALOP for Australia</w:t>
      </w:r>
      <w:r>
        <w:t xml:space="preserve"> and thus specific risk management measures are required. These pests are:</w:t>
      </w:r>
    </w:p>
    <w:p w:rsidR="00B52BB0" w:rsidRPr="00911FD6" w:rsidRDefault="00B52BB0" w:rsidP="003E074D">
      <w:pPr>
        <w:pStyle w:val="ListParagraph"/>
        <w:numPr>
          <w:ilvl w:val="1"/>
          <w:numId w:val="15"/>
        </w:numPr>
        <w:spacing w:after="0" w:line="240" w:lineRule="auto"/>
        <w:ind w:left="1066" w:hanging="357"/>
        <w:rPr>
          <w:i/>
          <w:iCs/>
        </w:rPr>
      </w:pPr>
      <w:r>
        <w:rPr>
          <w:i/>
          <w:iCs/>
        </w:rPr>
        <w:t>Bactrocera correcta</w:t>
      </w:r>
    </w:p>
    <w:p w:rsidR="00B52BB0" w:rsidRPr="00911FD6" w:rsidRDefault="00B52BB0" w:rsidP="003E074D">
      <w:pPr>
        <w:pStyle w:val="ListParagraph"/>
        <w:numPr>
          <w:ilvl w:val="1"/>
          <w:numId w:val="15"/>
        </w:numPr>
        <w:spacing w:after="0" w:line="240" w:lineRule="auto"/>
        <w:ind w:left="1066" w:hanging="357"/>
        <w:rPr>
          <w:i/>
          <w:iCs/>
        </w:rPr>
      </w:pPr>
      <w:r>
        <w:rPr>
          <w:i/>
          <w:iCs/>
        </w:rPr>
        <w:t>Bactrocera dorsalis</w:t>
      </w:r>
    </w:p>
    <w:p w:rsidR="00B52BB0" w:rsidRDefault="00B52BB0" w:rsidP="003E074D">
      <w:pPr>
        <w:pStyle w:val="ListParagraph"/>
        <w:numPr>
          <w:ilvl w:val="1"/>
          <w:numId w:val="15"/>
        </w:numPr>
        <w:spacing w:after="0" w:line="240" w:lineRule="auto"/>
        <w:ind w:left="1066" w:hanging="357"/>
        <w:rPr>
          <w:i/>
          <w:iCs/>
        </w:rPr>
      </w:pPr>
      <w:r>
        <w:rPr>
          <w:i/>
          <w:iCs/>
        </w:rPr>
        <w:t>Dysmicoccus neobrevipes</w:t>
      </w:r>
    </w:p>
    <w:p w:rsidR="00B52BB0" w:rsidRDefault="00B52BB0" w:rsidP="003E074D">
      <w:pPr>
        <w:pStyle w:val="ListParagraph"/>
        <w:numPr>
          <w:ilvl w:val="1"/>
          <w:numId w:val="15"/>
        </w:numPr>
        <w:spacing w:after="0" w:line="240" w:lineRule="auto"/>
        <w:ind w:left="1066" w:hanging="357"/>
        <w:rPr>
          <w:i/>
          <w:iCs/>
        </w:rPr>
      </w:pPr>
      <w:r>
        <w:rPr>
          <w:i/>
          <w:iCs/>
        </w:rPr>
        <w:t>Exallomochlus hispidus</w:t>
      </w:r>
    </w:p>
    <w:p w:rsidR="00B52BB0" w:rsidRDefault="00B52BB0" w:rsidP="003E074D">
      <w:pPr>
        <w:pStyle w:val="ListParagraph"/>
        <w:numPr>
          <w:ilvl w:val="1"/>
          <w:numId w:val="15"/>
        </w:numPr>
        <w:spacing w:after="0" w:line="240" w:lineRule="auto"/>
        <w:ind w:left="1066" w:hanging="357"/>
        <w:rPr>
          <w:i/>
          <w:iCs/>
        </w:rPr>
      </w:pPr>
      <w:r>
        <w:rPr>
          <w:i/>
          <w:iCs/>
        </w:rPr>
        <w:t>Paracoccus interceptus</w:t>
      </w:r>
    </w:p>
    <w:p w:rsidR="00B52BB0" w:rsidRDefault="00B52BB0" w:rsidP="003E074D">
      <w:pPr>
        <w:pStyle w:val="ListParagraph"/>
        <w:numPr>
          <w:ilvl w:val="1"/>
          <w:numId w:val="15"/>
        </w:numPr>
        <w:spacing w:after="0" w:line="240" w:lineRule="auto"/>
        <w:ind w:left="1066" w:hanging="357"/>
        <w:rPr>
          <w:i/>
          <w:iCs/>
        </w:rPr>
      </w:pPr>
      <w:r>
        <w:rPr>
          <w:i/>
          <w:iCs/>
        </w:rPr>
        <w:t>Planococcus lilacinus</w:t>
      </w:r>
    </w:p>
    <w:p w:rsidR="00B52BB0" w:rsidRDefault="00B52BB0" w:rsidP="003E074D">
      <w:pPr>
        <w:pStyle w:val="ListParagraph"/>
        <w:numPr>
          <w:ilvl w:val="1"/>
          <w:numId w:val="15"/>
        </w:numPr>
        <w:spacing w:after="0" w:line="240" w:lineRule="auto"/>
        <w:ind w:left="1066" w:hanging="357"/>
        <w:rPr>
          <w:i/>
          <w:iCs/>
        </w:rPr>
      </w:pPr>
      <w:r>
        <w:rPr>
          <w:i/>
          <w:iCs/>
        </w:rPr>
        <w:t>Planococcus litchi</w:t>
      </w:r>
    </w:p>
    <w:p w:rsidR="00B52BB0" w:rsidRDefault="00B52BB0" w:rsidP="003E074D">
      <w:pPr>
        <w:pStyle w:val="ListParagraph"/>
        <w:numPr>
          <w:ilvl w:val="1"/>
          <w:numId w:val="15"/>
        </w:numPr>
        <w:spacing w:after="0" w:line="240" w:lineRule="auto"/>
        <w:ind w:left="1066" w:hanging="357"/>
        <w:rPr>
          <w:i/>
          <w:iCs/>
        </w:rPr>
      </w:pPr>
      <w:r>
        <w:rPr>
          <w:i/>
          <w:iCs/>
        </w:rPr>
        <w:t>Planococcus minor</w:t>
      </w:r>
    </w:p>
    <w:p w:rsidR="00B52BB0" w:rsidRDefault="00B52BB0" w:rsidP="003E074D">
      <w:pPr>
        <w:pStyle w:val="ListParagraph"/>
        <w:numPr>
          <w:ilvl w:val="1"/>
          <w:numId w:val="15"/>
        </w:numPr>
        <w:spacing w:after="0" w:line="240" w:lineRule="auto"/>
        <w:ind w:left="1066" w:hanging="357"/>
        <w:rPr>
          <w:i/>
          <w:iCs/>
        </w:rPr>
      </w:pPr>
      <w:r>
        <w:rPr>
          <w:i/>
          <w:iCs/>
        </w:rPr>
        <w:t>Pseudococcus baliteus</w:t>
      </w:r>
    </w:p>
    <w:p w:rsidR="00B52BB0" w:rsidRDefault="00B52BB0" w:rsidP="003E074D">
      <w:pPr>
        <w:pStyle w:val="ListParagraph"/>
        <w:numPr>
          <w:ilvl w:val="1"/>
          <w:numId w:val="15"/>
        </w:numPr>
        <w:spacing w:after="0" w:line="240" w:lineRule="auto"/>
        <w:ind w:left="1066" w:hanging="357"/>
        <w:rPr>
          <w:i/>
          <w:iCs/>
        </w:rPr>
      </w:pPr>
      <w:r>
        <w:rPr>
          <w:i/>
          <w:iCs/>
        </w:rPr>
        <w:t>Pseudococcus cryptus</w:t>
      </w:r>
    </w:p>
    <w:p w:rsidR="00B52BB0" w:rsidRDefault="00B52BB0" w:rsidP="003E074D">
      <w:pPr>
        <w:pStyle w:val="ListParagraph"/>
        <w:numPr>
          <w:ilvl w:val="1"/>
          <w:numId w:val="15"/>
        </w:numPr>
        <w:spacing w:line="240" w:lineRule="auto"/>
        <w:ind w:left="1066" w:hanging="357"/>
        <w:rPr>
          <w:i/>
          <w:iCs/>
        </w:rPr>
      </w:pPr>
      <w:r>
        <w:rPr>
          <w:i/>
          <w:iCs/>
        </w:rPr>
        <w:t>Conopomorpha sinensis</w:t>
      </w:r>
    </w:p>
    <w:p w:rsidR="00B52BB0" w:rsidRPr="00853039" w:rsidRDefault="00B52BB0" w:rsidP="003E074D">
      <w:pPr>
        <w:pStyle w:val="ListParagraph"/>
        <w:numPr>
          <w:ilvl w:val="0"/>
          <w:numId w:val="15"/>
        </w:numPr>
        <w:spacing w:line="240" w:lineRule="auto"/>
        <w:rPr>
          <w:iCs/>
        </w:rPr>
      </w:pPr>
      <w:r w:rsidRPr="00853039">
        <w:t xml:space="preserve">Two thrips species, </w:t>
      </w:r>
      <w:r w:rsidRPr="00853039">
        <w:rPr>
          <w:i/>
          <w:iCs/>
        </w:rPr>
        <w:t>Scirtothrips dorsalis</w:t>
      </w:r>
      <w:r w:rsidRPr="00853039">
        <w:t xml:space="preserve"> and </w:t>
      </w:r>
      <w:r w:rsidRPr="00853039">
        <w:rPr>
          <w:i/>
          <w:iCs/>
        </w:rPr>
        <w:t>Thrips tabaci</w:t>
      </w:r>
      <w:r w:rsidRPr="00853039">
        <w:rPr>
          <w:iCs/>
        </w:rPr>
        <w:t>,</w:t>
      </w:r>
      <w:r w:rsidRPr="00853039">
        <w:t xml:space="preserve"> were identified in the thrips group PRA as regulated thrips due to their ability to vector emerging quarantine orthotospoviruses. Their potential to introduce emerging quarantine orthotospoviruses into Australia via the longan pathway was confirmed (</w:t>
      </w:r>
      <w:r w:rsidRPr="00853039">
        <w:fldChar w:fldCharType="begin"/>
      </w:r>
      <w:r w:rsidRPr="00853039">
        <w:instrText xml:space="preserve"> REF _Ref523319346 \h  \* MERGEFORMAT </w:instrText>
      </w:r>
      <w:r w:rsidRPr="00853039">
        <w:fldChar w:fldCharType="separate"/>
      </w:r>
      <w:r w:rsidR="00EA7374">
        <w:t xml:space="preserve">Table </w:t>
      </w:r>
      <w:r w:rsidR="00EA7374">
        <w:rPr>
          <w:noProof/>
        </w:rPr>
        <w:t>4.3</w:t>
      </w:r>
      <w:r w:rsidRPr="00853039">
        <w:fldChar w:fldCharType="end"/>
      </w:r>
      <w:r w:rsidRPr="00853039">
        <w:t xml:space="preserve"> and </w:t>
      </w:r>
      <w:r w:rsidRPr="00853039">
        <w:fldChar w:fldCharType="begin"/>
      </w:r>
      <w:r w:rsidRPr="00853039">
        <w:instrText xml:space="preserve"> REF _Ref519756091 \h </w:instrText>
      </w:r>
      <w:r>
        <w:instrText xml:space="preserve"> \* MERGEFORMAT </w:instrText>
      </w:r>
      <w:r w:rsidRPr="00853039">
        <w:fldChar w:fldCharType="separate"/>
      </w:r>
      <w:r w:rsidR="00EA7374">
        <w:t xml:space="preserve">Table </w:t>
      </w:r>
      <w:r w:rsidR="00EA7374">
        <w:rPr>
          <w:noProof/>
        </w:rPr>
        <w:t>4.4</w:t>
      </w:r>
      <w:r w:rsidRPr="00853039">
        <w:fldChar w:fldCharType="end"/>
      </w:r>
      <w:r w:rsidRPr="00853039">
        <w:t xml:space="preserve">) and </w:t>
      </w:r>
      <w:r>
        <w:t>thus these pests require specific risk management measures</w:t>
      </w:r>
      <w:r w:rsidRPr="00853039">
        <w:t>.</w:t>
      </w:r>
    </w:p>
    <w:p w:rsidR="00B52BB0" w:rsidRDefault="00B52BB0" w:rsidP="003E074D">
      <w:pPr>
        <w:spacing w:after="0"/>
      </w:pPr>
      <w:r>
        <w:br w:type="page"/>
      </w:r>
    </w:p>
    <w:p w:rsidR="00B52BB0" w:rsidRDefault="00B52BB0" w:rsidP="003E074D">
      <w:pPr>
        <w:pStyle w:val="Caption"/>
      </w:pPr>
      <w:bookmarkStart w:id="99" w:name="_Ref523319205"/>
      <w:bookmarkStart w:id="100" w:name="_Toc7607540"/>
      <w:r>
        <w:lastRenderedPageBreak/>
        <w:t xml:space="preserve">Figure </w:t>
      </w:r>
      <w:r>
        <w:rPr>
          <w:noProof/>
        </w:rPr>
        <w:fldChar w:fldCharType="begin"/>
      </w:r>
      <w:r>
        <w:rPr>
          <w:noProof/>
        </w:rPr>
        <w:instrText xml:space="preserve"> SEQ Figure \* ARABIC </w:instrText>
      </w:r>
      <w:r>
        <w:rPr>
          <w:noProof/>
        </w:rPr>
        <w:fldChar w:fldCharType="separate"/>
      </w:r>
      <w:r w:rsidR="00EA7374">
        <w:rPr>
          <w:noProof/>
        </w:rPr>
        <w:t>8</w:t>
      </w:r>
      <w:r>
        <w:rPr>
          <w:noProof/>
        </w:rPr>
        <w:fldChar w:fldCharType="end"/>
      </w:r>
      <w:bookmarkEnd w:id="99"/>
      <w:r>
        <w:t xml:space="preserve"> Summary of assessment of pests listed in the pest categorisation table</w:t>
      </w:r>
      <w:bookmarkEnd w:id="100"/>
    </w:p>
    <w:p w:rsidR="00B52BB0" w:rsidRDefault="00B52BB0" w:rsidP="003E074D">
      <w:pPr>
        <w:spacing w:after="0"/>
        <w:rPr>
          <w:noProof/>
          <w:lang w:eastAsia="en-AU"/>
        </w:rPr>
      </w:pPr>
      <w:r>
        <w:rPr>
          <w:noProof/>
          <w:lang w:eastAsia="en-AU"/>
        </w:rPr>
        <w:drawing>
          <wp:inline distT="0" distB="0" distL="0" distR="0" wp14:anchorId="68EDE651" wp14:editId="0ECDEC21">
            <wp:extent cx="5762625" cy="5324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5324475"/>
                    </a:xfrm>
                    <a:prstGeom prst="rect">
                      <a:avLst/>
                    </a:prstGeom>
                    <a:noFill/>
                    <a:ln>
                      <a:noFill/>
                    </a:ln>
                  </pic:spPr>
                </pic:pic>
              </a:graphicData>
            </a:graphic>
          </wp:inline>
        </w:drawing>
      </w:r>
    </w:p>
    <w:p w:rsidR="00B52BB0" w:rsidRDefault="00B52BB0" w:rsidP="003E074D">
      <w:pPr>
        <w:spacing w:after="0"/>
      </w:pPr>
    </w:p>
    <w:p w:rsidR="00B52BB0" w:rsidRDefault="00B52BB0" w:rsidP="003E074D">
      <w:pPr>
        <w:spacing w:after="0"/>
        <w:sectPr w:rsidR="00B52BB0" w:rsidSect="003E074D">
          <w:footerReference w:type="default" r:id="rId42"/>
          <w:pgSz w:w="11906" w:h="16838"/>
          <w:pgMar w:top="1418" w:right="1418" w:bottom="1418" w:left="1418" w:header="567" w:footer="283" w:gutter="0"/>
          <w:cols w:space="708"/>
          <w:docGrid w:linePitch="360"/>
        </w:sectPr>
      </w:pPr>
    </w:p>
    <w:p w:rsidR="00B52BB0" w:rsidRDefault="00B52BB0" w:rsidP="003E074D">
      <w:pPr>
        <w:pStyle w:val="Heading2"/>
      </w:pPr>
      <w:bookmarkStart w:id="101" w:name="_Toc7607687"/>
      <w:r>
        <w:lastRenderedPageBreak/>
        <w:t>Pest risk management</w:t>
      </w:r>
      <w:bookmarkEnd w:id="101"/>
    </w:p>
    <w:p w:rsidR="00B52BB0" w:rsidRDefault="00B52BB0">
      <w:r w:rsidRPr="00E16DE7">
        <w:t xml:space="preserve">This chapter provides information on the management of quarantine pests and regulated thrips identified as having an unrestricted risk that does not achieve the appropriate level of protection (ALOP) for Australia. The </w:t>
      </w:r>
      <w:r>
        <w:t>recommended</w:t>
      </w:r>
      <w:r w:rsidRPr="00E16DE7">
        <w:t xml:space="preserve"> risk management measures for these pests are described in this chapter.</w:t>
      </w:r>
      <w:r>
        <w:t xml:space="preserve"> This chapter also describes the o</w:t>
      </w:r>
      <w:r w:rsidRPr="00617FDF">
        <w:t xml:space="preserve">perational system </w:t>
      </w:r>
      <w:r>
        <w:t>that is required for the maintenance and verification of the phytosanitary</w:t>
      </w:r>
      <w:r w:rsidRPr="00617FDF">
        <w:t xml:space="preserve"> status</w:t>
      </w:r>
      <w:r>
        <w:t xml:space="preserve"> of fresh longan fruit from Vietnam for export to Australia.</w:t>
      </w:r>
    </w:p>
    <w:p w:rsidR="00B52BB0" w:rsidRDefault="00B52BB0" w:rsidP="003E074D">
      <w:pPr>
        <w:pStyle w:val="Heading3"/>
      </w:pPr>
      <w:bookmarkStart w:id="102" w:name="_Toc7607688"/>
      <w:r>
        <w:t>Pest risk management measures and phytosanitary procedures</w:t>
      </w:r>
      <w:bookmarkEnd w:id="102"/>
    </w:p>
    <w:p w:rsidR="00B52BB0" w:rsidRDefault="00B52BB0" w:rsidP="003E074D">
      <w:r>
        <w:t>Pest risk management evaluates and selects options for measures to reduce the risk of entry, establishment or spread of quarantine pests and regulated thrips for Australia, where they have been assessed to have an unrestricted risk level that does not achieve the ALOP for Australia. In calculating the unrestricted risk estimate, existing commercial production practices in Vietnam have been considered, as have post-harvest procedures and the packing of fruit.</w:t>
      </w:r>
    </w:p>
    <w:p w:rsidR="00B52BB0" w:rsidRDefault="00B52BB0" w:rsidP="003E074D">
      <w:r>
        <w:t>In addition to Vietnam’s existing commercial production systems and packing house operations for fresh longan fruit, specific pest risk management measures are recommended in order to achieve the ALOP for Australia.</w:t>
      </w:r>
    </w:p>
    <w:p w:rsidR="00B52BB0" w:rsidRDefault="00B52BB0" w:rsidP="003E074D">
      <w:r>
        <w:t>In this chapter, the Department of Agriculture and Water Resources has recommended risk management measures that may be applied to consignments of longan fruit sourced from Vietnam. Finalisation of the import conditions may be undertaken with input from the Australian states and territories as appropriate.</w:t>
      </w:r>
    </w:p>
    <w:p w:rsidR="00B52BB0" w:rsidRDefault="00B52BB0" w:rsidP="003E074D">
      <w:pPr>
        <w:pStyle w:val="Heading4"/>
      </w:pPr>
      <w:r>
        <w:t>Analysis of pest interception data to date</w:t>
      </w:r>
    </w:p>
    <w:p w:rsidR="00B52BB0" w:rsidRDefault="00B52BB0" w:rsidP="003E074D">
      <w:r>
        <w:t xml:space="preserve">Australia has imported a relatively small amount of fresh longan fruit for human consumption from two permitted countries since 2006. Interceptions of live pests on consignments of longan fruit entering Australia have been rare. These intercepted pests had been identified as of biosecurity concern in the previous risk analysis and appropriate corrective actions and/or remedial actions were undertaken in all cases, including suspension of non-compliant treatment facilities as appropriate. The intercepted species have included some pests relevant to this analysis, including </w:t>
      </w:r>
      <w:r w:rsidRPr="00065A82">
        <w:rPr>
          <w:i/>
        </w:rPr>
        <w:t>Bactrocera dorsalis</w:t>
      </w:r>
      <w:r>
        <w:t xml:space="preserve">, several mealybug species such as </w:t>
      </w:r>
      <w:r w:rsidRPr="00FD7082">
        <w:rPr>
          <w:i/>
          <w:iCs/>
        </w:rPr>
        <w:t>Planococcus lilacinus</w:t>
      </w:r>
      <w:r>
        <w:t xml:space="preserve"> and </w:t>
      </w:r>
      <w:r w:rsidRPr="00FD7082">
        <w:rPr>
          <w:i/>
          <w:iCs/>
        </w:rPr>
        <w:t>P.</w:t>
      </w:r>
      <w:r>
        <w:rPr>
          <w:i/>
          <w:iCs/>
        </w:rPr>
        <w:t> </w:t>
      </w:r>
      <w:r w:rsidRPr="00FD7082">
        <w:rPr>
          <w:i/>
          <w:iCs/>
        </w:rPr>
        <w:t>minor</w:t>
      </w:r>
      <w:r>
        <w:t xml:space="preserve">, and </w:t>
      </w:r>
      <w:r w:rsidRPr="00FD7082">
        <w:rPr>
          <w:i/>
          <w:iCs/>
        </w:rPr>
        <w:t>Conopomorpha</w:t>
      </w:r>
      <w:r>
        <w:t xml:space="preserve"> moth species.</w:t>
      </w:r>
    </w:p>
    <w:p w:rsidR="00B52BB0" w:rsidRDefault="00B52BB0" w:rsidP="003E074D">
      <w:pPr>
        <w:pStyle w:val="Heading4"/>
      </w:pPr>
      <w:r>
        <w:t>Pest risk management for quarantine pests</w:t>
      </w:r>
    </w:p>
    <w:p w:rsidR="00B52BB0" w:rsidRDefault="00B52BB0" w:rsidP="003E074D">
      <w:r>
        <w:t>The pest risk assessment</w:t>
      </w:r>
      <w:r w:rsidRPr="00237798">
        <w:t xml:space="preserve">s identified the quarantine pests listed in </w:t>
      </w:r>
      <w:r>
        <w:fldChar w:fldCharType="begin"/>
      </w:r>
      <w:r>
        <w:instrText xml:space="preserve"> REF _Ref524966677 \h </w:instrText>
      </w:r>
      <w:r>
        <w:fldChar w:fldCharType="separate"/>
      </w:r>
      <w:r w:rsidR="00EA7374">
        <w:t xml:space="preserve">Table </w:t>
      </w:r>
      <w:r w:rsidR="00EA7374">
        <w:rPr>
          <w:noProof/>
        </w:rPr>
        <w:t>5</w:t>
      </w:r>
      <w:r w:rsidR="00EA7374">
        <w:t>.</w:t>
      </w:r>
      <w:r w:rsidR="00EA7374">
        <w:rPr>
          <w:noProof/>
        </w:rPr>
        <w:t>1</w:t>
      </w:r>
      <w:r>
        <w:fldChar w:fldCharType="end"/>
      </w:r>
      <w:r>
        <w:t xml:space="preserve"> </w:t>
      </w:r>
      <w:r w:rsidRPr="00237798">
        <w:t xml:space="preserve">as having unrestricted risks </w:t>
      </w:r>
      <w:r>
        <w:t xml:space="preserve">that do not achieve the ALOP for Australia. Therefore, risk management measures are required to manage the risks posed by these pests; the recommended measures are listed in </w:t>
      </w:r>
      <w:r>
        <w:fldChar w:fldCharType="begin"/>
      </w:r>
      <w:r>
        <w:instrText xml:space="preserve"> REF _Ref524966677 \h </w:instrText>
      </w:r>
      <w:r>
        <w:fldChar w:fldCharType="separate"/>
      </w:r>
      <w:r w:rsidR="00EA7374">
        <w:t xml:space="preserve">Table </w:t>
      </w:r>
      <w:r w:rsidR="00EA7374">
        <w:rPr>
          <w:noProof/>
        </w:rPr>
        <w:t>5</w:t>
      </w:r>
      <w:r w:rsidR="00EA7374">
        <w:t>.</w:t>
      </w:r>
      <w:r w:rsidR="00EA7374">
        <w:rPr>
          <w:noProof/>
        </w:rPr>
        <w:t>1</w:t>
      </w:r>
      <w:r>
        <w:fldChar w:fldCharType="end"/>
      </w:r>
      <w:r>
        <w:t>.</w:t>
      </w:r>
      <w:r>
        <w:br w:type="page"/>
      </w:r>
    </w:p>
    <w:p w:rsidR="00B52BB0" w:rsidRPr="00691B7D" w:rsidRDefault="00B52BB0" w:rsidP="003E074D">
      <w:pPr>
        <w:pStyle w:val="Caption"/>
      </w:pPr>
      <w:bookmarkStart w:id="103" w:name="_Ref524966677"/>
      <w:bookmarkStart w:id="104" w:name="_Toc7607554"/>
      <w:r>
        <w:lastRenderedPageBreak/>
        <w:t xml:space="preserve">Table </w:t>
      </w:r>
      <w:r>
        <w:rPr>
          <w:noProof/>
        </w:rPr>
        <w:fldChar w:fldCharType="begin"/>
      </w:r>
      <w:r>
        <w:rPr>
          <w:noProof/>
        </w:rPr>
        <w:instrText xml:space="preserve"> STYLEREF 2 \s </w:instrText>
      </w:r>
      <w:r>
        <w:rPr>
          <w:noProof/>
        </w:rPr>
        <w:fldChar w:fldCharType="separate"/>
      </w:r>
      <w:r w:rsidR="00EA7374">
        <w:rPr>
          <w:noProof/>
        </w:rPr>
        <w:t>5</w:t>
      </w:r>
      <w:r>
        <w:rPr>
          <w:noProof/>
        </w:rPr>
        <w:fldChar w:fldCharType="end"/>
      </w:r>
      <w:r>
        <w:t>.</w:t>
      </w:r>
      <w:r>
        <w:rPr>
          <w:noProof/>
        </w:rPr>
        <w:fldChar w:fldCharType="begin"/>
      </w:r>
      <w:r>
        <w:rPr>
          <w:noProof/>
        </w:rPr>
        <w:instrText xml:space="preserve"> SEQ Table \* ARABIC \s 2 </w:instrText>
      </w:r>
      <w:r>
        <w:rPr>
          <w:noProof/>
        </w:rPr>
        <w:fldChar w:fldCharType="separate"/>
      </w:r>
      <w:r w:rsidR="00EA7374">
        <w:rPr>
          <w:noProof/>
        </w:rPr>
        <w:t>1</w:t>
      </w:r>
      <w:r>
        <w:rPr>
          <w:noProof/>
        </w:rPr>
        <w:fldChar w:fldCharType="end"/>
      </w:r>
      <w:bookmarkEnd w:id="103"/>
      <w:r>
        <w:t xml:space="preserve"> </w:t>
      </w:r>
      <w:r w:rsidRPr="00626F1D">
        <w:t xml:space="preserve">Risk management measures </w:t>
      </w:r>
      <w:r>
        <w:t>recommended</w:t>
      </w:r>
      <w:r w:rsidRPr="00626F1D">
        <w:t xml:space="preserve"> for quarantine pests of fresh longan fruit from Vietnam</w:t>
      </w:r>
      <w:bookmarkEnd w:id="104"/>
    </w:p>
    <w:tbl>
      <w:tblPr>
        <w:tblW w:w="0" w:type="auto"/>
        <w:tblBorders>
          <w:top w:val="single" w:sz="4" w:space="0" w:color="auto"/>
          <w:bottom w:val="single" w:sz="4" w:space="0" w:color="auto"/>
        </w:tblBorders>
        <w:tblLook w:val="04A0" w:firstRow="1" w:lastRow="0" w:firstColumn="1" w:lastColumn="0" w:noHBand="0" w:noVBand="1"/>
      </w:tblPr>
      <w:tblGrid>
        <w:gridCol w:w="3026"/>
        <w:gridCol w:w="3021"/>
        <w:gridCol w:w="3023"/>
      </w:tblGrid>
      <w:tr w:rsidR="00B52BB0" w:rsidTr="003E074D">
        <w:tc>
          <w:tcPr>
            <w:tcW w:w="3026" w:type="dxa"/>
            <w:tcBorders>
              <w:top w:val="single" w:sz="4" w:space="0" w:color="auto"/>
              <w:bottom w:val="nil"/>
            </w:tcBorders>
          </w:tcPr>
          <w:p w:rsidR="00B52BB0" w:rsidRDefault="00B52BB0" w:rsidP="003E074D">
            <w:pPr>
              <w:pStyle w:val="TableHeading"/>
            </w:pPr>
            <w:r>
              <w:t>Pest</w:t>
            </w:r>
          </w:p>
        </w:tc>
        <w:tc>
          <w:tcPr>
            <w:tcW w:w="3021" w:type="dxa"/>
            <w:tcBorders>
              <w:top w:val="single" w:sz="4" w:space="0" w:color="auto"/>
              <w:bottom w:val="nil"/>
            </w:tcBorders>
          </w:tcPr>
          <w:p w:rsidR="00B52BB0" w:rsidRDefault="00B52BB0" w:rsidP="003E074D">
            <w:pPr>
              <w:pStyle w:val="TableHeading"/>
            </w:pPr>
            <w:r>
              <w:t>Common name</w:t>
            </w:r>
          </w:p>
        </w:tc>
        <w:tc>
          <w:tcPr>
            <w:tcW w:w="3023" w:type="dxa"/>
            <w:tcBorders>
              <w:top w:val="single" w:sz="4" w:space="0" w:color="auto"/>
              <w:bottom w:val="nil"/>
            </w:tcBorders>
          </w:tcPr>
          <w:p w:rsidR="00B52BB0" w:rsidRDefault="00B52BB0" w:rsidP="003E074D">
            <w:pPr>
              <w:pStyle w:val="TableHeading"/>
            </w:pPr>
            <w:r>
              <w:t>Measures</w:t>
            </w:r>
          </w:p>
        </w:tc>
      </w:tr>
      <w:tr w:rsidR="00B52BB0" w:rsidTr="003E074D">
        <w:tc>
          <w:tcPr>
            <w:tcW w:w="3026" w:type="dxa"/>
            <w:tcBorders>
              <w:top w:val="nil"/>
              <w:bottom w:val="nil"/>
            </w:tcBorders>
          </w:tcPr>
          <w:p w:rsidR="00B52BB0" w:rsidRPr="0051503E" w:rsidRDefault="00B52BB0" w:rsidP="003E074D">
            <w:pPr>
              <w:pStyle w:val="TableText"/>
            </w:pPr>
            <w:r w:rsidRPr="0051503E">
              <w:rPr>
                <w:i/>
              </w:rPr>
              <w:t>Bactrocera correcta</w:t>
            </w:r>
            <w:r>
              <w:t xml:space="preserve"> (EP)</w:t>
            </w:r>
          </w:p>
        </w:tc>
        <w:tc>
          <w:tcPr>
            <w:tcW w:w="3021" w:type="dxa"/>
            <w:tcBorders>
              <w:top w:val="nil"/>
              <w:bottom w:val="nil"/>
            </w:tcBorders>
          </w:tcPr>
          <w:p w:rsidR="00B52BB0" w:rsidRPr="0051503E" w:rsidRDefault="00B52BB0" w:rsidP="003E074D">
            <w:pPr>
              <w:pStyle w:val="TableText"/>
            </w:pPr>
            <w:r w:rsidRPr="0051503E">
              <w:t>Guava fruit fly</w:t>
            </w:r>
          </w:p>
        </w:tc>
        <w:tc>
          <w:tcPr>
            <w:tcW w:w="3023" w:type="dxa"/>
            <w:vMerge w:val="restart"/>
            <w:tcBorders>
              <w:top w:val="nil"/>
            </w:tcBorders>
          </w:tcPr>
          <w:p w:rsidR="00B52BB0" w:rsidRPr="00134AEE" w:rsidRDefault="00B52BB0" w:rsidP="003E074D">
            <w:pPr>
              <w:pStyle w:val="TableText"/>
              <w:rPr>
                <w:b/>
                <w:bCs/>
              </w:rPr>
            </w:pPr>
            <w:r>
              <w:t xml:space="preserve">Area freedom </w:t>
            </w:r>
            <w:r>
              <w:rPr>
                <w:b/>
                <w:bCs/>
              </w:rPr>
              <w:t>a</w:t>
            </w:r>
          </w:p>
          <w:p w:rsidR="00B52BB0" w:rsidRDefault="00B52BB0" w:rsidP="003E074D">
            <w:pPr>
              <w:pStyle w:val="TableText"/>
            </w:pPr>
            <w:r>
              <w:t>OR</w:t>
            </w:r>
          </w:p>
          <w:p w:rsidR="00B52BB0" w:rsidRDefault="00B52BB0" w:rsidP="003E074D">
            <w:pPr>
              <w:pStyle w:val="TableText"/>
            </w:pPr>
            <w:r>
              <w:t>Irradiation</w:t>
            </w:r>
          </w:p>
          <w:p w:rsidR="00B52BB0" w:rsidRDefault="00B52BB0" w:rsidP="003E074D">
            <w:pPr>
              <w:pStyle w:val="TableText"/>
            </w:pPr>
            <w:r>
              <w:t>OR</w:t>
            </w:r>
          </w:p>
          <w:p w:rsidR="00B52BB0" w:rsidRDefault="00B52BB0" w:rsidP="003E074D">
            <w:pPr>
              <w:pStyle w:val="TableText"/>
              <w:rPr>
                <w:b/>
                <w:highlight w:val="yellow"/>
              </w:rPr>
            </w:pPr>
            <w:r>
              <w:t>Cold disinfestation treatment</w:t>
            </w:r>
          </w:p>
        </w:tc>
      </w:tr>
      <w:tr w:rsidR="00B52BB0" w:rsidTr="003E074D">
        <w:trPr>
          <w:trHeight w:val="662"/>
        </w:trPr>
        <w:tc>
          <w:tcPr>
            <w:tcW w:w="3026" w:type="dxa"/>
            <w:tcBorders>
              <w:top w:val="nil"/>
            </w:tcBorders>
          </w:tcPr>
          <w:p w:rsidR="00B52BB0" w:rsidRPr="00134AEE" w:rsidRDefault="00B52BB0" w:rsidP="003E074D">
            <w:pPr>
              <w:pStyle w:val="TableText"/>
              <w:rPr>
                <w:i/>
              </w:rPr>
            </w:pPr>
            <w:r w:rsidRPr="00134AEE">
              <w:rPr>
                <w:i/>
              </w:rPr>
              <w:t xml:space="preserve">Bactrocera dorsalis </w:t>
            </w:r>
            <w:r w:rsidRPr="00FD7082">
              <w:rPr>
                <w:iCs/>
              </w:rPr>
              <w:t>(EP)</w:t>
            </w:r>
          </w:p>
        </w:tc>
        <w:tc>
          <w:tcPr>
            <w:tcW w:w="3021" w:type="dxa"/>
            <w:tcBorders>
              <w:top w:val="nil"/>
            </w:tcBorders>
          </w:tcPr>
          <w:p w:rsidR="00B52BB0" w:rsidRPr="00134AEE" w:rsidRDefault="00B52BB0" w:rsidP="003E074D">
            <w:pPr>
              <w:pStyle w:val="TableText"/>
            </w:pPr>
            <w:r w:rsidRPr="00134AEE">
              <w:t>Oriental fruit fly</w:t>
            </w:r>
          </w:p>
        </w:tc>
        <w:tc>
          <w:tcPr>
            <w:tcW w:w="3023" w:type="dxa"/>
            <w:vMerge/>
            <w:tcBorders>
              <w:top w:val="nil"/>
            </w:tcBorders>
          </w:tcPr>
          <w:p w:rsidR="00B52BB0" w:rsidRDefault="00B52BB0" w:rsidP="003E074D">
            <w:pPr>
              <w:pStyle w:val="TableText"/>
            </w:pPr>
          </w:p>
        </w:tc>
      </w:tr>
      <w:tr w:rsidR="00B52BB0" w:rsidTr="003E074D">
        <w:tc>
          <w:tcPr>
            <w:tcW w:w="3026" w:type="dxa"/>
            <w:tcBorders>
              <w:top w:val="single" w:sz="4" w:space="0" w:color="BFBFBF" w:themeColor="background1" w:themeShade="BF"/>
              <w:bottom w:val="nil"/>
            </w:tcBorders>
          </w:tcPr>
          <w:p w:rsidR="00B52BB0" w:rsidRDefault="00B52BB0" w:rsidP="003E074D">
            <w:pPr>
              <w:pStyle w:val="TableText"/>
              <w:rPr>
                <w:highlight w:val="yellow"/>
                <w:vertAlign w:val="superscript"/>
              </w:rPr>
            </w:pPr>
            <w:r w:rsidRPr="00134AEE">
              <w:rPr>
                <w:i/>
              </w:rPr>
              <w:t xml:space="preserve">Dysmicoccus neobrevipes </w:t>
            </w:r>
            <w:r w:rsidRPr="00FD7082">
              <w:rPr>
                <w:iCs/>
              </w:rPr>
              <w:t>(EP)</w:t>
            </w:r>
          </w:p>
        </w:tc>
        <w:tc>
          <w:tcPr>
            <w:tcW w:w="3021" w:type="dxa"/>
            <w:tcBorders>
              <w:top w:val="single" w:sz="4" w:space="0" w:color="BFBFBF" w:themeColor="background1" w:themeShade="BF"/>
              <w:bottom w:val="nil"/>
            </w:tcBorders>
          </w:tcPr>
          <w:p w:rsidR="00B52BB0" w:rsidRDefault="00B52BB0" w:rsidP="003E074D">
            <w:pPr>
              <w:pStyle w:val="TableText"/>
              <w:rPr>
                <w:highlight w:val="yellow"/>
              </w:rPr>
            </w:pPr>
            <w:r w:rsidRPr="00134AEE">
              <w:t>Grey pineapple mealybug</w:t>
            </w:r>
          </w:p>
        </w:tc>
        <w:tc>
          <w:tcPr>
            <w:tcW w:w="3023" w:type="dxa"/>
            <w:vMerge w:val="restart"/>
            <w:tcBorders>
              <w:top w:val="single" w:sz="4" w:space="0" w:color="BFBFBF" w:themeColor="background1" w:themeShade="BF"/>
            </w:tcBorders>
          </w:tcPr>
          <w:p w:rsidR="00B52BB0" w:rsidRDefault="00B52BB0" w:rsidP="003E074D">
            <w:pPr>
              <w:pStyle w:val="TableText"/>
              <w:rPr>
                <w:b/>
                <w:highlight w:val="yellow"/>
              </w:rPr>
            </w:pPr>
            <w:r>
              <w:t>P</w:t>
            </w:r>
            <w:r w:rsidRPr="00134AEE">
              <w:t>re-export visual inspection and</w:t>
            </w:r>
            <w:r>
              <w:t>, if found,</w:t>
            </w:r>
            <w:r w:rsidRPr="00134AEE">
              <w:t xml:space="preserve"> remedial action </w:t>
            </w:r>
            <w:r>
              <w:rPr>
                <w:b/>
                <w:bCs/>
              </w:rPr>
              <w:t>b</w:t>
            </w:r>
          </w:p>
        </w:tc>
      </w:tr>
      <w:tr w:rsidR="00B52BB0" w:rsidTr="003E074D">
        <w:tc>
          <w:tcPr>
            <w:tcW w:w="3026" w:type="dxa"/>
            <w:tcBorders>
              <w:top w:val="nil"/>
              <w:bottom w:val="nil"/>
            </w:tcBorders>
          </w:tcPr>
          <w:p w:rsidR="00B52BB0" w:rsidRPr="00FD7082" w:rsidRDefault="00B52BB0" w:rsidP="003E074D">
            <w:pPr>
              <w:pStyle w:val="TableText"/>
              <w:rPr>
                <w:vertAlign w:val="superscript"/>
              </w:rPr>
            </w:pPr>
            <w:r w:rsidRPr="00FD7082">
              <w:rPr>
                <w:i/>
              </w:rPr>
              <w:t xml:space="preserve">Exallomochlus hispidus </w:t>
            </w:r>
            <w:r w:rsidRPr="00FD7082">
              <w:rPr>
                <w:iCs/>
              </w:rPr>
              <w:t>(EP)</w:t>
            </w:r>
          </w:p>
        </w:tc>
        <w:tc>
          <w:tcPr>
            <w:tcW w:w="3021" w:type="dxa"/>
            <w:tcBorders>
              <w:top w:val="nil"/>
              <w:bottom w:val="nil"/>
            </w:tcBorders>
          </w:tcPr>
          <w:p w:rsidR="00B52BB0" w:rsidRDefault="00B52BB0" w:rsidP="003E074D">
            <w:pPr>
              <w:pStyle w:val="TableText"/>
              <w:rPr>
                <w:highlight w:val="yellow"/>
              </w:rPr>
            </w:pPr>
            <w:r w:rsidRPr="00134AEE">
              <w:t>Cocoa mealybug</w:t>
            </w:r>
          </w:p>
        </w:tc>
        <w:tc>
          <w:tcPr>
            <w:tcW w:w="3023" w:type="dxa"/>
            <w:vMerge/>
          </w:tcPr>
          <w:p w:rsidR="00B52BB0" w:rsidRDefault="00B52BB0" w:rsidP="003E074D">
            <w:pPr>
              <w:pStyle w:val="TableText"/>
              <w:rPr>
                <w:highlight w:val="yellow"/>
              </w:rPr>
            </w:pPr>
          </w:p>
        </w:tc>
      </w:tr>
      <w:tr w:rsidR="00B52BB0" w:rsidTr="003E074D">
        <w:tc>
          <w:tcPr>
            <w:tcW w:w="3026" w:type="dxa"/>
            <w:tcBorders>
              <w:top w:val="nil"/>
              <w:bottom w:val="nil"/>
            </w:tcBorders>
          </w:tcPr>
          <w:p w:rsidR="00B52BB0" w:rsidRPr="00FD7082" w:rsidRDefault="00B52BB0" w:rsidP="003E074D">
            <w:pPr>
              <w:pStyle w:val="TableText"/>
              <w:rPr>
                <w:vertAlign w:val="superscript"/>
              </w:rPr>
            </w:pPr>
            <w:r w:rsidRPr="00FD7082">
              <w:rPr>
                <w:i/>
              </w:rPr>
              <w:t xml:space="preserve">Paracoccus interceptus </w:t>
            </w:r>
            <w:r w:rsidRPr="00FD7082">
              <w:rPr>
                <w:iCs/>
              </w:rPr>
              <w:t>(EP)</w:t>
            </w:r>
          </w:p>
        </w:tc>
        <w:tc>
          <w:tcPr>
            <w:tcW w:w="3021" w:type="dxa"/>
            <w:tcBorders>
              <w:top w:val="nil"/>
              <w:bottom w:val="nil"/>
            </w:tcBorders>
          </w:tcPr>
          <w:p w:rsidR="00B52BB0" w:rsidRDefault="00B52BB0" w:rsidP="003E074D">
            <w:pPr>
              <w:pStyle w:val="TableText"/>
              <w:rPr>
                <w:highlight w:val="yellow"/>
              </w:rPr>
            </w:pPr>
            <w:r w:rsidRPr="00134AEE">
              <w:t>Intercepted mealybug</w:t>
            </w:r>
          </w:p>
        </w:tc>
        <w:tc>
          <w:tcPr>
            <w:tcW w:w="3023" w:type="dxa"/>
            <w:vMerge/>
          </w:tcPr>
          <w:p w:rsidR="00B52BB0" w:rsidRDefault="00B52BB0" w:rsidP="003E074D">
            <w:pPr>
              <w:pStyle w:val="TableText"/>
              <w:rPr>
                <w:highlight w:val="yellow"/>
              </w:rPr>
            </w:pPr>
          </w:p>
        </w:tc>
      </w:tr>
      <w:tr w:rsidR="00B52BB0" w:rsidTr="003E074D">
        <w:tc>
          <w:tcPr>
            <w:tcW w:w="3026" w:type="dxa"/>
            <w:tcBorders>
              <w:top w:val="nil"/>
              <w:bottom w:val="nil"/>
            </w:tcBorders>
          </w:tcPr>
          <w:p w:rsidR="00B52BB0" w:rsidRDefault="00B52BB0" w:rsidP="003E074D">
            <w:pPr>
              <w:pStyle w:val="TableText"/>
              <w:rPr>
                <w:highlight w:val="yellow"/>
                <w:vertAlign w:val="superscript"/>
              </w:rPr>
            </w:pPr>
            <w:r w:rsidRPr="00134AEE">
              <w:rPr>
                <w:i/>
              </w:rPr>
              <w:t xml:space="preserve">Planococcus </w:t>
            </w:r>
            <w:r>
              <w:rPr>
                <w:i/>
              </w:rPr>
              <w:t>lilacinus</w:t>
            </w:r>
            <w:r w:rsidRPr="00134AEE">
              <w:rPr>
                <w:i/>
              </w:rPr>
              <w:t xml:space="preserve"> </w:t>
            </w:r>
            <w:r w:rsidRPr="00FD7082">
              <w:rPr>
                <w:iCs/>
              </w:rPr>
              <w:t>(EP)</w:t>
            </w:r>
          </w:p>
        </w:tc>
        <w:tc>
          <w:tcPr>
            <w:tcW w:w="3021" w:type="dxa"/>
            <w:tcBorders>
              <w:top w:val="nil"/>
              <w:bottom w:val="nil"/>
            </w:tcBorders>
          </w:tcPr>
          <w:p w:rsidR="00B52BB0" w:rsidRDefault="00B52BB0" w:rsidP="003E074D">
            <w:pPr>
              <w:pStyle w:val="TableText"/>
              <w:rPr>
                <w:highlight w:val="yellow"/>
              </w:rPr>
            </w:pPr>
            <w:r w:rsidRPr="00134AEE">
              <w:t>Coffee mealybug</w:t>
            </w:r>
          </w:p>
        </w:tc>
        <w:tc>
          <w:tcPr>
            <w:tcW w:w="3023" w:type="dxa"/>
            <w:vMerge/>
          </w:tcPr>
          <w:p w:rsidR="00B52BB0" w:rsidRDefault="00B52BB0" w:rsidP="003E074D">
            <w:pPr>
              <w:pStyle w:val="TableText"/>
              <w:rPr>
                <w:highlight w:val="yellow"/>
              </w:rPr>
            </w:pPr>
          </w:p>
        </w:tc>
      </w:tr>
      <w:tr w:rsidR="00B52BB0" w:rsidTr="003E074D">
        <w:tc>
          <w:tcPr>
            <w:tcW w:w="3026" w:type="dxa"/>
            <w:tcBorders>
              <w:top w:val="nil"/>
              <w:bottom w:val="nil"/>
            </w:tcBorders>
          </w:tcPr>
          <w:p w:rsidR="00B52BB0" w:rsidRPr="00065A82" w:rsidRDefault="00B52BB0" w:rsidP="003E074D">
            <w:pPr>
              <w:pStyle w:val="TableText"/>
            </w:pPr>
            <w:r>
              <w:rPr>
                <w:i/>
              </w:rPr>
              <w:t xml:space="preserve">Planococcus litchi </w:t>
            </w:r>
            <w:r w:rsidRPr="00065A82">
              <w:t>(EP)</w:t>
            </w:r>
          </w:p>
        </w:tc>
        <w:tc>
          <w:tcPr>
            <w:tcW w:w="3021" w:type="dxa"/>
            <w:tcBorders>
              <w:top w:val="nil"/>
              <w:bottom w:val="nil"/>
            </w:tcBorders>
          </w:tcPr>
          <w:p w:rsidR="00B52BB0" w:rsidRPr="00134AEE" w:rsidRDefault="00B52BB0" w:rsidP="003E074D">
            <w:pPr>
              <w:pStyle w:val="TableText"/>
            </w:pPr>
            <w:r>
              <w:t>Litchi mealybug</w:t>
            </w:r>
          </w:p>
        </w:tc>
        <w:tc>
          <w:tcPr>
            <w:tcW w:w="3023" w:type="dxa"/>
            <w:vMerge/>
          </w:tcPr>
          <w:p w:rsidR="00B52BB0" w:rsidRDefault="00B52BB0" w:rsidP="003E074D">
            <w:pPr>
              <w:pStyle w:val="TableText"/>
              <w:rPr>
                <w:highlight w:val="yellow"/>
              </w:rPr>
            </w:pPr>
          </w:p>
        </w:tc>
      </w:tr>
      <w:tr w:rsidR="00B52BB0" w:rsidTr="003E074D">
        <w:tc>
          <w:tcPr>
            <w:tcW w:w="3026" w:type="dxa"/>
            <w:tcBorders>
              <w:top w:val="nil"/>
              <w:bottom w:val="nil"/>
            </w:tcBorders>
          </w:tcPr>
          <w:p w:rsidR="00B52BB0" w:rsidRDefault="00B52BB0" w:rsidP="003E074D">
            <w:pPr>
              <w:pStyle w:val="TableText"/>
              <w:rPr>
                <w:highlight w:val="yellow"/>
                <w:vertAlign w:val="superscript"/>
              </w:rPr>
            </w:pPr>
            <w:r w:rsidRPr="00134AEE">
              <w:rPr>
                <w:i/>
              </w:rPr>
              <w:t xml:space="preserve">Planococcus minor </w:t>
            </w:r>
            <w:r w:rsidRPr="00FD7082">
              <w:rPr>
                <w:iCs/>
              </w:rPr>
              <w:t>(EP, WA)</w:t>
            </w:r>
          </w:p>
        </w:tc>
        <w:tc>
          <w:tcPr>
            <w:tcW w:w="3021" w:type="dxa"/>
            <w:tcBorders>
              <w:top w:val="nil"/>
              <w:bottom w:val="nil"/>
            </w:tcBorders>
          </w:tcPr>
          <w:p w:rsidR="00B52BB0" w:rsidRDefault="00B52BB0" w:rsidP="003E074D">
            <w:pPr>
              <w:pStyle w:val="TableText"/>
              <w:rPr>
                <w:highlight w:val="yellow"/>
              </w:rPr>
            </w:pPr>
            <w:r w:rsidRPr="00134AEE">
              <w:t>Pacific mealybug</w:t>
            </w:r>
          </w:p>
        </w:tc>
        <w:tc>
          <w:tcPr>
            <w:tcW w:w="3023" w:type="dxa"/>
            <w:vMerge/>
          </w:tcPr>
          <w:p w:rsidR="00B52BB0" w:rsidRDefault="00B52BB0" w:rsidP="003E074D">
            <w:pPr>
              <w:pStyle w:val="TableText"/>
              <w:rPr>
                <w:highlight w:val="yellow"/>
              </w:rPr>
            </w:pPr>
          </w:p>
        </w:tc>
      </w:tr>
      <w:tr w:rsidR="00B52BB0" w:rsidTr="003E074D">
        <w:tc>
          <w:tcPr>
            <w:tcW w:w="3026" w:type="dxa"/>
            <w:tcBorders>
              <w:top w:val="nil"/>
              <w:bottom w:val="nil"/>
            </w:tcBorders>
          </w:tcPr>
          <w:p w:rsidR="00B52BB0" w:rsidRPr="00130EC2" w:rsidRDefault="00B52BB0" w:rsidP="003E074D">
            <w:pPr>
              <w:pStyle w:val="TableText"/>
            </w:pPr>
            <w:r>
              <w:rPr>
                <w:i/>
              </w:rPr>
              <w:t>Pseudococcus baliteus</w:t>
            </w:r>
            <w:r>
              <w:t xml:space="preserve"> (EP)</w:t>
            </w:r>
          </w:p>
        </w:tc>
        <w:tc>
          <w:tcPr>
            <w:tcW w:w="3021" w:type="dxa"/>
            <w:tcBorders>
              <w:top w:val="nil"/>
              <w:bottom w:val="nil"/>
            </w:tcBorders>
          </w:tcPr>
          <w:p w:rsidR="00B52BB0" w:rsidRPr="00134AEE" w:rsidRDefault="00B52BB0" w:rsidP="003E074D">
            <w:pPr>
              <w:pStyle w:val="TableText"/>
            </w:pPr>
            <w:r>
              <w:t>Aerial root mealybug</w:t>
            </w:r>
          </w:p>
        </w:tc>
        <w:tc>
          <w:tcPr>
            <w:tcW w:w="3023" w:type="dxa"/>
            <w:vMerge/>
          </w:tcPr>
          <w:p w:rsidR="00B52BB0" w:rsidRDefault="00B52BB0" w:rsidP="003E074D">
            <w:pPr>
              <w:pStyle w:val="TableText"/>
              <w:rPr>
                <w:highlight w:val="yellow"/>
              </w:rPr>
            </w:pPr>
          </w:p>
        </w:tc>
      </w:tr>
      <w:tr w:rsidR="00B52BB0" w:rsidTr="003E074D">
        <w:tc>
          <w:tcPr>
            <w:tcW w:w="3026" w:type="dxa"/>
            <w:tcBorders>
              <w:top w:val="nil"/>
              <w:bottom w:val="nil"/>
            </w:tcBorders>
          </w:tcPr>
          <w:p w:rsidR="00B52BB0" w:rsidRPr="00134AEE" w:rsidRDefault="00B52BB0" w:rsidP="003E074D">
            <w:pPr>
              <w:pStyle w:val="TableText"/>
              <w:rPr>
                <w:i/>
              </w:rPr>
            </w:pPr>
            <w:r>
              <w:rPr>
                <w:i/>
              </w:rPr>
              <w:t xml:space="preserve">Pseudococcus cryptus </w:t>
            </w:r>
            <w:r w:rsidRPr="008107F3">
              <w:t>(EP, WA)</w:t>
            </w:r>
          </w:p>
        </w:tc>
        <w:tc>
          <w:tcPr>
            <w:tcW w:w="3021" w:type="dxa"/>
            <w:tcBorders>
              <w:top w:val="nil"/>
              <w:bottom w:val="nil"/>
            </w:tcBorders>
          </w:tcPr>
          <w:p w:rsidR="00B52BB0" w:rsidRPr="00134AEE" w:rsidRDefault="00B52BB0" w:rsidP="003E074D">
            <w:pPr>
              <w:pStyle w:val="TableText"/>
            </w:pPr>
            <w:r>
              <w:t>Citriculus mealybug</w:t>
            </w:r>
          </w:p>
        </w:tc>
        <w:tc>
          <w:tcPr>
            <w:tcW w:w="3023" w:type="dxa"/>
            <w:vMerge/>
            <w:tcBorders>
              <w:bottom w:val="nil"/>
            </w:tcBorders>
          </w:tcPr>
          <w:p w:rsidR="00B52BB0" w:rsidRDefault="00B52BB0" w:rsidP="003E074D">
            <w:pPr>
              <w:pStyle w:val="TableText"/>
              <w:rPr>
                <w:highlight w:val="yellow"/>
              </w:rPr>
            </w:pPr>
          </w:p>
        </w:tc>
      </w:tr>
      <w:tr w:rsidR="00B52BB0" w:rsidTr="003E074D">
        <w:tc>
          <w:tcPr>
            <w:tcW w:w="3026" w:type="dxa"/>
            <w:tcBorders>
              <w:top w:val="single" w:sz="4" w:space="0" w:color="D9D9D9" w:themeColor="background1" w:themeShade="D9"/>
              <w:bottom w:val="single" w:sz="4" w:space="0" w:color="auto"/>
            </w:tcBorders>
          </w:tcPr>
          <w:p w:rsidR="00B52BB0" w:rsidRDefault="00B52BB0" w:rsidP="003E074D">
            <w:pPr>
              <w:pStyle w:val="TableText"/>
              <w:rPr>
                <w:highlight w:val="yellow"/>
                <w:vertAlign w:val="superscript"/>
              </w:rPr>
            </w:pPr>
            <w:r w:rsidRPr="00134AEE">
              <w:rPr>
                <w:i/>
              </w:rPr>
              <w:t xml:space="preserve">Conopomorpha sinensis </w:t>
            </w:r>
            <w:r w:rsidRPr="00FD7082">
              <w:rPr>
                <w:iCs/>
              </w:rPr>
              <w:t>(EP)</w:t>
            </w:r>
          </w:p>
        </w:tc>
        <w:tc>
          <w:tcPr>
            <w:tcW w:w="3021" w:type="dxa"/>
            <w:tcBorders>
              <w:top w:val="single" w:sz="4" w:space="0" w:color="D9D9D9" w:themeColor="background1" w:themeShade="D9"/>
              <w:bottom w:val="single" w:sz="4" w:space="0" w:color="auto"/>
            </w:tcBorders>
          </w:tcPr>
          <w:p w:rsidR="00B52BB0" w:rsidRDefault="00B52BB0" w:rsidP="003E074D">
            <w:pPr>
              <w:pStyle w:val="TableText"/>
              <w:rPr>
                <w:highlight w:val="yellow"/>
              </w:rPr>
            </w:pPr>
            <w:r w:rsidRPr="00134AEE">
              <w:t>Litchi fruit borer</w:t>
            </w:r>
          </w:p>
        </w:tc>
        <w:tc>
          <w:tcPr>
            <w:tcW w:w="3023" w:type="dxa"/>
            <w:tcBorders>
              <w:top w:val="single" w:sz="4" w:space="0" w:color="D9D9D9" w:themeColor="background1" w:themeShade="D9"/>
              <w:bottom w:val="single" w:sz="4" w:space="0" w:color="auto"/>
            </w:tcBorders>
          </w:tcPr>
          <w:p w:rsidR="00B52BB0" w:rsidRDefault="00B52BB0" w:rsidP="003E074D">
            <w:pPr>
              <w:pStyle w:val="TableText"/>
            </w:pPr>
            <w:r>
              <w:t xml:space="preserve">Area freedom </w:t>
            </w:r>
            <w:r>
              <w:rPr>
                <w:b/>
                <w:bCs/>
              </w:rPr>
              <w:t>a</w:t>
            </w:r>
          </w:p>
          <w:p w:rsidR="00B52BB0" w:rsidRDefault="00B52BB0" w:rsidP="003E074D">
            <w:pPr>
              <w:pStyle w:val="TableText"/>
            </w:pPr>
            <w:r>
              <w:t>OR</w:t>
            </w:r>
          </w:p>
          <w:p w:rsidR="00B52BB0" w:rsidRDefault="00B52BB0" w:rsidP="003E074D">
            <w:pPr>
              <w:pStyle w:val="TableText"/>
            </w:pPr>
            <w:r>
              <w:t>Systems approach</w:t>
            </w:r>
          </w:p>
          <w:p w:rsidR="00B52BB0" w:rsidRDefault="00B52BB0" w:rsidP="003E074D">
            <w:pPr>
              <w:pStyle w:val="TableText"/>
            </w:pPr>
            <w:r>
              <w:t>OR</w:t>
            </w:r>
          </w:p>
          <w:p w:rsidR="00B52BB0" w:rsidRDefault="00B52BB0" w:rsidP="003E074D">
            <w:pPr>
              <w:pStyle w:val="TableText"/>
            </w:pPr>
            <w:r>
              <w:t>Cold disinfestation treatment</w:t>
            </w:r>
          </w:p>
          <w:p w:rsidR="00B52BB0" w:rsidRDefault="00B52BB0" w:rsidP="003E074D">
            <w:pPr>
              <w:pStyle w:val="TableText"/>
            </w:pPr>
            <w:r>
              <w:t>OR</w:t>
            </w:r>
          </w:p>
          <w:p w:rsidR="00B52BB0" w:rsidRDefault="00B52BB0" w:rsidP="003E074D">
            <w:pPr>
              <w:pStyle w:val="TableText"/>
              <w:rPr>
                <w:highlight w:val="yellow"/>
              </w:rPr>
            </w:pPr>
            <w:r>
              <w:t>Irradiation</w:t>
            </w:r>
          </w:p>
        </w:tc>
      </w:tr>
    </w:tbl>
    <w:p w:rsidR="00B52BB0" w:rsidRDefault="00B52BB0" w:rsidP="003E074D">
      <w:pPr>
        <w:pStyle w:val="FigureTableNoteSource"/>
      </w:pPr>
      <w:proofErr w:type="spellStart"/>
      <w:proofErr w:type="gramStart"/>
      <w:r>
        <w:rPr>
          <w:b/>
        </w:rPr>
        <w:t>a</w:t>
      </w:r>
      <w:proofErr w:type="spellEnd"/>
      <w:proofErr w:type="gramEnd"/>
      <w:r>
        <w:rPr>
          <w:b/>
        </w:rPr>
        <w:t xml:space="preserve"> </w:t>
      </w:r>
      <w:r>
        <w:t xml:space="preserve">Area freedom may include pest free areas, pest free places of production, or pest free production sites. </w:t>
      </w:r>
      <w:proofErr w:type="gramStart"/>
      <w:r>
        <w:rPr>
          <w:b/>
        </w:rPr>
        <w:t>b</w:t>
      </w:r>
      <w:proofErr w:type="gramEnd"/>
      <w:r>
        <w:rPr>
          <w:b/>
        </w:rPr>
        <w:t xml:space="preserve"> </w:t>
      </w:r>
      <w:r>
        <w:t xml:space="preserve">Remedial action (depending on the location of the inspection) may include treatment of the consignment to ensure that the pest is no longer viable or withdrawal of the consignment from export to Australia. </w:t>
      </w:r>
      <w:r>
        <w:rPr>
          <w:b/>
        </w:rPr>
        <w:t xml:space="preserve">EP </w:t>
      </w:r>
      <w:r>
        <w:t xml:space="preserve">Species has been assessed previously and import policy already exists. </w:t>
      </w:r>
      <w:r>
        <w:rPr>
          <w:b/>
        </w:rPr>
        <w:t xml:space="preserve">WA </w:t>
      </w:r>
      <w:r>
        <w:t>Pest of quarantine concern for Western Australia.</w:t>
      </w:r>
    </w:p>
    <w:p w:rsidR="00B52BB0" w:rsidRDefault="00B52BB0" w:rsidP="003E074D">
      <w:pPr>
        <w:pStyle w:val="Heading4"/>
      </w:pPr>
      <w:r>
        <w:t>Pest risk management for regulated thrips</w:t>
      </w:r>
    </w:p>
    <w:p w:rsidR="00B52BB0" w:rsidRDefault="00B52BB0" w:rsidP="003E074D">
      <w:r w:rsidRPr="002F1B46">
        <w:t xml:space="preserve">The thrips group PRA has identified thrips and emerging orthotospoviruses of biosecurity importance to Australia </w:t>
      </w:r>
      <w:r>
        <w:rPr>
          <w:noProof/>
        </w:rPr>
        <w:t>(Australian Government Department of Agriculture and Water Resources 2017)</w:t>
      </w:r>
      <w:r w:rsidRPr="002F1B46">
        <w:t xml:space="preserve">. </w:t>
      </w:r>
      <w:r w:rsidRPr="00AB3714">
        <w:rPr>
          <w:i/>
        </w:rPr>
        <w:t>Scirtothrips dorsalis</w:t>
      </w:r>
      <w:r w:rsidRPr="002F1B46">
        <w:t xml:space="preserve"> and </w:t>
      </w:r>
      <w:r w:rsidRPr="00AB3714">
        <w:rPr>
          <w:i/>
        </w:rPr>
        <w:t>Thrips tabaci</w:t>
      </w:r>
      <w:r w:rsidRPr="002F1B46">
        <w:t xml:space="preserve"> are associated with </w:t>
      </w:r>
      <w:r>
        <w:t>longan fruit</w:t>
      </w:r>
      <w:r w:rsidRPr="002F1B46">
        <w:t xml:space="preserve"> from Vietnam. Measures are required to reduce the risk posed by the emerging quarantine orthotospoviruses they vector to achieve the ALOP for Australia</w:t>
      </w:r>
      <w:r>
        <w:t xml:space="preserve"> (</w:t>
      </w:r>
      <w:r>
        <w:fldChar w:fldCharType="begin"/>
      </w:r>
      <w:r>
        <w:instrText xml:space="preserve"> REF _Ref523317940 \h </w:instrText>
      </w:r>
      <w:r>
        <w:fldChar w:fldCharType="separate"/>
      </w:r>
      <w:r w:rsidR="00EA7374">
        <w:t xml:space="preserve">Table </w:t>
      </w:r>
      <w:r w:rsidR="00EA7374">
        <w:rPr>
          <w:noProof/>
        </w:rPr>
        <w:t>5</w:t>
      </w:r>
      <w:r w:rsidR="00EA7374">
        <w:t>.</w:t>
      </w:r>
      <w:r w:rsidR="00EA7374">
        <w:rPr>
          <w:noProof/>
        </w:rPr>
        <w:t>2</w:t>
      </w:r>
      <w:r>
        <w:fldChar w:fldCharType="end"/>
      </w:r>
      <w:r>
        <w:t>).</w:t>
      </w:r>
    </w:p>
    <w:p w:rsidR="00B52BB0" w:rsidRPr="00691B7D" w:rsidRDefault="00B52BB0" w:rsidP="003E074D">
      <w:pPr>
        <w:pStyle w:val="Caption"/>
      </w:pPr>
      <w:bookmarkStart w:id="105" w:name="_Ref523317940"/>
      <w:bookmarkStart w:id="106" w:name="_Toc7607555"/>
      <w:r>
        <w:t xml:space="preserve">Table </w:t>
      </w:r>
      <w:r>
        <w:rPr>
          <w:noProof/>
        </w:rPr>
        <w:fldChar w:fldCharType="begin"/>
      </w:r>
      <w:r>
        <w:rPr>
          <w:noProof/>
        </w:rPr>
        <w:instrText xml:space="preserve"> STYLEREF 2 \s </w:instrText>
      </w:r>
      <w:r>
        <w:rPr>
          <w:noProof/>
        </w:rPr>
        <w:fldChar w:fldCharType="separate"/>
      </w:r>
      <w:r w:rsidR="00EA7374">
        <w:rPr>
          <w:noProof/>
        </w:rPr>
        <w:t>5</w:t>
      </w:r>
      <w:r>
        <w:rPr>
          <w:noProof/>
        </w:rPr>
        <w:fldChar w:fldCharType="end"/>
      </w:r>
      <w:r>
        <w:t>.</w:t>
      </w:r>
      <w:r>
        <w:rPr>
          <w:noProof/>
        </w:rPr>
        <w:fldChar w:fldCharType="begin"/>
      </w:r>
      <w:r>
        <w:rPr>
          <w:noProof/>
        </w:rPr>
        <w:instrText xml:space="preserve"> SEQ Table \* ARABIC \s 2 </w:instrText>
      </w:r>
      <w:r>
        <w:rPr>
          <w:noProof/>
        </w:rPr>
        <w:fldChar w:fldCharType="separate"/>
      </w:r>
      <w:r w:rsidR="00EA7374">
        <w:rPr>
          <w:noProof/>
        </w:rPr>
        <w:t>2</w:t>
      </w:r>
      <w:r>
        <w:rPr>
          <w:noProof/>
        </w:rPr>
        <w:fldChar w:fldCharType="end"/>
      </w:r>
      <w:bookmarkEnd w:id="105"/>
      <w:r>
        <w:t xml:space="preserve"> </w:t>
      </w:r>
      <w:r w:rsidRPr="007D5CA7">
        <w:t xml:space="preserve">Risk management measures for regulated thrips associated with </w:t>
      </w:r>
      <w:r>
        <w:t>longan fruit</w:t>
      </w:r>
      <w:r w:rsidRPr="007D5CA7">
        <w:t xml:space="preserve"> from Vietnam</w:t>
      </w:r>
      <w:bookmarkEnd w:id="10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B52BB0" w:rsidTr="003E074D">
        <w:tc>
          <w:tcPr>
            <w:tcW w:w="3020" w:type="dxa"/>
            <w:tcBorders>
              <w:bottom w:val="single" w:sz="4" w:space="0" w:color="D9D9D9" w:themeColor="background1" w:themeShade="D9"/>
            </w:tcBorders>
          </w:tcPr>
          <w:p w:rsidR="00B52BB0" w:rsidRPr="001603E8" w:rsidRDefault="00B52BB0" w:rsidP="003E074D">
            <w:pPr>
              <w:pStyle w:val="TableHeading"/>
            </w:pPr>
            <w:r>
              <w:t>Regulated thrips</w:t>
            </w:r>
          </w:p>
        </w:tc>
        <w:tc>
          <w:tcPr>
            <w:tcW w:w="3020" w:type="dxa"/>
            <w:tcBorders>
              <w:bottom w:val="single" w:sz="4" w:space="0" w:color="D9D9D9" w:themeColor="background1" w:themeShade="D9"/>
            </w:tcBorders>
          </w:tcPr>
          <w:p w:rsidR="00B52BB0" w:rsidRPr="001603E8" w:rsidRDefault="00B52BB0" w:rsidP="003E074D">
            <w:pPr>
              <w:pStyle w:val="TableHeading"/>
            </w:pPr>
            <w:r>
              <w:t>Common name</w:t>
            </w:r>
          </w:p>
        </w:tc>
        <w:tc>
          <w:tcPr>
            <w:tcW w:w="3020" w:type="dxa"/>
            <w:tcBorders>
              <w:bottom w:val="single" w:sz="4" w:space="0" w:color="D9D9D9" w:themeColor="background1" w:themeShade="D9"/>
            </w:tcBorders>
          </w:tcPr>
          <w:p w:rsidR="00B52BB0" w:rsidRPr="001603E8" w:rsidRDefault="00B52BB0" w:rsidP="003E074D">
            <w:pPr>
              <w:pStyle w:val="TableHeading"/>
            </w:pPr>
            <w:r>
              <w:t>Measure</w:t>
            </w:r>
          </w:p>
        </w:tc>
      </w:tr>
      <w:tr w:rsidR="00B52BB0" w:rsidTr="003E074D">
        <w:tc>
          <w:tcPr>
            <w:tcW w:w="3020" w:type="dxa"/>
            <w:tcBorders>
              <w:top w:val="single" w:sz="4" w:space="0" w:color="D9D9D9" w:themeColor="background1" w:themeShade="D9"/>
            </w:tcBorders>
          </w:tcPr>
          <w:p w:rsidR="00B52BB0" w:rsidRPr="00AB3714" w:rsidRDefault="00B52BB0" w:rsidP="003E074D">
            <w:pPr>
              <w:pStyle w:val="TableText"/>
              <w:rPr>
                <w:iCs/>
              </w:rPr>
            </w:pPr>
            <w:r>
              <w:rPr>
                <w:i/>
                <w:iCs/>
              </w:rPr>
              <w:t>Scirtothrips dorsalis</w:t>
            </w:r>
            <w:r>
              <w:rPr>
                <w:iCs/>
              </w:rPr>
              <w:t xml:space="preserve"> (GP)</w:t>
            </w:r>
          </w:p>
        </w:tc>
        <w:tc>
          <w:tcPr>
            <w:tcW w:w="3020" w:type="dxa"/>
            <w:tcBorders>
              <w:top w:val="single" w:sz="4" w:space="0" w:color="D9D9D9" w:themeColor="background1" w:themeShade="D9"/>
            </w:tcBorders>
          </w:tcPr>
          <w:p w:rsidR="00B52BB0" w:rsidRDefault="00B52BB0" w:rsidP="003E074D">
            <w:pPr>
              <w:pStyle w:val="TableText"/>
            </w:pPr>
            <w:r>
              <w:t>Chilli thrips</w:t>
            </w:r>
          </w:p>
        </w:tc>
        <w:tc>
          <w:tcPr>
            <w:tcW w:w="3020" w:type="dxa"/>
            <w:vMerge w:val="restart"/>
            <w:tcBorders>
              <w:top w:val="single" w:sz="4" w:space="0" w:color="D9D9D9" w:themeColor="background1" w:themeShade="D9"/>
            </w:tcBorders>
          </w:tcPr>
          <w:p w:rsidR="00B52BB0" w:rsidRDefault="00B52BB0" w:rsidP="003E074D">
            <w:pPr>
              <w:pStyle w:val="TableText"/>
            </w:pPr>
            <w:r>
              <w:t xml:space="preserve">Pre-export visual inspection and, if found, remedial action </w:t>
            </w:r>
            <w:r w:rsidRPr="001603E8">
              <w:rPr>
                <w:b/>
                <w:bCs/>
              </w:rPr>
              <w:t>a</w:t>
            </w:r>
          </w:p>
        </w:tc>
      </w:tr>
      <w:tr w:rsidR="00B52BB0" w:rsidTr="003E074D">
        <w:tc>
          <w:tcPr>
            <w:tcW w:w="3020" w:type="dxa"/>
          </w:tcPr>
          <w:p w:rsidR="00B52BB0" w:rsidRPr="00AB3714" w:rsidRDefault="00B52BB0" w:rsidP="003E074D">
            <w:pPr>
              <w:pStyle w:val="TableText"/>
              <w:rPr>
                <w:iCs/>
              </w:rPr>
            </w:pPr>
            <w:r>
              <w:rPr>
                <w:i/>
                <w:iCs/>
              </w:rPr>
              <w:t>Thrips tabaci</w:t>
            </w:r>
            <w:r>
              <w:rPr>
                <w:iCs/>
              </w:rPr>
              <w:t xml:space="preserve"> (GP)</w:t>
            </w:r>
          </w:p>
        </w:tc>
        <w:tc>
          <w:tcPr>
            <w:tcW w:w="3020" w:type="dxa"/>
          </w:tcPr>
          <w:p w:rsidR="00B52BB0" w:rsidRDefault="00B52BB0" w:rsidP="003E074D">
            <w:pPr>
              <w:pStyle w:val="TableText"/>
            </w:pPr>
            <w:r>
              <w:t>Onion thrips</w:t>
            </w:r>
          </w:p>
        </w:tc>
        <w:tc>
          <w:tcPr>
            <w:tcW w:w="3020" w:type="dxa"/>
            <w:vMerge/>
          </w:tcPr>
          <w:p w:rsidR="00B52BB0" w:rsidRDefault="00B52BB0" w:rsidP="003E074D"/>
        </w:tc>
      </w:tr>
    </w:tbl>
    <w:p w:rsidR="00B52BB0" w:rsidRPr="00AB3714" w:rsidRDefault="00B52BB0" w:rsidP="003E074D">
      <w:pPr>
        <w:pStyle w:val="FigureTableNoteSource"/>
      </w:pPr>
      <w:proofErr w:type="gramStart"/>
      <w:r>
        <w:rPr>
          <w:b/>
        </w:rPr>
        <w:t>a</w:t>
      </w:r>
      <w:proofErr w:type="gramEnd"/>
      <w:r>
        <w:t xml:space="preserve"> Remedial action (depending on the location of the inspection) may include treatment of the consignment to ensure that the pest is no longer viable or withdrawal of the consignment from export to Australia. </w:t>
      </w:r>
      <w:r>
        <w:rPr>
          <w:b/>
        </w:rPr>
        <w:t>GP</w:t>
      </w:r>
      <w:r>
        <w:t xml:space="preserve"> Species has been assessed previously in a group PRA and the group PRA recommendations have been applied.</w:t>
      </w:r>
    </w:p>
    <w:p w:rsidR="00B52BB0" w:rsidRDefault="00B52BB0" w:rsidP="003E074D">
      <w:pPr>
        <w:pStyle w:val="Heading4"/>
      </w:pPr>
      <w:r>
        <w:t>Risk management measures for quarantine pests and regulated thrips</w:t>
      </w:r>
    </w:p>
    <w:p w:rsidR="00B52BB0" w:rsidRPr="005D036A" w:rsidRDefault="00B52BB0" w:rsidP="003E074D">
      <w:r w:rsidRPr="0050322B">
        <w:t xml:space="preserve">Risk management measures </w:t>
      </w:r>
      <w:r>
        <w:t>recommended</w:t>
      </w:r>
      <w:r w:rsidRPr="0050322B">
        <w:t xml:space="preserve"> here are based on the existing policies for the import of </w:t>
      </w:r>
      <w:r>
        <w:t>l</w:t>
      </w:r>
      <w:r w:rsidRPr="0050322B">
        <w:t xml:space="preserve">ychee fruit from Taiwan and Vietnam </w:t>
      </w:r>
      <w:r>
        <w:rPr>
          <w:noProof/>
        </w:rPr>
        <w:t>(DAFF 2013)</w:t>
      </w:r>
      <w:r w:rsidRPr="0050322B">
        <w:t xml:space="preserve"> and </w:t>
      </w:r>
      <w:r>
        <w:t>l</w:t>
      </w:r>
      <w:r w:rsidRPr="0050322B">
        <w:t xml:space="preserve">ongan and </w:t>
      </w:r>
      <w:r>
        <w:t>l</w:t>
      </w:r>
      <w:r w:rsidRPr="0050322B">
        <w:t>ychee</w:t>
      </w:r>
      <w:r>
        <w:t>s</w:t>
      </w:r>
      <w:r w:rsidRPr="0050322B">
        <w:t xml:space="preserve"> from China and </w:t>
      </w:r>
      <w:r w:rsidRPr="0050322B">
        <w:lastRenderedPageBreak/>
        <w:t xml:space="preserve">Thailand </w:t>
      </w:r>
      <w:r>
        <w:rPr>
          <w:noProof/>
        </w:rPr>
        <w:t>(DAFF 2004)</w:t>
      </w:r>
      <w:r>
        <w:t xml:space="preserve"> as well as </w:t>
      </w:r>
      <w:r w:rsidRPr="003A5B91">
        <w:t xml:space="preserve">the thrips </w:t>
      </w:r>
      <w:r>
        <w:t>G</w:t>
      </w:r>
      <w:r w:rsidRPr="003A5B91">
        <w:t xml:space="preserve">roup PRA </w:t>
      </w:r>
      <w:r>
        <w:rPr>
          <w:noProof/>
        </w:rPr>
        <w:t>(Australian Government Department of Agriculture and Water Resources 2017)</w:t>
      </w:r>
      <w:r w:rsidRPr="0050322B">
        <w:t xml:space="preserve">. </w:t>
      </w:r>
      <w:r>
        <w:t>Recommended risk management measures include</w:t>
      </w:r>
      <w:r w:rsidRPr="0050322B">
        <w:t xml:space="preserve"> irradiation or cold </w:t>
      </w:r>
      <w:r>
        <w:t xml:space="preserve">disinfestation </w:t>
      </w:r>
      <w:r w:rsidRPr="0050322B">
        <w:t>treatment for fruit flies</w:t>
      </w:r>
      <w:r>
        <w:t xml:space="preserve"> and litchi fruit borer</w:t>
      </w:r>
      <w:r w:rsidRPr="0050322B">
        <w:t>,</w:t>
      </w:r>
      <w:r>
        <w:t xml:space="preserve"> with the additional option of a systems approach for litchi fruit borer,</w:t>
      </w:r>
      <w:r w:rsidRPr="0050322B">
        <w:t xml:space="preserve"> and </w:t>
      </w:r>
      <w:r w:rsidRPr="005D036A">
        <w:t>visual inspection and, if found during inspection, remedial action for mealybugs and</w:t>
      </w:r>
      <w:r>
        <w:t>/or</w:t>
      </w:r>
      <w:r w:rsidRPr="005D036A">
        <w:t xml:space="preserve"> thrips.</w:t>
      </w:r>
    </w:p>
    <w:p w:rsidR="00B52BB0" w:rsidRDefault="00B52BB0" w:rsidP="003E074D">
      <w:r w:rsidRPr="005D036A">
        <w:t xml:space="preserve">This </w:t>
      </w:r>
      <w:r>
        <w:t>final</w:t>
      </w:r>
      <w:r w:rsidRPr="005D036A">
        <w:t xml:space="preserve"> report </w:t>
      </w:r>
      <w:r>
        <w:t>recommends</w:t>
      </w:r>
      <w:r w:rsidRPr="005D036A">
        <w:t xml:space="preserve"> that when the following risk management measures are applied, the restricted risk for all identified quarantine pests and regulated thrips</w:t>
      </w:r>
      <w:r>
        <w:t>, and hence the orthotospoviruses the thrips may vector,</w:t>
      </w:r>
      <w:r w:rsidRPr="005D036A">
        <w:t xml:space="preserve"> will achieve the appropriate level of protection (ALOP) for Australia. These measures are:</w:t>
      </w:r>
    </w:p>
    <w:p w:rsidR="00B52BB0" w:rsidRPr="005D036A" w:rsidRDefault="00B52BB0" w:rsidP="003E074D">
      <w:pPr>
        <w:spacing w:after="120"/>
      </w:pPr>
      <w:proofErr w:type="gramStart"/>
      <w:r>
        <w:t>for</w:t>
      </w:r>
      <w:proofErr w:type="gramEnd"/>
      <w:r>
        <w:t xml:space="preserve"> fruit flies–</w:t>
      </w:r>
    </w:p>
    <w:p w:rsidR="00B52BB0" w:rsidRDefault="00B52BB0" w:rsidP="00B52BB0">
      <w:pPr>
        <w:pStyle w:val="ListBullet"/>
        <w:numPr>
          <w:ilvl w:val="0"/>
          <w:numId w:val="7"/>
        </w:numPr>
      </w:pPr>
      <w:r>
        <w:t>area freedom, irradiation or cold disinfestation treatment</w:t>
      </w:r>
    </w:p>
    <w:p w:rsidR="00B52BB0" w:rsidRDefault="00B52BB0" w:rsidP="003E074D">
      <w:pPr>
        <w:pStyle w:val="ListBullet"/>
        <w:tabs>
          <w:tab w:val="clear" w:pos="567"/>
        </w:tabs>
      </w:pPr>
      <w:r>
        <w:t>for mealybugs and thrips–</w:t>
      </w:r>
    </w:p>
    <w:p w:rsidR="00B52BB0" w:rsidRDefault="00B52BB0" w:rsidP="00B52BB0">
      <w:pPr>
        <w:pStyle w:val="ListBullet"/>
        <w:numPr>
          <w:ilvl w:val="0"/>
          <w:numId w:val="7"/>
        </w:numPr>
      </w:pPr>
      <w:r>
        <w:t>pre-export visual inspection and, if found, remedial action</w:t>
      </w:r>
    </w:p>
    <w:p w:rsidR="00B52BB0" w:rsidRDefault="00B52BB0" w:rsidP="003E074D">
      <w:pPr>
        <w:pStyle w:val="ListBullet"/>
        <w:tabs>
          <w:tab w:val="clear" w:pos="567"/>
        </w:tabs>
      </w:pPr>
      <w:r>
        <w:t>for litchi fruit borer–</w:t>
      </w:r>
    </w:p>
    <w:p w:rsidR="00B52BB0" w:rsidRPr="00137B93" w:rsidRDefault="00B52BB0" w:rsidP="00B52BB0">
      <w:pPr>
        <w:pStyle w:val="ListBullet"/>
        <w:numPr>
          <w:ilvl w:val="0"/>
          <w:numId w:val="7"/>
        </w:numPr>
        <w:spacing w:after="200" w:line="276" w:lineRule="auto"/>
      </w:pPr>
      <w:proofErr w:type="gramStart"/>
      <w:r>
        <w:t>area</w:t>
      </w:r>
      <w:proofErr w:type="gramEnd"/>
      <w:r>
        <w:t xml:space="preserve"> freedom, a systems approach, cold disinfestation treatment or irradiation.</w:t>
      </w:r>
    </w:p>
    <w:p w:rsidR="00B52BB0" w:rsidRDefault="00B52BB0" w:rsidP="003E074D">
      <w:pPr>
        <w:pStyle w:val="Heading5"/>
      </w:pPr>
      <w:r>
        <w:t>Management for fruit flies</w:t>
      </w:r>
    </w:p>
    <w:p w:rsidR="00B52BB0" w:rsidRPr="005D036A" w:rsidRDefault="00B52BB0">
      <w:r w:rsidRPr="00137B93">
        <w:t>To manage the risk of fruit flies the</w:t>
      </w:r>
      <w:r>
        <w:t xml:space="preserve"> Australian Government</w:t>
      </w:r>
      <w:r w:rsidRPr="00137B93">
        <w:t xml:space="preserve"> Department of Agriculture and Water Resources </w:t>
      </w:r>
      <w:r>
        <w:t>recommends</w:t>
      </w:r>
      <w:r w:rsidRPr="00137B93">
        <w:t xml:space="preserve"> the options of area freedom, irradiation or cold </w:t>
      </w:r>
      <w:r>
        <w:t xml:space="preserve">disinfestation </w:t>
      </w:r>
      <w:r w:rsidRPr="00137B93">
        <w:t xml:space="preserve">treatment as measures for these pests. The objective of the </w:t>
      </w:r>
      <w:r>
        <w:t>recommended</w:t>
      </w:r>
      <w:r w:rsidRPr="005D036A">
        <w:t xml:space="preserve"> measures is to reduce the risk associated with these pests to achieve the ALOP for Australia.</w:t>
      </w:r>
    </w:p>
    <w:p w:rsidR="00B52BB0" w:rsidRPr="005D036A" w:rsidRDefault="00B52BB0" w:rsidP="003E074D">
      <w:pPr>
        <w:pStyle w:val="Heading6"/>
      </w:pPr>
      <w:r>
        <w:t>Recommended</w:t>
      </w:r>
      <w:r w:rsidRPr="005D036A">
        <w:t xml:space="preserve"> measure 1: Area freedom</w:t>
      </w:r>
    </w:p>
    <w:p w:rsidR="00B52BB0" w:rsidRDefault="00B52BB0" w:rsidP="003E074D">
      <w:r w:rsidRPr="005D036A">
        <w:t xml:space="preserve">The requirements for establishing pest free areas, pest free places of production or pest free production sites are set out in ISPM 4: </w:t>
      </w:r>
      <w:r w:rsidRPr="005D036A">
        <w:rPr>
          <w:i/>
        </w:rPr>
        <w:t>Requirements for the establishment of pest free areas</w:t>
      </w:r>
      <w:r w:rsidRPr="005D036A">
        <w:t xml:space="preserve"> </w:t>
      </w:r>
      <w:r>
        <w:rPr>
          <w:noProof/>
        </w:rPr>
        <w:t>(FAO 2017a)</w:t>
      </w:r>
      <w:r w:rsidRPr="005D036A">
        <w:t xml:space="preserve">, ISPM 10: </w:t>
      </w:r>
      <w:r w:rsidRPr="005D036A">
        <w:rPr>
          <w:i/>
        </w:rPr>
        <w:t>Requirements for the establishment of pest free places of production and pest free production sites</w:t>
      </w:r>
      <w:r w:rsidRPr="005D036A">
        <w:t xml:space="preserve"> </w:t>
      </w:r>
      <w:r>
        <w:rPr>
          <w:noProof/>
        </w:rPr>
        <w:t>(FAO 2016b)</w:t>
      </w:r>
      <w:r w:rsidRPr="005D036A">
        <w:t xml:space="preserve"> and, more specifically, ISPM 26: </w:t>
      </w:r>
      <w:r w:rsidRPr="005D036A">
        <w:rPr>
          <w:i/>
        </w:rPr>
        <w:t>Establishment of pest free areas for fruit flies</w:t>
      </w:r>
      <w:r w:rsidRPr="005D036A">
        <w:t xml:space="preserve"> </w:t>
      </w:r>
      <w:r w:rsidRPr="005D036A">
        <w:rPr>
          <w:i/>
        </w:rPr>
        <w:t>(Tephritidae)</w:t>
      </w:r>
      <w:r w:rsidRPr="005D036A">
        <w:t xml:space="preserve"> </w:t>
      </w:r>
      <w:r>
        <w:rPr>
          <w:noProof/>
        </w:rPr>
        <w:t>(FAO 2019b)</w:t>
      </w:r>
      <w:r w:rsidRPr="00743D35">
        <w:t>.</w:t>
      </w:r>
    </w:p>
    <w:p w:rsidR="00B52BB0" w:rsidRPr="005D036A" w:rsidRDefault="00B52BB0" w:rsidP="003E074D">
      <w:r w:rsidRPr="007170CA">
        <w:rPr>
          <w:i/>
          <w:iCs/>
        </w:rPr>
        <w:t xml:space="preserve">Bactrocera </w:t>
      </w:r>
      <w:r>
        <w:rPr>
          <w:i/>
          <w:iCs/>
        </w:rPr>
        <w:t>correcta</w:t>
      </w:r>
      <w:r>
        <w:rPr>
          <w:iCs/>
        </w:rPr>
        <w:t xml:space="preserve"> and</w:t>
      </w:r>
      <w:r w:rsidRPr="00D95D75">
        <w:rPr>
          <w:iCs/>
        </w:rPr>
        <w:t xml:space="preserve"> </w:t>
      </w:r>
      <w:r>
        <w:rPr>
          <w:i/>
          <w:iCs/>
        </w:rPr>
        <w:t>B. </w:t>
      </w:r>
      <w:r w:rsidRPr="007170CA">
        <w:rPr>
          <w:i/>
          <w:iCs/>
        </w:rPr>
        <w:t>dorsalis</w:t>
      </w:r>
      <w:r>
        <w:t xml:space="preserve"> are widespread in Vietnam </w:t>
      </w:r>
      <w:r>
        <w:rPr>
          <w:noProof/>
        </w:rPr>
        <w:t>(Drew &amp; Romig 2013)</w:t>
      </w:r>
      <w:r>
        <w:t xml:space="preserve">. Therefore, area freedom may not be a viable option for these species in Vietnam. Should Vietnam wish to use area freedom as a measure to manage the risk posed by </w:t>
      </w:r>
      <w:r>
        <w:rPr>
          <w:i/>
        </w:rPr>
        <w:t>B. correcta</w:t>
      </w:r>
      <w:r>
        <w:t xml:space="preserve"> and </w:t>
      </w:r>
      <w:r>
        <w:rPr>
          <w:i/>
          <w:iCs/>
        </w:rPr>
        <w:t>B. </w:t>
      </w:r>
      <w:r w:rsidRPr="00791F34">
        <w:rPr>
          <w:i/>
          <w:iCs/>
        </w:rPr>
        <w:t>dorsalis</w:t>
      </w:r>
      <w:r>
        <w:t xml:space="preserve">, PPD will need to </w:t>
      </w:r>
      <w:r w:rsidRPr="005D036A">
        <w:t>provide a submission to the Australian Government Department of Agriculture and Water Resources</w:t>
      </w:r>
      <w:r>
        <w:t xml:space="preserve"> for its consideration</w:t>
      </w:r>
      <w:r w:rsidRPr="005D036A">
        <w:t xml:space="preserve">. The submission demonstrating area freedom must fulfil requirements as set out in ISPM 4 </w:t>
      </w:r>
      <w:r>
        <w:rPr>
          <w:noProof/>
        </w:rPr>
        <w:t>(FAO 2017a)</w:t>
      </w:r>
      <w:r w:rsidRPr="005D036A">
        <w:t xml:space="preserve">, ISPM 10 </w:t>
      </w:r>
      <w:r>
        <w:rPr>
          <w:noProof/>
        </w:rPr>
        <w:t>(FAO 2016b)</w:t>
      </w:r>
      <w:r w:rsidRPr="005D036A">
        <w:t xml:space="preserve"> and ISPM 26 </w:t>
      </w:r>
      <w:r>
        <w:rPr>
          <w:noProof/>
        </w:rPr>
        <w:t>(FAO 2019b)</w:t>
      </w:r>
      <w:r w:rsidRPr="005D036A">
        <w:t xml:space="preserve"> and is subject to approval by the Australian Government Department of Agriculture and Water Resources.</w:t>
      </w:r>
    </w:p>
    <w:p w:rsidR="00B52BB0" w:rsidRPr="005D036A" w:rsidRDefault="00B52BB0" w:rsidP="003E074D">
      <w:pPr>
        <w:pStyle w:val="Heading6"/>
      </w:pPr>
      <w:r>
        <w:t>Recommended</w:t>
      </w:r>
      <w:r w:rsidRPr="005D036A">
        <w:t xml:space="preserve"> measure 2: Irradiation</w:t>
      </w:r>
    </w:p>
    <w:p w:rsidR="00B52BB0" w:rsidRPr="0073560B" w:rsidRDefault="00B52BB0" w:rsidP="003E074D">
      <w:r w:rsidRPr="005D036A">
        <w:t xml:space="preserve">The requirements for using irradiation as a phytosanitary measure are set out in ISPM 18: </w:t>
      </w:r>
      <w:r w:rsidRPr="005D036A">
        <w:rPr>
          <w:i/>
        </w:rPr>
        <w:t xml:space="preserve">Guidelines for the use of irradiation as a phytosanitary measure </w:t>
      </w:r>
      <w:r>
        <w:rPr>
          <w:noProof/>
        </w:rPr>
        <w:t>(FAO 2016c)</w:t>
      </w:r>
      <w:r w:rsidRPr="005D036A">
        <w:t xml:space="preserve">. Irradiation is recognised as an effective method for pest risk management when performed in approved facilities and at specific dose rates recognised as effective for target pest groups. Irradiation dose </w:t>
      </w:r>
      <w:r w:rsidRPr="005D036A">
        <w:lastRenderedPageBreak/>
        <w:t xml:space="preserve">rates up to a maximum of 1000 gray are permitted for quarantine purposes for food, including longan fruit, by Food Standards Australia New Zealand </w:t>
      </w:r>
      <w:r>
        <w:rPr>
          <w:noProof/>
        </w:rPr>
        <w:t>(FSANZ 2017)</w:t>
      </w:r>
      <w:r>
        <w:t>.</w:t>
      </w:r>
    </w:p>
    <w:p w:rsidR="00B52BB0" w:rsidRDefault="00B52BB0" w:rsidP="003E074D">
      <w:r w:rsidRPr="00D830E0">
        <w:t xml:space="preserve">The Department of </w:t>
      </w:r>
      <w:r w:rsidRPr="005D036A">
        <w:t xml:space="preserve">Agriculture and Water Resources </w:t>
      </w:r>
      <w:r>
        <w:t>recommends</w:t>
      </w:r>
      <w:r w:rsidRPr="005D036A">
        <w:t xml:space="preserve"> a treatment schedule of 150 gray minimum absorbed dose, consistent with ISPM 28 Annex 7: </w:t>
      </w:r>
      <w:r w:rsidRPr="005D036A">
        <w:rPr>
          <w:i/>
        </w:rPr>
        <w:t>Irradiation treatment for fruit flies of the family Tephritidae (generic)</w:t>
      </w:r>
      <w:r w:rsidRPr="005D036A">
        <w:t xml:space="preserve"> </w:t>
      </w:r>
      <w:r>
        <w:rPr>
          <w:noProof/>
        </w:rPr>
        <w:t>(FAO 2017d)</w:t>
      </w:r>
      <w:r w:rsidRPr="005D036A">
        <w:t xml:space="preserve"> for </w:t>
      </w:r>
      <w:r w:rsidRPr="005D036A">
        <w:rPr>
          <w:i/>
        </w:rPr>
        <w:t>Bactrocera correcta</w:t>
      </w:r>
      <w:r>
        <w:t xml:space="preserve"> and</w:t>
      </w:r>
      <w:r w:rsidRPr="005D036A">
        <w:t xml:space="preserve"> </w:t>
      </w:r>
      <w:r w:rsidRPr="005D036A">
        <w:rPr>
          <w:i/>
          <w:iCs/>
        </w:rPr>
        <w:t>B. dorsalis</w:t>
      </w:r>
      <w:r w:rsidRPr="005D036A">
        <w:t>.</w:t>
      </w:r>
    </w:p>
    <w:p w:rsidR="00B52BB0" w:rsidRPr="005D036A" w:rsidRDefault="00B52BB0" w:rsidP="003E074D">
      <w:r w:rsidRPr="00987CFA">
        <w:t>The use of irradiation as a phytosanitary measure is subject to the Australian Government Department of Agriculture and Water Resources’ approval of the irradiation facilities identified by PPD. Should Vietnam wish to use irradiation as a phytosanitary measure, PPD would need to provide a submission to the Australian Government Department of Ag</w:t>
      </w:r>
      <w:r>
        <w:t xml:space="preserve">riculture and Water Resources. </w:t>
      </w:r>
      <w:r w:rsidRPr="00987CFA">
        <w:t xml:space="preserve">The submission must fulfil requirements as set out in ISPM 18 </w:t>
      </w:r>
      <w:r>
        <w:rPr>
          <w:noProof/>
        </w:rPr>
        <w:t>(FAO 2016c)</w:t>
      </w:r>
      <w:r w:rsidRPr="00987CFA">
        <w:t>.</w:t>
      </w:r>
    </w:p>
    <w:p w:rsidR="00B52BB0" w:rsidRPr="005D036A" w:rsidRDefault="00B52BB0" w:rsidP="003E074D">
      <w:pPr>
        <w:pStyle w:val="Heading6"/>
      </w:pPr>
      <w:r>
        <w:t>Recommended</w:t>
      </w:r>
      <w:r w:rsidRPr="005D036A">
        <w:t xml:space="preserve"> measure 3: Cold disinfestation treatment</w:t>
      </w:r>
    </w:p>
    <w:p w:rsidR="00B52BB0" w:rsidRPr="004B3E06" w:rsidRDefault="00B52BB0" w:rsidP="003E074D">
      <w:r>
        <w:t xml:space="preserve">Cold disinfestation treatment is considered a suitable measure for </w:t>
      </w:r>
      <w:r>
        <w:rPr>
          <w:i/>
        </w:rPr>
        <w:t>Bactrocera dorsalis</w:t>
      </w:r>
      <w:r>
        <w:t xml:space="preserve"> and </w:t>
      </w:r>
      <w:r>
        <w:rPr>
          <w:i/>
        </w:rPr>
        <w:t>B. correcta</w:t>
      </w:r>
      <w:r>
        <w:t>. This treatment can be conducted pre-export in Vietnam or in transit to Australia.</w:t>
      </w:r>
    </w:p>
    <w:p w:rsidR="00B52BB0" w:rsidRPr="00891748" w:rsidRDefault="00B52BB0" w:rsidP="003E074D">
      <w:pPr>
        <w:rPr>
          <w:iCs/>
        </w:rPr>
      </w:pPr>
      <w:r w:rsidRPr="005D036A">
        <w:t>The Department of Agriculture and Water</w:t>
      </w:r>
      <w:r w:rsidRPr="00D830E0">
        <w:t xml:space="preserve"> Resources </w:t>
      </w:r>
      <w:r>
        <w:t>recommends</w:t>
      </w:r>
      <w:r w:rsidRPr="00D830E0">
        <w:t xml:space="preserve"> a cold </w:t>
      </w:r>
      <w:r>
        <w:t xml:space="preserve">disinfestation </w:t>
      </w:r>
      <w:r w:rsidRPr="00D830E0">
        <w:t xml:space="preserve">treatment schedule consistent with the </w:t>
      </w:r>
      <w:r w:rsidRPr="00137F5C">
        <w:rPr>
          <w:i/>
        </w:rPr>
        <w:t>USDA Treatment Manual</w:t>
      </w:r>
      <w:r w:rsidRPr="00D830E0">
        <w:t xml:space="preserve"> </w:t>
      </w:r>
      <w:r>
        <w:t xml:space="preserve">(T107-h) </w:t>
      </w:r>
      <w:r>
        <w:rPr>
          <w:noProof/>
        </w:rPr>
        <w:t>(USDA 2018)</w:t>
      </w:r>
      <w:r>
        <w:t xml:space="preserve">, recommended for </w:t>
      </w:r>
      <w:r>
        <w:rPr>
          <w:i/>
        </w:rPr>
        <w:t>Bactrocera dorsalis</w:t>
      </w:r>
      <w:r>
        <w:t xml:space="preserve">. Cold disinfestation treatments which are effective for </w:t>
      </w:r>
      <w:r>
        <w:rPr>
          <w:i/>
        </w:rPr>
        <w:t>B. dorsalis</w:t>
      </w:r>
      <w:r>
        <w:t xml:space="preserve"> are considered to be effective for </w:t>
      </w:r>
      <w:r>
        <w:rPr>
          <w:i/>
        </w:rPr>
        <w:t>B. correcta</w:t>
      </w:r>
      <w:r>
        <w:t xml:space="preserve"> as </w:t>
      </w:r>
      <w:r>
        <w:rPr>
          <w:i/>
        </w:rPr>
        <w:t>B. correcta</w:t>
      </w:r>
      <w:r>
        <w:t xml:space="preserve"> is more sensitive to cold than </w:t>
      </w:r>
      <w:r w:rsidRPr="007170CA">
        <w:rPr>
          <w:i/>
          <w:iCs/>
        </w:rPr>
        <w:t>B</w:t>
      </w:r>
      <w:r>
        <w:rPr>
          <w:i/>
          <w:iCs/>
        </w:rPr>
        <w:t>. </w:t>
      </w:r>
      <w:r w:rsidRPr="007170CA">
        <w:rPr>
          <w:i/>
          <w:iCs/>
        </w:rPr>
        <w:t>dorsalis</w:t>
      </w:r>
      <w:r>
        <w:t xml:space="preserve"> </w:t>
      </w:r>
      <w:r>
        <w:rPr>
          <w:noProof/>
        </w:rPr>
        <w:t>(Liu &amp; Ye 2009; Myers et al. 2016)</w:t>
      </w:r>
      <w:r>
        <w:t>.</w:t>
      </w:r>
    </w:p>
    <w:p w:rsidR="00B52BB0" w:rsidRPr="00137F5C" w:rsidRDefault="00B52BB0" w:rsidP="003E074D">
      <w:r>
        <w:rPr>
          <w:iCs/>
        </w:rPr>
        <w:t>The Australian Government Department of Agriculture and Water Resources recommends the following specifications for temperature and exposure times, consistent with T107-h, where cold disinfestation is utilised</w:t>
      </w:r>
      <w:r w:rsidRPr="00137F5C">
        <w:rPr>
          <w:iCs/>
        </w:rPr>
        <w:t>:</w:t>
      </w:r>
    </w:p>
    <w:p w:rsidR="00B52BB0" w:rsidRPr="005D036A" w:rsidRDefault="00B52BB0" w:rsidP="003E074D">
      <w:r>
        <w:t>•</w:t>
      </w:r>
      <w:r>
        <w:tab/>
      </w:r>
      <w:proofErr w:type="gramStart"/>
      <w:r>
        <w:t>fruit</w:t>
      </w:r>
      <w:proofErr w:type="gramEnd"/>
      <w:r>
        <w:t xml:space="preserve"> held at 0.99 °C or below </w:t>
      </w:r>
      <w:r w:rsidRPr="005D036A">
        <w:t>for 17 days, or</w:t>
      </w:r>
    </w:p>
    <w:p w:rsidR="00B52BB0" w:rsidRDefault="00B52BB0" w:rsidP="003E074D">
      <w:r w:rsidRPr="005D036A">
        <w:t>•</w:t>
      </w:r>
      <w:r w:rsidRPr="005D036A">
        <w:tab/>
      </w:r>
      <w:proofErr w:type="gramStart"/>
      <w:r w:rsidRPr="005D036A">
        <w:t>fruit</w:t>
      </w:r>
      <w:proofErr w:type="gramEnd"/>
      <w:r w:rsidRPr="005D036A">
        <w:t xml:space="preserve"> held at 1.38 °C or below for 20 days</w:t>
      </w:r>
      <w:r>
        <w:t>.</w:t>
      </w:r>
    </w:p>
    <w:p w:rsidR="00B52BB0" w:rsidRPr="008439C3" w:rsidRDefault="00B52BB0" w:rsidP="003E074D">
      <w:r w:rsidRPr="008439C3">
        <w:t>Should Vietnam wish to use pre-</w:t>
      </w:r>
      <w:r>
        <w:t>export</w:t>
      </w:r>
      <w:r w:rsidRPr="008439C3">
        <w:t xml:space="preserve"> cold disinfestation treatment as a phytosanitary measure, PPD would need to provide a submission to the Australian Government Department of Agriculture and Water Resources that demonstrates it has processes and procedures for the registration, approval and audit of treatment facilities. The Australian Government Department of Agriculture and Water Resources may request on-site verification of the treatment facilities.</w:t>
      </w:r>
    </w:p>
    <w:p w:rsidR="00B52BB0" w:rsidRPr="005D036A" w:rsidRDefault="00B52BB0" w:rsidP="003E074D">
      <w:r w:rsidRPr="008439C3">
        <w:t xml:space="preserve">Both </w:t>
      </w:r>
      <w:r>
        <w:t xml:space="preserve">the </w:t>
      </w:r>
      <w:r w:rsidRPr="008439C3">
        <w:t>pre-</w:t>
      </w:r>
      <w:r>
        <w:t>export</w:t>
      </w:r>
      <w:r w:rsidRPr="008439C3">
        <w:t xml:space="preserve"> </w:t>
      </w:r>
      <w:r>
        <w:t xml:space="preserve">cold disinfestation </w:t>
      </w:r>
      <w:r w:rsidRPr="008439C3">
        <w:t>and in-transit cold disinfestation treatment</w:t>
      </w:r>
      <w:r>
        <w:t>s</w:t>
      </w:r>
      <w:r w:rsidRPr="008439C3">
        <w:t xml:space="preserve"> must fulfil the requirements as set out in the </w:t>
      </w:r>
      <w:r w:rsidRPr="00590463">
        <w:rPr>
          <w:rStyle w:val="Hyperlink"/>
          <w:iCs/>
        </w:rPr>
        <w:t>Australian phytosanitary treatment application standard for cold disinfestation treatment</w:t>
      </w:r>
      <w:r>
        <w:rPr>
          <w:rStyle w:val="Hyperlink"/>
          <w:iCs/>
        </w:rPr>
        <w:t>, available at:</w:t>
      </w:r>
      <w:r w:rsidRPr="00590463">
        <w:rPr>
          <w:rStyle w:val="Hyperlink"/>
          <w:iCs/>
        </w:rPr>
        <w:t xml:space="preserve"> </w:t>
      </w:r>
      <w:hyperlink r:id="rId43" w:history="1">
        <w:r w:rsidRPr="00A0794A">
          <w:rPr>
            <w:rStyle w:val="Hyperlink"/>
          </w:rPr>
          <w:t>http://www.agriculture.gov.au/SiteCollectionDocuments/biosecurity/export/plants-plant-products/plant-exports-manual/resources/australian-phytosanitary-treatment-cold.docx</w:t>
        </w:r>
      </w:hyperlink>
      <w:r w:rsidRPr="008439C3">
        <w:t>..</w:t>
      </w:r>
    </w:p>
    <w:p w:rsidR="00B52BB0" w:rsidRPr="005D036A" w:rsidRDefault="00B52BB0" w:rsidP="003E074D">
      <w:pPr>
        <w:pStyle w:val="Heading5"/>
      </w:pPr>
      <w:r w:rsidRPr="005D036A">
        <w:t>Management for mealybugs and thrips</w:t>
      </w:r>
    </w:p>
    <w:p w:rsidR="00B52BB0" w:rsidRPr="005D036A" w:rsidRDefault="00B52BB0" w:rsidP="003E074D">
      <w:r w:rsidRPr="005D036A">
        <w:t xml:space="preserve">The </w:t>
      </w:r>
      <w:r>
        <w:t xml:space="preserve">Australian Government </w:t>
      </w:r>
      <w:r w:rsidRPr="005D036A">
        <w:t xml:space="preserve">Department of Agriculture and Water Resources </w:t>
      </w:r>
      <w:r>
        <w:t>recommends</w:t>
      </w:r>
      <w:r w:rsidRPr="005D036A">
        <w:t xml:space="preserve"> pre-export visual inspection and, if found, remedial action, as </w:t>
      </w:r>
      <w:r>
        <w:t xml:space="preserve">a </w:t>
      </w:r>
      <w:r w:rsidRPr="005D036A">
        <w:t xml:space="preserve">measure for mealybugs. The objective of the </w:t>
      </w:r>
      <w:r>
        <w:t>recommended</w:t>
      </w:r>
      <w:r w:rsidRPr="005D036A">
        <w:t xml:space="preserve"> measure is to reduce the risk associated with these pests to achieve the ALOP for Australia.</w:t>
      </w:r>
    </w:p>
    <w:p w:rsidR="00B52BB0" w:rsidRDefault="00B52BB0" w:rsidP="003E074D">
      <w:r w:rsidRPr="005D036A">
        <w:lastRenderedPageBreak/>
        <w:t xml:space="preserve">The measure is also considered appropriate for the regulated thrips </w:t>
      </w:r>
      <w:r w:rsidRPr="005D036A">
        <w:rPr>
          <w:i/>
          <w:iCs/>
        </w:rPr>
        <w:t xml:space="preserve">Scirtothrips dorsalis </w:t>
      </w:r>
      <w:r w:rsidRPr="005D036A">
        <w:t xml:space="preserve">and </w:t>
      </w:r>
      <w:r w:rsidRPr="005D036A">
        <w:rPr>
          <w:i/>
          <w:iCs/>
        </w:rPr>
        <w:t xml:space="preserve">Thrips </w:t>
      </w:r>
      <w:proofErr w:type="spellStart"/>
      <w:r w:rsidRPr="005D036A">
        <w:rPr>
          <w:i/>
          <w:iCs/>
        </w:rPr>
        <w:t>tabaci</w:t>
      </w:r>
      <w:proofErr w:type="spellEnd"/>
      <w:r w:rsidRPr="005D036A">
        <w:t xml:space="preserve"> (</w:t>
      </w:r>
      <w:r w:rsidRPr="005D036A">
        <w:fldChar w:fldCharType="begin"/>
      </w:r>
      <w:r w:rsidRPr="005D036A">
        <w:instrText xml:space="preserve"> REF _Ref523317940 \h </w:instrText>
      </w:r>
      <w:r>
        <w:instrText xml:space="preserve"> \* MERGEFORMAT </w:instrText>
      </w:r>
      <w:r w:rsidRPr="005D036A">
        <w:fldChar w:fldCharType="separate"/>
      </w:r>
      <w:r w:rsidR="00EA7374">
        <w:t xml:space="preserve">Table </w:t>
      </w:r>
      <w:r w:rsidR="00EA7374">
        <w:rPr>
          <w:noProof/>
        </w:rPr>
        <w:t>5.2</w:t>
      </w:r>
      <w:r w:rsidRPr="005D036A">
        <w:fldChar w:fldCharType="end"/>
      </w:r>
      <w:r w:rsidRPr="005D036A">
        <w:t xml:space="preserve">) and is consistent with the options provided in the thrips </w:t>
      </w:r>
      <w:r>
        <w:t>G</w:t>
      </w:r>
      <w:r w:rsidRPr="005D036A">
        <w:t xml:space="preserve">roup PRA </w:t>
      </w:r>
      <w:r>
        <w:rPr>
          <w:noProof/>
        </w:rPr>
        <w:t>(Australian Government Department of Agriculture and Water Resources 2017)</w:t>
      </w:r>
      <w:r w:rsidRPr="00891744">
        <w:t>.</w:t>
      </w:r>
      <w:r>
        <w:t xml:space="preserve"> This measure also applies to all phytophagous quarantine thrips, or regulated thrips, on the longan fruit import pathway, irrespective of their specific identification in this document, consistent with the thrips Group PRA.</w:t>
      </w:r>
    </w:p>
    <w:p w:rsidR="00B52BB0" w:rsidRPr="005D036A" w:rsidRDefault="00B52BB0" w:rsidP="003E074D">
      <w:pPr>
        <w:pStyle w:val="Heading6"/>
      </w:pPr>
      <w:r>
        <w:t>Recommended</w:t>
      </w:r>
      <w:r w:rsidRPr="00891744">
        <w:t xml:space="preserve"> measure 1: Pre-export visual inspection and, if </w:t>
      </w:r>
      <w:r>
        <w:t>found</w:t>
      </w:r>
      <w:r w:rsidRPr="00891744">
        <w:t xml:space="preserve">, </w:t>
      </w:r>
      <w:r w:rsidRPr="005D036A">
        <w:t>remedial action</w:t>
      </w:r>
    </w:p>
    <w:p w:rsidR="00B52BB0" w:rsidRPr="005D036A" w:rsidRDefault="00B52BB0" w:rsidP="003E074D">
      <w:r w:rsidRPr="005D036A">
        <w:t>All consignments</w:t>
      </w:r>
      <w:r>
        <w:t xml:space="preserve"> of longans</w:t>
      </w:r>
      <w:r w:rsidRPr="005D036A">
        <w:t xml:space="preserve"> for export to Australia must be inspected by PPD and found free </w:t>
      </w:r>
      <w:r w:rsidR="003E074D" w:rsidRPr="005D036A">
        <w:t xml:space="preserve">of </w:t>
      </w:r>
      <w:r w:rsidR="003E074D">
        <w:t>the</w:t>
      </w:r>
      <w:r>
        <w:t xml:space="preserve"> mealybugs </w:t>
      </w:r>
      <w:r w:rsidRPr="000B4BC3">
        <w:rPr>
          <w:i/>
          <w:iCs/>
        </w:rPr>
        <w:t>Dysmicoccus neobrevipes</w:t>
      </w:r>
      <w:r>
        <w:t xml:space="preserve">, </w:t>
      </w:r>
      <w:r w:rsidRPr="000B4BC3">
        <w:rPr>
          <w:i/>
          <w:iCs/>
        </w:rPr>
        <w:t>Exallomochlus hi</w:t>
      </w:r>
      <w:r>
        <w:rPr>
          <w:i/>
          <w:iCs/>
        </w:rPr>
        <w:t>s</w:t>
      </w:r>
      <w:r w:rsidRPr="000B4BC3">
        <w:rPr>
          <w:i/>
          <w:iCs/>
        </w:rPr>
        <w:t>pidus</w:t>
      </w:r>
      <w:r>
        <w:t xml:space="preserve">, </w:t>
      </w:r>
      <w:r w:rsidRPr="00D14044">
        <w:rPr>
          <w:i/>
        </w:rPr>
        <w:t>Planococcus litchi</w:t>
      </w:r>
      <w:r>
        <w:t xml:space="preserve">, </w:t>
      </w:r>
      <w:r w:rsidRPr="00D14044">
        <w:rPr>
          <w:i/>
          <w:iCs/>
        </w:rPr>
        <w:t>Planococcus minor</w:t>
      </w:r>
      <w:r>
        <w:t xml:space="preserve">, </w:t>
      </w:r>
      <w:r w:rsidRPr="00D14044">
        <w:rPr>
          <w:i/>
          <w:iCs/>
        </w:rPr>
        <w:t>Planococcus lilacinus</w:t>
      </w:r>
      <w:r>
        <w:t xml:space="preserve">, </w:t>
      </w:r>
      <w:r w:rsidRPr="00D14044">
        <w:rPr>
          <w:i/>
          <w:iCs/>
        </w:rPr>
        <w:t>Paracoccus interceptus</w:t>
      </w:r>
      <w:r>
        <w:t xml:space="preserve">, </w:t>
      </w:r>
      <w:r w:rsidRPr="00D14044">
        <w:rPr>
          <w:i/>
        </w:rPr>
        <w:t>Pseudococcus baliteus</w:t>
      </w:r>
      <w:r>
        <w:t xml:space="preserve"> and </w:t>
      </w:r>
      <w:r w:rsidRPr="00D14044">
        <w:rPr>
          <w:i/>
        </w:rPr>
        <w:t>Pseudococcus cryptus</w:t>
      </w:r>
      <w:r w:rsidRPr="005D036A">
        <w:t xml:space="preserve"> and </w:t>
      </w:r>
      <w:r>
        <w:t xml:space="preserve">the </w:t>
      </w:r>
      <w:r w:rsidRPr="005D036A">
        <w:t>thrips</w:t>
      </w:r>
      <w:r>
        <w:t xml:space="preserve"> </w:t>
      </w:r>
      <w:r>
        <w:rPr>
          <w:i/>
        </w:rPr>
        <w:t>Scirtothrips dorsalis</w:t>
      </w:r>
      <w:r>
        <w:t xml:space="preserve"> and </w:t>
      </w:r>
      <w:r>
        <w:rPr>
          <w:i/>
        </w:rPr>
        <w:t>Thrips tabaci</w:t>
      </w:r>
      <w:r>
        <w:t xml:space="preserve">. Pre-export visual inspection must be undertaken by PPD in accordance with ISPM 23: </w:t>
      </w:r>
      <w:r>
        <w:rPr>
          <w:i/>
        </w:rPr>
        <w:t>Guidelines for inspection</w:t>
      </w:r>
      <w:r>
        <w:t xml:space="preserve"> </w:t>
      </w:r>
      <w:r>
        <w:rPr>
          <w:noProof/>
        </w:rPr>
        <w:t>(FAO 2016d)</w:t>
      </w:r>
      <w:r>
        <w:t xml:space="preserve"> and consistent with the principles of ISPM 31: </w:t>
      </w:r>
      <w:r>
        <w:rPr>
          <w:i/>
        </w:rPr>
        <w:t>Methodologies for sampling of consignments</w:t>
      </w:r>
      <w:r>
        <w:t xml:space="preserve"> </w:t>
      </w:r>
      <w:r>
        <w:rPr>
          <w:noProof/>
        </w:rPr>
        <w:t>(FAO 2016e)</w:t>
      </w:r>
      <w:r w:rsidRPr="005D036A">
        <w:t>. Export consignments found to contain any of these pests must be subjected to remedial action. Remedial action may include withdrawing the consignment from export to Australia, or</w:t>
      </w:r>
      <w:r>
        <w:t>, if available,</w:t>
      </w:r>
      <w:r w:rsidRPr="005D036A">
        <w:t xml:space="preserve"> application of an approved treatment to ensure that the pest is no longer viable.</w:t>
      </w:r>
    </w:p>
    <w:p w:rsidR="00B52BB0" w:rsidRPr="005D036A" w:rsidRDefault="00B52BB0" w:rsidP="003E074D">
      <w:pPr>
        <w:pStyle w:val="Heading5"/>
      </w:pPr>
      <w:r w:rsidRPr="005D036A">
        <w:t xml:space="preserve">Management for </w:t>
      </w:r>
      <w:r w:rsidRPr="005D036A">
        <w:rPr>
          <w:iCs/>
        </w:rPr>
        <w:t>litchi fruit borer</w:t>
      </w:r>
    </w:p>
    <w:p w:rsidR="00B52BB0" w:rsidRPr="005D036A" w:rsidRDefault="00B52BB0" w:rsidP="003E074D">
      <w:r w:rsidRPr="005D036A">
        <w:t xml:space="preserve">The </w:t>
      </w:r>
      <w:r>
        <w:t xml:space="preserve">Australian Government </w:t>
      </w:r>
      <w:r w:rsidRPr="005D036A">
        <w:t xml:space="preserve">Department of Agriculture and Water Resources </w:t>
      </w:r>
      <w:r>
        <w:t>recommends</w:t>
      </w:r>
      <w:r w:rsidRPr="005D036A">
        <w:t xml:space="preserve"> the options of area freedom, systems approach, cold disinfestati</w:t>
      </w:r>
      <w:r>
        <w:t xml:space="preserve">on </w:t>
      </w:r>
      <w:r w:rsidRPr="000534C2">
        <w:t xml:space="preserve">treatment, or irradiation as measures for </w:t>
      </w:r>
      <w:r w:rsidRPr="00B1588D">
        <w:rPr>
          <w:i/>
        </w:rPr>
        <w:t>Conopomorpha sinensis</w:t>
      </w:r>
      <w:r w:rsidRPr="000534C2">
        <w:t xml:space="preserve">. The objective of </w:t>
      </w:r>
      <w:r>
        <w:t>these</w:t>
      </w:r>
      <w:r w:rsidRPr="000534C2">
        <w:t xml:space="preserve"> </w:t>
      </w:r>
      <w:r>
        <w:t>recommended</w:t>
      </w:r>
      <w:r w:rsidRPr="000534C2">
        <w:t xml:space="preserve"> measure</w:t>
      </w:r>
      <w:r>
        <w:t>s</w:t>
      </w:r>
      <w:r w:rsidRPr="000534C2">
        <w:t xml:space="preserve"> is to reduce the risk </w:t>
      </w:r>
      <w:r w:rsidRPr="005D036A">
        <w:t>associated with this pest to achieve the ALOP for Australia.</w:t>
      </w:r>
    </w:p>
    <w:p w:rsidR="00B52BB0" w:rsidRPr="005D036A" w:rsidRDefault="00B52BB0" w:rsidP="003E074D">
      <w:pPr>
        <w:pStyle w:val="Heading6"/>
      </w:pPr>
      <w:r>
        <w:t>Recommended</w:t>
      </w:r>
      <w:r w:rsidRPr="005D036A">
        <w:t xml:space="preserve"> measure 1: Area freedom</w:t>
      </w:r>
    </w:p>
    <w:p w:rsidR="00B52BB0" w:rsidRPr="005D036A" w:rsidRDefault="00B52BB0" w:rsidP="003E074D">
      <w:r w:rsidRPr="005D036A">
        <w:t xml:space="preserve">The requirements for establishing pest free areas, pest free places of production or pest free production sites are set out in ISPM 4: </w:t>
      </w:r>
      <w:r w:rsidRPr="005D036A">
        <w:rPr>
          <w:i/>
        </w:rPr>
        <w:t>Requirements for the establishment of pest free areas</w:t>
      </w:r>
      <w:r w:rsidRPr="005D036A">
        <w:t xml:space="preserve"> </w:t>
      </w:r>
      <w:r>
        <w:rPr>
          <w:noProof/>
        </w:rPr>
        <w:t>(FAO 2017a)</w:t>
      </w:r>
      <w:r w:rsidRPr="005D036A">
        <w:t xml:space="preserve"> and ISPM 10: </w:t>
      </w:r>
      <w:r w:rsidRPr="005D036A">
        <w:rPr>
          <w:i/>
        </w:rPr>
        <w:t>Requirements for the establishment of pest free places of production and pest free production sites</w:t>
      </w:r>
      <w:r w:rsidRPr="005D036A">
        <w:t xml:space="preserve"> </w:t>
      </w:r>
      <w:r>
        <w:rPr>
          <w:noProof/>
        </w:rPr>
        <w:t>(FAO 2016b)</w:t>
      </w:r>
      <w:r w:rsidRPr="005D036A">
        <w:t>.</w:t>
      </w:r>
    </w:p>
    <w:p w:rsidR="00B52BB0" w:rsidRDefault="00B52BB0" w:rsidP="003E074D">
      <w:r w:rsidRPr="005D036A">
        <w:t xml:space="preserve">Longan fruit for export to Australia </w:t>
      </w:r>
      <w:r>
        <w:t xml:space="preserve">will need to be sourced from export orchards free of </w:t>
      </w:r>
      <w:r>
        <w:rPr>
          <w:i/>
          <w:iCs/>
        </w:rPr>
        <w:t xml:space="preserve">Conopomorpha </w:t>
      </w:r>
      <w:r w:rsidRPr="00791F34">
        <w:rPr>
          <w:i/>
          <w:iCs/>
        </w:rPr>
        <w:t>sinensis</w:t>
      </w:r>
      <w:r>
        <w:t xml:space="preserve">. This measure would require systems to be in place for the establishment, maintenance and verification of </w:t>
      </w:r>
      <w:r w:rsidRPr="00FC49FA">
        <w:t xml:space="preserve">orchard freedom </w:t>
      </w:r>
      <w:r>
        <w:t xml:space="preserve">from </w:t>
      </w:r>
      <w:r w:rsidRPr="00791F34">
        <w:rPr>
          <w:i/>
          <w:iCs/>
        </w:rPr>
        <w:t>C.</w:t>
      </w:r>
      <w:r>
        <w:rPr>
          <w:i/>
          <w:iCs/>
        </w:rPr>
        <w:t> </w:t>
      </w:r>
      <w:r w:rsidRPr="00791F34">
        <w:rPr>
          <w:i/>
          <w:iCs/>
        </w:rPr>
        <w:t>sinensis</w:t>
      </w:r>
      <w:r>
        <w:t xml:space="preserve"> under the supervision of PPD. The inspection method appropriate for this pest, including details of the timing and size of the sampling to be undertaken for each orchard, would be developed by PPD and submitted to the Department of Agriculture and Water Resources for consideration and approval.</w:t>
      </w:r>
    </w:p>
    <w:p w:rsidR="00B52BB0" w:rsidRDefault="00B52BB0" w:rsidP="003E074D">
      <w:r>
        <w:t xml:space="preserve">If </w:t>
      </w:r>
      <w:r w:rsidRPr="00791F34">
        <w:rPr>
          <w:i/>
          <w:iCs/>
        </w:rPr>
        <w:t>C.</w:t>
      </w:r>
      <w:r>
        <w:rPr>
          <w:i/>
          <w:iCs/>
        </w:rPr>
        <w:t> </w:t>
      </w:r>
      <w:r w:rsidRPr="00791F34">
        <w:rPr>
          <w:i/>
          <w:iCs/>
        </w:rPr>
        <w:t>sinensis</w:t>
      </w:r>
      <w:r>
        <w:t xml:space="preserve"> is detected in any export orchard, fruit from that export orchard will not be eligible for the export program to Australia.</w:t>
      </w:r>
    </w:p>
    <w:p w:rsidR="00B52BB0" w:rsidRPr="005D036A" w:rsidRDefault="00B52BB0" w:rsidP="003E074D">
      <w:r>
        <w:t>PPD is required to report any actions undertaken</w:t>
      </w:r>
      <w:r w:rsidRPr="00871632">
        <w:t xml:space="preserve"> </w:t>
      </w:r>
      <w:r>
        <w:t xml:space="preserve">to the Australian Government Department of Agriculture and Water Resources, including eradication activities. </w:t>
      </w:r>
      <w:r w:rsidRPr="005D036A">
        <w:t>Reinstatement of the area freedom status will be subject to the joint investigation between PPD and the Department of Agriculture and Water Resources on the eradication outcomes.</w:t>
      </w:r>
    </w:p>
    <w:p w:rsidR="00B52BB0" w:rsidRPr="005D036A" w:rsidRDefault="00B52BB0" w:rsidP="003E074D">
      <w:pPr>
        <w:pStyle w:val="Heading6"/>
      </w:pPr>
      <w:r>
        <w:lastRenderedPageBreak/>
        <w:t>Recommended</w:t>
      </w:r>
      <w:r w:rsidRPr="005D036A">
        <w:t xml:space="preserve"> measure </w:t>
      </w:r>
      <w:r>
        <w:t>2</w:t>
      </w:r>
      <w:r w:rsidRPr="005D036A">
        <w:t>: Irradiation</w:t>
      </w:r>
    </w:p>
    <w:p w:rsidR="00B52BB0" w:rsidRPr="0073560B" w:rsidRDefault="00B52BB0" w:rsidP="003E074D">
      <w:r w:rsidRPr="005D036A">
        <w:t xml:space="preserve">The requirements for using irradiation as a phytosanitary measure are set out in ISPM 18: </w:t>
      </w:r>
      <w:r w:rsidRPr="005D036A">
        <w:rPr>
          <w:i/>
        </w:rPr>
        <w:t xml:space="preserve">Guidelines for the use of irradiation as a phytosanitary measure </w:t>
      </w:r>
      <w:r>
        <w:rPr>
          <w:noProof/>
        </w:rPr>
        <w:t>(FAO 2016c)</w:t>
      </w:r>
      <w:r w:rsidRPr="005D036A">
        <w:t>. Irradiation is recognised as an effective method for pest risk management</w:t>
      </w:r>
      <w:r>
        <w:t xml:space="preserve"> when performed in approved facilities and at specific dose rates recognised as effective for target pest groups. Irradiation dose rates up to a maximum of 1000 gray are permitted for quarantine purposes for food, including longan fruit, by Food Standards Australia New Zealand </w:t>
      </w:r>
      <w:r>
        <w:rPr>
          <w:noProof/>
        </w:rPr>
        <w:t>(FSANZ 2017)</w:t>
      </w:r>
      <w:r>
        <w:t>.</w:t>
      </w:r>
    </w:p>
    <w:p w:rsidR="00B52BB0" w:rsidRDefault="00B52BB0" w:rsidP="003E074D">
      <w:r w:rsidRPr="000534C2">
        <w:t xml:space="preserve">The </w:t>
      </w:r>
      <w:r>
        <w:t xml:space="preserve">Australian Government </w:t>
      </w:r>
      <w:r w:rsidRPr="000534C2">
        <w:t xml:space="preserve">Department of Agriculture and Water Resources </w:t>
      </w:r>
      <w:r>
        <w:t>recommends</w:t>
      </w:r>
      <w:r w:rsidRPr="000534C2">
        <w:t xml:space="preserve"> a treatment schedule of 400 gray minimum absorbed </w:t>
      </w:r>
      <w:r w:rsidRPr="005D036A">
        <w:t xml:space="preserve">dose, consistent with the USDA Treatment Manual </w:t>
      </w:r>
      <w:r>
        <w:rPr>
          <w:noProof/>
        </w:rPr>
        <w:t>(USDA 2018)</w:t>
      </w:r>
      <w:r w:rsidRPr="005D036A">
        <w:t xml:space="preserve"> for </w:t>
      </w:r>
      <w:r w:rsidRPr="005D036A">
        <w:rPr>
          <w:i/>
          <w:iCs/>
        </w:rPr>
        <w:t>Conopomorpha sinensis</w:t>
      </w:r>
      <w:r w:rsidRPr="005D036A">
        <w:rPr>
          <w:iCs/>
        </w:rPr>
        <w:t xml:space="preserve"> eggs and larvae</w:t>
      </w:r>
      <w:r w:rsidRPr="005D036A">
        <w:t>.</w:t>
      </w:r>
    </w:p>
    <w:p w:rsidR="00B52BB0" w:rsidRPr="005D036A" w:rsidRDefault="00B52BB0" w:rsidP="003E074D">
      <w:r w:rsidRPr="00987CFA">
        <w:t>The use of irradiation as a phytosanitary measure is subject to the Australian Government Department of Agriculture and Water Resources’ approval of the irradiation facilities identified by PPD. Should Vietnam wish to use irradiation as a phytosanitary measure, PPD would need to provide a submission to the Australian Government Department of Ag</w:t>
      </w:r>
      <w:r>
        <w:t xml:space="preserve">riculture and Water Resources. </w:t>
      </w:r>
      <w:r w:rsidRPr="00987CFA">
        <w:t xml:space="preserve">The submission must fulfil requirements as set out in ISPM 18 </w:t>
      </w:r>
      <w:r>
        <w:rPr>
          <w:noProof/>
        </w:rPr>
        <w:t>(FAO 2016c)</w:t>
      </w:r>
      <w:r w:rsidRPr="00987CFA">
        <w:t>.</w:t>
      </w:r>
    </w:p>
    <w:p w:rsidR="00B52BB0" w:rsidRPr="005D036A" w:rsidRDefault="00B52BB0" w:rsidP="003E074D">
      <w:pPr>
        <w:pStyle w:val="Heading6"/>
      </w:pPr>
      <w:r>
        <w:t>Recommended</w:t>
      </w:r>
      <w:r w:rsidRPr="005D036A">
        <w:t xml:space="preserve"> measure 3: Cold disinfestation treatment</w:t>
      </w:r>
    </w:p>
    <w:p w:rsidR="00B52BB0" w:rsidRDefault="00B52BB0" w:rsidP="003E074D">
      <w:r w:rsidRPr="00860BCF">
        <w:t xml:space="preserve">Cold disinfestation treatment is considered a suitable measure for </w:t>
      </w:r>
      <w:r w:rsidRPr="00860BCF">
        <w:rPr>
          <w:i/>
          <w:iCs/>
        </w:rPr>
        <w:t>Conopomorpha sinensis</w:t>
      </w:r>
      <w:r w:rsidRPr="00860BCF">
        <w:t>. This treatment can be conducted pre-export in Vietnam or in transit</w:t>
      </w:r>
      <w:r>
        <w:t xml:space="preserve"> to Australia</w:t>
      </w:r>
      <w:r w:rsidRPr="00860BCF">
        <w:t>.</w:t>
      </w:r>
    </w:p>
    <w:p w:rsidR="00B52BB0" w:rsidRDefault="00B52BB0" w:rsidP="003E074D">
      <w:r>
        <w:t xml:space="preserve">A cold disinfestation treatment schedule consistent with the </w:t>
      </w:r>
      <w:r w:rsidRPr="00137F5C">
        <w:rPr>
          <w:i/>
        </w:rPr>
        <w:t>USDA Treatment Manual</w:t>
      </w:r>
      <w:r>
        <w:t xml:space="preserve"> (T107-h) </w:t>
      </w:r>
      <w:r>
        <w:rPr>
          <w:noProof/>
        </w:rPr>
        <w:t>(USDA 2018)</w:t>
      </w:r>
      <w:r>
        <w:t xml:space="preserve"> is effective for treating longan fruit for </w:t>
      </w:r>
      <w:r w:rsidRPr="00D521D5">
        <w:rPr>
          <w:i/>
          <w:iCs/>
        </w:rPr>
        <w:t>Conopomorpha sinensis</w:t>
      </w:r>
      <w:r>
        <w:t>.</w:t>
      </w:r>
    </w:p>
    <w:p w:rsidR="00B52BB0" w:rsidRDefault="00B52BB0" w:rsidP="003E074D">
      <w:r>
        <w:rPr>
          <w:iCs/>
        </w:rPr>
        <w:t>The Australian Government Department of Agriculture and Water Resources recommends the following specifications for temperature and exposure times, consistent with T107-h, where cold disinfestation is utilised</w:t>
      </w:r>
      <w:r>
        <w:t>:</w:t>
      </w:r>
    </w:p>
    <w:p w:rsidR="00B52BB0" w:rsidRPr="005D036A" w:rsidRDefault="00B52BB0" w:rsidP="003E074D">
      <w:r>
        <w:t>•</w:t>
      </w:r>
      <w:r>
        <w:tab/>
      </w:r>
      <w:proofErr w:type="gramStart"/>
      <w:r>
        <w:t>fruit</w:t>
      </w:r>
      <w:proofErr w:type="gramEnd"/>
      <w:r>
        <w:t xml:space="preserve"> held at 0.99 °C or below </w:t>
      </w:r>
      <w:r w:rsidRPr="005D036A">
        <w:t>for 17 days, or</w:t>
      </w:r>
    </w:p>
    <w:p w:rsidR="00B52BB0" w:rsidRPr="005D036A" w:rsidRDefault="00B52BB0" w:rsidP="003E074D">
      <w:r w:rsidRPr="005D036A">
        <w:t>•</w:t>
      </w:r>
      <w:r w:rsidRPr="005D036A">
        <w:tab/>
      </w:r>
      <w:proofErr w:type="gramStart"/>
      <w:r w:rsidRPr="005D036A">
        <w:t>fruit</w:t>
      </w:r>
      <w:proofErr w:type="gramEnd"/>
      <w:r w:rsidRPr="005D036A">
        <w:t xml:space="preserve"> held at 1.38 °C or below for 20 days</w:t>
      </w:r>
      <w:r>
        <w:t>.</w:t>
      </w:r>
    </w:p>
    <w:p w:rsidR="00B52BB0" w:rsidRPr="008439C3" w:rsidRDefault="00B52BB0" w:rsidP="003E074D">
      <w:r w:rsidRPr="008439C3">
        <w:t>Should Vietnam wish to use pre-</w:t>
      </w:r>
      <w:r>
        <w:t>export</w:t>
      </w:r>
      <w:r w:rsidRPr="008439C3">
        <w:t xml:space="preserve"> cold disinfestation treatment as a phytosanitary measure, PPD would need to provide a submission to the Australian Government Department of Agriculture and Water Resources that demonstrates it has processes and procedures for the registration, approval and audit of treatment facilities. The Australian Government Department of Agriculture and Water Resources may request on-site verification of the treatment facilities.</w:t>
      </w:r>
    </w:p>
    <w:p w:rsidR="00B52BB0" w:rsidRPr="00AA128A" w:rsidRDefault="00B52BB0" w:rsidP="003E074D">
      <w:r w:rsidRPr="008439C3">
        <w:t xml:space="preserve">Both </w:t>
      </w:r>
      <w:r>
        <w:t xml:space="preserve">the </w:t>
      </w:r>
      <w:r w:rsidRPr="008439C3">
        <w:t>pre-</w:t>
      </w:r>
      <w:r>
        <w:t>export</w:t>
      </w:r>
      <w:r w:rsidRPr="008439C3">
        <w:t xml:space="preserve"> </w:t>
      </w:r>
      <w:r>
        <w:t xml:space="preserve">cold disinfestation </w:t>
      </w:r>
      <w:r w:rsidRPr="008439C3">
        <w:t>and in-transit cold disinfestation treatment</w:t>
      </w:r>
      <w:r>
        <w:t>s</w:t>
      </w:r>
      <w:r w:rsidRPr="008439C3">
        <w:t xml:space="preserve"> must fulfil the requirements as set out in the </w:t>
      </w:r>
      <w:r w:rsidRPr="00590463">
        <w:rPr>
          <w:rStyle w:val="Hyperlink"/>
          <w:iCs/>
        </w:rPr>
        <w:t>Australian phytosanitary treatment application standard for cold disinfestation treatment</w:t>
      </w:r>
      <w:r>
        <w:rPr>
          <w:rStyle w:val="Hyperlink"/>
          <w:iCs/>
        </w:rPr>
        <w:t>, available at:</w:t>
      </w:r>
      <w:r w:rsidRPr="00590463">
        <w:rPr>
          <w:rStyle w:val="Hyperlink"/>
          <w:iCs/>
        </w:rPr>
        <w:t xml:space="preserve"> </w:t>
      </w:r>
      <w:hyperlink r:id="rId44" w:history="1">
        <w:r w:rsidRPr="00A0794A">
          <w:rPr>
            <w:rStyle w:val="Hyperlink"/>
          </w:rPr>
          <w:t>http://www.agriculture.gov.au/SiteCollectionDocuments/biosecurity/export/plants-plant-products/plant-exports-manual/resources/australian-phytosanitary-treatment-cold.docx</w:t>
        </w:r>
      </w:hyperlink>
      <w:r w:rsidRPr="008439C3">
        <w:t>.</w:t>
      </w:r>
    </w:p>
    <w:p w:rsidR="00B52BB0" w:rsidRPr="005D036A" w:rsidRDefault="00B52BB0" w:rsidP="003E074D">
      <w:pPr>
        <w:pStyle w:val="Heading6"/>
      </w:pPr>
      <w:r>
        <w:t>Recommended</w:t>
      </w:r>
      <w:r w:rsidRPr="005D036A">
        <w:t xml:space="preserve"> measure </w:t>
      </w:r>
      <w:r>
        <w:t>4</w:t>
      </w:r>
      <w:r w:rsidRPr="005D036A">
        <w:t>: Systems approach</w:t>
      </w:r>
    </w:p>
    <w:p w:rsidR="00B52BB0" w:rsidRDefault="00B52BB0" w:rsidP="003E074D">
      <w:r w:rsidRPr="005D036A">
        <w:t>A systems approach that uses the integration of different risk management measures, at least two of which act independently</w:t>
      </w:r>
      <w:r>
        <w:t xml:space="preserve">, and which cumulatively achieve the required level of phytosanitary protection, could be used to reduce the risk of </w:t>
      </w:r>
      <w:r>
        <w:rPr>
          <w:i/>
          <w:iCs/>
        </w:rPr>
        <w:t xml:space="preserve">Conopomorpha </w:t>
      </w:r>
      <w:r w:rsidRPr="00791F34">
        <w:rPr>
          <w:i/>
          <w:iCs/>
        </w:rPr>
        <w:t>sinensis</w:t>
      </w:r>
      <w:r>
        <w:t xml:space="preserve"> being </w:t>
      </w:r>
      <w:r>
        <w:lastRenderedPageBreak/>
        <w:t xml:space="preserve">imported to Australia with consignments of longan fruit. The requirements of a systems approach are set out in ISPM 14: </w:t>
      </w:r>
      <w:r w:rsidRPr="00E164C1">
        <w:rPr>
          <w:i/>
        </w:rPr>
        <w:t xml:space="preserve">The use of integrated measures in a systems approach for pest risk management </w:t>
      </w:r>
      <w:r>
        <w:rPr>
          <w:noProof/>
        </w:rPr>
        <w:t>(FAO 2017c)</w:t>
      </w:r>
      <w:r>
        <w:t>.</w:t>
      </w:r>
    </w:p>
    <w:p w:rsidR="00B52BB0" w:rsidRDefault="00B52BB0" w:rsidP="003E074D">
      <w:r>
        <w:t>The Department of Agriculture and Water Resources considers a systems approach could be based on establishing an area of low pest prevalence, a combination of in-field preventative measures and monitoring, and pest control, with post-harvest measures. The approach could be used to progressively reduce the risk of infested longan fruit being imported to Australia.</w:t>
      </w:r>
    </w:p>
    <w:p w:rsidR="00B52BB0" w:rsidRPr="005D036A" w:rsidRDefault="00B52BB0" w:rsidP="003E074D">
      <w:r>
        <w:t xml:space="preserve">Should Vietnam wish to use a systems approach as a measure to manage the risk posed by </w:t>
      </w:r>
      <w:r w:rsidRPr="00D521D5">
        <w:rPr>
          <w:i/>
          <w:iCs/>
        </w:rPr>
        <w:t>C.</w:t>
      </w:r>
      <w:r>
        <w:rPr>
          <w:i/>
          <w:iCs/>
        </w:rPr>
        <w:t> </w:t>
      </w:r>
      <w:r w:rsidRPr="00D521D5">
        <w:rPr>
          <w:i/>
          <w:iCs/>
        </w:rPr>
        <w:t>sinensis</w:t>
      </w:r>
      <w:r>
        <w:t xml:space="preserve">, PPD would need to provide a submission for consideration and approval by the Department of Agriculture and Water Resources. The submission will need to outline components of the system and how these components </w:t>
      </w:r>
      <w:r w:rsidRPr="005D036A">
        <w:t>would address the risks posed by this pest and also fulfil the requirements set out in ISPM 14</w:t>
      </w:r>
      <w:r>
        <w:t xml:space="preserve"> </w:t>
      </w:r>
      <w:r>
        <w:rPr>
          <w:noProof/>
        </w:rPr>
        <w:t>(FAO 2017c)</w:t>
      </w:r>
      <w:r w:rsidRPr="005D036A">
        <w:t>.</w:t>
      </w:r>
    </w:p>
    <w:p w:rsidR="00B52BB0" w:rsidRPr="005D036A" w:rsidRDefault="00B52BB0" w:rsidP="003E074D">
      <w:pPr>
        <w:pStyle w:val="Heading4"/>
      </w:pPr>
      <w:r w:rsidRPr="005D036A">
        <w:t>Consideration of alternative measures</w:t>
      </w:r>
    </w:p>
    <w:p w:rsidR="00B52BB0" w:rsidRDefault="00B52BB0">
      <w:r w:rsidRPr="005D036A">
        <w:t xml:space="preserve">Consistent with the principle of equivalence detailed in ISPM 11: </w:t>
      </w:r>
      <w:r w:rsidRPr="005D036A">
        <w:rPr>
          <w:i/>
        </w:rPr>
        <w:t>Pest risk analysis for quarantine pests</w:t>
      </w:r>
      <w:r w:rsidRPr="005D036A">
        <w:t xml:space="preserve"> </w:t>
      </w:r>
      <w:r>
        <w:rPr>
          <w:noProof/>
        </w:rPr>
        <w:t>(FAO 2017b)</w:t>
      </w:r>
      <w:r w:rsidRPr="005D036A">
        <w:t xml:space="preserve">, the </w:t>
      </w:r>
      <w:r>
        <w:t xml:space="preserve">Australian Government </w:t>
      </w:r>
      <w:r w:rsidRPr="005D036A">
        <w:t>Department</w:t>
      </w:r>
      <w:r w:rsidRPr="008445BA">
        <w:t xml:space="preserve"> of Agriculture and Water Resources will consider any alternative measure proposed by PPD, providing that it </w:t>
      </w:r>
      <w:r>
        <w:t xml:space="preserve">demonstrably </w:t>
      </w:r>
      <w:r w:rsidRPr="008445BA">
        <w:t xml:space="preserve">manages the target pest to achieve the ALOP for Australia. Evaluation of such measures will require a technical submission from PPD </w:t>
      </w:r>
      <w:r>
        <w:t>that</w:t>
      </w:r>
      <w:r w:rsidRPr="008445BA">
        <w:t xml:space="preserve"> details the proposed measures</w:t>
      </w:r>
      <w:r>
        <w:t xml:space="preserve">, </w:t>
      </w:r>
      <w:r w:rsidRPr="008445BA">
        <w:t xml:space="preserve">including suitable information to support the </w:t>
      </w:r>
      <w:r>
        <w:t xml:space="preserve">claimed </w:t>
      </w:r>
      <w:r w:rsidRPr="008445BA">
        <w:t>efficacy</w:t>
      </w:r>
      <w:r>
        <w:t>, for consideration by the Australian Government Department of Agriculture and Water Resources</w:t>
      </w:r>
      <w:r w:rsidRPr="008445BA">
        <w:t>.</w:t>
      </w:r>
    </w:p>
    <w:p w:rsidR="00B52BB0" w:rsidRDefault="00B52BB0" w:rsidP="003E074D">
      <w:pPr>
        <w:pStyle w:val="Heading3"/>
      </w:pPr>
      <w:bookmarkStart w:id="107" w:name="_Toc7607689"/>
      <w:r>
        <w:t>Operational system for the maintenance and verification of phytosanitary status</w:t>
      </w:r>
      <w:bookmarkEnd w:id="107"/>
    </w:p>
    <w:p w:rsidR="00B52BB0" w:rsidRDefault="00B52BB0">
      <w:r w:rsidRPr="008445BA">
        <w:t xml:space="preserve">A system of operational procedures is necessary to maintain and verify the phytosanitary status of </w:t>
      </w:r>
      <w:r>
        <w:t>longan fruit</w:t>
      </w:r>
      <w:r w:rsidRPr="008445BA">
        <w:t xml:space="preserve"> from Vietnam. This is to ensure that the </w:t>
      </w:r>
      <w:r>
        <w:t>recommended</w:t>
      </w:r>
      <w:r w:rsidRPr="008445BA">
        <w:t xml:space="preserve"> risk management measures have been met and are maintained.</w:t>
      </w:r>
    </w:p>
    <w:p w:rsidR="00B52BB0" w:rsidRDefault="00B52BB0" w:rsidP="003E074D">
      <w:pPr>
        <w:pStyle w:val="Heading4"/>
      </w:pPr>
      <w:r w:rsidRPr="008445BA">
        <w:t>A system of traceability to source orchards</w:t>
      </w:r>
    </w:p>
    <w:p w:rsidR="00B52BB0" w:rsidRDefault="00B52BB0" w:rsidP="003E074D">
      <w:r>
        <w:t>The objectives of the recommended procedure are to ensure that:</w:t>
      </w:r>
    </w:p>
    <w:p w:rsidR="00B52BB0" w:rsidRPr="00AF1C51" w:rsidRDefault="00B52BB0" w:rsidP="00B52BB0">
      <w:pPr>
        <w:pStyle w:val="ListBullet"/>
        <w:numPr>
          <w:ilvl w:val="0"/>
          <w:numId w:val="7"/>
        </w:numPr>
      </w:pPr>
      <w:r>
        <w:t>longan fruit</w:t>
      </w:r>
      <w:r w:rsidRPr="008445BA">
        <w:t xml:space="preserve"> are sourced only from orchards </w:t>
      </w:r>
      <w:r w:rsidRPr="00AF1C51">
        <w:t>producing commercial quality fruit</w:t>
      </w:r>
    </w:p>
    <w:p w:rsidR="00B52BB0" w:rsidRPr="00AF1C51" w:rsidRDefault="00B52BB0" w:rsidP="00B52BB0">
      <w:pPr>
        <w:pStyle w:val="ListBullet"/>
        <w:numPr>
          <w:ilvl w:val="0"/>
          <w:numId w:val="7"/>
        </w:numPr>
      </w:pPr>
      <w:proofErr w:type="gramStart"/>
      <w:r w:rsidRPr="008445BA">
        <w:t>orchards</w:t>
      </w:r>
      <w:proofErr w:type="gramEnd"/>
      <w:r w:rsidRPr="008445BA">
        <w:t xml:space="preserve"> from which </w:t>
      </w:r>
      <w:r>
        <w:t>longan fruit</w:t>
      </w:r>
      <w:r w:rsidRPr="008445BA">
        <w:t xml:space="preserve"> </w:t>
      </w:r>
      <w:r w:rsidRPr="00AF1C51">
        <w:t xml:space="preserve">are sourced can be identified so investigation and corrective action can be targeted rather than </w:t>
      </w:r>
      <w:r>
        <w:t>applied</w:t>
      </w:r>
      <w:r w:rsidRPr="00AF1C51">
        <w:t xml:space="preserve"> to all contributing export </w:t>
      </w:r>
      <w:r w:rsidRPr="008445BA">
        <w:t>orchards</w:t>
      </w:r>
      <w:r w:rsidRPr="00AF1C51">
        <w:t xml:space="preserve"> in the event that live pests are intercepted.</w:t>
      </w:r>
    </w:p>
    <w:p w:rsidR="00B52BB0" w:rsidRPr="00ED0EE7" w:rsidRDefault="00B52BB0" w:rsidP="003E074D">
      <w:pPr>
        <w:pBdr>
          <w:top w:val="single" w:sz="4" w:space="1" w:color="auto"/>
          <w:left w:val="single" w:sz="4" w:space="4" w:color="auto"/>
          <w:bottom w:val="single" w:sz="4" w:space="1" w:color="auto"/>
          <w:right w:val="single" w:sz="4" w:space="4" w:color="auto"/>
        </w:pBdr>
      </w:pPr>
      <w:r w:rsidRPr="008445BA">
        <w:t xml:space="preserve">It is </w:t>
      </w:r>
      <w:r>
        <w:t>recommended</w:t>
      </w:r>
      <w:r w:rsidRPr="008445BA">
        <w:t xml:space="preserve"> that PPD establishes a system to enable traceability to </w:t>
      </w:r>
      <w:r>
        <w:t>origins from which</w:t>
      </w:r>
      <w:r w:rsidRPr="008445BA">
        <w:t xml:space="preserve"> the </w:t>
      </w:r>
      <w:r>
        <w:t>longan fruit</w:t>
      </w:r>
      <w:r w:rsidRPr="008445BA">
        <w:t xml:space="preserve"> for export to Australia are sourced. PPD would be responsible for ensuring that export </w:t>
      </w:r>
      <w:r>
        <w:t>longan</w:t>
      </w:r>
      <w:r w:rsidRPr="008445BA">
        <w:t xml:space="preserve"> growers are aware of pests of </w:t>
      </w:r>
      <w:r>
        <w:t>biosecurity</w:t>
      </w:r>
      <w:r w:rsidRPr="008445BA">
        <w:t xml:space="preserve"> concern to Austral</w:t>
      </w:r>
      <w:r>
        <w:t>ia and agreed risk management measures</w:t>
      </w:r>
      <w:r w:rsidRPr="00ED0EE7">
        <w:t>.</w:t>
      </w:r>
    </w:p>
    <w:p w:rsidR="00B52BB0" w:rsidRDefault="00B52BB0" w:rsidP="003E074D">
      <w:pPr>
        <w:pStyle w:val="Heading4"/>
      </w:pPr>
      <w:r>
        <w:t xml:space="preserve">Registration of </w:t>
      </w:r>
      <w:r w:rsidRPr="005D2185">
        <w:t>packing houses and</w:t>
      </w:r>
      <w:r>
        <w:t xml:space="preserve"> treatment providers and auditing of procedures</w:t>
      </w:r>
    </w:p>
    <w:p w:rsidR="00B52BB0" w:rsidRDefault="00B52BB0" w:rsidP="003E074D">
      <w:r>
        <w:t>The objectives of this recommended procedure are to ensure that:</w:t>
      </w:r>
    </w:p>
    <w:p w:rsidR="00B52BB0" w:rsidRPr="008445BA" w:rsidRDefault="00B52BB0" w:rsidP="00B52BB0">
      <w:pPr>
        <w:pStyle w:val="ListBullet"/>
        <w:numPr>
          <w:ilvl w:val="0"/>
          <w:numId w:val="7"/>
        </w:numPr>
        <w:rPr>
          <w:color w:val="000000"/>
        </w:rPr>
      </w:pPr>
      <w:proofErr w:type="gramStart"/>
      <w:r>
        <w:lastRenderedPageBreak/>
        <w:t>longan</w:t>
      </w:r>
      <w:proofErr w:type="gramEnd"/>
      <w:r>
        <w:t xml:space="preserve"> fruit</w:t>
      </w:r>
      <w:r w:rsidRPr="008445BA">
        <w:t xml:space="preserve"> are sourced only from packing houses and treatment providers processing commercial quality </w:t>
      </w:r>
      <w:r>
        <w:t>longan fruit</w:t>
      </w:r>
      <w:r w:rsidRPr="008445BA">
        <w:t xml:space="preserve"> approved by PPD</w:t>
      </w:r>
      <w:r>
        <w:t>.</w:t>
      </w:r>
    </w:p>
    <w:p w:rsidR="00B52BB0" w:rsidRPr="008445BA" w:rsidRDefault="00B52BB0" w:rsidP="00B52BB0">
      <w:pPr>
        <w:pStyle w:val="ListBullet"/>
        <w:numPr>
          <w:ilvl w:val="0"/>
          <w:numId w:val="7"/>
        </w:numPr>
        <w:rPr>
          <w:color w:val="000000"/>
        </w:rPr>
      </w:pPr>
      <w:proofErr w:type="gramStart"/>
      <w:r w:rsidRPr="008445BA">
        <w:rPr>
          <w:color w:val="000000"/>
        </w:rPr>
        <w:t>treatment</w:t>
      </w:r>
      <w:proofErr w:type="gramEnd"/>
      <w:r w:rsidRPr="008445BA">
        <w:rPr>
          <w:color w:val="000000"/>
        </w:rPr>
        <w:t xml:space="preserve"> providers are capable of applying a treatment that suitably manages the target pests.</w:t>
      </w:r>
    </w:p>
    <w:p w:rsidR="00B52BB0" w:rsidRPr="005D2185" w:rsidRDefault="00B52BB0" w:rsidP="003E074D">
      <w:pPr>
        <w:pStyle w:val="ListBullet"/>
        <w:pBdr>
          <w:top w:val="single" w:sz="4" w:space="1" w:color="auto"/>
          <w:left w:val="single" w:sz="4" w:space="4" w:color="auto"/>
          <w:bottom w:val="single" w:sz="4" w:space="1" w:color="auto"/>
          <w:right w:val="single" w:sz="4" w:space="4" w:color="auto"/>
        </w:pBdr>
        <w:tabs>
          <w:tab w:val="clear" w:pos="567"/>
        </w:tabs>
        <w:ind w:left="0" w:firstLine="0"/>
      </w:pPr>
      <w:r w:rsidRPr="005D48A7">
        <w:t xml:space="preserve">Export packing houses are registered with PPD before the commencement of harvest each season. </w:t>
      </w:r>
      <w:r>
        <w:t>PPD must maintain a</w:t>
      </w:r>
      <w:r w:rsidRPr="005D2185">
        <w:t xml:space="preserve"> list of registered packing houses</w:t>
      </w:r>
      <w:r>
        <w:t>.</w:t>
      </w:r>
      <w:r w:rsidRPr="005D2185">
        <w:t xml:space="preserve"> </w:t>
      </w:r>
      <w:r>
        <w:t>PPD is</w:t>
      </w:r>
      <w:r w:rsidRPr="005D2185">
        <w:t xml:space="preserve"> required to ensure that the registered packing houses are suitably equipped and have a system in place to carry out the specified phytosanitary activities. Records of PPD audits would be made available to the Department of Agriculture and Water Resources upon request.</w:t>
      </w:r>
    </w:p>
    <w:p w:rsidR="00B52BB0" w:rsidRDefault="00B52BB0" w:rsidP="003E074D">
      <w:pPr>
        <w:pStyle w:val="ListBullet"/>
        <w:pBdr>
          <w:top w:val="single" w:sz="4" w:space="1" w:color="auto"/>
          <w:left w:val="single" w:sz="4" w:space="4" w:color="auto"/>
          <w:bottom w:val="single" w:sz="4" w:space="1" w:color="auto"/>
          <w:right w:val="single" w:sz="4" w:space="4" w:color="auto"/>
        </w:pBdr>
        <w:tabs>
          <w:tab w:val="clear" w:pos="567"/>
        </w:tabs>
        <w:ind w:left="0" w:firstLine="0"/>
      </w:pPr>
      <w:r>
        <w:t>In circumstances where longan fruit undergo treatment prior to export, this process must be undertaken by treatment providers that have been registered with and audited by PPD for that purpose. Records of PPD registration requirements and audits are to be made available to the Department of Agriculture and Water Resources upon request.</w:t>
      </w:r>
    </w:p>
    <w:p w:rsidR="00B52BB0" w:rsidRDefault="00B52BB0" w:rsidP="003E074D">
      <w:pPr>
        <w:pStyle w:val="ListBullet"/>
        <w:pBdr>
          <w:top w:val="single" w:sz="4" w:space="1" w:color="auto"/>
          <w:left w:val="single" w:sz="4" w:space="4" w:color="auto"/>
          <w:bottom w:val="single" w:sz="4" w:space="1" w:color="auto"/>
          <w:right w:val="single" w:sz="4" w:space="4" w:color="auto"/>
        </w:pBdr>
        <w:tabs>
          <w:tab w:val="clear" w:pos="567"/>
        </w:tabs>
        <w:ind w:left="0" w:firstLine="0"/>
      </w:pPr>
      <w:r>
        <w:t xml:space="preserve">The approval of treatment </w:t>
      </w:r>
      <w:r w:rsidR="003E074D">
        <w:t>providers by</w:t>
      </w:r>
      <w:r>
        <w:t xml:space="preserve"> PPD must include verification that suitable systems are in place to ensure compliance with the treatment requirements. This may include:</w:t>
      </w:r>
    </w:p>
    <w:p w:rsidR="00B52BB0" w:rsidRDefault="00B52BB0" w:rsidP="003E074D">
      <w:pPr>
        <w:pStyle w:val="ListBullet"/>
        <w:numPr>
          <w:ilvl w:val="0"/>
          <w:numId w:val="12"/>
        </w:numPr>
        <w:pBdr>
          <w:top w:val="single" w:sz="4" w:space="1" w:color="auto"/>
          <w:left w:val="single" w:sz="4" w:space="4" w:color="auto"/>
          <w:bottom w:val="single" w:sz="4" w:space="1" w:color="auto"/>
          <w:right w:val="single" w:sz="4" w:space="4" w:color="auto"/>
        </w:pBdr>
      </w:pPr>
      <w:r>
        <w:t>documented procedures to ensure longan fruit are appropriately treated and safeguarded post treatment</w:t>
      </w:r>
    </w:p>
    <w:p w:rsidR="00B52BB0" w:rsidRDefault="00B52BB0" w:rsidP="003E074D">
      <w:pPr>
        <w:pStyle w:val="ListBullet"/>
        <w:numPr>
          <w:ilvl w:val="0"/>
          <w:numId w:val="12"/>
        </w:numPr>
        <w:pBdr>
          <w:top w:val="single" w:sz="4" w:space="1" w:color="auto"/>
          <w:left w:val="single" w:sz="4" w:space="4" w:color="auto"/>
          <w:bottom w:val="single" w:sz="4" w:space="1" w:color="auto"/>
          <w:right w:val="single" w:sz="4" w:space="4" w:color="auto"/>
        </w:pBdr>
      </w:pPr>
      <w:r>
        <w:t>staff training to ensure compliance with procedures</w:t>
      </w:r>
    </w:p>
    <w:p w:rsidR="00B52BB0" w:rsidRDefault="00B52BB0" w:rsidP="003E074D">
      <w:pPr>
        <w:pStyle w:val="ListBullet"/>
        <w:numPr>
          <w:ilvl w:val="0"/>
          <w:numId w:val="12"/>
        </w:numPr>
        <w:pBdr>
          <w:top w:val="single" w:sz="4" w:space="1" w:color="auto"/>
          <w:left w:val="single" w:sz="4" w:space="4" w:color="auto"/>
          <w:bottom w:val="single" w:sz="4" w:space="1" w:color="auto"/>
          <w:right w:val="single" w:sz="4" w:space="4" w:color="auto"/>
        </w:pBdr>
      </w:pPr>
      <w:r>
        <w:t>record keeping procedures</w:t>
      </w:r>
    </w:p>
    <w:p w:rsidR="00B52BB0" w:rsidRDefault="00B52BB0" w:rsidP="003E074D">
      <w:pPr>
        <w:pStyle w:val="ListBullet"/>
        <w:numPr>
          <w:ilvl w:val="0"/>
          <w:numId w:val="12"/>
        </w:numPr>
        <w:pBdr>
          <w:top w:val="single" w:sz="4" w:space="1" w:color="auto"/>
          <w:left w:val="single" w:sz="4" w:space="4" w:color="auto"/>
          <w:bottom w:val="single" w:sz="4" w:space="1" w:color="auto"/>
          <w:right w:val="single" w:sz="4" w:space="4" w:color="auto"/>
        </w:pBdr>
      </w:pPr>
      <w:r>
        <w:t>suitability of facilities and equipment</w:t>
      </w:r>
    </w:p>
    <w:p w:rsidR="00B52BB0" w:rsidRDefault="00B52BB0" w:rsidP="003E074D">
      <w:pPr>
        <w:pStyle w:val="ListBullet"/>
        <w:numPr>
          <w:ilvl w:val="0"/>
          <w:numId w:val="12"/>
        </w:numPr>
        <w:pBdr>
          <w:top w:val="single" w:sz="4" w:space="1" w:color="auto"/>
          <w:left w:val="single" w:sz="4" w:space="4" w:color="auto"/>
          <w:bottom w:val="single" w:sz="4" w:space="1" w:color="auto"/>
          <w:right w:val="single" w:sz="4" w:space="4" w:color="auto"/>
        </w:pBdr>
      </w:pPr>
      <w:proofErr w:type="gramStart"/>
      <w:r>
        <w:t>compliance</w:t>
      </w:r>
      <w:proofErr w:type="gramEnd"/>
      <w:r>
        <w:t xml:space="preserve"> with PPD’s system of oversight of treatment application.</w:t>
      </w:r>
    </w:p>
    <w:p w:rsidR="00B52BB0" w:rsidRDefault="00B52BB0" w:rsidP="003E074D">
      <w:pPr>
        <w:pStyle w:val="Heading4"/>
      </w:pPr>
      <w:r>
        <w:t>Packaging, labelling and containers</w:t>
      </w:r>
    </w:p>
    <w:p w:rsidR="00B52BB0" w:rsidRDefault="00B52BB0" w:rsidP="003E074D">
      <w:r>
        <w:t>The objectives of this recommended procedure are to ensure that:</w:t>
      </w:r>
    </w:p>
    <w:p w:rsidR="00B52BB0" w:rsidRDefault="00B52BB0" w:rsidP="003E074D">
      <w:pPr>
        <w:pStyle w:val="ListBullet2"/>
        <w:numPr>
          <w:ilvl w:val="1"/>
          <w:numId w:val="16"/>
        </w:numPr>
        <w:ind w:hanging="397"/>
        <w:contextualSpacing w:val="0"/>
      </w:pPr>
      <w:r>
        <w:t xml:space="preserve">longan fruit intended for export to Australia, and associated packaging, are not contaminated by quarantine pests or regulated articles (as defined in ISPM 5: </w:t>
      </w:r>
      <w:r w:rsidRPr="00E164C1">
        <w:rPr>
          <w:i/>
        </w:rPr>
        <w:t xml:space="preserve">Glossary of phytosanitary terms </w:t>
      </w:r>
      <w:r>
        <w:rPr>
          <w:noProof/>
        </w:rPr>
        <w:t>(FAO 2019a)</w:t>
      </w:r>
      <w:r>
        <w:t>)</w:t>
      </w:r>
    </w:p>
    <w:p w:rsidR="00B52BB0" w:rsidRDefault="00B52BB0" w:rsidP="003E074D">
      <w:pPr>
        <w:pStyle w:val="ListBullet2"/>
        <w:numPr>
          <w:ilvl w:val="1"/>
          <w:numId w:val="16"/>
        </w:numPr>
        <w:ind w:hanging="397"/>
        <w:contextualSpacing w:val="0"/>
      </w:pPr>
      <w:r>
        <w:t>unprocessed packaging material, for example unprocessed plant material—which is not permitted entry, or may vector pests identified as not being on the pathway or pests not known to be associated with longan fruit—is not imported with the longan fruit</w:t>
      </w:r>
    </w:p>
    <w:p w:rsidR="00B52BB0" w:rsidRDefault="00B52BB0" w:rsidP="003E074D">
      <w:pPr>
        <w:pStyle w:val="ListBullet2"/>
        <w:numPr>
          <w:ilvl w:val="1"/>
          <w:numId w:val="16"/>
        </w:numPr>
        <w:ind w:hanging="397"/>
        <w:contextualSpacing w:val="0"/>
      </w:pPr>
      <w:r>
        <w:t xml:space="preserve">all wood material, containers and transport methods (non-commodity) used in packaging of longan fruit complies with </w:t>
      </w:r>
      <w:r w:rsidRPr="003813A2">
        <w:rPr>
          <w:noProof/>
        </w:rPr>
        <w:t xml:space="preserve">the </w:t>
      </w:r>
      <w:hyperlink r:id="rId45" w:history="1">
        <w:r w:rsidRPr="003813A2">
          <w:rPr>
            <w:rStyle w:val="Hyperlink"/>
            <w:iCs/>
          </w:rPr>
          <w:t>Non-commodity information requirements policy</w:t>
        </w:r>
      </w:hyperlink>
      <w:r w:rsidRPr="003813A2">
        <w:rPr>
          <w:noProof/>
        </w:rPr>
        <w:t xml:space="preserve"> </w:t>
      </w:r>
      <w:r>
        <w:rPr>
          <w:noProof/>
        </w:rPr>
        <w:t>(Department of Agriculture and Water Resources 2016b)</w:t>
      </w:r>
    </w:p>
    <w:p w:rsidR="00B52BB0" w:rsidRDefault="00B52BB0" w:rsidP="003E074D">
      <w:pPr>
        <w:pStyle w:val="ListBullet2"/>
        <w:numPr>
          <w:ilvl w:val="1"/>
          <w:numId w:val="16"/>
        </w:numPr>
        <w:ind w:hanging="397"/>
        <w:contextualSpacing w:val="0"/>
      </w:pPr>
      <w:proofErr w:type="gramStart"/>
      <w:r>
        <w:t>secure</w:t>
      </w:r>
      <w:proofErr w:type="gramEnd"/>
      <w:r>
        <w:t xml:space="preserve"> packaging is used for export of longan fruit to Australia to prevent re-infestation during storage and transport and to prevent escape of pests during clearance procedures on arrival in Australia. Packaging must meet Australia’s </w:t>
      </w:r>
      <w:r w:rsidRPr="003466D7">
        <w:rPr>
          <w:iCs/>
        </w:rPr>
        <w:t>secure packing options</w:t>
      </w:r>
      <w:r w:rsidRPr="00BB1AB6">
        <w:t xml:space="preserve"> published on </w:t>
      </w:r>
      <w:r>
        <w:t xml:space="preserve">the department’s </w:t>
      </w:r>
      <w:r w:rsidRPr="00BB1AB6">
        <w:t xml:space="preserve">BICON </w:t>
      </w:r>
      <w:r>
        <w:t xml:space="preserve">database </w:t>
      </w:r>
      <w:r w:rsidRPr="00BB1AB6">
        <w:t xml:space="preserve">at </w:t>
      </w:r>
      <w:hyperlink r:id="rId46" w:history="1">
        <w:r w:rsidRPr="005E1CC0">
          <w:rPr>
            <w:rStyle w:val="Hyperlink"/>
          </w:rPr>
          <w:t>https://bicon.agriculture.gov.au/BiconWeb4.0/ViewElement/Element/Index?elementPk=914691&amp;caseElementPk=992680</w:t>
        </w:r>
      </w:hyperlink>
    </w:p>
    <w:p w:rsidR="00B52BB0" w:rsidRPr="005D2185" w:rsidRDefault="00B52BB0" w:rsidP="003E074D">
      <w:pPr>
        <w:pStyle w:val="ListBullet2"/>
        <w:numPr>
          <w:ilvl w:val="1"/>
          <w:numId w:val="16"/>
        </w:numPr>
        <w:ind w:hanging="397"/>
        <w:contextualSpacing w:val="0"/>
      </w:pPr>
      <w:proofErr w:type="gramStart"/>
      <w:r w:rsidRPr="005D2185">
        <w:t>the</w:t>
      </w:r>
      <w:proofErr w:type="gramEnd"/>
      <w:r w:rsidRPr="005D2185">
        <w:t xml:space="preserve"> packaged longan fruit are labelled with sufficient identification for the purposes of traceability. This may include:</w:t>
      </w:r>
    </w:p>
    <w:p w:rsidR="00B52BB0" w:rsidRPr="005D2185" w:rsidRDefault="00B52BB0" w:rsidP="003E074D">
      <w:pPr>
        <w:pStyle w:val="ListBullet2"/>
        <w:numPr>
          <w:ilvl w:val="1"/>
          <w:numId w:val="17"/>
        </w:numPr>
        <w:ind w:left="794" w:hanging="397"/>
        <w:contextualSpacing w:val="0"/>
      </w:pPr>
      <w:r w:rsidRPr="005D2185">
        <w:t>for treated product: the treatment facility name/number and treatment identification reference/number</w:t>
      </w:r>
    </w:p>
    <w:p w:rsidR="00B52BB0" w:rsidRPr="005D2185" w:rsidRDefault="00B52BB0" w:rsidP="003E074D">
      <w:pPr>
        <w:pStyle w:val="ListBullet2"/>
        <w:numPr>
          <w:ilvl w:val="1"/>
          <w:numId w:val="17"/>
        </w:numPr>
        <w:ind w:left="794" w:hanging="397"/>
        <w:contextualSpacing w:val="0"/>
      </w:pPr>
      <w:r w:rsidRPr="005D2185">
        <w:t>for longan fruit where the measures include orchard freedom/area freedom/pest free place of production: the orchard reference/number</w:t>
      </w:r>
    </w:p>
    <w:p w:rsidR="00B52BB0" w:rsidRPr="005D2185" w:rsidRDefault="00B52BB0" w:rsidP="003E074D">
      <w:pPr>
        <w:pStyle w:val="ListBullet2"/>
        <w:numPr>
          <w:ilvl w:val="1"/>
          <w:numId w:val="17"/>
        </w:numPr>
        <w:ind w:left="794" w:hanging="397"/>
        <w:contextualSpacing w:val="0"/>
      </w:pPr>
      <w:proofErr w:type="gramStart"/>
      <w:r w:rsidRPr="005D2185">
        <w:lastRenderedPageBreak/>
        <w:t>for</w:t>
      </w:r>
      <w:proofErr w:type="gramEnd"/>
      <w:r w:rsidRPr="005D2185">
        <w:t xml:space="preserve"> longan fruit where phytosanitary measures are applied at the packing house: packing house reference/number.</w:t>
      </w:r>
    </w:p>
    <w:p w:rsidR="00B52BB0" w:rsidRDefault="00B52BB0" w:rsidP="003E074D">
      <w:pPr>
        <w:pBdr>
          <w:top w:val="single" w:sz="4" w:space="1" w:color="auto"/>
          <w:left w:val="single" w:sz="4" w:space="4" w:color="auto"/>
          <w:bottom w:val="single" w:sz="4" w:space="1" w:color="auto"/>
          <w:right w:val="single" w:sz="4" w:space="4" w:color="auto"/>
        </w:pBdr>
      </w:pPr>
      <w:r>
        <w:rPr>
          <w:color w:val="000000"/>
        </w:rPr>
        <w:t>Export packing houses and treatment providers (where applicable) must ensure clean, new packaging and labelling are appropriate to maintain phytosanitary status of the export consignments.</w:t>
      </w:r>
    </w:p>
    <w:p w:rsidR="00B52BB0" w:rsidRDefault="00B52BB0" w:rsidP="003E074D">
      <w:pPr>
        <w:pStyle w:val="Heading4"/>
      </w:pPr>
      <w:r>
        <w:t>Specific conditions for storage and movement</w:t>
      </w:r>
    </w:p>
    <w:p w:rsidR="00B52BB0" w:rsidRDefault="00B52BB0" w:rsidP="003E074D">
      <w:r>
        <w:t>The objective of this recommended procedure is to ensure that the quarantine integrity of the commodity during storage and movement is maintained.</w:t>
      </w:r>
    </w:p>
    <w:p w:rsidR="00B52BB0" w:rsidRDefault="00B52BB0" w:rsidP="003E074D">
      <w:pPr>
        <w:pBdr>
          <w:top w:val="single" w:sz="4" w:space="1" w:color="auto"/>
          <w:left w:val="single" w:sz="4" w:space="4" w:color="auto"/>
          <w:bottom w:val="single" w:sz="4" w:space="1" w:color="auto"/>
          <w:right w:val="single" w:sz="4" w:space="4" w:color="auto"/>
        </w:pBdr>
      </w:pPr>
      <w:r w:rsidRPr="00C83F57">
        <w:t>Longan</w:t>
      </w:r>
      <w:r>
        <w:t xml:space="preserve"> fruit</w:t>
      </w:r>
      <w:r w:rsidRPr="00C83F57">
        <w:t xml:space="preserve"> </w:t>
      </w:r>
      <w:r w:rsidRPr="00DD4B2D">
        <w:t xml:space="preserve">for export to Australia that have been treated and/or inspected must be kept secure and segregated at all times from any fruit for domestic or other markets, </w:t>
      </w:r>
      <w:r>
        <w:t xml:space="preserve">and </w:t>
      </w:r>
      <w:r w:rsidRPr="00DD4B2D">
        <w:t>untreated/non pre-inspected product, to prevent mixing or cross-contaminatio</w:t>
      </w:r>
      <w:r>
        <w:t>n.</w:t>
      </w:r>
    </w:p>
    <w:p w:rsidR="00B52BB0" w:rsidRDefault="00B52BB0" w:rsidP="003E074D">
      <w:pPr>
        <w:pStyle w:val="Heading4"/>
      </w:pPr>
      <w:r>
        <w:t>Freedom from trash</w:t>
      </w:r>
    </w:p>
    <w:p w:rsidR="00B52BB0" w:rsidRDefault="00B52BB0" w:rsidP="003E074D">
      <w:r>
        <w:t xml:space="preserve">The objective of this recommended procedure is to ensure that </w:t>
      </w:r>
      <w:r w:rsidRPr="00C83F57">
        <w:t xml:space="preserve">longan fruit </w:t>
      </w:r>
      <w:r>
        <w:t xml:space="preserve">for export </w:t>
      </w:r>
      <w:r w:rsidRPr="00C83F57">
        <w:t>are</w:t>
      </w:r>
      <w:r w:rsidRPr="00EA67F1">
        <w:t xml:space="preserve"> </w:t>
      </w:r>
      <w:r>
        <w:t>free from trash (for example, loose stem and leaf material, seeds, soil, animal matter/parts or other extraneous material) and foreign matter.</w:t>
      </w:r>
    </w:p>
    <w:p w:rsidR="00B52BB0" w:rsidRDefault="00B52BB0" w:rsidP="003E074D">
      <w:pPr>
        <w:pBdr>
          <w:top w:val="single" w:sz="4" w:space="1" w:color="auto"/>
          <w:left w:val="single" w:sz="4" w:space="4" w:color="auto"/>
          <w:bottom w:val="single" w:sz="4" w:space="1" w:color="auto"/>
          <w:right w:val="single" w:sz="4" w:space="4" w:color="auto"/>
        </w:pBdr>
      </w:pPr>
      <w:r>
        <w:t>Freedom from trash will be confirmed by the inspection procedures. Export lots or consignments found to contain trash or foreign matter should be withdrawn from export unless approved remedial action such as reconditioning is available and applied to the export consignment and then re-inspected.</w:t>
      </w:r>
    </w:p>
    <w:p w:rsidR="00B52BB0" w:rsidRPr="00D11707" w:rsidRDefault="00B52BB0" w:rsidP="003E074D">
      <w:pPr>
        <w:pStyle w:val="Heading4"/>
        <w:rPr>
          <w:color w:val="000000" w:themeColor="text1"/>
        </w:rPr>
      </w:pPr>
      <w:r w:rsidRPr="00D11707">
        <w:rPr>
          <w:color w:val="000000" w:themeColor="text1"/>
        </w:rPr>
        <w:t xml:space="preserve">Pre-export phytosanitary inspection and certification by </w:t>
      </w:r>
      <w:r w:rsidRPr="00C83F57">
        <w:t>PPD</w:t>
      </w:r>
    </w:p>
    <w:p w:rsidR="00B52BB0" w:rsidRDefault="00B52BB0" w:rsidP="003E074D">
      <w:r>
        <w:t>The objectives of this recommended procedure are to ensure that Australia’s import conditions have been met.</w:t>
      </w:r>
    </w:p>
    <w:p w:rsidR="00B52BB0" w:rsidRDefault="00B52BB0" w:rsidP="003E074D">
      <w:pPr>
        <w:pStyle w:val="ListBullet"/>
        <w:pBdr>
          <w:top w:val="single" w:sz="4" w:space="1" w:color="auto"/>
          <w:left w:val="single" w:sz="4" w:space="4" w:color="auto"/>
          <w:bottom w:val="single" w:sz="4" w:space="1" w:color="auto"/>
          <w:right w:val="single" w:sz="4" w:space="4" w:color="auto"/>
        </w:pBdr>
        <w:tabs>
          <w:tab w:val="clear" w:pos="567"/>
        </w:tabs>
        <w:ind w:left="0" w:firstLine="0"/>
      </w:pPr>
      <w:r>
        <w:t xml:space="preserve">All consignments have been inspected in accordance with official procedures for all visually-detectable quarantine pests and other regulated articles (including soil, animal and plant debris) using random samples of 600 units per phytosanitary certificate, or equivalent (as defined in ISPM 31: </w:t>
      </w:r>
      <w:r>
        <w:rPr>
          <w:i/>
        </w:rPr>
        <w:t>Methodologies for sampling consignments</w:t>
      </w:r>
      <w:r>
        <w:t xml:space="preserve"> </w:t>
      </w:r>
      <w:r>
        <w:rPr>
          <w:noProof/>
        </w:rPr>
        <w:t>(FAO 2016e)</w:t>
      </w:r>
      <w:r>
        <w:t>). One unit is considered to be a single longan fruit.</w:t>
      </w:r>
    </w:p>
    <w:p w:rsidR="00B52BB0" w:rsidRDefault="00B52BB0" w:rsidP="003E074D">
      <w:pPr>
        <w:pStyle w:val="ListBullet"/>
        <w:pBdr>
          <w:top w:val="single" w:sz="4" w:space="1" w:color="auto"/>
          <w:left w:val="single" w:sz="4" w:space="4" w:color="auto"/>
          <w:bottom w:val="single" w:sz="4" w:space="1" w:color="auto"/>
          <w:right w:val="single" w:sz="4" w:space="4" w:color="auto"/>
        </w:pBdr>
        <w:tabs>
          <w:tab w:val="clear" w:pos="567"/>
        </w:tabs>
        <w:ind w:left="0" w:firstLine="0"/>
      </w:pPr>
      <w:r>
        <w:t>A phytosanitary certificate (PC) is issued for each consignment upon completion of pre-export inspection to verify that the required risk management measures have been undertaken offshore and the consignment meets Australia’s import requirements.</w:t>
      </w:r>
    </w:p>
    <w:p w:rsidR="00B52BB0" w:rsidRDefault="00B52BB0" w:rsidP="003E074D">
      <w:pPr>
        <w:pStyle w:val="ListBullet"/>
        <w:pBdr>
          <w:top w:val="single" w:sz="4" w:space="1" w:color="auto"/>
          <w:left w:val="single" w:sz="4" w:space="4" w:color="auto"/>
          <w:bottom w:val="single" w:sz="4" w:space="1" w:color="auto"/>
          <w:right w:val="single" w:sz="4" w:space="4" w:color="auto"/>
        </w:pBdr>
        <w:tabs>
          <w:tab w:val="clear" w:pos="567"/>
        </w:tabs>
        <w:ind w:left="0" w:firstLine="0"/>
      </w:pPr>
      <w:r>
        <w:t>Each PC includes:</w:t>
      </w:r>
    </w:p>
    <w:p w:rsidR="00B52BB0" w:rsidRPr="00A42883" w:rsidRDefault="00B52BB0" w:rsidP="003E074D">
      <w:pPr>
        <w:pStyle w:val="ListBullet"/>
        <w:numPr>
          <w:ilvl w:val="0"/>
          <w:numId w:val="12"/>
        </w:numPr>
        <w:pBdr>
          <w:top w:val="single" w:sz="4" w:space="1" w:color="auto"/>
          <w:left w:val="single" w:sz="4" w:space="4" w:color="auto"/>
          <w:bottom w:val="single" w:sz="4" w:space="1" w:color="auto"/>
          <w:right w:val="single" w:sz="4" w:space="4" w:color="auto"/>
        </w:pBdr>
      </w:pPr>
      <w:r w:rsidRPr="004852CC">
        <w:t xml:space="preserve">a description of the consignment (including </w:t>
      </w:r>
      <w:r>
        <w:t>traceability information</w:t>
      </w:r>
      <w:r w:rsidRPr="004852CC">
        <w:t>)</w:t>
      </w:r>
      <w:r>
        <w:t>;</w:t>
      </w:r>
    </w:p>
    <w:p w:rsidR="00B52BB0" w:rsidRPr="004852CC" w:rsidRDefault="00B52BB0" w:rsidP="003E074D">
      <w:pPr>
        <w:pStyle w:val="ListBullet"/>
        <w:numPr>
          <w:ilvl w:val="0"/>
          <w:numId w:val="12"/>
        </w:numPr>
        <w:pBdr>
          <w:top w:val="single" w:sz="4" w:space="1" w:color="auto"/>
          <w:left w:val="single" w:sz="4" w:space="4" w:color="auto"/>
          <w:bottom w:val="single" w:sz="4" w:space="1" w:color="auto"/>
          <w:right w:val="single" w:sz="4" w:space="4" w:color="auto"/>
        </w:pBdr>
      </w:pPr>
      <w:r w:rsidRPr="00F566DE">
        <w:t>details of disinfestation treatments (for example, methyl bromide fumigation) which includes date</w:t>
      </w:r>
      <w:r>
        <w:t>, concentration, temperature, duration, and/or attached fumigation certificate (as appropriate);</w:t>
      </w:r>
    </w:p>
    <w:p w:rsidR="00B52BB0" w:rsidRPr="00106D30" w:rsidRDefault="00B52BB0" w:rsidP="003E074D">
      <w:pPr>
        <w:pStyle w:val="ListBullet"/>
        <w:numPr>
          <w:ilvl w:val="0"/>
          <w:numId w:val="12"/>
        </w:numPr>
        <w:pBdr>
          <w:top w:val="single" w:sz="4" w:space="1" w:color="auto"/>
          <w:left w:val="single" w:sz="4" w:space="4" w:color="auto"/>
          <w:bottom w:val="single" w:sz="4" w:space="1" w:color="auto"/>
          <w:right w:val="single" w:sz="4" w:space="4" w:color="auto"/>
        </w:pBdr>
      </w:pPr>
      <w:proofErr w:type="gramStart"/>
      <w:r>
        <w:t>any</w:t>
      </w:r>
      <w:proofErr w:type="gramEnd"/>
      <w:r>
        <w:t xml:space="preserve"> </w:t>
      </w:r>
      <w:r w:rsidRPr="00106D30">
        <w:t>other statements that may be requi</w:t>
      </w:r>
      <w:r>
        <w:t>red, such as identification of the consignment as being sourced from a recognised pest free area.</w:t>
      </w:r>
    </w:p>
    <w:p w:rsidR="00B52BB0" w:rsidRDefault="00B52BB0" w:rsidP="003E074D">
      <w:pPr>
        <w:pStyle w:val="Heading4"/>
      </w:pPr>
      <w:r>
        <w:t>Phytosanitary inspection by the Department of Agriculture and Water Resources</w:t>
      </w:r>
    </w:p>
    <w:p w:rsidR="00B52BB0" w:rsidRDefault="00B52BB0" w:rsidP="003E074D">
      <w:r>
        <w:t>The objectives of this recommended procedure are to ensure that:</w:t>
      </w:r>
    </w:p>
    <w:p w:rsidR="00B52BB0" w:rsidRDefault="00B52BB0" w:rsidP="00B52BB0">
      <w:pPr>
        <w:pStyle w:val="ListBullet"/>
        <w:numPr>
          <w:ilvl w:val="0"/>
          <w:numId w:val="7"/>
        </w:numPr>
      </w:pPr>
      <w:r>
        <w:lastRenderedPageBreak/>
        <w:t>consignments comply with Australian import requirements</w:t>
      </w:r>
    </w:p>
    <w:p w:rsidR="00B52BB0" w:rsidRDefault="00B52BB0" w:rsidP="00B52BB0">
      <w:pPr>
        <w:pStyle w:val="ListBullet"/>
        <w:numPr>
          <w:ilvl w:val="0"/>
          <w:numId w:val="7"/>
        </w:numPr>
      </w:pPr>
      <w:r>
        <w:t>consignments are as described on the phytosanitary certificate</w:t>
      </w:r>
    </w:p>
    <w:p w:rsidR="00B52BB0" w:rsidRDefault="00B52BB0" w:rsidP="00B52BB0">
      <w:pPr>
        <w:pStyle w:val="ListBullet"/>
        <w:numPr>
          <w:ilvl w:val="0"/>
          <w:numId w:val="7"/>
        </w:numPr>
      </w:pPr>
      <w:proofErr w:type="gramStart"/>
      <w:r>
        <w:t>quarantine</w:t>
      </w:r>
      <w:proofErr w:type="gramEnd"/>
      <w:r>
        <w:t xml:space="preserve"> integrity has been maintained.</w:t>
      </w:r>
    </w:p>
    <w:p w:rsidR="00B52BB0" w:rsidRDefault="00B52BB0" w:rsidP="003E074D">
      <w:pPr>
        <w:pStyle w:val="ListBullet"/>
        <w:pBdr>
          <w:top w:val="single" w:sz="4" w:space="1" w:color="auto"/>
          <w:left w:val="single" w:sz="4" w:space="4" w:color="auto"/>
          <w:bottom w:val="single" w:sz="4" w:space="1" w:color="auto"/>
          <w:right w:val="single" w:sz="4" w:space="4" w:color="auto"/>
        </w:pBdr>
        <w:tabs>
          <w:tab w:val="clear" w:pos="567"/>
        </w:tabs>
        <w:ind w:left="0" w:firstLine="0"/>
      </w:pPr>
      <w:r>
        <w:t>On arrival in Australia, the Department of Agriculture and Water Resources will:</w:t>
      </w:r>
    </w:p>
    <w:p w:rsidR="00B52BB0" w:rsidRDefault="00B52BB0" w:rsidP="003E074D">
      <w:pPr>
        <w:pStyle w:val="ListBullet"/>
        <w:numPr>
          <w:ilvl w:val="0"/>
          <w:numId w:val="12"/>
        </w:numPr>
        <w:pBdr>
          <w:top w:val="single" w:sz="4" w:space="1" w:color="auto"/>
          <w:left w:val="single" w:sz="4" w:space="4" w:color="auto"/>
          <w:bottom w:val="single" w:sz="4" w:space="1" w:color="auto"/>
          <w:right w:val="single" w:sz="4" w:space="4" w:color="auto"/>
        </w:pBdr>
      </w:pPr>
      <w:r>
        <w:t>assess documentation to verify that the consignment is as described on the phytosanitary certificate, that required phytosanitary actions have been undertaken, and that product security has been maintained</w:t>
      </w:r>
    </w:p>
    <w:p w:rsidR="00B52BB0" w:rsidRDefault="00B52BB0" w:rsidP="003E074D">
      <w:pPr>
        <w:pStyle w:val="ListBullet"/>
        <w:numPr>
          <w:ilvl w:val="0"/>
          <w:numId w:val="12"/>
        </w:numPr>
        <w:pBdr>
          <w:top w:val="single" w:sz="4" w:space="1" w:color="auto"/>
          <w:left w:val="single" w:sz="4" w:space="4" w:color="auto"/>
          <w:bottom w:val="single" w:sz="4" w:space="1" w:color="auto"/>
          <w:right w:val="single" w:sz="4" w:space="4" w:color="auto"/>
        </w:pBdr>
      </w:pPr>
      <w:proofErr w:type="gramStart"/>
      <w:r>
        <w:t>verify</w:t>
      </w:r>
      <w:proofErr w:type="gramEnd"/>
      <w:r>
        <w:t xml:space="preserve"> that the biosecurity status of consignments of longan fruit from Vietnam meet Australia’s import conditions. When inspecting consignments, the department will use random samples of 600 units per phytosanitary certificate and inspection methods suitable for the commodity.</w:t>
      </w:r>
    </w:p>
    <w:p w:rsidR="00B52BB0" w:rsidRDefault="00B52BB0" w:rsidP="003E074D">
      <w:pPr>
        <w:pStyle w:val="Heading4"/>
      </w:pPr>
      <w:r>
        <w:t>Remedial action(s) for non-compliance</w:t>
      </w:r>
    </w:p>
    <w:p w:rsidR="00B52BB0" w:rsidRDefault="00B52BB0">
      <w:r>
        <w:t>The objectives of remedial action(s) for non-compliance are to ensure that:</w:t>
      </w:r>
    </w:p>
    <w:p w:rsidR="00B52BB0" w:rsidRDefault="00B52BB0" w:rsidP="00B52BB0">
      <w:pPr>
        <w:pStyle w:val="ListBullet"/>
        <w:numPr>
          <w:ilvl w:val="0"/>
          <w:numId w:val="7"/>
        </w:numPr>
      </w:pPr>
      <w:r>
        <w:t>any quarantine pest or regulated article, including trash, is addressed by remedial action, as appropriate</w:t>
      </w:r>
    </w:p>
    <w:p w:rsidR="00B52BB0" w:rsidRDefault="00B52BB0" w:rsidP="00B52BB0">
      <w:pPr>
        <w:pStyle w:val="ListBullet"/>
        <w:numPr>
          <w:ilvl w:val="0"/>
          <w:numId w:val="7"/>
        </w:numPr>
      </w:pPr>
      <w:proofErr w:type="gramStart"/>
      <w:r>
        <w:t>non-compliance</w:t>
      </w:r>
      <w:proofErr w:type="gramEnd"/>
      <w:r>
        <w:t xml:space="preserve"> with import requirements is addressed, as appropriate.</w:t>
      </w:r>
    </w:p>
    <w:p w:rsidR="00B52BB0" w:rsidRDefault="00B52BB0" w:rsidP="003E074D">
      <w:pPr>
        <w:pBdr>
          <w:top w:val="single" w:sz="4" w:space="1" w:color="auto"/>
          <w:left w:val="single" w:sz="4" w:space="4" w:color="auto"/>
          <w:bottom w:val="single" w:sz="4" w:space="1" w:color="auto"/>
          <w:right w:val="single" w:sz="4" w:space="4" w:color="auto"/>
        </w:pBdr>
      </w:pPr>
      <w:r>
        <w:t xml:space="preserve">Any consignment that fails to meet Australia’s import conditions is subject to a suitable remedial treatment </w:t>
      </w:r>
      <w:r w:rsidRPr="009B09DB">
        <w:t xml:space="preserve">where an effective treatment is available and biosecurity risks associated with applying the treatment can be effectively managed, or the imported consignment will be </w:t>
      </w:r>
      <w:r>
        <w:t>re–</w:t>
      </w:r>
      <w:r w:rsidRPr="009B09DB">
        <w:t>exported or destroyed.</w:t>
      </w:r>
    </w:p>
    <w:p w:rsidR="00B52BB0" w:rsidRDefault="00B52BB0">
      <w:r>
        <w:t xml:space="preserve">Other actions, </w:t>
      </w:r>
      <w:r w:rsidRPr="009B09DB">
        <w:t>including partial or complete suspension of the import pathway</w:t>
      </w:r>
      <w:r>
        <w:t>, may be taken depending on the identity and/or importance of the pest intercepted, for example fruit flies of economic importance.</w:t>
      </w:r>
    </w:p>
    <w:p w:rsidR="00B52BB0" w:rsidRDefault="00B52BB0">
      <w:r>
        <w:t xml:space="preserve">In the event that </w:t>
      </w:r>
      <w:r w:rsidRPr="00C83F57">
        <w:t xml:space="preserve">longan </w:t>
      </w:r>
      <w:r>
        <w:t>consignments are repeatedly non-compliant, the Department of Agriculture and Water Resources reserves the right to suspend imports (either all imports, or imports from specific pathways) and conduct an audit of the risk management systems. Imports will recommence only when the Department of Agriculture and Water Resources is satisfied that appropriate corrective action has been undertaken.</w:t>
      </w:r>
    </w:p>
    <w:p w:rsidR="00B52BB0" w:rsidRDefault="00B52BB0" w:rsidP="003E074D">
      <w:pPr>
        <w:pStyle w:val="Heading3"/>
      </w:pPr>
      <w:bookmarkStart w:id="108" w:name="_Toc389741459"/>
      <w:bookmarkStart w:id="109" w:name="_Toc7607690"/>
      <w:r>
        <w:t>Uncategorised pests</w:t>
      </w:r>
      <w:bookmarkEnd w:id="108"/>
      <w:bookmarkEnd w:id="109"/>
    </w:p>
    <w:p w:rsidR="00B52BB0" w:rsidRDefault="00B52BB0" w:rsidP="003E074D">
      <w:r>
        <w:t>If an organism that has not been categorised, including a contaminant pest, is detected on longan fruit</w:t>
      </w:r>
      <w:r w:rsidRPr="00C83F57">
        <w:t xml:space="preserve"> on</w:t>
      </w:r>
      <w:r>
        <w:t xml:space="preserve"> </w:t>
      </w:r>
      <w:r w:rsidRPr="00C83F57">
        <w:t xml:space="preserve">arrival in </w:t>
      </w:r>
      <w:r>
        <w:t>Australia, it will require assessment by</w:t>
      </w:r>
      <w:r w:rsidRPr="002E2E4A">
        <w:t xml:space="preserve"> </w:t>
      </w:r>
      <w:r>
        <w:t>the Department of Agriculture and Water Resources to determine its quarantine status and whether phytosanitary action is required.</w:t>
      </w:r>
    </w:p>
    <w:p w:rsidR="00B52BB0" w:rsidRDefault="00B52BB0" w:rsidP="003E074D">
      <w:r>
        <w:t>Assessment is also required if the detected species was categorised as not likely to be on the import pathway. If the detected species was categorised as on the pathway but assessed as having an unrestricted risk that achieves the ALOP for Australia, then it may require reassessment. The detection of any pests of biosecurity concern not already identified in the analysis may result in remedial action and/or temporary suspension of trade while a review is conducted to ensure that existing measures continue to provide the appropriate level of protection for Australia.</w:t>
      </w:r>
    </w:p>
    <w:p w:rsidR="00B52BB0" w:rsidRDefault="00B52BB0" w:rsidP="003E074D">
      <w:pPr>
        <w:pStyle w:val="Heading3"/>
      </w:pPr>
      <w:bookmarkStart w:id="110" w:name="_Toc7607691"/>
      <w:r>
        <w:lastRenderedPageBreak/>
        <w:t>Review of processes</w:t>
      </w:r>
      <w:bookmarkEnd w:id="110"/>
    </w:p>
    <w:p w:rsidR="00B52BB0" w:rsidRDefault="00B52BB0" w:rsidP="003E074D">
      <w:pPr>
        <w:pStyle w:val="Heading4"/>
      </w:pPr>
      <w:r>
        <w:t>Verification of protocol</w:t>
      </w:r>
    </w:p>
    <w:p w:rsidR="00B52BB0" w:rsidRPr="00846DB3" w:rsidRDefault="00B52BB0" w:rsidP="003E074D">
      <w:pPr>
        <w:rPr>
          <w:shd w:val="clear" w:color="auto" w:fill="DEEAF6" w:themeFill="accent1" w:themeFillTint="33"/>
        </w:rPr>
      </w:pPr>
      <w:r w:rsidRPr="00C83F57">
        <w:t xml:space="preserve">Prior to or during the first season of trade, the Department of Agriculture and Water Resources will verify the implementation of agreed import conditions and phytosanitary measures including registration, operational procedures and treatment providers, where applicable. This may involve representatives from the Department of Agriculture and Water Resources visiting areas in Vietnam that produce </w:t>
      </w:r>
      <w:r>
        <w:t>longan fruit</w:t>
      </w:r>
      <w:r w:rsidRPr="00C83F57">
        <w:t xml:space="preserve"> for export to Australia</w:t>
      </w:r>
      <w:r w:rsidRPr="00846DB3">
        <w:t>.</w:t>
      </w:r>
    </w:p>
    <w:p w:rsidR="00B52BB0" w:rsidRDefault="00B52BB0" w:rsidP="003E074D">
      <w:pPr>
        <w:pStyle w:val="Heading4"/>
      </w:pPr>
      <w:r>
        <w:t>Review of policy</w:t>
      </w:r>
    </w:p>
    <w:p w:rsidR="00B52BB0" w:rsidRDefault="00B52BB0" w:rsidP="003E074D">
      <w:r>
        <w:t>The Department of Agriculture and Water Resources will review the import policy after a suitable volume of trade has been achieved. In addition, the department reserves the right to review the import policy as deemed necessary, including if there is reason to believe that the pest or phytosanitary status in Vietnam has changed.</w:t>
      </w:r>
    </w:p>
    <w:p w:rsidR="00B52BB0" w:rsidRDefault="00B52BB0" w:rsidP="003E074D">
      <w:r>
        <w:t>PPD must inform the Department of Agriculture and Water Resources immediately on detection in Vietnam of any new pests of longan fruit that might be of potential biosecurity concern to Australia.</w:t>
      </w:r>
    </w:p>
    <w:p w:rsidR="00B52BB0" w:rsidRDefault="00B52BB0" w:rsidP="003E074D">
      <w:pPr>
        <w:pStyle w:val="Heading3"/>
      </w:pPr>
      <w:bookmarkStart w:id="111" w:name="_Toc7607692"/>
      <w:r>
        <w:t>Meeting Australia’s food laws</w:t>
      </w:r>
      <w:bookmarkEnd w:id="111"/>
    </w:p>
    <w:p w:rsidR="00B52BB0" w:rsidRDefault="00B52BB0" w:rsidP="003E074D">
      <w:pPr>
        <w:rPr>
          <w:rFonts w:eastAsiaTheme="minorEastAsia" w:cs="Times New Roman"/>
        </w:rPr>
      </w:pPr>
      <w:r>
        <w:t xml:space="preserve">Imported food for human consumption must comply with the requirements of the </w:t>
      </w:r>
      <w:r>
        <w:rPr>
          <w:i/>
          <w:iCs/>
        </w:rPr>
        <w:t>Imported Food Control Act 1992</w:t>
      </w:r>
      <w:r>
        <w:t>, as well as Australian state and territory food laws. Among other things, these laws require all food, including imported food, to meet the standards set out in the Australia New Zealand Food Standards Code (the Code).</w:t>
      </w:r>
    </w:p>
    <w:p w:rsidR="00B52BB0" w:rsidRDefault="00B52BB0" w:rsidP="003E074D">
      <w:r>
        <w:t xml:space="preserve">The Department of Agriculture and Water Resources administers the </w:t>
      </w:r>
      <w:r>
        <w:rPr>
          <w:i/>
          <w:iCs/>
        </w:rPr>
        <w:t>Imported Food Control Act 1992</w:t>
      </w:r>
      <w:r>
        <w:t xml:space="preserve">. This legislation provides for the inspection and control of imported food using a risk-based border inspection program, the Imported Food Inspection Scheme. More information on this inspection scheme, including the testing of imported food, is available from the </w:t>
      </w:r>
      <w:hyperlink r:id="rId47" w:history="1">
        <w:r>
          <w:rPr>
            <w:rStyle w:val="Hyperlink"/>
          </w:rPr>
          <w:t>department’s website</w:t>
        </w:r>
      </w:hyperlink>
      <w:r>
        <w:t>.</w:t>
      </w:r>
    </w:p>
    <w:p w:rsidR="00B52BB0" w:rsidRDefault="00B52BB0" w:rsidP="003E074D">
      <w:r>
        <w:t xml:space="preserve">Food Standards Australia New Zealand (FSANZ) is responsible for developing and maintaining the Code, including Standard 1.4.2 - Agvet chemicals. This standard is available on the </w:t>
      </w:r>
      <w:hyperlink r:id="rId48" w:history="1">
        <w:r>
          <w:rPr>
            <w:rStyle w:val="Hyperlink"/>
          </w:rPr>
          <w:t>Federal Register of Legislation</w:t>
        </w:r>
      </w:hyperlink>
      <w:r>
        <w:t xml:space="preserve"> or through the </w:t>
      </w:r>
      <w:hyperlink r:id="rId49" w:history="1">
        <w:r>
          <w:rPr>
            <w:rStyle w:val="Hyperlink"/>
          </w:rPr>
          <w:t>FSANZ website</w:t>
        </w:r>
      </w:hyperlink>
      <w:r>
        <w:t>.</w:t>
      </w:r>
    </w:p>
    <w:p w:rsidR="00B52BB0" w:rsidRDefault="00B52BB0" w:rsidP="003E074D">
      <w:r>
        <w:t>Standard 1.4.2 and Schedules 20 and 21 of the Code set out the maximum residue limits (MRLs) and extraneous residue limits (ERLs) for agricultural or veterinary chemicals that are permitted in food, including imported food.</w:t>
      </w:r>
    </w:p>
    <w:p w:rsidR="00B52BB0" w:rsidRDefault="00B52BB0" w:rsidP="003E074D">
      <w:r>
        <w:t xml:space="preserve">Standard 1.1.1 of the Code specifies that a food must not have, as an ingredient or a component, a detectable amount of an </w:t>
      </w:r>
      <w:r w:rsidR="003E074D">
        <w:t>Agvet</w:t>
      </w:r>
      <w:r>
        <w:t xml:space="preserve"> chemical or a metabolite or a degradation product of the </w:t>
      </w:r>
      <w:r w:rsidR="003E074D">
        <w:t>Agvet</w:t>
      </w:r>
      <w:r>
        <w:t xml:space="preserve"> chemical, unless expressly permitted by the Code.</w:t>
      </w:r>
    </w:p>
    <w:p w:rsidR="00B52BB0" w:rsidRDefault="00B52BB0" w:rsidP="003E074D">
      <w:r>
        <w:t>Standard 1.5.3 of the code stipulates the mandatory requirements where irradiation is applied as a phytosanitary measure, including the permitted fruit and vegetables, sources of irradiation, minimum and a maximum absorbed dose, and the record-keeping and labelling requirements for irradiated produce.</w:t>
      </w:r>
    </w:p>
    <w:p w:rsidR="00B52BB0" w:rsidRDefault="00B52BB0">
      <w:pPr>
        <w:sectPr w:rsidR="00B52BB0" w:rsidSect="003E074D">
          <w:headerReference w:type="default" r:id="rId50"/>
          <w:pgSz w:w="11906" w:h="16838"/>
          <w:pgMar w:top="1418" w:right="1418" w:bottom="1418" w:left="1418" w:header="567" w:footer="283" w:gutter="0"/>
          <w:cols w:space="708"/>
          <w:docGrid w:linePitch="360"/>
        </w:sectPr>
      </w:pPr>
    </w:p>
    <w:p w:rsidR="00B52BB0" w:rsidRDefault="00B52BB0" w:rsidP="003E074D">
      <w:pPr>
        <w:pStyle w:val="Heading2"/>
      </w:pPr>
      <w:bookmarkStart w:id="112" w:name="_Toc7607693"/>
      <w:r>
        <w:lastRenderedPageBreak/>
        <w:t>Conclusion</w:t>
      </w:r>
      <w:bookmarkEnd w:id="112"/>
    </w:p>
    <w:p w:rsidR="00B52BB0" w:rsidRPr="00DD5F41" w:rsidRDefault="00B52BB0" w:rsidP="003E074D">
      <w:r>
        <w:t xml:space="preserve">The findings </w:t>
      </w:r>
      <w:r w:rsidRPr="00DD5F41">
        <w:t xml:space="preserve">of this </w:t>
      </w:r>
      <w:r>
        <w:t>final</w:t>
      </w:r>
      <w:r w:rsidRPr="00DD5F41">
        <w:t xml:space="preserve"> risk analysis for </w:t>
      </w:r>
      <w:r>
        <w:t xml:space="preserve">fresh </w:t>
      </w:r>
      <w:r w:rsidRPr="00DD5F41">
        <w:t xml:space="preserve">longan </w:t>
      </w:r>
      <w:r>
        <w:t xml:space="preserve">fruit </w:t>
      </w:r>
      <w:r w:rsidRPr="00DD5F41">
        <w:t>from Vietnam are based on a comprehensive scientific a</w:t>
      </w:r>
      <w:r>
        <w:t>nalysis of relevant literature.</w:t>
      </w:r>
    </w:p>
    <w:p w:rsidR="00B52BB0" w:rsidRPr="00DD5F41" w:rsidRDefault="00B52BB0" w:rsidP="003E074D">
      <w:r w:rsidRPr="00DD5F41">
        <w:t xml:space="preserve">The Department of Agriculture and Water Resources considers that the risk management measures </w:t>
      </w:r>
      <w:r>
        <w:t>recommended</w:t>
      </w:r>
      <w:r w:rsidRPr="00DD5F41">
        <w:t xml:space="preserve"> in this report will provide an appropriate level of protection against the pests identified as associated with the trade of</w:t>
      </w:r>
      <w:r>
        <w:t xml:space="preserve"> fresh</w:t>
      </w:r>
      <w:r w:rsidRPr="00DD5F41">
        <w:t xml:space="preserve"> longan fruit from Vietnam.</w:t>
      </w:r>
    </w:p>
    <w:p w:rsidR="00B52BB0" w:rsidRDefault="00B52BB0" w:rsidP="003E074D"/>
    <w:p w:rsidR="00B52BB0" w:rsidRDefault="00B52BB0" w:rsidP="003E074D">
      <w:pPr>
        <w:sectPr w:rsidR="00B52BB0">
          <w:headerReference w:type="default" r:id="rId51"/>
          <w:pgSz w:w="11906" w:h="16838"/>
          <w:pgMar w:top="1418" w:right="1418" w:bottom="1418" w:left="1418" w:header="567" w:footer="283" w:gutter="0"/>
          <w:cols w:space="708"/>
          <w:docGrid w:linePitch="360"/>
        </w:sectPr>
      </w:pPr>
    </w:p>
    <w:p w:rsidR="00B52BB0" w:rsidRDefault="00B52BB0" w:rsidP="003E074D">
      <w:pPr>
        <w:pStyle w:val="Heading2"/>
        <w:numPr>
          <w:ilvl w:val="0"/>
          <w:numId w:val="0"/>
        </w:numPr>
      </w:pPr>
      <w:bookmarkStart w:id="113" w:name="_Toc7607694"/>
      <w:r>
        <w:lastRenderedPageBreak/>
        <w:t xml:space="preserve">Appendix A: Initiation and categorisation for pests of fresh </w:t>
      </w:r>
      <w:r w:rsidRPr="004C418B">
        <w:t>longan fruit</w:t>
      </w:r>
      <w:r>
        <w:t xml:space="preserve"> from </w:t>
      </w:r>
      <w:r w:rsidRPr="004C418B">
        <w:t>Vietnam</w:t>
      </w:r>
      <w:bookmarkEnd w:id="113"/>
    </w:p>
    <w:p w:rsidR="00B52BB0" w:rsidRDefault="00B52BB0" w:rsidP="003E074D">
      <w:r w:rsidRPr="00A946FC">
        <w:t>Th</w:t>
      </w:r>
      <w:r>
        <w:t>is</w:t>
      </w:r>
      <w:r w:rsidRPr="00A946FC">
        <w:t xml:space="preserve"> table </w:t>
      </w:r>
      <w:r>
        <w:t>identifies</w:t>
      </w:r>
      <w:r w:rsidRPr="00A946FC">
        <w:t xml:space="preserve"> pests</w:t>
      </w:r>
      <w:r>
        <w:t xml:space="preserve"> that have the potential to be present on fresh longan fruit grown in Vietnam</w:t>
      </w:r>
      <w:r w:rsidRPr="00A946FC">
        <w:t xml:space="preserve"> </w:t>
      </w:r>
      <w:r>
        <w:t>using typical commercial production and packing procedures, and to be imported into Australia.</w:t>
      </w:r>
    </w:p>
    <w:p w:rsidR="00B52BB0" w:rsidRPr="0002704E" w:rsidRDefault="00B52BB0" w:rsidP="003E074D">
      <w:r w:rsidRPr="004B1767">
        <w:t xml:space="preserve">The </w:t>
      </w:r>
      <w:r w:rsidRPr="004B1767">
        <w:rPr>
          <w:i/>
        </w:rPr>
        <w:t xml:space="preserve">Final group pest risk analysis for thrips and orthotospoviruses on fresh fruit, vegetable, cut-flower and foliage imports </w:t>
      </w:r>
      <w:r>
        <w:rPr>
          <w:noProof/>
        </w:rPr>
        <w:t>(Australian Government Department of Agriculture and Water Resources 2017)</w:t>
      </w:r>
      <w:r>
        <w:t xml:space="preserve"> </w:t>
      </w:r>
      <w:r w:rsidRPr="004B1767">
        <w:t>has been applied in this risk analysis.</w:t>
      </w:r>
    </w:p>
    <w:p w:rsidR="00B52BB0" w:rsidRDefault="00B52BB0" w:rsidP="003E074D">
      <w:r>
        <w:t>The purpose of pest categorisation is to ascertain which of these pests require detailed assessment in order to determine whether phytosanitary measures are required. The steps in the pest categorisation process are considered sequentially. The assessment terminates at ‘Yes’ for the third column (present within Australia), except for pests that are present but under official control, and/or are pests of regional concern. In cases where this does not apply, assessment terminates at the first ‘No’ in any of the following columns.</w:t>
      </w:r>
    </w:p>
    <w:p w:rsidR="00B52BB0" w:rsidRDefault="00B52BB0" w:rsidP="003E074D">
      <w:r w:rsidRPr="006F7578">
        <w:t xml:space="preserve">In the final column of the table (column 7) the acronyms ‘EP’ and ‘WA’ are used. The acronym EP (existing policy) is used for pests that </w:t>
      </w:r>
      <w:r>
        <w:t>have</w:t>
      </w:r>
      <w:r w:rsidRPr="006F7578">
        <w:t xml:space="preserve"> previously been assessed by Australia and fo</w:t>
      </w:r>
      <w:r>
        <w:t>r which import policy exists</w:t>
      </w:r>
      <w:r w:rsidRPr="006F7578">
        <w:t>. The acronym WA is used to identify organisms that have been recorded in some regions of Australia but, due to interstate quarantine regulations, are considered pests of regional concern to Western Australia</w:t>
      </w:r>
      <w:r>
        <w:t>.</w:t>
      </w:r>
    </w:p>
    <w:p w:rsidR="00B52BB0" w:rsidRPr="005A7884" w:rsidRDefault="00B52BB0" w:rsidP="003E074D">
      <w:r w:rsidRPr="00E10503">
        <w:t>Details of the method used in this risk analysis are given in Section 2: Method for pest risk analysis.</w:t>
      </w:r>
    </w:p>
    <w:p w:rsidR="00B52BB0" w:rsidRPr="005A7884" w:rsidRDefault="00B52BB0" w:rsidP="003E074D">
      <w:r w:rsidRPr="005A7884">
        <w:t xml:space="preserve">This </w:t>
      </w:r>
      <w:r>
        <w:t>is not</w:t>
      </w:r>
      <w:r w:rsidRPr="005A7884">
        <w:t xml:space="preserve"> a comprehensive list of all pests associated with </w:t>
      </w:r>
      <w:r>
        <w:t xml:space="preserve">longan production, and it does not include soil-borne pests and pathogens, or wood-borers and root pests, </w:t>
      </w:r>
      <w:r w:rsidRPr="005A7884">
        <w:t xml:space="preserve">as </w:t>
      </w:r>
      <w:r>
        <w:t xml:space="preserve">these are not </w:t>
      </w:r>
      <w:r w:rsidRPr="005A7884">
        <w:t xml:space="preserve">directly related to the </w:t>
      </w:r>
      <w:r>
        <w:t xml:space="preserve">export </w:t>
      </w:r>
      <w:r w:rsidRPr="005A7884">
        <w:t xml:space="preserve">pathway of fresh </w:t>
      </w:r>
      <w:r>
        <w:t>longan fruit. Other pests that may occasionally be detected in trade, but which are not specifically associated with longan fruit, are not categorised here. Any such contaminant pests detected at the border are managed under existing standard operational procedures. It is important to note that any quarantine pests detected on arrival by quarantine inspection will be actioned as appropriate, even if they have not been assessed in this report.</w:t>
      </w:r>
    </w:p>
    <w:p w:rsidR="00B52BB0" w:rsidRDefault="00B52BB0" w:rsidP="003E074D">
      <w:r w:rsidRPr="005A7884">
        <w:t xml:space="preserve">The department is aware of the recent changes in fungal nomenclature </w:t>
      </w:r>
      <w:r>
        <w:t xml:space="preserve">concerning </w:t>
      </w:r>
      <w:r w:rsidRPr="005A7884">
        <w:t>the separate naming of different states of fungi with a pleomorphic life cycle. However, as the nomenclature for these fungi is in a phase of transition and many priorities of names are still to be resolved, this report uses the generally accepted names and provides alternatively used names as synonyms, where required. As official lists of accepted and rejected fungal names become available, the</w:t>
      </w:r>
      <w:r>
        <w:t>se</w:t>
      </w:r>
      <w:r w:rsidRPr="005A7884">
        <w:t xml:space="preserve"> accepted names will be adopted.</w:t>
      </w:r>
    </w:p>
    <w:p w:rsidR="00B52BB0" w:rsidRDefault="00B52BB0" w:rsidP="003E074D"/>
    <w:p w:rsidR="00B52BB0" w:rsidRDefault="00B52BB0" w:rsidP="003E074D">
      <w:pPr>
        <w:sectPr w:rsidR="00B52BB0" w:rsidSect="003E074D">
          <w:headerReference w:type="default" r:id="rId52"/>
          <w:footerReference w:type="default" r:id="rId53"/>
          <w:pgSz w:w="11906" w:h="16838"/>
          <w:pgMar w:top="1418" w:right="1418" w:bottom="1418" w:left="1418" w:header="567" w:footer="284" w:gutter="0"/>
          <w:cols w:space="708"/>
          <w:docGrid w:linePitch="360"/>
        </w:sectPr>
      </w:pPr>
    </w:p>
    <w:tbl>
      <w:tblPr>
        <w:tblW w:w="5000" w:type="pct"/>
        <w:jc w:val="center"/>
        <w:tblBorders>
          <w:top w:val="single" w:sz="4" w:space="0" w:color="auto"/>
          <w:bottom w:val="single" w:sz="4" w:space="0" w:color="auto"/>
          <w:insideH w:val="single" w:sz="4" w:space="0" w:color="BFBFBF" w:themeColor="background1" w:themeShade="BF"/>
        </w:tblBorders>
        <w:tblLook w:val="00A0" w:firstRow="1" w:lastRow="0" w:firstColumn="1" w:lastColumn="0" w:noHBand="0" w:noVBand="0"/>
      </w:tblPr>
      <w:tblGrid>
        <w:gridCol w:w="2003"/>
        <w:gridCol w:w="2003"/>
        <w:gridCol w:w="2000"/>
        <w:gridCol w:w="1999"/>
        <w:gridCol w:w="1999"/>
        <w:gridCol w:w="1999"/>
        <w:gridCol w:w="1999"/>
      </w:tblGrid>
      <w:tr w:rsidR="00B52BB0" w:rsidTr="003E074D">
        <w:trPr>
          <w:cantSplit/>
          <w:tblHeader/>
          <w:jc w:val="center"/>
        </w:trPr>
        <w:tc>
          <w:tcPr>
            <w:tcW w:w="715" w:type="pct"/>
            <w:shd w:val="clear" w:color="auto" w:fill="auto"/>
            <w:vAlign w:val="bottom"/>
          </w:tcPr>
          <w:p w:rsidR="00B52BB0" w:rsidRDefault="00B52BB0" w:rsidP="003E074D">
            <w:pPr>
              <w:pStyle w:val="TableHeading"/>
            </w:pPr>
            <w:r>
              <w:lastRenderedPageBreak/>
              <w:t>Pest</w:t>
            </w:r>
          </w:p>
        </w:tc>
        <w:tc>
          <w:tcPr>
            <w:tcW w:w="715" w:type="pct"/>
            <w:shd w:val="clear" w:color="auto" w:fill="auto"/>
            <w:vAlign w:val="bottom"/>
          </w:tcPr>
          <w:p w:rsidR="00B52BB0" w:rsidRDefault="00B52BB0" w:rsidP="003E074D">
            <w:pPr>
              <w:pStyle w:val="TableHeading"/>
            </w:pPr>
            <w:r w:rsidRPr="00C52A87">
              <w:t xml:space="preserve">Present in Vietnam </w:t>
            </w:r>
          </w:p>
        </w:tc>
        <w:tc>
          <w:tcPr>
            <w:tcW w:w="714" w:type="pct"/>
            <w:shd w:val="clear" w:color="auto" w:fill="auto"/>
            <w:vAlign w:val="bottom"/>
          </w:tcPr>
          <w:p w:rsidR="00B52BB0" w:rsidRDefault="00B52BB0" w:rsidP="003E074D">
            <w:pPr>
              <w:pStyle w:val="TableHeading"/>
            </w:pPr>
            <w:r>
              <w:t>Present within Australia</w:t>
            </w:r>
          </w:p>
        </w:tc>
        <w:tc>
          <w:tcPr>
            <w:tcW w:w="714" w:type="pct"/>
            <w:shd w:val="clear" w:color="auto" w:fill="auto"/>
            <w:vAlign w:val="bottom"/>
          </w:tcPr>
          <w:p w:rsidR="00B52BB0" w:rsidRDefault="00B52BB0" w:rsidP="003E074D">
            <w:pPr>
              <w:pStyle w:val="TableHeading"/>
            </w:pPr>
            <w:r>
              <w:t>Potential to be on pathway</w:t>
            </w:r>
          </w:p>
        </w:tc>
        <w:tc>
          <w:tcPr>
            <w:tcW w:w="714" w:type="pct"/>
            <w:shd w:val="clear" w:color="auto" w:fill="auto"/>
            <w:vAlign w:val="bottom"/>
          </w:tcPr>
          <w:p w:rsidR="00B52BB0" w:rsidRDefault="00B52BB0" w:rsidP="003E074D">
            <w:pPr>
              <w:pStyle w:val="TableHeading"/>
            </w:pPr>
            <w:r>
              <w:t>Potential for establishment and spread</w:t>
            </w:r>
          </w:p>
        </w:tc>
        <w:tc>
          <w:tcPr>
            <w:tcW w:w="714" w:type="pct"/>
            <w:shd w:val="clear" w:color="auto" w:fill="auto"/>
            <w:vAlign w:val="bottom"/>
          </w:tcPr>
          <w:p w:rsidR="00B52BB0" w:rsidRDefault="00B52BB0" w:rsidP="003E074D">
            <w:pPr>
              <w:pStyle w:val="TableHeading"/>
            </w:pPr>
            <w:r>
              <w:t>Potential for economic consequences</w:t>
            </w:r>
          </w:p>
        </w:tc>
        <w:tc>
          <w:tcPr>
            <w:tcW w:w="714" w:type="pct"/>
            <w:shd w:val="clear" w:color="auto" w:fill="auto"/>
            <w:vAlign w:val="bottom"/>
          </w:tcPr>
          <w:p w:rsidR="00B52BB0" w:rsidRDefault="00B52BB0" w:rsidP="003E074D">
            <w:pPr>
              <w:pStyle w:val="TableHeading"/>
            </w:pPr>
            <w:r>
              <w:t>Pest risk assessment required</w:t>
            </w:r>
          </w:p>
        </w:tc>
      </w:tr>
      <w:tr w:rsidR="00B52BB0" w:rsidTr="003E074D">
        <w:trPr>
          <w:cantSplit/>
          <w:jc w:val="center"/>
        </w:trPr>
        <w:tc>
          <w:tcPr>
            <w:tcW w:w="5000" w:type="pct"/>
            <w:gridSpan w:val="7"/>
            <w:shd w:val="clear" w:color="auto" w:fill="auto"/>
          </w:tcPr>
          <w:p w:rsidR="00B52BB0" w:rsidRPr="0056567F" w:rsidRDefault="00B52BB0" w:rsidP="003E074D">
            <w:pPr>
              <w:pStyle w:val="TableText"/>
              <w:rPr>
                <w:b/>
                <w:lang w:val="pt-BR"/>
              </w:rPr>
            </w:pPr>
            <w:r w:rsidRPr="0056567F">
              <w:rPr>
                <w:b/>
                <w:lang w:val="pt-BR"/>
              </w:rPr>
              <w:t>ARTHROPODS</w:t>
            </w:r>
          </w:p>
        </w:tc>
      </w:tr>
      <w:tr w:rsidR="00B52BB0" w:rsidTr="003E074D">
        <w:trPr>
          <w:cantSplit/>
          <w:jc w:val="center"/>
        </w:trPr>
        <w:tc>
          <w:tcPr>
            <w:tcW w:w="5000" w:type="pct"/>
            <w:gridSpan w:val="7"/>
            <w:shd w:val="clear" w:color="auto" w:fill="auto"/>
          </w:tcPr>
          <w:p w:rsidR="00B52BB0" w:rsidRPr="00DD3DAE" w:rsidRDefault="00B52BB0" w:rsidP="003E074D">
            <w:pPr>
              <w:pStyle w:val="TableText"/>
              <w:keepNext/>
            </w:pPr>
            <w:r w:rsidRPr="00DD3DAE">
              <w:t>Coleoptera</w:t>
            </w:r>
          </w:p>
        </w:tc>
      </w:tr>
      <w:tr w:rsidR="00B52BB0" w:rsidTr="003E074D">
        <w:trPr>
          <w:cantSplit/>
          <w:trHeight w:val="75"/>
          <w:jc w:val="center"/>
        </w:trPr>
        <w:tc>
          <w:tcPr>
            <w:tcW w:w="715" w:type="pct"/>
            <w:shd w:val="clear" w:color="auto" w:fill="auto"/>
          </w:tcPr>
          <w:p w:rsidR="00B52BB0" w:rsidRPr="00E86271" w:rsidRDefault="00B52BB0" w:rsidP="003E074D">
            <w:pPr>
              <w:pStyle w:val="TableText"/>
              <w:rPr>
                <w:iCs/>
                <w:lang w:val="pt-BR"/>
              </w:rPr>
            </w:pPr>
            <w:r w:rsidRPr="00E65D09">
              <w:rPr>
                <w:i/>
                <w:lang w:val="pt-BR"/>
              </w:rPr>
              <w:t xml:space="preserve">Adoretus compressus </w:t>
            </w:r>
            <w:r w:rsidRPr="00E86271">
              <w:rPr>
                <w:iCs/>
                <w:lang w:val="pt-BR"/>
              </w:rPr>
              <w:t>(Weber, 1801)</w:t>
            </w:r>
          </w:p>
          <w:p w:rsidR="00B52BB0" w:rsidRPr="00E86271" w:rsidRDefault="00B52BB0" w:rsidP="003E074D">
            <w:pPr>
              <w:pStyle w:val="TableText"/>
              <w:rPr>
                <w:iCs/>
                <w:lang w:val="pt-BR"/>
              </w:rPr>
            </w:pPr>
            <w:r w:rsidRPr="00E86271">
              <w:rPr>
                <w:iCs/>
                <w:lang w:val="pt-BR"/>
              </w:rPr>
              <w:t>[Scarabaeidae]</w:t>
            </w:r>
          </w:p>
          <w:p w:rsidR="00B52BB0" w:rsidRPr="00DD3DAE" w:rsidRDefault="00B52BB0" w:rsidP="003E074D">
            <w:pPr>
              <w:pStyle w:val="TableText"/>
              <w:rPr>
                <w:highlight w:val="cyan"/>
              </w:rPr>
            </w:pPr>
            <w:r w:rsidRPr="00E86271">
              <w:rPr>
                <w:iCs/>
                <w:lang w:val="pt-BR"/>
              </w:rPr>
              <w:t>Rose beetle</w:t>
            </w:r>
          </w:p>
        </w:tc>
        <w:tc>
          <w:tcPr>
            <w:tcW w:w="715" w:type="pct"/>
            <w:shd w:val="clear" w:color="auto" w:fill="auto"/>
          </w:tcPr>
          <w:p w:rsidR="00B52BB0" w:rsidRPr="00DF463B" w:rsidRDefault="00B52BB0" w:rsidP="003E074D">
            <w:pPr>
              <w:pStyle w:val="TableText"/>
              <w:rPr>
                <w:highlight w:val="cyan"/>
              </w:rPr>
            </w:pPr>
            <w:r w:rsidRPr="00806CFA">
              <w:t xml:space="preserve">Yes </w:t>
            </w:r>
            <w:r>
              <w:rPr>
                <w:noProof/>
              </w:rPr>
              <w:t>(CABI 2019)</w:t>
            </w:r>
          </w:p>
        </w:tc>
        <w:tc>
          <w:tcPr>
            <w:tcW w:w="714" w:type="pct"/>
            <w:shd w:val="clear" w:color="auto" w:fill="auto"/>
          </w:tcPr>
          <w:p w:rsidR="00B52BB0" w:rsidRPr="00DF463B" w:rsidRDefault="00B52BB0" w:rsidP="003E074D">
            <w:pPr>
              <w:pStyle w:val="TableText"/>
            </w:pPr>
            <w:r w:rsidRPr="00806CFA">
              <w:t>No records found</w:t>
            </w:r>
          </w:p>
        </w:tc>
        <w:tc>
          <w:tcPr>
            <w:tcW w:w="714" w:type="pct"/>
            <w:shd w:val="clear" w:color="auto" w:fill="auto"/>
          </w:tcPr>
          <w:p w:rsidR="00B52BB0" w:rsidRDefault="00B52BB0" w:rsidP="003E074D">
            <w:pPr>
              <w:pStyle w:val="TableText"/>
              <w:rPr>
                <w:lang w:val="pt-BR"/>
              </w:rPr>
            </w:pPr>
            <w:r w:rsidRPr="00806CFA">
              <w:t xml:space="preserve">No. Adults feed on leaves and larvae feed on roots </w:t>
            </w:r>
            <w:r>
              <w:rPr>
                <w:noProof/>
              </w:rPr>
              <w:t>(McQuate &amp; Jameson 2011)</w:t>
            </w:r>
            <w:r w:rsidRPr="00806CFA">
              <w:t>.</w:t>
            </w:r>
          </w:p>
        </w:tc>
        <w:tc>
          <w:tcPr>
            <w:tcW w:w="714" w:type="pct"/>
            <w:shd w:val="clear" w:color="auto" w:fill="auto"/>
          </w:tcPr>
          <w:p w:rsidR="00B52BB0" w:rsidRDefault="00B52BB0" w:rsidP="003E074D">
            <w:pPr>
              <w:pStyle w:val="TableText"/>
            </w:pPr>
            <w:r w:rsidRPr="00806CFA">
              <w:t>Assessment not required</w:t>
            </w:r>
          </w:p>
        </w:tc>
        <w:tc>
          <w:tcPr>
            <w:tcW w:w="714" w:type="pct"/>
            <w:shd w:val="clear" w:color="auto" w:fill="auto"/>
          </w:tcPr>
          <w:p w:rsidR="00B52BB0" w:rsidRDefault="00B52BB0" w:rsidP="003E074D">
            <w:pPr>
              <w:pStyle w:val="TableText"/>
            </w:pPr>
            <w:r w:rsidRPr="00806CFA">
              <w:t>Assessment not required</w:t>
            </w:r>
          </w:p>
        </w:tc>
        <w:tc>
          <w:tcPr>
            <w:tcW w:w="714" w:type="pct"/>
            <w:shd w:val="clear" w:color="auto" w:fill="auto"/>
          </w:tcPr>
          <w:p w:rsidR="00B52BB0" w:rsidRDefault="00B52BB0" w:rsidP="003E074D">
            <w:pPr>
              <w:pStyle w:val="TableText"/>
            </w:pPr>
            <w:r w:rsidRPr="00806CFA">
              <w:t>No</w:t>
            </w:r>
          </w:p>
        </w:tc>
      </w:tr>
      <w:tr w:rsidR="00B52BB0" w:rsidTr="003E074D">
        <w:trPr>
          <w:cantSplit/>
          <w:trHeight w:val="75"/>
          <w:jc w:val="center"/>
        </w:trPr>
        <w:tc>
          <w:tcPr>
            <w:tcW w:w="715" w:type="pct"/>
            <w:shd w:val="clear" w:color="auto" w:fill="auto"/>
          </w:tcPr>
          <w:p w:rsidR="00B52BB0" w:rsidRPr="00E86271" w:rsidRDefault="00B52BB0" w:rsidP="003E074D">
            <w:pPr>
              <w:pStyle w:val="TableText"/>
              <w:rPr>
                <w:iCs/>
                <w:lang w:val="pt-BR"/>
              </w:rPr>
            </w:pPr>
            <w:r w:rsidRPr="00E65D09">
              <w:rPr>
                <w:i/>
                <w:lang w:val="pt-BR"/>
              </w:rPr>
              <w:t xml:space="preserve">Adoretus sinicus </w:t>
            </w:r>
            <w:r w:rsidRPr="00E86271">
              <w:rPr>
                <w:iCs/>
                <w:lang w:val="pt-BR"/>
              </w:rPr>
              <w:t>Burmeister, 1855</w:t>
            </w:r>
          </w:p>
          <w:p w:rsidR="00B52BB0" w:rsidRPr="00E86271" w:rsidRDefault="00B52BB0" w:rsidP="003E074D">
            <w:pPr>
              <w:pStyle w:val="TableText"/>
              <w:rPr>
                <w:iCs/>
                <w:lang w:val="pt-BR"/>
              </w:rPr>
            </w:pPr>
            <w:r w:rsidRPr="00E86271">
              <w:rPr>
                <w:iCs/>
                <w:lang w:val="pt-BR"/>
              </w:rPr>
              <w:t>[Scarabaeidae]</w:t>
            </w:r>
          </w:p>
          <w:p w:rsidR="00B52BB0" w:rsidRPr="00DF463B" w:rsidRDefault="00B52BB0" w:rsidP="003E074D">
            <w:pPr>
              <w:pStyle w:val="TableText"/>
              <w:rPr>
                <w:highlight w:val="yellow"/>
              </w:rPr>
            </w:pPr>
            <w:r w:rsidRPr="00E86271">
              <w:rPr>
                <w:iCs/>
                <w:lang w:val="pt-BR"/>
              </w:rPr>
              <w:t>Chinese rose beetle</w:t>
            </w:r>
          </w:p>
        </w:tc>
        <w:tc>
          <w:tcPr>
            <w:tcW w:w="715" w:type="pct"/>
            <w:shd w:val="clear" w:color="auto" w:fill="auto"/>
          </w:tcPr>
          <w:p w:rsidR="00B52BB0" w:rsidRPr="004D6414" w:rsidRDefault="00B52BB0" w:rsidP="003E074D">
            <w:pPr>
              <w:pStyle w:val="TableText"/>
            </w:pPr>
            <w:r w:rsidRPr="000156D2">
              <w:t xml:space="preserve">Yes </w:t>
            </w:r>
            <w:r>
              <w:rPr>
                <w:noProof/>
              </w:rPr>
              <w:t>(CABI 2019)</w:t>
            </w:r>
          </w:p>
        </w:tc>
        <w:tc>
          <w:tcPr>
            <w:tcW w:w="714" w:type="pct"/>
            <w:shd w:val="clear" w:color="auto" w:fill="auto"/>
          </w:tcPr>
          <w:p w:rsidR="00B52BB0" w:rsidRPr="004D6414" w:rsidRDefault="00B52BB0" w:rsidP="003E074D">
            <w:pPr>
              <w:pStyle w:val="TableText"/>
            </w:pPr>
            <w:r w:rsidRPr="000156D2">
              <w:t>No records found</w:t>
            </w:r>
          </w:p>
        </w:tc>
        <w:tc>
          <w:tcPr>
            <w:tcW w:w="714" w:type="pct"/>
            <w:shd w:val="clear" w:color="auto" w:fill="auto"/>
          </w:tcPr>
          <w:p w:rsidR="00B52BB0" w:rsidRPr="004D6414" w:rsidRDefault="00B52BB0" w:rsidP="003E074D">
            <w:pPr>
              <w:pStyle w:val="TableText"/>
              <w:rPr>
                <w:lang w:val="pt-BR"/>
              </w:rPr>
            </w:pPr>
            <w:r w:rsidRPr="000156D2">
              <w:t xml:space="preserve">No. Adults feed on leaves and larvae feed on roots </w:t>
            </w:r>
            <w:r>
              <w:rPr>
                <w:noProof/>
              </w:rPr>
              <w:t>(McQuate &amp; Jameson 2011)</w:t>
            </w:r>
            <w:r w:rsidRPr="000156D2">
              <w:t>.</w:t>
            </w:r>
          </w:p>
        </w:tc>
        <w:tc>
          <w:tcPr>
            <w:tcW w:w="714" w:type="pct"/>
            <w:shd w:val="clear" w:color="auto" w:fill="auto"/>
          </w:tcPr>
          <w:p w:rsidR="00B52BB0" w:rsidRPr="004D6414" w:rsidRDefault="00B52BB0" w:rsidP="003E074D">
            <w:pPr>
              <w:pStyle w:val="TableText"/>
            </w:pPr>
            <w:r w:rsidRPr="000156D2">
              <w:t>Assessment not required</w:t>
            </w:r>
          </w:p>
        </w:tc>
        <w:tc>
          <w:tcPr>
            <w:tcW w:w="714" w:type="pct"/>
            <w:shd w:val="clear" w:color="auto" w:fill="auto"/>
          </w:tcPr>
          <w:p w:rsidR="00B52BB0" w:rsidRPr="004D6414" w:rsidRDefault="00B52BB0" w:rsidP="003E074D">
            <w:pPr>
              <w:pStyle w:val="TableText"/>
            </w:pPr>
            <w:r w:rsidRPr="000156D2">
              <w:t>Assessment not required</w:t>
            </w:r>
          </w:p>
        </w:tc>
        <w:tc>
          <w:tcPr>
            <w:tcW w:w="714" w:type="pct"/>
            <w:shd w:val="clear" w:color="auto" w:fill="auto"/>
          </w:tcPr>
          <w:p w:rsidR="00B52BB0" w:rsidRPr="004D6414" w:rsidRDefault="00B52BB0" w:rsidP="003E074D">
            <w:pPr>
              <w:pStyle w:val="TableText"/>
            </w:pPr>
            <w:r w:rsidRPr="000156D2">
              <w:t>No</w:t>
            </w:r>
          </w:p>
        </w:tc>
      </w:tr>
      <w:tr w:rsidR="00B52BB0" w:rsidRPr="00DF463B" w:rsidTr="003E074D">
        <w:trPr>
          <w:cantSplit/>
          <w:trHeight w:val="75"/>
          <w:jc w:val="center"/>
        </w:trPr>
        <w:tc>
          <w:tcPr>
            <w:tcW w:w="715" w:type="pct"/>
            <w:shd w:val="clear" w:color="auto" w:fill="auto"/>
          </w:tcPr>
          <w:p w:rsidR="00B52BB0" w:rsidRPr="00E86271" w:rsidRDefault="00B52BB0" w:rsidP="003E074D">
            <w:pPr>
              <w:pStyle w:val="TableText"/>
              <w:rPr>
                <w:iCs/>
                <w:lang w:val="pt-BR"/>
              </w:rPr>
            </w:pPr>
            <w:r w:rsidRPr="00E65D09">
              <w:rPr>
                <w:i/>
                <w:lang w:val="pt-BR"/>
              </w:rPr>
              <w:t xml:space="preserve">Adoretus </w:t>
            </w:r>
            <w:r w:rsidRPr="00852F1B">
              <w:rPr>
                <w:i/>
                <w:lang w:val="pt-BR"/>
              </w:rPr>
              <w:t>tenuimaculatus</w:t>
            </w:r>
            <w:r w:rsidRPr="00E86271">
              <w:rPr>
                <w:iCs/>
                <w:lang w:val="pt-BR"/>
              </w:rPr>
              <w:t xml:space="preserve"> Waterhouse, 1875</w:t>
            </w:r>
          </w:p>
          <w:p w:rsidR="00B52BB0" w:rsidRPr="00E86271" w:rsidRDefault="00B52BB0" w:rsidP="003E074D">
            <w:pPr>
              <w:pStyle w:val="TableText"/>
              <w:rPr>
                <w:iCs/>
                <w:lang w:val="pt-BR"/>
              </w:rPr>
            </w:pPr>
            <w:r w:rsidRPr="00E86271">
              <w:rPr>
                <w:iCs/>
                <w:lang w:val="pt-BR"/>
              </w:rPr>
              <w:t>[Scarabaeidae]</w:t>
            </w:r>
          </w:p>
          <w:p w:rsidR="00B52BB0" w:rsidRPr="00EB6284" w:rsidRDefault="00B52BB0" w:rsidP="003E074D">
            <w:pPr>
              <w:pStyle w:val="TableText"/>
              <w:rPr>
                <w:lang w:val="en-US"/>
              </w:rPr>
            </w:pPr>
          </w:p>
        </w:tc>
        <w:tc>
          <w:tcPr>
            <w:tcW w:w="715" w:type="pct"/>
            <w:shd w:val="clear" w:color="auto" w:fill="auto"/>
          </w:tcPr>
          <w:p w:rsidR="00B52BB0" w:rsidRPr="00DF463B" w:rsidRDefault="00B52BB0" w:rsidP="003E074D">
            <w:pPr>
              <w:pStyle w:val="TableText"/>
            </w:pPr>
            <w:r w:rsidRPr="005F1883">
              <w:t xml:space="preserve">Yes </w:t>
            </w:r>
            <w:r>
              <w:rPr>
                <w:noProof/>
              </w:rPr>
              <w:t>(PPD 2017)</w:t>
            </w:r>
          </w:p>
        </w:tc>
        <w:tc>
          <w:tcPr>
            <w:tcW w:w="714" w:type="pct"/>
            <w:shd w:val="clear" w:color="auto" w:fill="auto"/>
          </w:tcPr>
          <w:p w:rsidR="00B52BB0" w:rsidRPr="00DF463B" w:rsidRDefault="00B52BB0" w:rsidP="003E074D">
            <w:pPr>
              <w:pStyle w:val="TableText"/>
            </w:pPr>
            <w:r w:rsidRPr="005F1883">
              <w:t>No records found</w:t>
            </w:r>
          </w:p>
        </w:tc>
        <w:tc>
          <w:tcPr>
            <w:tcW w:w="714" w:type="pct"/>
            <w:shd w:val="clear" w:color="auto" w:fill="auto"/>
          </w:tcPr>
          <w:p w:rsidR="00B52BB0" w:rsidRPr="00DF463B" w:rsidRDefault="00B52BB0" w:rsidP="003E074D">
            <w:pPr>
              <w:pStyle w:val="TableText"/>
            </w:pPr>
            <w:r w:rsidRPr="005F1883">
              <w:t xml:space="preserve">No. Adults feed on leaves and larvae feed on roots </w:t>
            </w:r>
            <w:r>
              <w:rPr>
                <w:noProof/>
              </w:rPr>
              <w:t>(McQuate &amp; Jameson 2011)</w:t>
            </w:r>
            <w:r w:rsidRPr="005F1883">
              <w:t>.</w:t>
            </w:r>
          </w:p>
        </w:tc>
        <w:tc>
          <w:tcPr>
            <w:tcW w:w="714" w:type="pct"/>
            <w:shd w:val="clear" w:color="auto" w:fill="auto"/>
          </w:tcPr>
          <w:p w:rsidR="00B52BB0" w:rsidRPr="00DF463B" w:rsidRDefault="00B52BB0" w:rsidP="003E074D">
            <w:pPr>
              <w:pStyle w:val="TableText"/>
            </w:pPr>
            <w:r w:rsidRPr="005F1883">
              <w:t>Assessment not required</w:t>
            </w:r>
          </w:p>
        </w:tc>
        <w:tc>
          <w:tcPr>
            <w:tcW w:w="714" w:type="pct"/>
            <w:shd w:val="clear" w:color="auto" w:fill="auto"/>
          </w:tcPr>
          <w:p w:rsidR="00B52BB0" w:rsidRPr="00DF463B" w:rsidRDefault="00B52BB0" w:rsidP="003E074D">
            <w:pPr>
              <w:pStyle w:val="TableText"/>
            </w:pPr>
            <w:r w:rsidRPr="005F1883">
              <w:t>Assessment not required</w:t>
            </w:r>
          </w:p>
        </w:tc>
        <w:tc>
          <w:tcPr>
            <w:tcW w:w="714" w:type="pct"/>
            <w:shd w:val="clear" w:color="auto" w:fill="auto"/>
          </w:tcPr>
          <w:p w:rsidR="00B52BB0" w:rsidRPr="00DF463B" w:rsidRDefault="00B52BB0" w:rsidP="003E074D">
            <w:pPr>
              <w:pStyle w:val="TableText"/>
            </w:pPr>
            <w:r w:rsidRPr="005F1883">
              <w:t>No</w:t>
            </w:r>
          </w:p>
        </w:tc>
      </w:tr>
      <w:tr w:rsidR="00B52BB0" w:rsidRPr="00DF463B" w:rsidTr="003E074D">
        <w:trPr>
          <w:cantSplit/>
          <w:trHeight w:val="75"/>
          <w:jc w:val="center"/>
        </w:trPr>
        <w:tc>
          <w:tcPr>
            <w:tcW w:w="715" w:type="pct"/>
            <w:shd w:val="clear" w:color="auto" w:fill="auto"/>
          </w:tcPr>
          <w:p w:rsidR="00B52BB0" w:rsidRPr="00E86271" w:rsidRDefault="00B52BB0" w:rsidP="003E074D">
            <w:pPr>
              <w:pStyle w:val="TableText"/>
              <w:rPr>
                <w:iCs/>
                <w:lang w:val="pt-BR"/>
              </w:rPr>
            </w:pPr>
            <w:r w:rsidRPr="00E65D09">
              <w:rPr>
                <w:i/>
                <w:lang w:val="pt-BR"/>
              </w:rPr>
              <w:t xml:space="preserve">Anomala cupripes </w:t>
            </w:r>
            <w:r w:rsidRPr="00E86271">
              <w:rPr>
                <w:iCs/>
                <w:lang w:val="pt-BR"/>
              </w:rPr>
              <w:t>Hope, 1839</w:t>
            </w:r>
          </w:p>
          <w:p w:rsidR="00B52BB0" w:rsidRPr="00E86271" w:rsidRDefault="00B52BB0" w:rsidP="003E074D">
            <w:pPr>
              <w:pStyle w:val="TableText"/>
              <w:rPr>
                <w:iCs/>
                <w:lang w:val="pt-BR"/>
              </w:rPr>
            </w:pPr>
            <w:r w:rsidRPr="00E86271">
              <w:rPr>
                <w:iCs/>
                <w:lang w:val="pt-BR"/>
              </w:rPr>
              <w:t>[Scarabaeidae]</w:t>
            </w:r>
          </w:p>
          <w:p w:rsidR="00B52BB0" w:rsidRPr="00DF463B" w:rsidRDefault="00B52BB0" w:rsidP="003E074D">
            <w:pPr>
              <w:pStyle w:val="TableText"/>
              <w:rPr>
                <w:i/>
                <w:lang w:val="en-US"/>
              </w:rPr>
            </w:pPr>
            <w:r w:rsidRPr="00E86271">
              <w:rPr>
                <w:iCs/>
                <w:lang w:val="pt-BR"/>
              </w:rPr>
              <w:t>Large green chafer beetle</w:t>
            </w:r>
          </w:p>
        </w:tc>
        <w:tc>
          <w:tcPr>
            <w:tcW w:w="715" w:type="pct"/>
            <w:shd w:val="clear" w:color="auto" w:fill="auto"/>
          </w:tcPr>
          <w:p w:rsidR="00B52BB0" w:rsidRPr="00DF463B" w:rsidRDefault="00B52BB0" w:rsidP="003E074D">
            <w:pPr>
              <w:pStyle w:val="TableText"/>
            </w:pPr>
            <w:r w:rsidRPr="00826560">
              <w:t xml:space="preserve">Yes </w:t>
            </w:r>
            <w:r>
              <w:rPr>
                <w:noProof/>
              </w:rPr>
              <w:t>(CABI 2019)</w:t>
            </w:r>
          </w:p>
        </w:tc>
        <w:tc>
          <w:tcPr>
            <w:tcW w:w="714" w:type="pct"/>
            <w:shd w:val="clear" w:color="auto" w:fill="auto"/>
          </w:tcPr>
          <w:p w:rsidR="00B52BB0" w:rsidRPr="00DF463B" w:rsidRDefault="00B52BB0" w:rsidP="003E074D">
            <w:pPr>
              <w:pStyle w:val="TableText"/>
            </w:pPr>
            <w:r w:rsidRPr="00826560">
              <w:t xml:space="preserve">No records found </w:t>
            </w:r>
          </w:p>
        </w:tc>
        <w:tc>
          <w:tcPr>
            <w:tcW w:w="714" w:type="pct"/>
            <w:shd w:val="clear" w:color="auto" w:fill="auto"/>
          </w:tcPr>
          <w:p w:rsidR="00B52BB0" w:rsidRPr="00DF463B" w:rsidRDefault="00B52BB0" w:rsidP="003E074D">
            <w:pPr>
              <w:pStyle w:val="TableText"/>
            </w:pPr>
            <w:r w:rsidRPr="00826560">
              <w:t xml:space="preserve">No. Adults feed on leaves and larvae feed on roots </w:t>
            </w:r>
            <w:r>
              <w:rPr>
                <w:noProof/>
              </w:rPr>
              <w:t>(Wang &amp; Liu 1991)</w:t>
            </w:r>
            <w:r w:rsidRPr="00826560">
              <w:t>.</w:t>
            </w:r>
          </w:p>
        </w:tc>
        <w:tc>
          <w:tcPr>
            <w:tcW w:w="714" w:type="pct"/>
            <w:shd w:val="clear" w:color="auto" w:fill="auto"/>
          </w:tcPr>
          <w:p w:rsidR="00B52BB0" w:rsidRPr="00DF463B" w:rsidRDefault="00B52BB0" w:rsidP="003E074D">
            <w:pPr>
              <w:pStyle w:val="TableText"/>
            </w:pPr>
            <w:r w:rsidRPr="00826560">
              <w:t>Assessment not required</w:t>
            </w:r>
          </w:p>
        </w:tc>
        <w:tc>
          <w:tcPr>
            <w:tcW w:w="714" w:type="pct"/>
            <w:shd w:val="clear" w:color="auto" w:fill="auto"/>
          </w:tcPr>
          <w:p w:rsidR="00B52BB0" w:rsidRPr="00DF463B" w:rsidRDefault="00B52BB0" w:rsidP="003E074D">
            <w:pPr>
              <w:pStyle w:val="TableText"/>
            </w:pPr>
            <w:r w:rsidRPr="00826560">
              <w:t>Assessment not required</w:t>
            </w:r>
          </w:p>
        </w:tc>
        <w:tc>
          <w:tcPr>
            <w:tcW w:w="714" w:type="pct"/>
            <w:shd w:val="clear" w:color="auto" w:fill="auto"/>
          </w:tcPr>
          <w:p w:rsidR="00B52BB0" w:rsidRPr="00DF463B" w:rsidRDefault="00B52BB0" w:rsidP="003E074D">
            <w:pPr>
              <w:pStyle w:val="TableText"/>
            </w:pPr>
            <w:r w:rsidRPr="00826560">
              <w:t>No</w:t>
            </w:r>
          </w:p>
        </w:tc>
      </w:tr>
      <w:tr w:rsidR="00B52BB0" w:rsidRPr="00DF463B" w:rsidTr="003E074D">
        <w:trPr>
          <w:cantSplit/>
          <w:trHeight w:val="75"/>
          <w:jc w:val="center"/>
        </w:trPr>
        <w:tc>
          <w:tcPr>
            <w:tcW w:w="715" w:type="pct"/>
            <w:shd w:val="clear" w:color="auto" w:fill="auto"/>
          </w:tcPr>
          <w:p w:rsidR="00B52BB0" w:rsidRPr="00E86271" w:rsidRDefault="00B52BB0" w:rsidP="003E074D">
            <w:pPr>
              <w:pStyle w:val="TableText"/>
              <w:rPr>
                <w:iCs/>
                <w:lang w:val="pt-BR"/>
              </w:rPr>
            </w:pPr>
            <w:r w:rsidRPr="00E65D09">
              <w:rPr>
                <w:i/>
                <w:lang w:val="pt-BR"/>
              </w:rPr>
              <w:t xml:space="preserve">Aulacophora femoralis </w:t>
            </w:r>
            <w:r w:rsidRPr="00E86271">
              <w:rPr>
                <w:iCs/>
                <w:lang w:val="pt-BR"/>
              </w:rPr>
              <w:t>(Motschulsky, 1857)</w:t>
            </w:r>
          </w:p>
          <w:p w:rsidR="00B52BB0" w:rsidRPr="00E86271" w:rsidRDefault="00B52BB0" w:rsidP="003E074D">
            <w:pPr>
              <w:pStyle w:val="TableText"/>
              <w:rPr>
                <w:iCs/>
                <w:lang w:val="pt-BR"/>
              </w:rPr>
            </w:pPr>
            <w:r w:rsidRPr="00E86271">
              <w:rPr>
                <w:iCs/>
                <w:lang w:val="pt-BR"/>
              </w:rPr>
              <w:t>[Chrysomelidae]</w:t>
            </w:r>
          </w:p>
          <w:p w:rsidR="00B52BB0" w:rsidRPr="00752FE5" w:rsidRDefault="00B52BB0" w:rsidP="003E074D">
            <w:pPr>
              <w:pStyle w:val="TableText"/>
              <w:rPr>
                <w:i/>
                <w:lang w:val="pt-BR"/>
              </w:rPr>
            </w:pPr>
            <w:r w:rsidRPr="00E86271">
              <w:rPr>
                <w:iCs/>
                <w:lang w:val="pt-BR"/>
              </w:rPr>
              <w:t>Cucurbit leaf beetle</w:t>
            </w:r>
          </w:p>
        </w:tc>
        <w:tc>
          <w:tcPr>
            <w:tcW w:w="715" w:type="pct"/>
            <w:shd w:val="clear" w:color="auto" w:fill="auto"/>
          </w:tcPr>
          <w:p w:rsidR="00B52BB0" w:rsidRPr="00DF463B" w:rsidRDefault="00B52BB0" w:rsidP="003E074D">
            <w:pPr>
              <w:pStyle w:val="TableText"/>
              <w:rPr>
                <w:lang w:val="pt-BR"/>
              </w:rPr>
            </w:pPr>
            <w:r w:rsidRPr="00F65416">
              <w:t xml:space="preserve">Yes </w:t>
            </w:r>
            <w:r>
              <w:rPr>
                <w:noProof/>
              </w:rPr>
              <w:t>(CABI 2019)</w:t>
            </w:r>
          </w:p>
        </w:tc>
        <w:tc>
          <w:tcPr>
            <w:tcW w:w="714" w:type="pct"/>
            <w:shd w:val="clear" w:color="auto" w:fill="auto"/>
          </w:tcPr>
          <w:p w:rsidR="00B52BB0" w:rsidRPr="00DF463B" w:rsidRDefault="00B52BB0" w:rsidP="003E074D">
            <w:pPr>
              <w:pStyle w:val="TableText"/>
              <w:rPr>
                <w:szCs w:val="16"/>
              </w:rPr>
            </w:pPr>
            <w:r w:rsidRPr="00F65416">
              <w:t>No records found</w:t>
            </w:r>
          </w:p>
        </w:tc>
        <w:tc>
          <w:tcPr>
            <w:tcW w:w="714" w:type="pct"/>
            <w:shd w:val="clear" w:color="auto" w:fill="auto"/>
          </w:tcPr>
          <w:p w:rsidR="00B52BB0" w:rsidRPr="00DF463B" w:rsidRDefault="00B52BB0" w:rsidP="003E074D">
            <w:pPr>
              <w:pStyle w:val="TableText"/>
            </w:pPr>
            <w:r w:rsidRPr="00F65416">
              <w:t xml:space="preserve">No. This species is associated with leaves, not the fruit pathway </w:t>
            </w:r>
            <w:r>
              <w:rPr>
                <w:noProof/>
              </w:rPr>
              <w:t>(Tan, Wei &amp; Lan 1998)</w:t>
            </w:r>
            <w:r w:rsidRPr="00F65416">
              <w:t>.</w:t>
            </w:r>
          </w:p>
        </w:tc>
        <w:tc>
          <w:tcPr>
            <w:tcW w:w="714" w:type="pct"/>
            <w:shd w:val="clear" w:color="auto" w:fill="auto"/>
          </w:tcPr>
          <w:p w:rsidR="00B52BB0" w:rsidRPr="00DF463B" w:rsidRDefault="00B52BB0" w:rsidP="003E074D">
            <w:pPr>
              <w:pStyle w:val="TableText"/>
            </w:pPr>
            <w:r w:rsidRPr="00F65416">
              <w:t>Assessment not required</w:t>
            </w:r>
          </w:p>
        </w:tc>
        <w:tc>
          <w:tcPr>
            <w:tcW w:w="714" w:type="pct"/>
            <w:shd w:val="clear" w:color="auto" w:fill="auto"/>
          </w:tcPr>
          <w:p w:rsidR="00B52BB0" w:rsidRPr="00DF463B" w:rsidRDefault="00B52BB0" w:rsidP="003E074D">
            <w:pPr>
              <w:pStyle w:val="TableText"/>
            </w:pPr>
            <w:r w:rsidRPr="00F65416">
              <w:t>Assessment not required</w:t>
            </w:r>
          </w:p>
        </w:tc>
        <w:tc>
          <w:tcPr>
            <w:tcW w:w="714" w:type="pct"/>
            <w:shd w:val="clear" w:color="auto" w:fill="auto"/>
          </w:tcPr>
          <w:p w:rsidR="00B52BB0" w:rsidRPr="00DF463B" w:rsidRDefault="00B52BB0" w:rsidP="003E074D">
            <w:pPr>
              <w:pStyle w:val="TableText"/>
            </w:pPr>
            <w:r w:rsidRPr="00F65416">
              <w:t>No</w:t>
            </w:r>
          </w:p>
        </w:tc>
      </w:tr>
      <w:tr w:rsidR="00B52BB0" w:rsidRPr="00DF463B" w:rsidTr="003E074D">
        <w:trPr>
          <w:cantSplit/>
          <w:trHeight w:val="75"/>
          <w:jc w:val="center"/>
        </w:trPr>
        <w:tc>
          <w:tcPr>
            <w:tcW w:w="715" w:type="pct"/>
            <w:shd w:val="clear" w:color="auto" w:fill="auto"/>
          </w:tcPr>
          <w:p w:rsidR="00B52BB0" w:rsidRPr="00E86271" w:rsidRDefault="00B52BB0" w:rsidP="003E074D">
            <w:pPr>
              <w:pStyle w:val="TableText"/>
              <w:rPr>
                <w:iCs/>
                <w:lang w:val="pt-BR"/>
              </w:rPr>
            </w:pPr>
            <w:r w:rsidRPr="00E65D09">
              <w:rPr>
                <w:i/>
                <w:lang w:val="pt-BR"/>
              </w:rPr>
              <w:t xml:space="preserve">Aulacophora semifusca </w:t>
            </w:r>
            <w:r w:rsidRPr="00E86271">
              <w:rPr>
                <w:iCs/>
                <w:lang w:val="pt-BR"/>
              </w:rPr>
              <w:t>Jacoby, 1892</w:t>
            </w:r>
          </w:p>
          <w:p w:rsidR="00B52BB0" w:rsidRPr="00E86271" w:rsidRDefault="00B52BB0" w:rsidP="003E074D">
            <w:pPr>
              <w:pStyle w:val="TableText"/>
              <w:rPr>
                <w:iCs/>
                <w:lang w:val="pt-BR"/>
              </w:rPr>
            </w:pPr>
            <w:r w:rsidRPr="00E86271">
              <w:rPr>
                <w:iCs/>
                <w:lang w:val="pt-BR"/>
              </w:rPr>
              <w:t xml:space="preserve">Synonym: </w:t>
            </w:r>
            <w:r w:rsidRPr="00E86271">
              <w:rPr>
                <w:i/>
                <w:lang w:val="pt-BR"/>
              </w:rPr>
              <w:t xml:space="preserve">Aulacophora almora </w:t>
            </w:r>
            <w:r w:rsidRPr="00E86271">
              <w:rPr>
                <w:iCs/>
                <w:lang w:val="pt-BR"/>
              </w:rPr>
              <w:t>Maulik</w:t>
            </w:r>
          </w:p>
          <w:p w:rsidR="00B52BB0" w:rsidRPr="00E86271" w:rsidRDefault="00B52BB0" w:rsidP="003E074D">
            <w:pPr>
              <w:pStyle w:val="TableText"/>
              <w:rPr>
                <w:iCs/>
                <w:lang w:val="pt-BR"/>
              </w:rPr>
            </w:pPr>
            <w:r w:rsidRPr="00E86271">
              <w:rPr>
                <w:iCs/>
                <w:lang w:val="pt-BR"/>
              </w:rPr>
              <w:t>[Chrysomelidae]</w:t>
            </w:r>
          </w:p>
          <w:p w:rsidR="00B52BB0" w:rsidRPr="00752FE5" w:rsidRDefault="00B52BB0" w:rsidP="003E074D">
            <w:pPr>
              <w:pStyle w:val="TableText"/>
              <w:rPr>
                <w:i/>
                <w:lang w:val="pt-BR"/>
              </w:rPr>
            </w:pPr>
            <w:r w:rsidRPr="00E86271">
              <w:rPr>
                <w:iCs/>
                <w:lang w:val="pt-BR"/>
              </w:rPr>
              <w:t>Leaf beetle</w:t>
            </w:r>
          </w:p>
        </w:tc>
        <w:tc>
          <w:tcPr>
            <w:tcW w:w="715" w:type="pct"/>
            <w:shd w:val="clear" w:color="auto" w:fill="auto"/>
          </w:tcPr>
          <w:p w:rsidR="00B52BB0" w:rsidRPr="00DF463B" w:rsidRDefault="00B52BB0" w:rsidP="003E074D">
            <w:pPr>
              <w:pStyle w:val="TableText"/>
              <w:rPr>
                <w:lang w:val="pt-BR"/>
              </w:rPr>
            </w:pPr>
            <w:r w:rsidRPr="009F33E3">
              <w:t xml:space="preserve">Yes </w:t>
            </w:r>
            <w:r>
              <w:rPr>
                <w:noProof/>
              </w:rPr>
              <w:t>(Kimoto 1989)</w:t>
            </w:r>
          </w:p>
        </w:tc>
        <w:tc>
          <w:tcPr>
            <w:tcW w:w="714" w:type="pct"/>
            <w:shd w:val="clear" w:color="auto" w:fill="auto"/>
          </w:tcPr>
          <w:p w:rsidR="00B52BB0" w:rsidRPr="00DF463B" w:rsidRDefault="00B52BB0" w:rsidP="003E074D">
            <w:pPr>
              <w:pStyle w:val="TableText"/>
              <w:rPr>
                <w:szCs w:val="16"/>
              </w:rPr>
            </w:pPr>
            <w:r w:rsidRPr="009F33E3">
              <w:t>No records found</w:t>
            </w:r>
          </w:p>
        </w:tc>
        <w:tc>
          <w:tcPr>
            <w:tcW w:w="714" w:type="pct"/>
            <w:shd w:val="clear" w:color="auto" w:fill="auto"/>
          </w:tcPr>
          <w:p w:rsidR="00B52BB0" w:rsidRPr="00DF463B" w:rsidRDefault="00B52BB0" w:rsidP="003E074D">
            <w:pPr>
              <w:pStyle w:val="TableText"/>
            </w:pPr>
            <w:r w:rsidRPr="009F33E3">
              <w:t xml:space="preserve">No. Adults feed on flowers and foliage, and larvae feed on roots </w:t>
            </w:r>
            <w:r>
              <w:rPr>
                <w:noProof/>
              </w:rPr>
              <w:t>(Tan, Wei &amp; Lan 1998)</w:t>
            </w:r>
            <w:r w:rsidRPr="009F33E3">
              <w:t>.</w:t>
            </w:r>
          </w:p>
        </w:tc>
        <w:tc>
          <w:tcPr>
            <w:tcW w:w="714" w:type="pct"/>
            <w:shd w:val="clear" w:color="auto" w:fill="auto"/>
          </w:tcPr>
          <w:p w:rsidR="00B52BB0" w:rsidRPr="00DF463B" w:rsidRDefault="00B52BB0" w:rsidP="003E074D">
            <w:pPr>
              <w:pStyle w:val="TableText"/>
            </w:pPr>
            <w:r w:rsidRPr="009F33E3">
              <w:t xml:space="preserve">Assessment not required </w:t>
            </w:r>
          </w:p>
        </w:tc>
        <w:tc>
          <w:tcPr>
            <w:tcW w:w="714" w:type="pct"/>
            <w:shd w:val="clear" w:color="auto" w:fill="auto"/>
          </w:tcPr>
          <w:p w:rsidR="00B52BB0" w:rsidRPr="00DF463B" w:rsidRDefault="00B52BB0" w:rsidP="003E074D">
            <w:pPr>
              <w:pStyle w:val="TableText"/>
            </w:pPr>
            <w:r w:rsidRPr="009F33E3">
              <w:t>Assessment not required</w:t>
            </w:r>
          </w:p>
        </w:tc>
        <w:tc>
          <w:tcPr>
            <w:tcW w:w="714" w:type="pct"/>
            <w:shd w:val="clear" w:color="auto" w:fill="auto"/>
          </w:tcPr>
          <w:p w:rsidR="00B52BB0" w:rsidRPr="00DF463B" w:rsidRDefault="00B52BB0" w:rsidP="003E074D">
            <w:pPr>
              <w:pStyle w:val="TableText"/>
            </w:pPr>
            <w:r w:rsidRPr="009F33E3">
              <w:t>No</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E65D09">
              <w:rPr>
                <w:i/>
                <w:lang w:val="pt-BR"/>
              </w:rPr>
              <w:lastRenderedPageBreak/>
              <w:t xml:space="preserve">Euwallacea fornicatus </w:t>
            </w:r>
            <w:r w:rsidRPr="00FF321B">
              <w:rPr>
                <w:iCs/>
                <w:lang w:val="pt-BR"/>
              </w:rPr>
              <w:t>(Eichhoff, 1868)</w:t>
            </w:r>
          </w:p>
          <w:p w:rsidR="00B52BB0" w:rsidRPr="00FF321B" w:rsidRDefault="00B52BB0" w:rsidP="003E074D">
            <w:pPr>
              <w:pStyle w:val="TableText"/>
              <w:rPr>
                <w:iCs/>
                <w:lang w:val="pt-BR"/>
              </w:rPr>
            </w:pPr>
            <w:r w:rsidRPr="00FF321B">
              <w:rPr>
                <w:iCs/>
                <w:lang w:val="pt-BR"/>
              </w:rPr>
              <w:t>[Curculionidae]</w:t>
            </w:r>
          </w:p>
          <w:p w:rsidR="00B52BB0" w:rsidRPr="00752FE5" w:rsidRDefault="00B52BB0" w:rsidP="003E074D">
            <w:pPr>
              <w:pStyle w:val="TableText"/>
              <w:rPr>
                <w:i/>
                <w:lang w:val="pt-BR"/>
              </w:rPr>
            </w:pPr>
            <w:r w:rsidRPr="00FF321B">
              <w:rPr>
                <w:iCs/>
                <w:lang w:val="pt-BR"/>
              </w:rPr>
              <w:t>Tea shot-hole borer</w:t>
            </w:r>
          </w:p>
        </w:tc>
        <w:tc>
          <w:tcPr>
            <w:tcW w:w="715" w:type="pct"/>
            <w:shd w:val="clear" w:color="auto" w:fill="auto"/>
          </w:tcPr>
          <w:p w:rsidR="00B52BB0" w:rsidRPr="00DF463B" w:rsidRDefault="00B52BB0" w:rsidP="003E074D">
            <w:pPr>
              <w:pStyle w:val="TableText"/>
              <w:rPr>
                <w:lang w:val="pt-BR"/>
              </w:rPr>
            </w:pPr>
            <w:r w:rsidRPr="0067794E">
              <w:t xml:space="preserve">Yes </w:t>
            </w:r>
            <w:r>
              <w:rPr>
                <w:noProof/>
              </w:rPr>
              <w:t>(CABI 2019; Ge et al. 2017)</w:t>
            </w:r>
          </w:p>
        </w:tc>
        <w:tc>
          <w:tcPr>
            <w:tcW w:w="714" w:type="pct"/>
            <w:shd w:val="clear" w:color="auto" w:fill="auto"/>
          </w:tcPr>
          <w:p w:rsidR="00B52BB0" w:rsidRDefault="00B52BB0" w:rsidP="003E074D">
            <w:pPr>
              <w:pStyle w:val="TableText"/>
            </w:pPr>
            <w:r w:rsidRPr="0067794E">
              <w:t xml:space="preserve">Yes. Qld </w:t>
            </w:r>
            <w:r>
              <w:rPr>
                <w:noProof/>
              </w:rPr>
              <w:t>(Geering 2013; Plant Health Australia 2019)</w:t>
            </w:r>
          </w:p>
          <w:p w:rsidR="00B52BB0" w:rsidRPr="00DF463B" w:rsidRDefault="00B52BB0" w:rsidP="003E074D">
            <w:pPr>
              <w:pStyle w:val="TableText"/>
              <w:rPr>
                <w:szCs w:val="16"/>
              </w:rPr>
            </w:pPr>
            <w:r w:rsidRPr="0067794E">
              <w:t>Regulated as a Declared Organism (Prohibited (s</w:t>
            </w:r>
            <w:r>
              <w:t>. </w:t>
            </w:r>
            <w:r w:rsidRPr="0067794E">
              <w:t xml:space="preserve">12)) </w:t>
            </w:r>
            <w:r>
              <w:t>by</w:t>
            </w:r>
            <w:r w:rsidRPr="0067794E">
              <w:t xml:space="preserve"> WA </w:t>
            </w:r>
            <w:r>
              <w:t xml:space="preserve">under the </w:t>
            </w:r>
            <w:r w:rsidRPr="00EF7092">
              <w:rPr>
                <w:i/>
              </w:rPr>
              <w:t>Biosecurity and Agriculture Management Act 2007</w:t>
            </w:r>
            <w:r w:rsidRPr="0067794E">
              <w:t xml:space="preserve"> </w:t>
            </w:r>
            <w:r>
              <w:rPr>
                <w:noProof/>
              </w:rPr>
              <w:t>(Government of Western Australia 2018)</w:t>
            </w:r>
            <w:r w:rsidRPr="0067794E">
              <w:t>.</w:t>
            </w:r>
          </w:p>
        </w:tc>
        <w:tc>
          <w:tcPr>
            <w:tcW w:w="714" w:type="pct"/>
            <w:shd w:val="clear" w:color="auto" w:fill="auto"/>
          </w:tcPr>
          <w:p w:rsidR="00B52BB0" w:rsidRPr="00DF463B" w:rsidRDefault="00B52BB0" w:rsidP="003E074D">
            <w:pPr>
              <w:pStyle w:val="TableText"/>
            </w:pPr>
            <w:r w:rsidRPr="0067794E">
              <w:t xml:space="preserve">No. Larvae tunnel in twigs and small branches of host </w:t>
            </w:r>
            <w:r>
              <w:rPr>
                <w:noProof/>
              </w:rPr>
              <w:t>(CABI 2019)</w:t>
            </w:r>
            <w:r w:rsidRPr="0067794E">
              <w:t>.</w:t>
            </w:r>
          </w:p>
        </w:tc>
        <w:tc>
          <w:tcPr>
            <w:tcW w:w="714" w:type="pct"/>
            <w:shd w:val="clear" w:color="auto" w:fill="auto"/>
          </w:tcPr>
          <w:p w:rsidR="00B52BB0" w:rsidRPr="00DF463B" w:rsidRDefault="00B52BB0" w:rsidP="003E074D">
            <w:pPr>
              <w:pStyle w:val="TableText"/>
            </w:pPr>
            <w:r w:rsidRPr="0067794E">
              <w:t>Assessment not required</w:t>
            </w:r>
          </w:p>
        </w:tc>
        <w:tc>
          <w:tcPr>
            <w:tcW w:w="714" w:type="pct"/>
            <w:shd w:val="clear" w:color="auto" w:fill="auto"/>
          </w:tcPr>
          <w:p w:rsidR="00B52BB0" w:rsidRPr="00DF463B" w:rsidRDefault="00B52BB0" w:rsidP="003E074D">
            <w:pPr>
              <w:pStyle w:val="TableText"/>
            </w:pPr>
            <w:r w:rsidRPr="0067794E">
              <w:t>Assessment not required</w:t>
            </w:r>
          </w:p>
        </w:tc>
        <w:tc>
          <w:tcPr>
            <w:tcW w:w="714" w:type="pct"/>
            <w:shd w:val="clear" w:color="auto" w:fill="auto"/>
          </w:tcPr>
          <w:p w:rsidR="00B52BB0" w:rsidRPr="00DF463B" w:rsidRDefault="00B52BB0" w:rsidP="003E074D">
            <w:pPr>
              <w:pStyle w:val="TableText"/>
            </w:pPr>
            <w:r w:rsidRPr="0067794E">
              <w:t>No</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E65D09">
              <w:rPr>
                <w:i/>
                <w:lang w:val="pt-BR"/>
              </w:rPr>
              <w:t xml:space="preserve">Henosepilachna vigintioctopunctata </w:t>
            </w:r>
            <w:r w:rsidRPr="00FF321B">
              <w:rPr>
                <w:iCs/>
                <w:lang w:val="pt-BR"/>
              </w:rPr>
              <w:t>(Fabricius, 1775)</w:t>
            </w:r>
          </w:p>
          <w:p w:rsidR="00B52BB0" w:rsidRPr="00FF321B" w:rsidRDefault="00B52BB0" w:rsidP="003E074D">
            <w:pPr>
              <w:pStyle w:val="TableText"/>
              <w:rPr>
                <w:iCs/>
                <w:lang w:val="pt-BR"/>
              </w:rPr>
            </w:pPr>
            <w:r w:rsidRPr="00FF321B">
              <w:rPr>
                <w:iCs/>
                <w:lang w:val="pt-BR"/>
              </w:rPr>
              <w:t xml:space="preserve">Synonym: </w:t>
            </w:r>
            <w:r w:rsidRPr="00FF321B">
              <w:rPr>
                <w:i/>
                <w:lang w:val="pt-BR"/>
              </w:rPr>
              <w:t>Epilachna vigintioctopunctata</w:t>
            </w:r>
            <w:r w:rsidRPr="00FF321B">
              <w:rPr>
                <w:iCs/>
                <w:lang w:val="pt-BR"/>
              </w:rPr>
              <w:t xml:space="preserve"> (Fabricius, 1775)</w:t>
            </w:r>
          </w:p>
          <w:p w:rsidR="00B52BB0" w:rsidRPr="00FF321B" w:rsidRDefault="00B52BB0" w:rsidP="003E074D">
            <w:pPr>
              <w:pStyle w:val="TableText"/>
              <w:rPr>
                <w:iCs/>
                <w:lang w:val="pt-BR"/>
              </w:rPr>
            </w:pPr>
            <w:r w:rsidRPr="00FF321B">
              <w:rPr>
                <w:iCs/>
                <w:lang w:val="pt-BR"/>
              </w:rPr>
              <w:t>[Coccinellidae]</w:t>
            </w:r>
          </w:p>
          <w:p w:rsidR="00B52BB0" w:rsidRPr="00752FE5" w:rsidRDefault="00B52BB0" w:rsidP="003E074D">
            <w:pPr>
              <w:pStyle w:val="TableText"/>
              <w:tabs>
                <w:tab w:val="right" w:pos="1785"/>
              </w:tabs>
              <w:rPr>
                <w:i/>
                <w:lang w:val="pt-BR"/>
              </w:rPr>
            </w:pPr>
            <w:r w:rsidRPr="00FF321B">
              <w:rPr>
                <w:iCs/>
                <w:lang w:val="pt-BR"/>
              </w:rPr>
              <w:t>Hadda beetle</w:t>
            </w:r>
          </w:p>
        </w:tc>
        <w:tc>
          <w:tcPr>
            <w:tcW w:w="715" w:type="pct"/>
            <w:shd w:val="clear" w:color="auto" w:fill="auto"/>
          </w:tcPr>
          <w:p w:rsidR="00B52BB0" w:rsidRPr="00DF463B" w:rsidRDefault="00B52BB0" w:rsidP="003E074D">
            <w:pPr>
              <w:pStyle w:val="TableText"/>
              <w:rPr>
                <w:lang w:val="pt-BR"/>
              </w:rPr>
            </w:pPr>
            <w:r w:rsidRPr="00030B10">
              <w:t xml:space="preserve">Yes </w:t>
            </w:r>
            <w:r>
              <w:rPr>
                <w:noProof/>
              </w:rPr>
              <w:t>(CABI 2019)</w:t>
            </w:r>
          </w:p>
        </w:tc>
        <w:tc>
          <w:tcPr>
            <w:tcW w:w="714" w:type="pct"/>
            <w:shd w:val="clear" w:color="auto" w:fill="auto"/>
          </w:tcPr>
          <w:p w:rsidR="00B52BB0" w:rsidRPr="00DF463B" w:rsidRDefault="00B52BB0" w:rsidP="003E074D">
            <w:pPr>
              <w:pStyle w:val="TableText"/>
              <w:rPr>
                <w:szCs w:val="16"/>
              </w:rPr>
            </w:pPr>
            <w:r w:rsidRPr="00030B10">
              <w:t xml:space="preserve">Yes. NSW, NT, Qld, WA </w:t>
            </w:r>
            <w:r>
              <w:rPr>
                <w:noProof/>
              </w:rPr>
              <w:t>(Plant Health Australia 2019)</w:t>
            </w:r>
          </w:p>
        </w:tc>
        <w:tc>
          <w:tcPr>
            <w:tcW w:w="714" w:type="pct"/>
            <w:shd w:val="clear" w:color="auto" w:fill="auto"/>
          </w:tcPr>
          <w:p w:rsidR="00B52BB0" w:rsidRPr="00DF463B" w:rsidRDefault="00B52BB0" w:rsidP="003E074D">
            <w:pPr>
              <w:pStyle w:val="TableText"/>
            </w:pPr>
            <w:r w:rsidRPr="00030B10">
              <w:t>Assessment not required</w:t>
            </w:r>
          </w:p>
        </w:tc>
        <w:tc>
          <w:tcPr>
            <w:tcW w:w="714" w:type="pct"/>
            <w:shd w:val="clear" w:color="auto" w:fill="auto"/>
          </w:tcPr>
          <w:p w:rsidR="00B52BB0" w:rsidRPr="00DF463B" w:rsidRDefault="00B52BB0" w:rsidP="003E074D">
            <w:pPr>
              <w:pStyle w:val="TableText"/>
            </w:pPr>
            <w:r w:rsidRPr="00030B10">
              <w:t>Assessment not required</w:t>
            </w:r>
          </w:p>
        </w:tc>
        <w:tc>
          <w:tcPr>
            <w:tcW w:w="714" w:type="pct"/>
            <w:shd w:val="clear" w:color="auto" w:fill="auto"/>
          </w:tcPr>
          <w:p w:rsidR="00B52BB0" w:rsidRPr="00DF463B" w:rsidRDefault="00B52BB0" w:rsidP="003E074D">
            <w:pPr>
              <w:pStyle w:val="TableText"/>
            </w:pPr>
            <w:r w:rsidRPr="00030B10">
              <w:t xml:space="preserve">Assessment not required </w:t>
            </w:r>
          </w:p>
        </w:tc>
        <w:tc>
          <w:tcPr>
            <w:tcW w:w="714" w:type="pct"/>
            <w:shd w:val="clear" w:color="auto" w:fill="auto"/>
          </w:tcPr>
          <w:p w:rsidR="00B52BB0" w:rsidRPr="00DF463B" w:rsidRDefault="00B52BB0" w:rsidP="003E074D">
            <w:pPr>
              <w:pStyle w:val="TableText"/>
            </w:pPr>
            <w:r w:rsidRPr="00030B10">
              <w:t>No</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E65D09">
              <w:rPr>
                <w:i/>
                <w:lang w:val="pt-BR"/>
              </w:rPr>
              <w:t xml:space="preserve">Hypomeces squamosus </w:t>
            </w:r>
            <w:r w:rsidRPr="00FF321B">
              <w:rPr>
                <w:iCs/>
                <w:lang w:val="pt-BR"/>
              </w:rPr>
              <w:t>(Fabricius, 1792)</w:t>
            </w:r>
          </w:p>
          <w:p w:rsidR="00B52BB0" w:rsidRPr="00FF321B" w:rsidRDefault="00B52BB0" w:rsidP="003E074D">
            <w:pPr>
              <w:pStyle w:val="TableText"/>
              <w:rPr>
                <w:iCs/>
                <w:lang w:val="pt-BR"/>
              </w:rPr>
            </w:pPr>
            <w:r w:rsidRPr="00FF321B">
              <w:rPr>
                <w:iCs/>
                <w:lang w:val="pt-BR"/>
              </w:rPr>
              <w:t>[Curculionidae]</w:t>
            </w:r>
          </w:p>
          <w:p w:rsidR="00B52BB0" w:rsidRPr="00752FE5" w:rsidRDefault="00B52BB0" w:rsidP="003E074D">
            <w:pPr>
              <w:pStyle w:val="TableText"/>
              <w:rPr>
                <w:i/>
                <w:lang w:val="pt-BR"/>
              </w:rPr>
            </w:pPr>
            <w:r w:rsidRPr="00FF321B">
              <w:rPr>
                <w:iCs/>
                <w:lang w:val="pt-BR"/>
              </w:rPr>
              <w:t>Green weevil</w:t>
            </w:r>
          </w:p>
        </w:tc>
        <w:tc>
          <w:tcPr>
            <w:tcW w:w="715" w:type="pct"/>
            <w:shd w:val="clear" w:color="auto" w:fill="auto"/>
          </w:tcPr>
          <w:p w:rsidR="00B52BB0" w:rsidRPr="00DF463B" w:rsidRDefault="00B52BB0" w:rsidP="003E074D">
            <w:pPr>
              <w:pStyle w:val="TableText"/>
              <w:rPr>
                <w:lang w:val="pt-BR"/>
              </w:rPr>
            </w:pPr>
            <w:r w:rsidRPr="00D44385">
              <w:t xml:space="preserve">Yes </w:t>
            </w:r>
            <w:r>
              <w:rPr>
                <w:noProof/>
              </w:rPr>
              <w:t>(PPD 2017)</w:t>
            </w:r>
          </w:p>
        </w:tc>
        <w:tc>
          <w:tcPr>
            <w:tcW w:w="714" w:type="pct"/>
            <w:shd w:val="clear" w:color="auto" w:fill="auto"/>
          </w:tcPr>
          <w:p w:rsidR="00B52BB0" w:rsidRPr="00DF463B" w:rsidRDefault="00B52BB0" w:rsidP="003E074D">
            <w:pPr>
              <w:pStyle w:val="TableText"/>
              <w:rPr>
                <w:szCs w:val="16"/>
              </w:rPr>
            </w:pPr>
            <w:r w:rsidRPr="00D44385">
              <w:t>No records found</w:t>
            </w:r>
          </w:p>
        </w:tc>
        <w:tc>
          <w:tcPr>
            <w:tcW w:w="714" w:type="pct"/>
            <w:shd w:val="clear" w:color="auto" w:fill="auto"/>
          </w:tcPr>
          <w:p w:rsidR="00B52BB0" w:rsidRPr="00DF463B" w:rsidRDefault="00B52BB0" w:rsidP="003E074D">
            <w:pPr>
              <w:pStyle w:val="TableText"/>
            </w:pPr>
            <w:r w:rsidRPr="00D44385">
              <w:t xml:space="preserve">No. This species feeds on leaves and young shoots </w:t>
            </w:r>
            <w:r>
              <w:rPr>
                <w:noProof/>
              </w:rPr>
              <w:t>(Salakpetch 2000)</w:t>
            </w:r>
            <w:r w:rsidRPr="00D44385">
              <w:t>.</w:t>
            </w:r>
          </w:p>
        </w:tc>
        <w:tc>
          <w:tcPr>
            <w:tcW w:w="714" w:type="pct"/>
            <w:shd w:val="clear" w:color="auto" w:fill="auto"/>
          </w:tcPr>
          <w:p w:rsidR="00B52BB0" w:rsidRPr="00DF463B" w:rsidRDefault="00B52BB0" w:rsidP="003E074D">
            <w:pPr>
              <w:pStyle w:val="TableText"/>
            </w:pPr>
            <w:r w:rsidRPr="00D44385">
              <w:t>Assessment not required</w:t>
            </w:r>
          </w:p>
        </w:tc>
        <w:tc>
          <w:tcPr>
            <w:tcW w:w="714" w:type="pct"/>
            <w:shd w:val="clear" w:color="auto" w:fill="auto"/>
          </w:tcPr>
          <w:p w:rsidR="00B52BB0" w:rsidRPr="00DF463B" w:rsidRDefault="00B52BB0" w:rsidP="003E074D">
            <w:pPr>
              <w:pStyle w:val="TableText"/>
            </w:pPr>
            <w:r w:rsidRPr="00D44385">
              <w:t xml:space="preserve">Assessment not required </w:t>
            </w:r>
          </w:p>
        </w:tc>
        <w:tc>
          <w:tcPr>
            <w:tcW w:w="714" w:type="pct"/>
            <w:shd w:val="clear" w:color="auto" w:fill="auto"/>
          </w:tcPr>
          <w:p w:rsidR="00B52BB0" w:rsidRPr="00DF463B" w:rsidRDefault="00B52BB0" w:rsidP="003E074D">
            <w:pPr>
              <w:pStyle w:val="TableText"/>
            </w:pPr>
            <w:r w:rsidRPr="00D44385">
              <w:t>No</w:t>
            </w:r>
          </w:p>
        </w:tc>
      </w:tr>
      <w:tr w:rsidR="00B52BB0" w:rsidRPr="00DF463B" w:rsidTr="003E074D">
        <w:trPr>
          <w:cantSplit/>
          <w:trHeight w:val="75"/>
          <w:jc w:val="center"/>
        </w:trPr>
        <w:tc>
          <w:tcPr>
            <w:tcW w:w="715" w:type="pct"/>
            <w:shd w:val="clear" w:color="auto" w:fill="auto"/>
          </w:tcPr>
          <w:p w:rsidR="00B52BB0" w:rsidRPr="00343303" w:rsidRDefault="00B52BB0" w:rsidP="003E074D">
            <w:pPr>
              <w:pStyle w:val="TableText"/>
              <w:rPr>
                <w:lang w:val="pt-BR"/>
              </w:rPr>
            </w:pPr>
            <w:r>
              <w:rPr>
                <w:i/>
                <w:lang w:val="pt-BR"/>
              </w:rPr>
              <w:t>Gametis jucunda</w:t>
            </w:r>
            <w:r>
              <w:rPr>
                <w:lang w:val="pt-BR"/>
              </w:rPr>
              <w:t xml:space="preserve"> </w:t>
            </w:r>
            <w:r w:rsidRPr="00FF321B">
              <w:rPr>
                <w:iCs/>
                <w:lang w:val="pt-BR"/>
              </w:rPr>
              <w:t>(Faldermann, 1835)</w:t>
            </w:r>
          </w:p>
          <w:p w:rsidR="00B52BB0" w:rsidRPr="00FF321B" w:rsidRDefault="00B52BB0" w:rsidP="003E074D">
            <w:pPr>
              <w:pStyle w:val="TableText"/>
              <w:rPr>
                <w:iCs/>
                <w:lang w:val="pt-BR"/>
              </w:rPr>
            </w:pPr>
            <w:r>
              <w:rPr>
                <w:lang w:val="pt-BR"/>
              </w:rPr>
              <w:t xml:space="preserve">Synonym: </w:t>
            </w:r>
            <w:r w:rsidRPr="00E65D09">
              <w:rPr>
                <w:i/>
                <w:lang w:val="pt-BR"/>
              </w:rPr>
              <w:t xml:space="preserve">Oxycetonia jucunda </w:t>
            </w:r>
            <w:r w:rsidRPr="00FF321B">
              <w:rPr>
                <w:iCs/>
                <w:lang w:val="pt-BR"/>
              </w:rPr>
              <w:t>(Faldermann, 1835)</w:t>
            </w:r>
          </w:p>
          <w:p w:rsidR="00B52BB0" w:rsidRPr="00FF321B" w:rsidRDefault="00B52BB0" w:rsidP="003E074D">
            <w:pPr>
              <w:pStyle w:val="TableText"/>
              <w:rPr>
                <w:iCs/>
                <w:lang w:val="pt-BR"/>
              </w:rPr>
            </w:pPr>
            <w:r w:rsidRPr="00FF321B">
              <w:rPr>
                <w:iCs/>
                <w:lang w:val="pt-BR"/>
              </w:rPr>
              <w:t>[Scarabaeidae]</w:t>
            </w:r>
          </w:p>
          <w:p w:rsidR="00B52BB0" w:rsidRPr="00752FE5" w:rsidRDefault="00B52BB0" w:rsidP="003E074D">
            <w:pPr>
              <w:pStyle w:val="TableText"/>
              <w:rPr>
                <w:i/>
                <w:lang w:val="pt-BR"/>
              </w:rPr>
            </w:pPr>
            <w:r w:rsidRPr="00FF321B">
              <w:rPr>
                <w:iCs/>
                <w:lang w:val="pt-BR"/>
              </w:rPr>
              <w:t>Smaller green flower chafer</w:t>
            </w:r>
          </w:p>
        </w:tc>
        <w:tc>
          <w:tcPr>
            <w:tcW w:w="715" w:type="pct"/>
            <w:shd w:val="clear" w:color="auto" w:fill="auto"/>
          </w:tcPr>
          <w:p w:rsidR="00B52BB0" w:rsidRPr="00DF463B" w:rsidRDefault="00B52BB0" w:rsidP="003E074D">
            <w:pPr>
              <w:pStyle w:val="TableText"/>
              <w:rPr>
                <w:lang w:val="pt-BR"/>
              </w:rPr>
            </w:pPr>
            <w:r w:rsidRPr="009477FD">
              <w:t xml:space="preserve">Yes </w:t>
            </w:r>
            <w:r>
              <w:rPr>
                <w:noProof/>
              </w:rPr>
              <w:t>(ITIS 2018)</w:t>
            </w:r>
          </w:p>
        </w:tc>
        <w:tc>
          <w:tcPr>
            <w:tcW w:w="714" w:type="pct"/>
            <w:shd w:val="clear" w:color="auto" w:fill="auto"/>
          </w:tcPr>
          <w:p w:rsidR="00B52BB0" w:rsidRPr="00DF463B" w:rsidRDefault="00B52BB0" w:rsidP="003E074D">
            <w:pPr>
              <w:pStyle w:val="TableText"/>
              <w:rPr>
                <w:szCs w:val="16"/>
              </w:rPr>
            </w:pPr>
            <w:r w:rsidRPr="009477FD">
              <w:t>No records found</w:t>
            </w:r>
          </w:p>
        </w:tc>
        <w:tc>
          <w:tcPr>
            <w:tcW w:w="714" w:type="pct"/>
            <w:shd w:val="clear" w:color="auto" w:fill="auto"/>
          </w:tcPr>
          <w:p w:rsidR="00B52BB0" w:rsidRPr="00DF463B" w:rsidRDefault="00B52BB0" w:rsidP="003E074D">
            <w:pPr>
              <w:pStyle w:val="TableText"/>
            </w:pPr>
            <w:r w:rsidRPr="009477FD">
              <w:t xml:space="preserve">No. Adults feed on leaves and larvae feed on roots </w:t>
            </w:r>
            <w:r>
              <w:rPr>
                <w:noProof/>
              </w:rPr>
              <w:t>(Tan, Wei &amp; Lan 1998)</w:t>
            </w:r>
            <w:r w:rsidRPr="009477FD">
              <w:t>.</w:t>
            </w:r>
          </w:p>
        </w:tc>
        <w:tc>
          <w:tcPr>
            <w:tcW w:w="714" w:type="pct"/>
            <w:shd w:val="clear" w:color="auto" w:fill="auto"/>
          </w:tcPr>
          <w:p w:rsidR="00B52BB0" w:rsidRPr="00DF463B" w:rsidRDefault="00B52BB0" w:rsidP="003E074D">
            <w:pPr>
              <w:pStyle w:val="TableText"/>
            </w:pPr>
            <w:r w:rsidRPr="009477FD">
              <w:t>Assessment not required</w:t>
            </w:r>
          </w:p>
        </w:tc>
        <w:tc>
          <w:tcPr>
            <w:tcW w:w="714" w:type="pct"/>
            <w:shd w:val="clear" w:color="auto" w:fill="auto"/>
          </w:tcPr>
          <w:p w:rsidR="00B52BB0" w:rsidRPr="00DF463B" w:rsidRDefault="00B52BB0" w:rsidP="003E074D">
            <w:pPr>
              <w:pStyle w:val="TableText"/>
            </w:pPr>
            <w:r w:rsidRPr="009477FD">
              <w:t>Assessment not required</w:t>
            </w:r>
          </w:p>
        </w:tc>
        <w:tc>
          <w:tcPr>
            <w:tcW w:w="714" w:type="pct"/>
            <w:shd w:val="clear" w:color="auto" w:fill="auto"/>
          </w:tcPr>
          <w:p w:rsidR="00B52BB0" w:rsidRPr="00DF463B" w:rsidRDefault="00B52BB0" w:rsidP="003E074D">
            <w:pPr>
              <w:pStyle w:val="TableText"/>
            </w:pPr>
            <w:r w:rsidRPr="009477FD">
              <w:t>No</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0A6049">
              <w:rPr>
                <w:i/>
                <w:lang w:val="pt-BR"/>
              </w:rPr>
              <w:lastRenderedPageBreak/>
              <w:t xml:space="preserve">Phaedon brassicae </w:t>
            </w:r>
            <w:r w:rsidRPr="00FF321B">
              <w:rPr>
                <w:iCs/>
                <w:lang w:val="pt-BR"/>
              </w:rPr>
              <w:t>Baly, 1874</w:t>
            </w:r>
          </w:p>
          <w:p w:rsidR="00B52BB0" w:rsidRPr="00FF321B" w:rsidRDefault="00B52BB0" w:rsidP="003E074D">
            <w:pPr>
              <w:pStyle w:val="TableText"/>
              <w:rPr>
                <w:iCs/>
                <w:lang w:val="pt-BR"/>
              </w:rPr>
            </w:pPr>
            <w:r w:rsidRPr="00FF321B">
              <w:rPr>
                <w:iCs/>
                <w:lang w:val="pt-BR"/>
              </w:rPr>
              <w:t>[Chrysomelidae]</w:t>
            </w:r>
          </w:p>
          <w:p w:rsidR="00B52BB0" w:rsidRPr="00752FE5" w:rsidRDefault="00B52BB0" w:rsidP="003E074D">
            <w:pPr>
              <w:pStyle w:val="TableText"/>
              <w:rPr>
                <w:i/>
                <w:lang w:val="pt-BR"/>
              </w:rPr>
            </w:pPr>
            <w:r w:rsidRPr="00FF321B">
              <w:rPr>
                <w:iCs/>
                <w:lang w:val="pt-BR"/>
              </w:rPr>
              <w:t>Daikon leaf beetle</w:t>
            </w:r>
          </w:p>
        </w:tc>
        <w:tc>
          <w:tcPr>
            <w:tcW w:w="715" w:type="pct"/>
            <w:shd w:val="clear" w:color="auto" w:fill="auto"/>
          </w:tcPr>
          <w:p w:rsidR="00B52BB0" w:rsidRPr="00DF463B" w:rsidRDefault="00B52BB0" w:rsidP="003E074D">
            <w:pPr>
              <w:pStyle w:val="TableText"/>
              <w:rPr>
                <w:lang w:val="pt-BR"/>
              </w:rPr>
            </w:pPr>
            <w:r w:rsidRPr="006D695B">
              <w:t xml:space="preserve">Yes </w:t>
            </w:r>
            <w:r>
              <w:rPr>
                <w:noProof/>
              </w:rPr>
              <w:t>(CABI 2019)</w:t>
            </w:r>
          </w:p>
        </w:tc>
        <w:tc>
          <w:tcPr>
            <w:tcW w:w="714" w:type="pct"/>
            <w:shd w:val="clear" w:color="auto" w:fill="auto"/>
          </w:tcPr>
          <w:p w:rsidR="00B52BB0" w:rsidRPr="00DF463B" w:rsidRDefault="00B52BB0" w:rsidP="003E074D">
            <w:pPr>
              <w:pStyle w:val="TableText"/>
              <w:rPr>
                <w:szCs w:val="16"/>
              </w:rPr>
            </w:pPr>
            <w:r w:rsidRPr="006D695B">
              <w:t>No records found</w:t>
            </w:r>
          </w:p>
        </w:tc>
        <w:tc>
          <w:tcPr>
            <w:tcW w:w="714" w:type="pct"/>
            <w:shd w:val="clear" w:color="auto" w:fill="auto"/>
          </w:tcPr>
          <w:p w:rsidR="00B52BB0" w:rsidRPr="00DF463B" w:rsidRDefault="00B52BB0" w:rsidP="003E074D">
            <w:pPr>
              <w:pStyle w:val="TableText"/>
            </w:pPr>
            <w:r w:rsidRPr="006D695B">
              <w:t xml:space="preserve">No. Adults and larvae feed on leaves </w:t>
            </w:r>
            <w:r>
              <w:rPr>
                <w:noProof/>
              </w:rPr>
              <w:t>(Tan, Wei &amp; Lan 1998)</w:t>
            </w:r>
            <w:r w:rsidRPr="006D695B">
              <w:t>.</w:t>
            </w:r>
          </w:p>
        </w:tc>
        <w:tc>
          <w:tcPr>
            <w:tcW w:w="714" w:type="pct"/>
            <w:shd w:val="clear" w:color="auto" w:fill="auto"/>
          </w:tcPr>
          <w:p w:rsidR="00B52BB0" w:rsidRPr="00DF463B" w:rsidRDefault="00B52BB0" w:rsidP="003E074D">
            <w:pPr>
              <w:pStyle w:val="TableText"/>
            </w:pPr>
            <w:r w:rsidRPr="006D695B">
              <w:t>Assessment not required</w:t>
            </w:r>
          </w:p>
        </w:tc>
        <w:tc>
          <w:tcPr>
            <w:tcW w:w="714" w:type="pct"/>
            <w:shd w:val="clear" w:color="auto" w:fill="auto"/>
          </w:tcPr>
          <w:p w:rsidR="00B52BB0" w:rsidRPr="00DF463B" w:rsidRDefault="00B52BB0" w:rsidP="003E074D">
            <w:pPr>
              <w:pStyle w:val="TableText"/>
            </w:pPr>
            <w:r w:rsidRPr="006D695B">
              <w:t>Assessment not required</w:t>
            </w:r>
          </w:p>
        </w:tc>
        <w:tc>
          <w:tcPr>
            <w:tcW w:w="714" w:type="pct"/>
            <w:shd w:val="clear" w:color="auto" w:fill="auto"/>
          </w:tcPr>
          <w:p w:rsidR="00B52BB0" w:rsidRPr="00DF463B" w:rsidRDefault="00B52BB0" w:rsidP="003E074D">
            <w:pPr>
              <w:pStyle w:val="TableText"/>
            </w:pPr>
            <w:r w:rsidRPr="006D695B">
              <w:t>No</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0A6049">
              <w:rPr>
                <w:i/>
                <w:lang w:val="pt-BR"/>
              </w:rPr>
              <w:t xml:space="preserve">Phyllotreta striolata </w:t>
            </w:r>
            <w:r w:rsidRPr="00FF321B">
              <w:rPr>
                <w:iCs/>
                <w:lang w:val="pt-BR"/>
              </w:rPr>
              <w:t>(Fabricius, 1803)</w:t>
            </w:r>
          </w:p>
          <w:p w:rsidR="00B52BB0" w:rsidRPr="00FF321B" w:rsidRDefault="00B52BB0" w:rsidP="003E074D">
            <w:pPr>
              <w:pStyle w:val="TableText"/>
              <w:rPr>
                <w:iCs/>
                <w:lang w:val="pt-BR"/>
              </w:rPr>
            </w:pPr>
            <w:r w:rsidRPr="00FF321B">
              <w:rPr>
                <w:iCs/>
                <w:lang w:val="pt-BR"/>
              </w:rPr>
              <w:t>[Chrysomelidae]</w:t>
            </w:r>
          </w:p>
          <w:p w:rsidR="00B52BB0" w:rsidRPr="00752FE5" w:rsidRDefault="00B52BB0" w:rsidP="003E074D">
            <w:pPr>
              <w:pStyle w:val="TableText"/>
              <w:rPr>
                <w:i/>
                <w:lang w:val="pt-BR"/>
              </w:rPr>
            </w:pPr>
            <w:r w:rsidRPr="00FF321B">
              <w:rPr>
                <w:iCs/>
                <w:lang w:val="pt-BR"/>
              </w:rPr>
              <w:t>Cabbage flea beetle</w:t>
            </w:r>
          </w:p>
        </w:tc>
        <w:tc>
          <w:tcPr>
            <w:tcW w:w="715" w:type="pct"/>
            <w:shd w:val="clear" w:color="auto" w:fill="auto"/>
          </w:tcPr>
          <w:p w:rsidR="00B52BB0" w:rsidRPr="00DF463B" w:rsidRDefault="00B52BB0" w:rsidP="003E074D">
            <w:pPr>
              <w:pStyle w:val="TableText"/>
              <w:rPr>
                <w:lang w:val="pt-BR"/>
              </w:rPr>
            </w:pPr>
            <w:r w:rsidRPr="00AD01F6">
              <w:t xml:space="preserve">Yes </w:t>
            </w:r>
            <w:r>
              <w:rPr>
                <w:noProof/>
              </w:rPr>
              <w:t>(CABI 2019)</w:t>
            </w:r>
          </w:p>
        </w:tc>
        <w:tc>
          <w:tcPr>
            <w:tcW w:w="714" w:type="pct"/>
            <w:shd w:val="clear" w:color="auto" w:fill="auto"/>
          </w:tcPr>
          <w:p w:rsidR="00B52BB0" w:rsidRPr="00DF463B" w:rsidRDefault="00B52BB0" w:rsidP="003E074D">
            <w:pPr>
              <w:pStyle w:val="TableText"/>
              <w:rPr>
                <w:szCs w:val="16"/>
              </w:rPr>
            </w:pPr>
            <w:r w:rsidRPr="00AD01F6">
              <w:t>No records found</w:t>
            </w:r>
          </w:p>
        </w:tc>
        <w:tc>
          <w:tcPr>
            <w:tcW w:w="714" w:type="pct"/>
            <w:shd w:val="clear" w:color="auto" w:fill="auto"/>
          </w:tcPr>
          <w:p w:rsidR="00B52BB0" w:rsidRPr="00DF463B" w:rsidRDefault="00B52BB0" w:rsidP="003E074D">
            <w:pPr>
              <w:pStyle w:val="TableText"/>
            </w:pPr>
            <w:r w:rsidRPr="00AD01F6">
              <w:t xml:space="preserve">No. Adults feed on leaves and larvae feed on roots </w:t>
            </w:r>
            <w:r>
              <w:rPr>
                <w:noProof/>
              </w:rPr>
              <w:t>(Tan, Wei &amp; Lan 1998)</w:t>
            </w:r>
            <w:r w:rsidRPr="00AD01F6">
              <w:t>.</w:t>
            </w:r>
          </w:p>
        </w:tc>
        <w:tc>
          <w:tcPr>
            <w:tcW w:w="714" w:type="pct"/>
            <w:shd w:val="clear" w:color="auto" w:fill="auto"/>
          </w:tcPr>
          <w:p w:rsidR="00B52BB0" w:rsidRPr="00DF463B" w:rsidRDefault="00B52BB0" w:rsidP="003E074D">
            <w:pPr>
              <w:pStyle w:val="TableText"/>
            </w:pPr>
            <w:r w:rsidRPr="00AD01F6">
              <w:t>Assessment not required</w:t>
            </w:r>
          </w:p>
        </w:tc>
        <w:tc>
          <w:tcPr>
            <w:tcW w:w="714" w:type="pct"/>
            <w:shd w:val="clear" w:color="auto" w:fill="auto"/>
          </w:tcPr>
          <w:p w:rsidR="00B52BB0" w:rsidRPr="00DF463B" w:rsidRDefault="00B52BB0" w:rsidP="003E074D">
            <w:pPr>
              <w:pStyle w:val="TableText"/>
            </w:pPr>
            <w:r w:rsidRPr="00AD01F6">
              <w:t>Assessment not required</w:t>
            </w:r>
          </w:p>
        </w:tc>
        <w:tc>
          <w:tcPr>
            <w:tcW w:w="714" w:type="pct"/>
            <w:shd w:val="clear" w:color="auto" w:fill="auto"/>
          </w:tcPr>
          <w:p w:rsidR="00B52BB0" w:rsidRPr="00DF463B" w:rsidRDefault="00B52BB0" w:rsidP="003E074D">
            <w:pPr>
              <w:pStyle w:val="TableText"/>
            </w:pPr>
            <w:r w:rsidRPr="00AD01F6">
              <w:t>No</w:t>
            </w:r>
          </w:p>
        </w:tc>
      </w:tr>
      <w:tr w:rsidR="00B52BB0" w:rsidRPr="00DF463B" w:rsidTr="003E074D">
        <w:trPr>
          <w:cantSplit/>
          <w:trHeight w:val="75"/>
          <w:jc w:val="center"/>
        </w:trPr>
        <w:tc>
          <w:tcPr>
            <w:tcW w:w="715" w:type="pct"/>
            <w:tcBorders>
              <w:bottom w:val="single" w:sz="4" w:space="0" w:color="BFBFBF" w:themeColor="background1" w:themeShade="BF"/>
            </w:tcBorders>
            <w:shd w:val="clear" w:color="auto" w:fill="auto"/>
          </w:tcPr>
          <w:p w:rsidR="00B52BB0" w:rsidRPr="00FF321B" w:rsidRDefault="00B52BB0" w:rsidP="003E074D">
            <w:pPr>
              <w:pStyle w:val="TableText"/>
              <w:rPr>
                <w:iCs/>
                <w:lang w:val="pt-BR"/>
              </w:rPr>
            </w:pPr>
            <w:r w:rsidRPr="000A6049">
              <w:rPr>
                <w:i/>
                <w:lang w:val="pt-BR"/>
              </w:rPr>
              <w:t xml:space="preserve">Platymycterus sieversi </w:t>
            </w:r>
            <w:r w:rsidRPr="00FF321B">
              <w:rPr>
                <w:iCs/>
                <w:lang w:val="pt-BR"/>
              </w:rPr>
              <w:t>(Reitter, 1900)</w:t>
            </w:r>
          </w:p>
          <w:p w:rsidR="00B52BB0" w:rsidRPr="00F81D7C" w:rsidRDefault="00B52BB0" w:rsidP="003E074D">
            <w:pPr>
              <w:pStyle w:val="TableText"/>
              <w:rPr>
                <w:i/>
                <w:lang w:val="pt-BR"/>
              </w:rPr>
            </w:pPr>
            <w:r w:rsidRPr="00FF321B">
              <w:rPr>
                <w:iCs/>
                <w:lang w:val="pt-BR"/>
              </w:rPr>
              <w:t>[Curculionidae]</w:t>
            </w:r>
          </w:p>
        </w:tc>
        <w:tc>
          <w:tcPr>
            <w:tcW w:w="715" w:type="pct"/>
            <w:tcBorders>
              <w:bottom w:val="single" w:sz="4" w:space="0" w:color="BFBFBF" w:themeColor="background1" w:themeShade="BF"/>
            </w:tcBorders>
            <w:shd w:val="clear" w:color="auto" w:fill="auto"/>
          </w:tcPr>
          <w:p w:rsidR="00B52BB0" w:rsidRPr="00DF463B" w:rsidRDefault="00B52BB0" w:rsidP="003E074D">
            <w:pPr>
              <w:pStyle w:val="TableText"/>
              <w:rPr>
                <w:lang w:val="pt-BR"/>
              </w:rPr>
            </w:pPr>
            <w:r w:rsidRPr="00310058">
              <w:t xml:space="preserve">Yes </w:t>
            </w:r>
            <w:r>
              <w:rPr>
                <w:noProof/>
              </w:rPr>
              <w:t>(PPD 2017)</w:t>
            </w:r>
          </w:p>
        </w:tc>
        <w:tc>
          <w:tcPr>
            <w:tcW w:w="714" w:type="pct"/>
            <w:tcBorders>
              <w:bottom w:val="single" w:sz="4" w:space="0" w:color="BFBFBF" w:themeColor="background1" w:themeShade="BF"/>
            </w:tcBorders>
            <w:shd w:val="clear" w:color="auto" w:fill="auto"/>
          </w:tcPr>
          <w:p w:rsidR="00B52BB0" w:rsidRPr="00DF463B" w:rsidRDefault="00B52BB0" w:rsidP="003E074D">
            <w:pPr>
              <w:pStyle w:val="TableText"/>
              <w:rPr>
                <w:szCs w:val="16"/>
              </w:rPr>
            </w:pPr>
            <w:r w:rsidRPr="00310058">
              <w:t>No records found</w:t>
            </w:r>
          </w:p>
        </w:tc>
        <w:tc>
          <w:tcPr>
            <w:tcW w:w="714" w:type="pct"/>
            <w:tcBorders>
              <w:bottom w:val="single" w:sz="4" w:space="0" w:color="BFBFBF" w:themeColor="background1" w:themeShade="BF"/>
            </w:tcBorders>
            <w:shd w:val="clear" w:color="auto" w:fill="auto"/>
          </w:tcPr>
          <w:p w:rsidR="00B52BB0" w:rsidRPr="00DF463B" w:rsidRDefault="00B52BB0" w:rsidP="003E074D">
            <w:pPr>
              <w:pStyle w:val="TableText"/>
            </w:pPr>
            <w:r w:rsidRPr="00310058">
              <w:t xml:space="preserve">No. Feeds on leaves and stems </w:t>
            </w:r>
            <w:r>
              <w:rPr>
                <w:noProof/>
              </w:rPr>
              <w:t>(PPD 2017; Waterhouse 1993)</w:t>
            </w:r>
            <w:r w:rsidRPr="00310058">
              <w:t>.</w:t>
            </w:r>
          </w:p>
        </w:tc>
        <w:tc>
          <w:tcPr>
            <w:tcW w:w="714" w:type="pct"/>
            <w:tcBorders>
              <w:bottom w:val="single" w:sz="4" w:space="0" w:color="BFBFBF" w:themeColor="background1" w:themeShade="BF"/>
            </w:tcBorders>
            <w:shd w:val="clear" w:color="auto" w:fill="auto"/>
          </w:tcPr>
          <w:p w:rsidR="00B52BB0" w:rsidRPr="00DF463B" w:rsidRDefault="00B52BB0" w:rsidP="003E074D">
            <w:pPr>
              <w:pStyle w:val="TableText"/>
            </w:pPr>
            <w:r w:rsidRPr="00310058">
              <w:t xml:space="preserve">Assessment not required </w:t>
            </w:r>
          </w:p>
        </w:tc>
        <w:tc>
          <w:tcPr>
            <w:tcW w:w="714" w:type="pct"/>
            <w:tcBorders>
              <w:bottom w:val="single" w:sz="4" w:space="0" w:color="BFBFBF" w:themeColor="background1" w:themeShade="BF"/>
            </w:tcBorders>
            <w:shd w:val="clear" w:color="auto" w:fill="auto"/>
          </w:tcPr>
          <w:p w:rsidR="00B52BB0" w:rsidRPr="00DF463B" w:rsidRDefault="00B52BB0" w:rsidP="003E074D">
            <w:pPr>
              <w:pStyle w:val="TableText"/>
            </w:pPr>
            <w:r w:rsidRPr="00310058">
              <w:t>Assessment not required</w:t>
            </w:r>
          </w:p>
        </w:tc>
        <w:tc>
          <w:tcPr>
            <w:tcW w:w="714" w:type="pct"/>
            <w:tcBorders>
              <w:bottom w:val="single" w:sz="4" w:space="0" w:color="BFBFBF" w:themeColor="background1" w:themeShade="BF"/>
            </w:tcBorders>
            <w:shd w:val="clear" w:color="auto" w:fill="auto"/>
          </w:tcPr>
          <w:p w:rsidR="00B52BB0" w:rsidRPr="00DF463B" w:rsidRDefault="00B52BB0" w:rsidP="003E074D">
            <w:pPr>
              <w:pStyle w:val="TableText"/>
            </w:pPr>
            <w:r w:rsidRPr="00310058">
              <w:t>No</w:t>
            </w:r>
          </w:p>
        </w:tc>
      </w:tr>
      <w:tr w:rsidR="00B52BB0" w:rsidRPr="00DF463B" w:rsidTr="003E074D">
        <w:trPr>
          <w:cantSplit/>
          <w:trHeight w:val="75"/>
          <w:jc w:val="center"/>
        </w:trPr>
        <w:tc>
          <w:tcPr>
            <w:tcW w:w="715" w:type="pct"/>
            <w:tcBorders>
              <w:top w:val="single" w:sz="4" w:space="0" w:color="BFBFBF" w:themeColor="background1" w:themeShade="BF"/>
              <w:bottom w:val="single" w:sz="4" w:space="0" w:color="auto"/>
            </w:tcBorders>
            <w:shd w:val="clear" w:color="auto" w:fill="auto"/>
          </w:tcPr>
          <w:p w:rsidR="00B52BB0" w:rsidRPr="00FF321B" w:rsidRDefault="00B52BB0" w:rsidP="003E074D">
            <w:pPr>
              <w:pStyle w:val="TableText"/>
              <w:rPr>
                <w:iCs/>
                <w:lang w:val="pt-BR"/>
              </w:rPr>
            </w:pPr>
            <w:r w:rsidRPr="000A6049">
              <w:rPr>
                <w:i/>
                <w:lang w:val="pt-BR"/>
              </w:rPr>
              <w:t xml:space="preserve">Xylotrupes gideon </w:t>
            </w:r>
            <w:r w:rsidRPr="00FF321B">
              <w:rPr>
                <w:iCs/>
                <w:lang w:val="pt-BR"/>
              </w:rPr>
              <w:t>(Linnaeus, 1767)</w:t>
            </w:r>
          </w:p>
          <w:p w:rsidR="00B52BB0" w:rsidRPr="00FF321B" w:rsidRDefault="00B52BB0" w:rsidP="003E074D">
            <w:pPr>
              <w:pStyle w:val="TableText"/>
              <w:rPr>
                <w:iCs/>
                <w:lang w:val="pt-BR"/>
              </w:rPr>
            </w:pPr>
            <w:r w:rsidRPr="00FF321B">
              <w:rPr>
                <w:iCs/>
                <w:lang w:val="pt-BR"/>
              </w:rPr>
              <w:t>[Scarabaeidae]</w:t>
            </w:r>
          </w:p>
          <w:p w:rsidR="00B52BB0" w:rsidRPr="00F81D7C" w:rsidRDefault="00B52BB0" w:rsidP="003E074D">
            <w:pPr>
              <w:pStyle w:val="TableText"/>
              <w:rPr>
                <w:i/>
                <w:lang w:val="pt-BR"/>
              </w:rPr>
            </w:pPr>
            <w:r w:rsidRPr="00FF321B">
              <w:rPr>
                <w:iCs/>
                <w:lang w:val="pt-BR"/>
              </w:rPr>
              <w:t>Elephant beetle</w:t>
            </w:r>
          </w:p>
        </w:tc>
        <w:tc>
          <w:tcPr>
            <w:tcW w:w="715" w:type="pct"/>
            <w:tcBorders>
              <w:top w:val="single" w:sz="4" w:space="0" w:color="BFBFBF" w:themeColor="background1" w:themeShade="BF"/>
              <w:bottom w:val="single" w:sz="4" w:space="0" w:color="auto"/>
            </w:tcBorders>
            <w:shd w:val="clear" w:color="auto" w:fill="auto"/>
          </w:tcPr>
          <w:p w:rsidR="00B52BB0" w:rsidRPr="00DF463B" w:rsidRDefault="00B52BB0" w:rsidP="003E074D">
            <w:pPr>
              <w:pStyle w:val="TableText"/>
              <w:rPr>
                <w:lang w:val="pt-BR"/>
              </w:rPr>
            </w:pPr>
            <w:r w:rsidRPr="00B64FB1">
              <w:t xml:space="preserve">Yes </w:t>
            </w:r>
            <w:r>
              <w:rPr>
                <w:noProof/>
              </w:rPr>
              <w:t>(CABI 2019)</w:t>
            </w:r>
          </w:p>
        </w:tc>
        <w:tc>
          <w:tcPr>
            <w:tcW w:w="714" w:type="pct"/>
            <w:tcBorders>
              <w:top w:val="single" w:sz="4" w:space="0" w:color="BFBFBF" w:themeColor="background1" w:themeShade="BF"/>
              <w:bottom w:val="single" w:sz="4" w:space="0" w:color="auto"/>
            </w:tcBorders>
            <w:shd w:val="clear" w:color="auto" w:fill="auto"/>
          </w:tcPr>
          <w:p w:rsidR="00B52BB0" w:rsidRDefault="00B52BB0" w:rsidP="003E074D">
            <w:pPr>
              <w:pStyle w:val="TableText"/>
            </w:pPr>
            <w:r w:rsidRPr="00B64FB1">
              <w:t xml:space="preserve">Yes. NSW, NT, Qld </w:t>
            </w:r>
            <w:r>
              <w:rPr>
                <w:noProof/>
              </w:rPr>
              <w:t>(Plant Health Australia 2019)</w:t>
            </w:r>
          </w:p>
          <w:p w:rsidR="00B52BB0" w:rsidRPr="00DF463B" w:rsidRDefault="00B52BB0" w:rsidP="003E074D">
            <w:pPr>
              <w:pStyle w:val="TableText"/>
              <w:rPr>
                <w:szCs w:val="16"/>
              </w:rPr>
            </w:pPr>
            <w:r w:rsidRPr="00B64FB1">
              <w:t>Regulated as a Declared Organism (Prohibited (s</w:t>
            </w:r>
            <w:r>
              <w:t>. </w:t>
            </w:r>
            <w:r w:rsidRPr="00B64FB1">
              <w:t xml:space="preserve">12)) </w:t>
            </w:r>
            <w:r>
              <w:t>by</w:t>
            </w:r>
            <w:r w:rsidRPr="00B64FB1">
              <w:t xml:space="preserve"> WA </w:t>
            </w:r>
            <w:r>
              <w:t xml:space="preserve">under the </w:t>
            </w:r>
            <w:r w:rsidRPr="00EF7092">
              <w:rPr>
                <w:i/>
              </w:rPr>
              <w:t>Biosecurity and Agriculture Management Act 2007</w:t>
            </w:r>
            <w:r w:rsidRPr="00B64FB1">
              <w:t xml:space="preserve"> </w:t>
            </w:r>
            <w:r>
              <w:rPr>
                <w:noProof/>
              </w:rPr>
              <w:t>(Government of Western Australia 2018)</w:t>
            </w:r>
            <w:r w:rsidRPr="00B64FB1">
              <w:t>.</w:t>
            </w:r>
          </w:p>
        </w:tc>
        <w:tc>
          <w:tcPr>
            <w:tcW w:w="714" w:type="pct"/>
            <w:tcBorders>
              <w:top w:val="single" w:sz="4" w:space="0" w:color="BFBFBF" w:themeColor="background1" w:themeShade="BF"/>
              <w:bottom w:val="single" w:sz="4" w:space="0" w:color="auto"/>
            </w:tcBorders>
            <w:shd w:val="clear" w:color="auto" w:fill="auto"/>
          </w:tcPr>
          <w:p w:rsidR="00B52BB0" w:rsidRDefault="00B52BB0" w:rsidP="003E074D">
            <w:pPr>
              <w:pStyle w:val="TableText"/>
            </w:pPr>
            <w:r w:rsidRPr="00B64FB1">
              <w:t xml:space="preserve">No. Adult </w:t>
            </w:r>
            <w:r w:rsidRPr="00DD53F7">
              <w:rPr>
                <w:i/>
                <w:iCs/>
              </w:rPr>
              <w:t xml:space="preserve">Xylotrupes gideon </w:t>
            </w:r>
            <w:r w:rsidRPr="00B64FB1">
              <w:t xml:space="preserve">feed on the surface of fruit but are over 3 cm long and easily visible </w:t>
            </w:r>
            <w:r>
              <w:rPr>
                <w:noProof/>
              </w:rPr>
              <w:t>(QDAF 2012a)</w:t>
            </w:r>
            <w:r w:rsidRPr="00B64FB1">
              <w:t>.</w:t>
            </w:r>
          </w:p>
          <w:p w:rsidR="00B52BB0" w:rsidRPr="00DF463B" w:rsidRDefault="00B52BB0" w:rsidP="003E074D">
            <w:pPr>
              <w:pStyle w:val="TableText"/>
            </w:pPr>
            <w:r w:rsidRPr="00B64FB1">
              <w:t xml:space="preserve">Note: </w:t>
            </w:r>
            <w:r w:rsidRPr="00DD53F7">
              <w:rPr>
                <w:i/>
                <w:iCs/>
              </w:rPr>
              <w:t>X.</w:t>
            </w:r>
            <w:r>
              <w:rPr>
                <w:i/>
                <w:iCs/>
              </w:rPr>
              <w:t> </w:t>
            </w:r>
            <w:r w:rsidRPr="00DD53F7">
              <w:rPr>
                <w:i/>
                <w:iCs/>
              </w:rPr>
              <w:t>gideon</w:t>
            </w:r>
            <w:r w:rsidRPr="00B64FB1">
              <w:t xml:space="preserve"> was assessed as on the pathway in the IRA for longan and lychees from China and Thailand </w:t>
            </w:r>
            <w:r>
              <w:rPr>
                <w:noProof/>
              </w:rPr>
              <w:t>(DAFF 2004)</w:t>
            </w:r>
            <w:r w:rsidRPr="00B64FB1">
              <w:t>. However, review of available biological information concluded that it would be unlikely for the species to persist on the export fruit pathway for longan.</w:t>
            </w:r>
          </w:p>
        </w:tc>
        <w:tc>
          <w:tcPr>
            <w:tcW w:w="714" w:type="pct"/>
            <w:tcBorders>
              <w:top w:val="single" w:sz="4" w:space="0" w:color="BFBFBF" w:themeColor="background1" w:themeShade="BF"/>
              <w:bottom w:val="single" w:sz="4" w:space="0" w:color="auto"/>
            </w:tcBorders>
            <w:shd w:val="clear" w:color="auto" w:fill="auto"/>
          </w:tcPr>
          <w:p w:rsidR="00B52BB0" w:rsidRPr="00DF463B" w:rsidRDefault="00B52BB0" w:rsidP="003E074D">
            <w:pPr>
              <w:pStyle w:val="TableText"/>
            </w:pPr>
            <w:r w:rsidRPr="00B64FB1">
              <w:t>Assessment not required</w:t>
            </w:r>
          </w:p>
        </w:tc>
        <w:tc>
          <w:tcPr>
            <w:tcW w:w="714" w:type="pct"/>
            <w:tcBorders>
              <w:top w:val="single" w:sz="4" w:space="0" w:color="BFBFBF" w:themeColor="background1" w:themeShade="BF"/>
              <w:bottom w:val="single" w:sz="4" w:space="0" w:color="auto"/>
            </w:tcBorders>
            <w:shd w:val="clear" w:color="auto" w:fill="auto"/>
          </w:tcPr>
          <w:p w:rsidR="00B52BB0" w:rsidRPr="00DF463B" w:rsidRDefault="00B52BB0" w:rsidP="003E074D">
            <w:pPr>
              <w:pStyle w:val="TableText"/>
            </w:pPr>
            <w:r w:rsidRPr="00B64FB1">
              <w:t>Assessment not required</w:t>
            </w:r>
          </w:p>
        </w:tc>
        <w:tc>
          <w:tcPr>
            <w:tcW w:w="714" w:type="pct"/>
            <w:tcBorders>
              <w:top w:val="single" w:sz="4" w:space="0" w:color="BFBFBF" w:themeColor="background1" w:themeShade="BF"/>
              <w:bottom w:val="single" w:sz="4" w:space="0" w:color="auto"/>
            </w:tcBorders>
            <w:shd w:val="clear" w:color="auto" w:fill="auto"/>
          </w:tcPr>
          <w:p w:rsidR="00B52BB0" w:rsidRPr="00DF463B" w:rsidRDefault="00B52BB0" w:rsidP="003E074D">
            <w:pPr>
              <w:pStyle w:val="TableText"/>
            </w:pPr>
            <w:r w:rsidRPr="00B64FB1">
              <w:t>No</w:t>
            </w:r>
          </w:p>
        </w:tc>
      </w:tr>
      <w:tr w:rsidR="00B52BB0" w:rsidRPr="00DF463B" w:rsidTr="003E074D">
        <w:trPr>
          <w:cantSplit/>
          <w:trHeight w:val="75"/>
          <w:jc w:val="center"/>
        </w:trPr>
        <w:tc>
          <w:tcPr>
            <w:tcW w:w="5000" w:type="pct"/>
            <w:gridSpan w:val="7"/>
            <w:tcBorders>
              <w:top w:val="single" w:sz="4" w:space="0" w:color="auto"/>
            </w:tcBorders>
            <w:shd w:val="clear" w:color="auto" w:fill="auto"/>
          </w:tcPr>
          <w:p w:rsidR="00B52BB0" w:rsidRPr="00DF463B" w:rsidRDefault="00B52BB0" w:rsidP="003E074D">
            <w:pPr>
              <w:pStyle w:val="TableText"/>
              <w:keepNext/>
            </w:pPr>
            <w:r w:rsidRPr="00F81D7C">
              <w:lastRenderedPageBreak/>
              <w:t>Diptera</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0A6049">
              <w:rPr>
                <w:i/>
                <w:lang w:val="pt-BR"/>
              </w:rPr>
              <w:t xml:space="preserve">Bactrocera correcta </w:t>
            </w:r>
            <w:r w:rsidRPr="00FF321B">
              <w:rPr>
                <w:iCs/>
                <w:lang w:val="pt-BR"/>
              </w:rPr>
              <w:t>(Bezzi, 1916)</w:t>
            </w:r>
          </w:p>
          <w:p w:rsidR="00B52BB0" w:rsidRPr="00FF321B" w:rsidRDefault="00B52BB0" w:rsidP="003E074D">
            <w:pPr>
              <w:pStyle w:val="TableText"/>
              <w:rPr>
                <w:iCs/>
                <w:lang w:val="pt-BR"/>
              </w:rPr>
            </w:pPr>
            <w:r w:rsidRPr="00FF321B">
              <w:rPr>
                <w:iCs/>
                <w:lang w:val="pt-BR"/>
              </w:rPr>
              <w:t>[Tephritidae]</w:t>
            </w:r>
          </w:p>
          <w:p w:rsidR="00B52BB0" w:rsidRPr="00F81D7C" w:rsidRDefault="00B52BB0" w:rsidP="003E074D">
            <w:pPr>
              <w:pStyle w:val="TableText"/>
              <w:rPr>
                <w:i/>
                <w:lang w:val="pt-BR"/>
              </w:rPr>
            </w:pPr>
            <w:r w:rsidRPr="00FF321B">
              <w:rPr>
                <w:iCs/>
                <w:lang w:val="pt-BR"/>
              </w:rPr>
              <w:t>Guava fruit fly</w:t>
            </w:r>
          </w:p>
        </w:tc>
        <w:tc>
          <w:tcPr>
            <w:tcW w:w="715" w:type="pct"/>
            <w:shd w:val="clear" w:color="auto" w:fill="auto"/>
          </w:tcPr>
          <w:p w:rsidR="00B52BB0" w:rsidRPr="000D4805" w:rsidRDefault="00B52BB0" w:rsidP="003E074D">
            <w:pPr>
              <w:pStyle w:val="TableText"/>
              <w:rPr>
                <w:szCs w:val="18"/>
                <w:lang w:val="pt-BR"/>
              </w:rPr>
            </w:pPr>
            <w:r w:rsidRPr="00F83909">
              <w:t xml:space="preserve">Yes </w:t>
            </w:r>
            <w:r>
              <w:rPr>
                <w:noProof/>
              </w:rPr>
              <w:t>(PPD 2010a)</w:t>
            </w:r>
          </w:p>
        </w:tc>
        <w:tc>
          <w:tcPr>
            <w:tcW w:w="714" w:type="pct"/>
            <w:shd w:val="clear" w:color="auto" w:fill="auto"/>
          </w:tcPr>
          <w:p w:rsidR="00B52BB0" w:rsidRPr="000D4805" w:rsidRDefault="00B52BB0" w:rsidP="003E074D">
            <w:pPr>
              <w:pStyle w:val="TableText"/>
              <w:rPr>
                <w:szCs w:val="18"/>
              </w:rPr>
            </w:pPr>
            <w:r w:rsidRPr="00F83909">
              <w:t>No records found</w:t>
            </w:r>
          </w:p>
        </w:tc>
        <w:tc>
          <w:tcPr>
            <w:tcW w:w="714" w:type="pct"/>
            <w:shd w:val="clear" w:color="auto" w:fill="auto"/>
          </w:tcPr>
          <w:p w:rsidR="00B52BB0" w:rsidRPr="000D4805" w:rsidRDefault="00B52BB0" w:rsidP="003E074D">
            <w:pPr>
              <w:pStyle w:val="TableText"/>
              <w:rPr>
                <w:szCs w:val="18"/>
              </w:rPr>
            </w:pPr>
            <w:r w:rsidRPr="00F83909">
              <w:t xml:space="preserve">Yes. </w:t>
            </w:r>
            <w:r w:rsidRPr="00DD53F7">
              <w:rPr>
                <w:i/>
                <w:iCs/>
              </w:rPr>
              <w:t>Bactrocera correcta</w:t>
            </w:r>
            <w:r w:rsidRPr="00F83909">
              <w:t xml:space="preserve"> lays eggs into longan fruit </w:t>
            </w:r>
            <w:r>
              <w:rPr>
                <w:noProof/>
              </w:rPr>
              <w:t>(CABI 2019)</w:t>
            </w:r>
            <w:r w:rsidRPr="00F83909">
              <w:t>.</w:t>
            </w:r>
          </w:p>
        </w:tc>
        <w:tc>
          <w:tcPr>
            <w:tcW w:w="714" w:type="pct"/>
            <w:shd w:val="clear" w:color="auto" w:fill="auto"/>
          </w:tcPr>
          <w:p w:rsidR="00B52BB0" w:rsidRPr="00725486" w:rsidRDefault="00B52BB0" w:rsidP="003E074D">
            <w:pPr>
              <w:pStyle w:val="TableText"/>
            </w:pPr>
            <w:r w:rsidRPr="00F83909">
              <w:t xml:space="preserve">Yes. </w:t>
            </w:r>
            <w:r w:rsidRPr="00DD53F7">
              <w:rPr>
                <w:i/>
                <w:iCs/>
              </w:rPr>
              <w:t>Bactrocera correcta</w:t>
            </w:r>
            <w:r w:rsidRPr="00F83909">
              <w:t xml:space="preserve"> has a wide host range including mango, peach, mandarin and longan </w:t>
            </w:r>
            <w:r>
              <w:rPr>
                <w:noProof/>
              </w:rPr>
              <w:t>(CABI 2019)</w:t>
            </w:r>
            <w:r w:rsidRPr="00F83909">
              <w:t xml:space="preserve">. It has a wide distribution in Asia ranging from China, Japan, India, Sri Lanka and Pakistan to Thailand </w:t>
            </w:r>
            <w:r>
              <w:rPr>
                <w:noProof/>
              </w:rPr>
              <w:t>(Drew &amp; Romig 2013)</w:t>
            </w:r>
            <w:r w:rsidRPr="00F83909">
              <w:t>. The wide host range and geographic distribution of this pest suggest that there are suitable environments for this pest to establish and spread in Australia.</w:t>
            </w:r>
          </w:p>
        </w:tc>
        <w:tc>
          <w:tcPr>
            <w:tcW w:w="714" w:type="pct"/>
            <w:shd w:val="clear" w:color="auto" w:fill="auto"/>
          </w:tcPr>
          <w:p w:rsidR="00B52BB0" w:rsidRPr="000D4805" w:rsidRDefault="00B52BB0" w:rsidP="003E074D">
            <w:pPr>
              <w:pStyle w:val="TableText"/>
              <w:rPr>
                <w:szCs w:val="18"/>
              </w:rPr>
            </w:pPr>
            <w:r w:rsidRPr="00F83909">
              <w:t xml:space="preserve">Yes. </w:t>
            </w:r>
            <w:r w:rsidRPr="00DD53F7">
              <w:rPr>
                <w:i/>
                <w:iCs/>
              </w:rPr>
              <w:t>Bactrocera correcta</w:t>
            </w:r>
            <w:r w:rsidRPr="00F83909">
              <w:t xml:space="preserve"> is a pest of numerous tropical and subtropical fruit crops and is capable of causing serious economic damage to fruit production </w:t>
            </w:r>
            <w:r>
              <w:rPr>
                <w:noProof/>
              </w:rPr>
              <w:t>(Liu, Yan &amp; Ye 2013)</w:t>
            </w:r>
            <w:r w:rsidRPr="00F83909">
              <w:t>.</w:t>
            </w:r>
          </w:p>
        </w:tc>
        <w:tc>
          <w:tcPr>
            <w:tcW w:w="714" w:type="pct"/>
            <w:shd w:val="clear" w:color="auto" w:fill="auto"/>
          </w:tcPr>
          <w:p w:rsidR="00B52BB0" w:rsidRPr="000D4805" w:rsidRDefault="00B52BB0" w:rsidP="003E074D">
            <w:pPr>
              <w:pStyle w:val="TableText"/>
              <w:rPr>
                <w:szCs w:val="18"/>
              </w:rPr>
            </w:pPr>
            <w:r w:rsidRPr="00F83909">
              <w:t>Yes (EP)</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D70F0F">
              <w:rPr>
                <w:i/>
                <w:lang w:val="pt-BR"/>
              </w:rPr>
              <w:t xml:space="preserve">Bactrocera dorsalis </w:t>
            </w:r>
            <w:r w:rsidRPr="00FF321B">
              <w:rPr>
                <w:iCs/>
                <w:lang w:val="pt-BR"/>
              </w:rPr>
              <w:t>(Hendel, 1912)</w:t>
            </w:r>
          </w:p>
          <w:p w:rsidR="00B52BB0" w:rsidRPr="00FF321B" w:rsidRDefault="00B52BB0" w:rsidP="003E074D">
            <w:pPr>
              <w:pStyle w:val="TableText"/>
              <w:rPr>
                <w:iCs/>
                <w:lang w:val="pt-BR"/>
              </w:rPr>
            </w:pPr>
            <w:r w:rsidRPr="00FF321B">
              <w:rPr>
                <w:iCs/>
                <w:lang w:val="pt-BR"/>
              </w:rPr>
              <w:t xml:space="preserve">Synonyms: </w:t>
            </w:r>
            <w:r w:rsidRPr="00D70F0F">
              <w:rPr>
                <w:i/>
                <w:lang w:val="pt-BR"/>
              </w:rPr>
              <w:t xml:space="preserve">Bactrocera invadens </w:t>
            </w:r>
            <w:r w:rsidRPr="00FF321B">
              <w:rPr>
                <w:iCs/>
                <w:lang w:val="pt-BR"/>
              </w:rPr>
              <w:t>Drew, Tsuruta &amp; White, 2005,</w:t>
            </w:r>
            <w:r w:rsidRPr="00D70F0F">
              <w:rPr>
                <w:i/>
                <w:lang w:val="pt-BR"/>
              </w:rPr>
              <w:t xml:space="preserve"> B.</w:t>
            </w:r>
            <w:r>
              <w:rPr>
                <w:i/>
                <w:lang w:val="pt-BR"/>
              </w:rPr>
              <w:t> </w:t>
            </w:r>
            <w:r w:rsidRPr="00D70F0F">
              <w:rPr>
                <w:i/>
                <w:lang w:val="pt-BR"/>
              </w:rPr>
              <w:t xml:space="preserve">papayae </w:t>
            </w:r>
            <w:r w:rsidRPr="00FF321B">
              <w:rPr>
                <w:iCs/>
                <w:lang w:val="pt-BR"/>
              </w:rPr>
              <w:t>Drew &amp; Hancock, 1994 and</w:t>
            </w:r>
            <w:r w:rsidRPr="00D70F0F">
              <w:rPr>
                <w:i/>
                <w:lang w:val="pt-BR"/>
              </w:rPr>
              <w:t xml:space="preserve"> B.</w:t>
            </w:r>
            <w:r>
              <w:rPr>
                <w:i/>
                <w:lang w:val="pt-BR"/>
              </w:rPr>
              <w:t> </w:t>
            </w:r>
            <w:r w:rsidRPr="00D70F0F">
              <w:rPr>
                <w:i/>
                <w:lang w:val="pt-BR"/>
              </w:rPr>
              <w:t xml:space="preserve">philippinensis </w:t>
            </w:r>
            <w:r w:rsidRPr="00FF321B">
              <w:rPr>
                <w:iCs/>
                <w:lang w:val="pt-BR"/>
              </w:rPr>
              <w:t xml:space="preserve">Drew &amp; Hancock, 1994 have recently been synonymised with </w:t>
            </w:r>
            <w:r>
              <w:rPr>
                <w:i/>
                <w:lang w:val="pt-BR"/>
              </w:rPr>
              <w:t>B. </w:t>
            </w:r>
            <w:r w:rsidRPr="00D70F0F">
              <w:rPr>
                <w:i/>
                <w:lang w:val="pt-BR"/>
              </w:rPr>
              <w:t xml:space="preserve">dorsalis </w:t>
            </w:r>
            <w:r>
              <w:rPr>
                <w:iCs/>
                <w:noProof/>
                <w:lang w:val="pt-BR"/>
              </w:rPr>
              <w:t>(Schutze et al. 2015)</w:t>
            </w:r>
            <w:r w:rsidRPr="00FF321B">
              <w:rPr>
                <w:iCs/>
                <w:lang w:val="pt-BR"/>
              </w:rPr>
              <w:t>.</w:t>
            </w:r>
          </w:p>
          <w:p w:rsidR="00B52BB0" w:rsidRPr="00FF321B" w:rsidRDefault="00B52BB0" w:rsidP="003E074D">
            <w:pPr>
              <w:pStyle w:val="TableText"/>
              <w:rPr>
                <w:iCs/>
                <w:lang w:val="pt-BR"/>
              </w:rPr>
            </w:pPr>
            <w:r w:rsidRPr="00FF321B">
              <w:rPr>
                <w:iCs/>
                <w:lang w:val="pt-BR"/>
              </w:rPr>
              <w:t>[Tephritidae]</w:t>
            </w:r>
          </w:p>
          <w:p w:rsidR="00B52BB0" w:rsidRPr="00F81D7C" w:rsidRDefault="00B52BB0" w:rsidP="003E074D">
            <w:pPr>
              <w:pStyle w:val="TableText"/>
              <w:rPr>
                <w:i/>
                <w:lang w:val="pt-BR"/>
              </w:rPr>
            </w:pPr>
            <w:r w:rsidRPr="00FF321B">
              <w:rPr>
                <w:iCs/>
                <w:lang w:val="pt-BR"/>
              </w:rPr>
              <w:t>Oriental fruit fly</w:t>
            </w:r>
          </w:p>
        </w:tc>
        <w:tc>
          <w:tcPr>
            <w:tcW w:w="715" w:type="pct"/>
            <w:shd w:val="clear" w:color="auto" w:fill="auto"/>
          </w:tcPr>
          <w:p w:rsidR="00B52BB0" w:rsidRPr="00DF463B" w:rsidRDefault="00B52BB0" w:rsidP="003E074D">
            <w:pPr>
              <w:pStyle w:val="TableText"/>
              <w:rPr>
                <w:lang w:val="pt-BR"/>
              </w:rPr>
            </w:pPr>
            <w:r w:rsidRPr="00437CB9">
              <w:t xml:space="preserve">Yes </w:t>
            </w:r>
            <w:r>
              <w:rPr>
                <w:noProof/>
              </w:rPr>
              <w:t>(Drew &amp; Hancock 1994; PPD 2017)</w:t>
            </w:r>
          </w:p>
        </w:tc>
        <w:tc>
          <w:tcPr>
            <w:tcW w:w="714" w:type="pct"/>
            <w:shd w:val="clear" w:color="auto" w:fill="auto"/>
          </w:tcPr>
          <w:p w:rsidR="00B52BB0" w:rsidRPr="00DF463B" w:rsidRDefault="00B52BB0" w:rsidP="003E074D">
            <w:pPr>
              <w:pStyle w:val="TableText"/>
              <w:rPr>
                <w:szCs w:val="16"/>
              </w:rPr>
            </w:pPr>
            <w:r w:rsidRPr="00437CB9">
              <w:t xml:space="preserve">No. Eradicated from Australia </w:t>
            </w:r>
            <w:r>
              <w:rPr>
                <w:noProof/>
              </w:rPr>
              <w:t>(Hancock et al. 2000)</w:t>
            </w:r>
            <w:r w:rsidRPr="00437CB9">
              <w:t>.</w:t>
            </w:r>
          </w:p>
        </w:tc>
        <w:tc>
          <w:tcPr>
            <w:tcW w:w="714" w:type="pct"/>
            <w:shd w:val="clear" w:color="auto" w:fill="auto"/>
          </w:tcPr>
          <w:p w:rsidR="00B52BB0" w:rsidRPr="00DF463B" w:rsidRDefault="00B52BB0" w:rsidP="003E074D">
            <w:pPr>
              <w:pStyle w:val="TableText"/>
            </w:pPr>
            <w:r w:rsidRPr="00437CB9">
              <w:t xml:space="preserve">Yes. </w:t>
            </w:r>
            <w:r w:rsidRPr="00DD53F7">
              <w:rPr>
                <w:i/>
                <w:iCs/>
              </w:rPr>
              <w:t>Bactrocera dorsalis</w:t>
            </w:r>
            <w:r w:rsidRPr="00437CB9">
              <w:t xml:space="preserve"> lays eggs into longan fruit in Vietnam </w:t>
            </w:r>
            <w:r>
              <w:rPr>
                <w:noProof/>
              </w:rPr>
              <w:t>(PPD 2017)</w:t>
            </w:r>
            <w:r w:rsidRPr="00437CB9">
              <w:t>.</w:t>
            </w:r>
          </w:p>
        </w:tc>
        <w:tc>
          <w:tcPr>
            <w:tcW w:w="714" w:type="pct"/>
            <w:shd w:val="clear" w:color="auto" w:fill="auto"/>
          </w:tcPr>
          <w:p w:rsidR="00B52BB0" w:rsidRPr="00DF463B" w:rsidRDefault="00B52BB0" w:rsidP="003E074D">
            <w:pPr>
              <w:pStyle w:val="TableText"/>
            </w:pPr>
            <w:r w:rsidRPr="00437CB9">
              <w:t xml:space="preserve">Yes. </w:t>
            </w:r>
            <w:r w:rsidRPr="00DD53F7">
              <w:rPr>
                <w:i/>
                <w:iCs/>
              </w:rPr>
              <w:t>Bactrocera dorsalis</w:t>
            </w:r>
            <w:r w:rsidRPr="00437CB9">
              <w:t xml:space="preserve"> attacks over 300 cultivated and wild fruits, and has a broad global distribution due to its ability to establish when introduced into new environments </w:t>
            </w:r>
            <w:r>
              <w:rPr>
                <w:noProof/>
              </w:rPr>
              <w:t>(Mau &amp; Martin Kessing 2007)</w:t>
            </w:r>
            <w:r w:rsidRPr="00437CB9">
              <w:t>.</w:t>
            </w:r>
          </w:p>
        </w:tc>
        <w:tc>
          <w:tcPr>
            <w:tcW w:w="714" w:type="pct"/>
            <w:shd w:val="clear" w:color="auto" w:fill="auto"/>
          </w:tcPr>
          <w:p w:rsidR="00B52BB0" w:rsidRPr="00DF463B" w:rsidRDefault="00B52BB0" w:rsidP="003E074D">
            <w:pPr>
              <w:pStyle w:val="TableText"/>
            </w:pPr>
            <w:r w:rsidRPr="00437CB9">
              <w:t xml:space="preserve">Yes. Feeding by </w:t>
            </w:r>
            <w:r w:rsidRPr="00DD53F7">
              <w:rPr>
                <w:i/>
                <w:iCs/>
              </w:rPr>
              <w:t>B</w:t>
            </w:r>
            <w:r>
              <w:rPr>
                <w:i/>
                <w:iCs/>
              </w:rPr>
              <w:t>. </w:t>
            </w:r>
            <w:r w:rsidRPr="00DD53F7">
              <w:rPr>
                <w:i/>
                <w:iCs/>
              </w:rPr>
              <w:t>dorsalis</w:t>
            </w:r>
            <w:r w:rsidRPr="00437CB9">
              <w:t xml:space="preserve"> larvae directly damages fruit and causes rotting due to bacteria and fungi </w:t>
            </w:r>
            <w:r>
              <w:rPr>
                <w:noProof/>
              </w:rPr>
              <w:t>(Mau &amp; Martin Kessing 2007)</w:t>
            </w:r>
            <w:r w:rsidRPr="00437CB9">
              <w:t>.</w:t>
            </w:r>
          </w:p>
        </w:tc>
        <w:tc>
          <w:tcPr>
            <w:tcW w:w="714" w:type="pct"/>
            <w:shd w:val="clear" w:color="auto" w:fill="auto"/>
          </w:tcPr>
          <w:p w:rsidR="00B52BB0" w:rsidRPr="00DF463B" w:rsidRDefault="00B52BB0" w:rsidP="003E074D">
            <w:pPr>
              <w:pStyle w:val="TableText"/>
            </w:pPr>
            <w:r w:rsidRPr="00437CB9">
              <w:t>Yes (EP)</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D70F0F">
              <w:rPr>
                <w:i/>
                <w:lang w:val="pt-BR"/>
              </w:rPr>
              <w:lastRenderedPageBreak/>
              <w:t xml:space="preserve">Zeugodacus cucurbitae </w:t>
            </w:r>
            <w:r w:rsidRPr="00FF321B">
              <w:rPr>
                <w:iCs/>
                <w:lang w:val="pt-BR"/>
              </w:rPr>
              <w:t>(Coquillett, 1899)</w:t>
            </w:r>
          </w:p>
          <w:p w:rsidR="00B52BB0" w:rsidRPr="00FF321B" w:rsidRDefault="00B52BB0" w:rsidP="003E074D">
            <w:pPr>
              <w:pStyle w:val="TableText"/>
              <w:rPr>
                <w:iCs/>
                <w:lang w:val="pt-BR"/>
              </w:rPr>
            </w:pPr>
            <w:r w:rsidRPr="00FF321B">
              <w:rPr>
                <w:iCs/>
                <w:lang w:val="pt-BR"/>
              </w:rPr>
              <w:t>Synonym:</w:t>
            </w:r>
            <w:r w:rsidRPr="00D70F0F">
              <w:rPr>
                <w:i/>
                <w:lang w:val="pt-BR"/>
              </w:rPr>
              <w:t xml:space="preserve"> Bactrocera cucurbitae </w:t>
            </w:r>
            <w:r w:rsidRPr="00FF321B">
              <w:rPr>
                <w:iCs/>
                <w:lang w:val="pt-BR"/>
              </w:rPr>
              <w:t>(Coquillett, 1899)</w:t>
            </w:r>
          </w:p>
          <w:p w:rsidR="00B52BB0" w:rsidRPr="00FF321B" w:rsidRDefault="00B52BB0" w:rsidP="003E074D">
            <w:pPr>
              <w:pStyle w:val="TableText"/>
              <w:rPr>
                <w:iCs/>
                <w:lang w:val="pt-BR"/>
              </w:rPr>
            </w:pPr>
            <w:r w:rsidRPr="00D70F0F">
              <w:rPr>
                <w:i/>
                <w:lang w:val="pt-BR"/>
              </w:rPr>
              <w:t xml:space="preserve">Bactrocera cucurbitae </w:t>
            </w:r>
            <w:r w:rsidRPr="00FF321B">
              <w:rPr>
                <w:iCs/>
                <w:lang w:val="pt-BR"/>
              </w:rPr>
              <w:t>has been reclassified as</w:t>
            </w:r>
            <w:r w:rsidRPr="00D70F0F">
              <w:rPr>
                <w:i/>
                <w:lang w:val="pt-BR"/>
              </w:rPr>
              <w:t xml:space="preserve"> Zeugodacus cucurbitae </w:t>
            </w:r>
            <w:r>
              <w:rPr>
                <w:iCs/>
                <w:noProof/>
                <w:lang w:val="pt-BR"/>
              </w:rPr>
              <w:t>(Virgilio et al. 2015)</w:t>
            </w:r>
            <w:r w:rsidRPr="00FF321B">
              <w:rPr>
                <w:iCs/>
                <w:lang w:val="pt-BR"/>
              </w:rPr>
              <w:t>.</w:t>
            </w:r>
          </w:p>
          <w:p w:rsidR="00B52BB0" w:rsidRPr="00FF321B" w:rsidRDefault="00B52BB0" w:rsidP="003E074D">
            <w:pPr>
              <w:pStyle w:val="TableText"/>
              <w:rPr>
                <w:iCs/>
                <w:lang w:val="pt-BR"/>
              </w:rPr>
            </w:pPr>
            <w:r w:rsidRPr="00FF321B">
              <w:rPr>
                <w:iCs/>
                <w:lang w:val="pt-BR"/>
              </w:rPr>
              <w:t>[Tephritidae]</w:t>
            </w:r>
          </w:p>
          <w:p w:rsidR="00B52BB0" w:rsidRPr="00F81D7C" w:rsidRDefault="00B52BB0" w:rsidP="003E074D">
            <w:pPr>
              <w:pStyle w:val="TableText"/>
              <w:rPr>
                <w:i/>
                <w:lang w:val="pt-BR"/>
              </w:rPr>
            </w:pPr>
            <w:r w:rsidRPr="00FF321B">
              <w:rPr>
                <w:iCs/>
                <w:lang w:val="pt-BR"/>
              </w:rPr>
              <w:t>Melon fly</w:t>
            </w:r>
          </w:p>
        </w:tc>
        <w:tc>
          <w:tcPr>
            <w:tcW w:w="715" w:type="pct"/>
            <w:shd w:val="clear" w:color="auto" w:fill="auto"/>
          </w:tcPr>
          <w:p w:rsidR="00B52BB0" w:rsidRPr="00DF463B" w:rsidRDefault="00B52BB0" w:rsidP="003E074D">
            <w:pPr>
              <w:pStyle w:val="TableText"/>
              <w:rPr>
                <w:lang w:val="pt-BR"/>
              </w:rPr>
            </w:pPr>
            <w:r w:rsidRPr="008A4340">
              <w:t xml:space="preserve">Yes </w:t>
            </w:r>
            <w:r>
              <w:rPr>
                <w:noProof/>
              </w:rPr>
              <w:t>(CABI 2019)</w:t>
            </w:r>
          </w:p>
        </w:tc>
        <w:tc>
          <w:tcPr>
            <w:tcW w:w="714" w:type="pct"/>
            <w:shd w:val="clear" w:color="auto" w:fill="auto"/>
          </w:tcPr>
          <w:p w:rsidR="00B52BB0" w:rsidRPr="00DF463B" w:rsidRDefault="00B52BB0" w:rsidP="003E074D">
            <w:pPr>
              <w:pStyle w:val="TableText"/>
              <w:rPr>
                <w:szCs w:val="16"/>
              </w:rPr>
            </w:pPr>
            <w:r w:rsidRPr="00EF0EDF">
              <w:t xml:space="preserve">No. Records of </w:t>
            </w:r>
            <w:r w:rsidRPr="00341219">
              <w:rPr>
                <w:i/>
              </w:rPr>
              <w:t>Zeugodacus cucurbitae</w:t>
            </w:r>
            <w:r w:rsidRPr="00EF0EDF">
              <w:t xml:space="preserve"> in Australia refer to Christmas Island and transient detections in the Torres Strait Islands. </w:t>
            </w:r>
            <w:r>
              <w:t xml:space="preserve">These are both managed as separate quarantine areas to mainland Australia and Tasmania </w:t>
            </w:r>
            <w:r w:rsidRPr="00EF0EDF">
              <w:t xml:space="preserve">and include strict regulatory measures, including movement controls, to ensure that Australia remains free of </w:t>
            </w:r>
            <w:r w:rsidRPr="00341219">
              <w:rPr>
                <w:i/>
              </w:rPr>
              <w:t>Z. cucurbitae</w:t>
            </w:r>
            <w:r>
              <w:t xml:space="preserve">. </w:t>
            </w:r>
            <w:r w:rsidRPr="00EF0EDF">
              <w:t xml:space="preserve">Any detections in the Torres Strait Islands are promptly eradicated under the ongoing Exotic Fruit Fly in the Torres Strait Response program </w:t>
            </w:r>
            <w:r>
              <w:rPr>
                <w:noProof/>
              </w:rPr>
              <w:t>(Department of Agriculture and Water Resources 2016a)</w:t>
            </w:r>
            <w:r w:rsidRPr="00EF0EDF">
              <w:t>. Christmas Island is an external territory of Australia, situated in the Indian Ocean more than 1500 km northwest of the mainland.</w:t>
            </w:r>
          </w:p>
        </w:tc>
        <w:tc>
          <w:tcPr>
            <w:tcW w:w="714" w:type="pct"/>
            <w:shd w:val="clear" w:color="auto" w:fill="auto"/>
          </w:tcPr>
          <w:p w:rsidR="00B52BB0" w:rsidRPr="00DF463B" w:rsidRDefault="00B52BB0" w:rsidP="003E074D">
            <w:pPr>
              <w:pStyle w:val="TableText"/>
            </w:pPr>
            <w:r w:rsidRPr="00EF0EDF">
              <w:t xml:space="preserve">No. Early records of </w:t>
            </w:r>
            <w:r w:rsidRPr="00341219">
              <w:rPr>
                <w:i/>
              </w:rPr>
              <w:t>Z.</w:t>
            </w:r>
            <w:r>
              <w:rPr>
                <w:i/>
              </w:rPr>
              <w:t> </w:t>
            </w:r>
            <w:r w:rsidRPr="00341219">
              <w:rPr>
                <w:i/>
              </w:rPr>
              <w:t>cucurbitae</w:t>
            </w:r>
            <w:r w:rsidRPr="00EF0EDF">
              <w:t xml:space="preserve"> being reared from field collected longans in Hawaii </w:t>
            </w:r>
            <w:r>
              <w:rPr>
                <w:noProof/>
              </w:rPr>
              <w:t>(McBride &amp; Tanada 1949)</w:t>
            </w:r>
            <w:r>
              <w:t xml:space="preserve"> </w:t>
            </w:r>
            <w:r w:rsidRPr="00EF0EDF">
              <w:t>have not been subsequently confirmed</w:t>
            </w:r>
            <w:r>
              <w:t xml:space="preserve"> </w:t>
            </w:r>
            <w:r>
              <w:rPr>
                <w:noProof/>
              </w:rPr>
              <w:t>(Dhillon et al. 2005; McQuate, Liquido &amp; Nakamichi 2017; White &amp; Elson-Harris 1992)</w:t>
            </w:r>
            <w:r w:rsidRPr="00EF0EDF">
              <w:t xml:space="preserve">. The original records in </w:t>
            </w:r>
            <w:r>
              <w:rPr>
                <w:noProof/>
              </w:rPr>
              <w:t>McBride and Tanada (1949)</w:t>
            </w:r>
            <w:r w:rsidRPr="00EF0EDF">
              <w:t xml:space="preserve"> were based on unpublished notes and did not list any details of the state of the fruit being collected or methods of identification of the flies. Longans were therefore classified as being a doubtful host. There have been no subsequent host status tests that meet current international standards to demonstrate that longans are a viable host of </w:t>
            </w:r>
            <w:r w:rsidRPr="00341219">
              <w:rPr>
                <w:i/>
              </w:rPr>
              <w:t>Z. cucurbitae</w:t>
            </w:r>
            <w:r w:rsidRPr="00EF0EDF">
              <w:t>.</w:t>
            </w:r>
          </w:p>
        </w:tc>
        <w:tc>
          <w:tcPr>
            <w:tcW w:w="714" w:type="pct"/>
            <w:shd w:val="clear" w:color="auto" w:fill="auto"/>
          </w:tcPr>
          <w:p w:rsidR="00B52BB0" w:rsidRPr="00DF463B" w:rsidRDefault="00B52BB0" w:rsidP="003E074D">
            <w:pPr>
              <w:pStyle w:val="TableText"/>
            </w:pPr>
            <w:r w:rsidRPr="0033255A">
              <w:rPr>
                <w:szCs w:val="18"/>
              </w:rPr>
              <w:t>Assessment not required</w:t>
            </w:r>
          </w:p>
        </w:tc>
        <w:tc>
          <w:tcPr>
            <w:tcW w:w="714" w:type="pct"/>
            <w:shd w:val="clear" w:color="auto" w:fill="auto"/>
          </w:tcPr>
          <w:p w:rsidR="00B52BB0" w:rsidRPr="00DF463B" w:rsidRDefault="00B52BB0" w:rsidP="003E074D">
            <w:pPr>
              <w:pStyle w:val="TableText"/>
            </w:pPr>
            <w:r w:rsidRPr="0033255A">
              <w:rPr>
                <w:szCs w:val="18"/>
              </w:rPr>
              <w:t>Assessment not required</w:t>
            </w:r>
          </w:p>
        </w:tc>
        <w:tc>
          <w:tcPr>
            <w:tcW w:w="714" w:type="pct"/>
            <w:shd w:val="clear" w:color="auto" w:fill="auto"/>
          </w:tcPr>
          <w:p w:rsidR="00B52BB0" w:rsidRPr="00DF463B" w:rsidRDefault="00B52BB0" w:rsidP="003E074D">
            <w:pPr>
              <w:pStyle w:val="TableText"/>
            </w:pPr>
            <w:r w:rsidRPr="0033255A">
              <w:rPr>
                <w:szCs w:val="18"/>
              </w:rPr>
              <w:t>No</w:t>
            </w:r>
          </w:p>
        </w:tc>
      </w:tr>
      <w:tr w:rsidR="00B52BB0" w:rsidRPr="00DF463B" w:rsidTr="003E074D">
        <w:trPr>
          <w:cantSplit/>
          <w:trHeight w:val="75"/>
          <w:jc w:val="center"/>
        </w:trPr>
        <w:tc>
          <w:tcPr>
            <w:tcW w:w="715" w:type="pct"/>
            <w:shd w:val="clear" w:color="auto" w:fill="auto"/>
          </w:tcPr>
          <w:p w:rsidR="00B52BB0" w:rsidRPr="00FF321B" w:rsidRDefault="00B52BB0" w:rsidP="003E074D">
            <w:pPr>
              <w:spacing w:before="60" w:after="60" w:line="240" w:lineRule="auto"/>
              <w:rPr>
                <w:rFonts w:eastAsia="Times New Roman" w:cs="Arial"/>
                <w:iCs/>
                <w:sz w:val="18"/>
                <w:szCs w:val="18"/>
              </w:rPr>
            </w:pPr>
            <w:r w:rsidRPr="00D70F0F">
              <w:rPr>
                <w:rFonts w:eastAsia="Times New Roman" w:cs="Arial"/>
                <w:i/>
                <w:sz w:val="18"/>
                <w:szCs w:val="18"/>
              </w:rPr>
              <w:lastRenderedPageBreak/>
              <w:t xml:space="preserve">Zeugodacus tau </w:t>
            </w:r>
            <w:r w:rsidRPr="00FF321B">
              <w:rPr>
                <w:rFonts w:eastAsia="Times New Roman" w:cs="Arial"/>
                <w:iCs/>
                <w:sz w:val="18"/>
                <w:szCs w:val="18"/>
              </w:rPr>
              <w:t>(Walker, 1849)</w:t>
            </w:r>
          </w:p>
          <w:p w:rsidR="00B52BB0" w:rsidRPr="00FF321B" w:rsidRDefault="00B52BB0" w:rsidP="003E074D">
            <w:pPr>
              <w:spacing w:before="60" w:after="60" w:line="240" w:lineRule="auto"/>
              <w:rPr>
                <w:rFonts w:eastAsia="Times New Roman" w:cs="Arial"/>
                <w:iCs/>
                <w:sz w:val="18"/>
                <w:szCs w:val="18"/>
              </w:rPr>
            </w:pPr>
            <w:r w:rsidRPr="00FF321B">
              <w:rPr>
                <w:rFonts w:eastAsia="Times New Roman" w:cs="Arial"/>
                <w:iCs/>
                <w:sz w:val="18"/>
                <w:szCs w:val="18"/>
              </w:rPr>
              <w:t>Synonym:</w:t>
            </w:r>
            <w:r w:rsidRPr="00D70F0F">
              <w:rPr>
                <w:rFonts w:eastAsia="Times New Roman" w:cs="Arial"/>
                <w:i/>
                <w:sz w:val="18"/>
                <w:szCs w:val="18"/>
              </w:rPr>
              <w:t xml:space="preserve"> Bactrocera tau </w:t>
            </w:r>
            <w:r w:rsidRPr="00FF321B">
              <w:rPr>
                <w:rFonts w:eastAsia="Times New Roman" w:cs="Arial"/>
                <w:iCs/>
                <w:sz w:val="18"/>
                <w:szCs w:val="18"/>
              </w:rPr>
              <w:t>(Walker, 1849)</w:t>
            </w:r>
          </w:p>
          <w:p w:rsidR="00B52BB0" w:rsidRPr="00FF321B" w:rsidRDefault="00B52BB0" w:rsidP="003E074D">
            <w:pPr>
              <w:spacing w:before="60" w:after="60" w:line="240" w:lineRule="auto"/>
              <w:rPr>
                <w:rFonts w:eastAsia="Times New Roman" w:cs="Arial"/>
                <w:iCs/>
                <w:sz w:val="18"/>
                <w:szCs w:val="18"/>
              </w:rPr>
            </w:pPr>
            <w:r w:rsidRPr="00D70F0F">
              <w:rPr>
                <w:rFonts w:eastAsia="Times New Roman" w:cs="Arial"/>
                <w:i/>
                <w:sz w:val="18"/>
                <w:szCs w:val="18"/>
              </w:rPr>
              <w:t xml:space="preserve">Bactrocera tau </w:t>
            </w:r>
            <w:r w:rsidRPr="00FF321B">
              <w:rPr>
                <w:rFonts w:eastAsia="Times New Roman" w:cs="Arial"/>
                <w:iCs/>
                <w:sz w:val="18"/>
                <w:szCs w:val="18"/>
              </w:rPr>
              <w:t>has been reclassified as</w:t>
            </w:r>
            <w:r w:rsidRPr="00D70F0F">
              <w:rPr>
                <w:rFonts w:eastAsia="Times New Roman" w:cs="Arial"/>
                <w:i/>
                <w:sz w:val="18"/>
                <w:szCs w:val="18"/>
              </w:rPr>
              <w:t xml:space="preserve"> Zeugodacus tau </w:t>
            </w:r>
            <w:r>
              <w:rPr>
                <w:rFonts w:eastAsia="Times New Roman" w:cs="Arial"/>
                <w:iCs/>
                <w:noProof/>
                <w:sz w:val="18"/>
                <w:szCs w:val="18"/>
              </w:rPr>
              <w:t>(Virgilio et al. 2015)</w:t>
            </w:r>
            <w:r w:rsidRPr="00FF321B">
              <w:rPr>
                <w:rFonts w:eastAsia="Times New Roman" w:cs="Arial"/>
                <w:iCs/>
                <w:sz w:val="18"/>
                <w:szCs w:val="18"/>
              </w:rPr>
              <w:t>.</w:t>
            </w:r>
          </w:p>
          <w:p w:rsidR="00B52BB0" w:rsidRPr="00FF321B" w:rsidRDefault="00B52BB0" w:rsidP="003E074D">
            <w:pPr>
              <w:spacing w:before="60" w:after="60" w:line="240" w:lineRule="auto"/>
              <w:rPr>
                <w:rFonts w:eastAsia="Times New Roman" w:cs="Arial"/>
                <w:iCs/>
                <w:sz w:val="18"/>
                <w:szCs w:val="18"/>
              </w:rPr>
            </w:pPr>
            <w:r w:rsidRPr="00FF321B">
              <w:rPr>
                <w:rFonts w:eastAsia="Times New Roman" w:cs="Arial"/>
                <w:iCs/>
                <w:sz w:val="18"/>
                <w:szCs w:val="18"/>
              </w:rPr>
              <w:t>[Tephritidae]</w:t>
            </w:r>
          </w:p>
          <w:p w:rsidR="00B52BB0" w:rsidRPr="00D70F0F" w:rsidRDefault="00B52BB0" w:rsidP="003E074D">
            <w:pPr>
              <w:spacing w:before="60" w:after="60" w:line="240" w:lineRule="auto"/>
              <w:rPr>
                <w:rFonts w:eastAsia="Times New Roman" w:cs="Arial"/>
                <w:i/>
                <w:sz w:val="18"/>
                <w:szCs w:val="18"/>
              </w:rPr>
            </w:pPr>
          </w:p>
        </w:tc>
        <w:tc>
          <w:tcPr>
            <w:tcW w:w="715" w:type="pct"/>
            <w:shd w:val="clear" w:color="auto" w:fill="auto"/>
          </w:tcPr>
          <w:p w:rsidR="00B52BB0" w:rsidRPr="00272C5F" w:rsidRDefault="00B52BB0" w:rsidP="003E074D">
            <w:pPr>
              <w:pStyle w:val="TableText"/>
              <w:rPr>
                <w:szCs w:val="18"/>
              </w:rPr>
            </w:pPr>
            <w:r w:rsidRPr="00272C5F">
              <w:rPr>
                <w:szCs w:val="18"/>
                <w:lang w:val="pt-BR"/>
              </w:rPr>
              <w:t xml:space="preserve">Yes </w:t>
            </w:r>
            <w:r>
              <w:rPr>
                <w:noProof/>
              </w:rPr>
              <w:t>(CABI 2019)</w:t>
            </w:r>
          </w:p>
        </w:tc>
        <w:tc>
          <w:tcPr>
            <w:tcW w:w="714" w:type="pct"/>
            <w:shd w:val="clear" w:color="auto" w:fill="auto"/>
          </w:tcPr>
          <w:p w:rsidR="00B52BB0" w:rsidRPr="00272C5F" w:rsidRDefault="00B52BB0" w:rsidP="003E074D">
            <w:pPr>
              <w:pStyle w:val="TableText"/>
              <w:rPr>
                <w:szCs w:val="18"/>
              </w:rPr>
            </w:pPr>
            <w:r w:rsidRPr="00272C5F">
              <w:rPr>
                <w:szCs w:val="18"/>
              </w:rPr>
              <w:t>No records found</w:t>
            </w:r>
          </w:p>
        </w:tc>
        <w:tc>
          <w:tcPr>
            <w:tcW w:w="714" w:type="pct"/>
            <w:shd w:val="clear" w:color="auto" w:fill="auto"/>
          </w:tcPr>
          <w:p w:rsidR="00B52BB0" w:rsidRPr="004300E0" w:rsidRDefault="00B52BB0" w:rsidP="003E074D">
            <w:pPr>
              <w:pStyle w:val="TableText"/>
              <w:rPr>
                <w:szCs w:val="18"/>
              </w:rPr>
            </w:pPr>
            <w:r w:rsidRPr="004300E0">
              <w:rPr>
                <w:szCs w:val="18"/>
              </w:rPr>
              <w:t xml:space="preserve">No. Though some sources identify longan as a host of </w:t>
            </w:r>
            <w:r w:rsidRPr="004300E0">
              <w:rPr>
                <w:i/>
                <w:szCs w:val="18"/>
              </w:rPr>
              <w:t>Z. tau</w:t>
            </w:r>
            <w:r w:rsidRPr="004300E0">
              <w:rPr>
                <w:szCs w:val="18"/>
              </w:rPr>
              <w:t xml:space="preserve">, these sources mistakenly reference a paper by </w:t>
            </w:r>
            <w:r>
              <w:rPr>
                <w:noProof/>
                <w:szCs w:val="18"/>
              </w:rPr>
              <w:t>Borah and Dutta (1996)</w:t>
            </w:r>
            <w:r w:rsidRPr="004300E0">
              <w:rPr>
                <w:szCs w:val="18"/>
              </w:rPr>
              <w:t>, which does not associate this species with longan.</w:t>
            </w:r>
          </w:p>
        </w:tc>
        <w:tc>
          <w:tcPr>
            <w:tcW w:w="714" w:type="pct"/>
            <w:shd w:val="clear" w:color="auto" w:fill="auto"/>
          </w:tcPr>
          <w:p w:rsidR="00B52BB0" w:rsidRPr="007E26BF" w:rsidRDefault="00B52BB0" w:rsidP="003E074D">
            <w:pPr>
              <w:pStyle w:val="TableText"/>
              <w:rPr>
                <w:szCs w:val="18"/>
              </w:rPr>
            </w:pPr>
            <w:r w:rsidRPr="0033255A">
              <w:rPr>
                <w:szCs w:val="18"/>
              </w:rPr>
              <w:t>Assessment not required</w:t>
            </w:r>
          </w:p>
        </w:tc>
        <w:tc>
          <w:tcPr>
            <w:tcW w:w="714" w:type="pct"/>
            <w:shd w:val="clear" w:color="auto" w:fill="auto"/>
          </w:tcPr>
          <w:p w:rsidR="00B52BB0" w:rsidRPr="007E26BF" w:rsidRDefault="00B52BB0" w:rsidP="003E074D">
            <w:pPr>
              <w:pStyle w:val="TableText"/>
              <w:rPr>
                <w:szCs w:val="18"/>
              </w:rPr>
            </w:pPr>
            <w:r w:rsidRPr="0033255A">
              <w:rPr>
                <w:szCs w:val="18"/>
              </w:rPr>
              <w:t>Assessment not required</w:t>
            </w:r>
          </w:p>
        </w:tc>
        <w:tc>
          <w:tcPr>
            <w:tcW w:w="714" w:type="pct"/>
            <w:shd w:val="clear" w:color="auto" w:fill="auto"/>
          </w:tcPr>
          <w:p w:rsidR="00B52BB0" w:rsidRPr="007E26BF" w:rsidRDefault="00B52BB0" w:rsidP="003E074D">
            <w:pPr>
              <w:pStyle w:val="TableText"/>
              <w:rPr>
                <w:szCs w:val="18"/>
              </w:rPr>
            </w:pPr>
            <w:r w:rsidRPr="0033255A">
              <w:rPr>
                <w:szCs w:val="18"/>
              </w:rPr>
              <w:t>No</w:t>
            </w:r>
          </w:p>
        </w:tc>
      </w:tr>
      <w:tr w:rsidR="00B52BB0" w:rsidRPr="00DF463B" w:rsidTr="003E074D">
        <w:trPr>
          <w:cantSplit/>
          <w:trHeight w:val="75"/>
          <w:jc w:val="center"/>
        </w:trPr>
        <w:tc>
          <w:tcPr>
            <w:tcW w:w="5000" w:type="pct"/>
            <w:gridSpan w:val="7"/>
            <w:shd w:val="clear" w:color="auto" w:fill="auto"/>
          </w:tcPr>
          <w:p w:rsidR="00B52BB0" w:rsidRPr="00DF463B" w:rsidRDefault="00B52BB0" w:rsidP="003E074D">
            <w:pPr>
              <w:pStyle w:val="TableText"/>
              <w:keepNext/>
            </w:pPr>
            <w:r w:rsidRPr="00F6567E">
              <w:t>Hemiptera</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D70F0F">
              <w:rPr>
                <w:i/>
                <w:lang w:val="pt-BR"/>
              </w:rPr>
              <w:t xml:space="preserve">Ceroplastes rubens </w:t>
            </w:r>
            <w:r w:rsidRPr="00FF321B">
              <w:rPr>
                <w:iCs/>
                <w:lang w:val="pt-BR"/>
              </w:rPr>
              <w:t>Maskell, 1893</w:t>
            </w:r>
          </w:p>
          <w:p w:rsidR="00B52BB0" w:rsidRPr="00FF321B" w:rsidRDefault="00B52BB0" w:rsidP="003E074D">
            <w:pPr>
              <w:pStyle w:val="TableText"/>
              <w:rPr>
                <w:iCs/>
                <w:lang w:val="pt-BR"/>
              </w:rPr>
            </w:pPr>
            <w:r w:rsidRPr="00FF321B">
              <w:rPr>
                <w:iCs/>
                <w:lang w:val="pt-BR"/>
              </w:rPr>
              <w:t>[Coccidae]</w:t>
            </w:r>
          </w:p>
          <w:p w:rsidR="00B52BB0" w:rsidRPr="00F81D7C" w:rsidRDefault="00B52BB0" w:rsidP="003E074D">
            <w:pPr>
              <w:pStyle w:val="TableText"/>
              <w:rPr>
                <w:i/>
                <w:lang w:val="pt-BR"/>
              </w:rPr>
            </w:pPr>
            <w:r w:rsidRPr="00FF321B">
              <w:rPr>
                <w:iCs/>
                <w:lang w:val="pt-BR"/>
              </w:rPr>
              <w:t>Pink wax scale</w:t>
            </w:r>
          </w:p>
        </w:tc>
        <w:tc>
          <w:tcPr>
            <w:tcW w:w="715" w:type="pct"/>
            <w:shd w:val="clear" w:color="auto" w:fill="auto"/>
          </w:tcPr>
          <w:p w:rsidR="00B52BB0" w:rsidRPr="00DF463B" w:rsidRDefault="00B52BB0" w:rsidP="003E074D">
            <w:pPr>
              <w:pStyle w:val="TableText"/>
              <w:rPr>
                <w:lang w:val="pt-BR"/>
              </w:rPr>
            </w:pPr>
            <w:r w:rsidRPr="005B1434">
              <w:t xml:space="preserve">Yes </w:t>
            </w:r>
            <w:r>
              <w:rPr>
                <w:noProof/>
              </w:rPr>
              <w:t>(CABI 2019)</w:t>
            </w:r>
          </w:p>
        </w:tc>
        <w:tc>
          <w:tcPr>
            <w:tcW w:w="714" w:type="pct"/>
            <w:shd w:val="clear" w:color="auto" w:fill="auto"/>
          </w:tcPr>
          <w:p w:rsidR="00B52BB0" w:rsidRPr="00DF463B" w:rsidRDefault="00B52BB0" w:rsidP="003E074D">
            <w:pPr>
              <w:pStyle w:val="TableText"/>
              <w:rPr>
                <w:szCs w:val="16"/>
              </w:rPr>
            </w:pPr>
            <w:r w:rsidRPr="005B1434">
              <w:t xml:space="preserve">Yes. NSW, NT, Qld, Vic., WA </w:t>
            </w:r>
            <w:r>
              <w:rPr>
                <w:noProof/>
              </w:rPr>
              <w:t>(Plant Health Australia 2019)</w:t>
            </w:r>
          </w:p>
        </w:tc>
        <w:tc>
          <w:tcPr>
            <w:tcW w:w="714" w:type="pct"/>
            <w:shd w:val="clear" w:color="auto" w:fill="auto"/>
          </w:tcPr>
          <w:p w:rsidR="00B52BB0" w:rsidRPr="00DF463B" w:rsidRDefault="00B52BB0" w:rsidP="003E074D">
            <w:pPr>
              <w:pStyle w:val="TableText"/>
            </w:pPr>
            <w:r w:rsidRPr="005B1434">
              <w:t>Assessment not required</w:t>
            </w:r>
          </w:p>
        </w:tc>
        <w:tc>
          <w:tcPr>
            <w:tcW w:w="714" w:type="pct"/>
            <w:shd w:val="clear" w:color="auto" w:fill="auto"/>
          </w:tcPr>
          <w:p w:rsidR="00B52BB0" w:rsidRPr="00DF463B" w:rsidRDefault="00B52BB0" w:rsidP="003E074D">
            <w:pPr>
              <w:pStyle w:val="TableText"/>
            </w:pPr>
            <w:r w:rsidRPr="005B1434">
              <w:t>Assessment not required</w:t>
            </w:r>
          </w:p>
        </w:tc>
        <w:tc>
          <w:tcPr>
            <w:tcW w:w="714" w:type="pct"/>
            <w:shd w:val="clear" w:color="auto" w:fill="auto"/>
          </w:tcPr>
          <w:p w:rsidR="00B52BB0" w:rsidRPr="00DF463B" w:rsidRDefault="00B52BB0" w:rsidP="003E074D">
            <w:pPr>
              <w:pStyle w:val="TableText"/>
            </w:pPr>
            <w:r w:rsidRPr="005B1434">
              <w:t>Assessment not required</w:t>
            </w:r>
          </w:p>
        </w:tc>
        <w:tc>
          <w:tcPr>
            <w:tcW w:w="714" w:type="pct"/>
            <w:shd w:val="clear" w:color="auto" w:fill="auto"/>
          </w:tcPr>
          <w:p w:rsidR="00B52BB0" w:rsidRPr="00DF463B" w:rsidRDefault="00B52BB0" w:rsidP="003E074D">
            <w:pPr>
              <w:pStyle w:val="TableText"/>
            </w:pPr>
            <w:r w:rsidRPr="005B1434">
              <w:t>No</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D70F0F">
              <w:rPr>
                <w:i/>
                <w:lang w:val="pt-BR"/>
              </w:rPr>
              <w:t xml:space="preserve">Ceroplastes rusci </w:t>
            </w:r>
            <w:r w:rsidRPr="00FF321B">
              <w:rPr>
                <w:iCs/>
                <w:lang w:val="pt-BR"/>
              </w:rPr>
              <w:t>Linnaeus, 1758</w:t>
            </w:r>
          </w:p>
          <w:p w:rsidR="00B52BB0" w:rsidRPr="00FF321B" w:rsidRDefault="00B52BB0" w:rsidP="003E074D">
            <w:pPr>
              <w:pStyle w:val="TableText"/>
              <w:rPr>
                <w:iCs/>
                <w:lang w:val="pt-BR"/>
              </w:rPr>
            </w:pPr>
            <w:r w:rsidRPr="00FF321B">
              <w:rPr>
                <w:iCs/>
                <w:lang w:val="pt-BR"/>
              </w:rPr>
              <w:t>[Coccidae]</w:t>
            </w:r>
          </w:p>
          <w:p w:rsidR="00B52BB0" w:rsidRPr="00F6567E" w:rsidRDefault="00B52BB0" w:rsidP="003E074D">
            <w:pPr>
              <w:pStyle w:val="TableText"/>
              <w:rPr>
                <w:i/>
                <w:lang w:val="pt-BR"/>
              </w:rPr>
            </w:pPr>
            <w:r w:rsidRPr="00FF321B">
              <w:rPr>
                <w:iCs/>
                <w:lang w:val="pt-BR"/>
              </w:rPr>
              <w:t>Fig wax scale</w:t>
            </w:r>
          </w:p>
        </w:tc>
        <w:tc>
          <w:tcPr>
            <w:tcW w:w="715" w:type="pct"/>
            <w:shd w:val="clear" w:color="auto" w:fill="auto"/>
          </w:tcPr>
          <w:p w:rsidR="00B52BB0" w:rsidRPr="00DF463B" w:rsidRDefault="00B52BB0" w:rsidP="003E074D">
            <w:pPr>
              <w:pStyle w:val="TableText"/>
              <w:rPr>
                <w:lang w:val="pt-BR"/>
              </w:rPr>
            </w:pPr>
            <w:r w:rsidRPr="000827AD">
              <w:t xml:space="preserve">Yes </w:t>
            </w:r>
            <w:r>
              <w:rPr>
                <w:noProof/>
              </w:rPr>
              <w:t>(García Morales et al. 2019)</w:t>
            </w:r>
          </w:p>
        </w:tc>
        <w:tc>
          <w:tcPr>
            <w:tcW w:w="714" w:type="pct"/>
            <w:shd w:val="clear" w:color="auto" w:fill="auto"/>
          </w:tcPr>
          <w:p w:rsidR="00B52BB0" w:rsidRPr="00DF463B" w:rsidRDefault="00B52BB0" w:rsidP="003E074D">
            <w:pPr>
              <w:pStyle w:val="TableText"/>
              <w:rPr>
                <w:szCs w:val="16"/>
              </w:rPr>
            </w:pPr>
            <w:r w:rsidRPr="000827AD">
              <w:t xml:space="preserve">Yes. NT </w:t>
            </w:r>
            <w:r>
              <w:rPr>
                <w:noProof/>
              </w:rPr>
              <w:t>(Plant Health Australia 2019)</w:t>
            </w:r>
            <w:r w:rsidRPr="000827AD">
              <w:t xml:space="preserve">. WA </w:t>
            </w:r>
            <w:r>
              <w:rPr>
                <w:noProof/>
              </w:rPr>
              <w:t>(DAFWA 2015)</w:t>
            </w:r>
          </w:p>
        </w:tc>
        <w:tc>
          <w:tcPr>
            <w:tcW w:w="714" w:type="pct"/>
            <w:shd w:val="clear" w:color="auto" w:fill="auto"/>
          </w:tcPr>
          <w:p w:rsidR="00B52BB0" w:rsidRPr="00DF463B" w:rsidRDefault="00B52BB0" w:rsidP="003E074D">
            <w:pPr>
              <w:pStyle w:val="TableText"/>
            </w:pPr>
            <w:r w:rsidRPr="000827AD">
              <w:t>Assessment not required</w:t>
            </w:r>
          </w:p>
        </w:tc>
        <w:tc>
          <w:tcPr>
            <w:tcW w:w="714" w:type="pct"/>
            <w:shd w:val="clear" w:color="auto" w:fill="auto"/>
          </w:tcPr>
          <w:p w:rsidR="00B52BB0" w:rsidRPr="00DF463B" w:rsidRDefault="00B52BB0" w:rsidP="003E074D">
            <w:pPr>
              <w:pStyle w:val="TableText"/>
            </w:pPr>
            <w:r w:rsidRPr="000827AD">
              <w:t>Assessment not required</w:t>
            </w:r>
          </w:p>
        </w:tc>
        <w:tc>
          <w:tcPr>
            <w:tcW w:w="714" w:type="pct"/>
            <w:shd w:val="clear" w:color="auto" w:fill="auto"/>
          </w:tcPr>
          <w:p w:rsidR="00B52BB0" w:rsidRPr="00DF463B" w:rsidRDefault="00B52BB0" w:rsidP="003E074D">
            <w:pPr>
              <w:pStyle w:val="TableText"/>
            </w:pPr>
            <w:r w:rsidRPr="000827AD">
              <w:t>Assessment not required</w:t>
            </w:r>
          </w:p>
        </w:tc>
        <w:tc>
          <w:tcPr>
            <w:tcW w:w="714" w:type="pct"/>
            <w:shd w:val="clear" w:color="auto" w:fill="auto"/>
          </w:tcPr>
          <w:p w:rsidR="00B52BB0" w:rsidRPr="00DF463B" w:rsidRDefault="00B52BB0" w:rsidP="003E074D">
            <w:pPr>
              <w:pStyle w:val="TableText"/>
            </w:pPr>
            <w:r w:rsidRPr="000827AD">
              <w:t>No</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D70F0F">
              <w:rPr>
                <w:i/>
                <w:lang w:val="pt-BR"/>
              </w:rPr>
              <w:t xml:space="preserve">Cervaphis rappardi </w:t>
            </w:r>
            <w:r w:rsidRPr="00FF321B">
              <w:rPr>
                <w:iCs/>
                <w:lang w:val="pt-BR"/>
              </w:rPr>
              <w:t>Hille Ris Lambers, 1956</w:t>
            </w:r>
          </w:p>
          <w:p w:rsidR="00B52BB0" w:rsidRPr="00FF321B" w:rsidRDefault="00B52BB0" w:rsidP="003E074D">
            <w:pPr>
              <w:pStyle w:val="TableText"/>
              <w:rPr>
                <w:iCs/>
                <w:lang w:val="pt-BR"/>
              </w:rPr>
            </w:pPr>
            <w:r w:rsidRPr="00FF321B">
              <w:rPr>
                <w:iCs/>
                <w:lang w:val="pt-BR"/>
              </w:rPr>
              <w:t>[Aphididae]</w:t>
            </w:r>
          </w:p>
          <w:p w:rsidR="00B52BB0" w:rsidRPr="00705A23" w:rsidRDefault="00B52BB0" w:rsidP="003E074D">
            <w:pPr>
              <w:pStyle w:val="TableText"/>
              <w:rPr>
                <w:lang w:val="pt-BR"/>
              </w:rPr>
            </w:pPr>
          </w:p>
        </w:tc>
        <w:tc>
          <w:tcPr>
            <w:tcW w:w="715" w:type="pct"/>
            <w:shd w:val="clear" w:color="auto" w:fill="auto"/>
          </w:tcPr>
          <w:p w:rsidR="00B52BB0" w:rsidRPr="00DF463B" w:rsidRDefault="00B52BB0" w:rsidP="003E074D">
            <w:pPr>
              <w:pStyle w:val="TableText"/>
              <w:rPr>
                <w:lang w:val="pt-BR"/>
              </w:rPr>
            </w:pPr>
            <w:r w:rsidRPr="00AB6D38">
              <w:t xml:space="preserve">Yes </w:t>
            </w:r>
            <w:r>
              <w:rPr>
                <w:noProof/>
              </w:rPr>
              <w:t>(PPD 2017)</w:t>
            </w:r>
            <w:r w:rsidRPr="00AB6D38">
              <w:t xml:space="preserve"> (as </w:t>
            </w:r>
            <w:r w:rsidRPr="004300E0">
              <w:rPr>
                <w:i/>
              </w:rPr>
              <w:t>Cevaphis rappadi</w:t>
            </w:r>
            <w:r w:rsidRPr="00AB6D38">
              <w:t>)</w:t>
            </w:r>
          </w:p>
        </w:tc>
        <w:tc>
          <w:tcPr>
            <w:tcW w:w="714" w:type="pct"/>
            <w:shd w:val="clear" w:color="auto" w:fill="auto"/>
          </w:tcPr>
          <w:p w:rsidR="00B52BB0" w:rsidRPr="00DF463B" w:rsidRDefault="00B52BB0" w:rsidP="003E074D">
            <w:pPr>
              <w:pStyle w:val="TableText"/>
              <w:rPr>
                <w:szCs w:val="16"/>
              </w:rPr>
            </w:pPr>
            <w:r w:rsidRPr="00AB6D38">
              <w:t>No records found</w:t>
            </w:r>
          </w:p>
        </w:tc>
        <w:tc>
          <w:tcPr>
            <w:tcW w:w="714" w:type="pct"/>
            <w:shd w:val="clear" w:color="auto" w:fill="auto"/>
          </w:tcPr>
          <w:p w:rsidR="00B52BB0" w:rsidRPr="00DF463B" w:rsidRDefault="00B52BB0" w:rsidP="003E074D">
            <w:pPr>
              <w:pStyle w:val="TableText"/>
            </w:pPr>
            <w:r w:rsidRPr="00AB6D38">
              <w:t xml:space="preserve">No. Associated with flowers </w:t>
            </w:r>
            <w:r>
              <w:rPr>
                <w:noProof/>
              </w:rPr>
              <w:t>(Nam &amp; Hung 2006)</w:t>
            </w:r>
            <w:r w:rsidRPr="00AB6D38">
              <w:t>.</w:t>
            </w:r>
          </w:p>
        </w:tc>
        <w:tc>
          <w:tcPr>
            <w:tcW w:w="714" w:type="pct"/>
            <w:shd w:val="clear" w:color="auto" w:fill="auto"/>
          </w:tcPr>
          <w:p w:rsidR="00B52BB0" w:rsidRPr="00DF463B" w:rsidRDefault="00B52BB0" w:rsidP="003E074D">
            <w:pPr>
              <w:pStyle w:val="TableText"/>
            </w:pPr>
            <w:r w:rsidRPr="00AB6D38">
              <w:t>Assessment not required</w:t>
            </w:r>
          </w:p>
        </w:tc>
        <w:tc>
          <w:tcPr>
            <w:tcW w:w="714" w:type="pct"/>
            <w:shd w:val="clear" w:color="auto" w:fill="auto"/>
          </w:tcPr>
          <w:p w:rsidR="00B52BB0" w:rsidRPr="00DF463B" w:rsidRDefault="00B52BB0" w:rsidP="003E074D">
            <w:pPr>
              <w:pStyle w:val="TableText"/>
            </w:pPr>
            <w:r w:rsidRPr="00AB6D38">
              <w:t>Assessment not required</w:t>
            </w:r>
          </w:p>
        </w:tc>
        <w:tc>
          <w:tcPr>
            <w:tcW w:w="714" w:type="pct"/>
            <w:shd w:val="clear" w:color="auto" w:fill="auto"/>
          </w:tcPr>
          <w:p w:rsidR="00B52BB0" w:rsidRPr="00DF463B" w:rsidRDefault="00B52BB0" w:rsidP="003E074D">
            <w:pPr>
              <w:pStyle w:val="TableText"/>
            </w:pPr>
            <w:r w:rsidRPr="00AB6D38">
              <w:t>No</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D70F0F">
              <w:rPr>
                <w:i/>
                <w:lang w:val="pt-BR"/>
              </w:rPr>
              <w:t xml:space="preserve">Coccus pseudomagnoliarum </w:t>
            </w:r>
            <w:r w:rsidRPr="00FF321B">
              <w:rPr>
                <w:iCs/>
                <w:lang w:val="pt-BR"/>
              </w:rPr>
              <w:t>(Kuwana, 1914)</w:t>
            </w:r>
          </w:p>
          <w:p w:rsidR="00B52BB0" w:rsidRPr="00FF321B" w:rsidRDefault="00B52BB0" w:rsidP="003E074D">
            <w:pPr>
              <w:pStyle w:val="TableText"/>
              <w:rPr>
                <w:iCs/>
                <w:lang w:val="pt-BR"/>
              </w:rPr>
            </w:pPr>
            <w:r w:rsidRPr="00FF321B">
              <w:rPr>
                <w:iCs/>
                <w:lang w:val="pt-BR"/>
              </w:rPr>
              <w:t>[Coccidae]</w:t>
            </w:r>
          </w:p>
          <w:p w:rsidR="00B52BB0" w:rsidRPr="00F6567E" w:rsidRDefault="00B52BB0" w:rsidP="003E074D">
            <w:pPr>
              <w:pStyle w:val="TableText"/>
              <w:rPr>
                <w:i/>
                <w:lang w:val="pt-BR"/>
              </w:rPr>
            </w:pPr>
            <w:r w:rsidRPr="00FF321B">
              <w:rPr>
                <w:iCs/>
                <w:lang w:val="pt-BR"/>
              </w:rPr>
              <w:t>Grey citrus scale</w:t>
            </w:r>
          </w:p>
        </w:tc>
        <w:tc>
          <w:tcPr>
            <w:tcW w:w="715" w:type="pct"/>
            <w:shd w:val="clear" w:color="auto" w:fill="auto"/>
          </w:tcPr>
          <w:p w:rsidR="00B52BB0" w:rsidRPr="00DF463B" w:rsidRDefault="00B52BB0" w:rsidP="003E074D">
            <w:pPr>
              <w:pStyle w:val="TableText"/>
              <w:rPr>
                <w:lang w:val="pt-BR"/>
              </w:rPr>
            </w:pPr>
            <w:r w:rsidRPr="00E278D8">
              <w:t xml:space="preserve">Yes </w:t>
            </w:r>
            <w:r>
              <w:rPr>
                <w:noProof/>
              </w:rPr>
              <w:t>(PPD 2017)</w:t>
            </w:r>
          </w:p>
        </w:tc>
        <w:tc>
          <w:tcPr>
            <w:tcW w:w="714" w:type="pct"/>
            <w:shd w:val="clear" w:color="auto" w:fill="auto"/>
          </w:tcPr>
          <w:p w:rsidR="00B52BB0" w:rsidRPr="00DF463B" w:rsidRDefault="00B52BB0" w:rsidP="003E074D">
            <w:pPr>
              <w:pStyle w:val="TableText"/>
              <w:rPr>
                <w:szCs w:val="16"/>
              </w:rPr>
            </w:pPr>
            <w:r w:rsidRPr="00E278D8">
              <w:t xml:space="preserve">Yes. NSW, SA, Vic., WA </w:t>
            </w:r>
            <w:r>
              <w:rPr>
                <w:noProof/>
              </w:rPr>
              <w:t>(Plant Health Australia 2019)</w:t>
            </w:r>
          </w:p>
        </w:tc>
        <w:tc>
          <w:tcPr>
            <w:tcW w:w="714" w:type="pct"/>
            <w:shd w:val="clear" w:color="auto" w:fill="auto"/>
          </w:tcPr>
          <w:p w:rsidR="00B52BB0" w:rsidRPr="00DF463B" w:rsidRDefault="00B52BB0" w:rsidP="003E074D">
            <w:pPr>
              <w:pStyle w:val="TableText"/>
            </w:pPr>
            <w:r w:rsidRPr="00E278D8">
              <w:t>Assessment not required</w:t>
            </w:r>
          </w:p>
        </w:tc>
        <w:tc>
          <w:tcPr>
            <w:tcW w:w="714" w:type="pct"/>
            <w:shd w:val="clear" w:color="auto" w:fill="auto"/>
          </w:tcPr>
          <w:p w:rsidR="00B52BB0" w:rsidRPr="00DF463B" w:rsidRDefault="00B52BB0" w:rsidP="003E074D">
            <w:pPr>
              <w:pStyle w:val="TableText"/>
            </w:pPr>
            <w:r w:rsidRPr="00E278D8">
              <w:t>Assessment not required</w:t>
            </w:r>
          </w:p>
        </w:tc>
        <w:tc>
          <w:tcPr>
            <w:tcW w:w="714" w:type="pct"/>
            <w:shd w:val="clear" w:color="auto" w:fill="auto"/>
          </w:tcPr>
          <w:p w:rsidR="00B52BB0" w:rsidRPr="00DF463B" w:rsidRDefault="00B52BB0" w:rsidP="003E074D">
            <w:pPr>
              <w:pStyle w:val="TableText"/>
            </w:pPr>
            <w:r w:rsidRPr="00E278D8">
              <w:t>Assessment not required</w:t>
            </w:r>
          </w:p>
        </w:tc>
        <w:tc>
          <w:tcPr>
            <w:tcW w:w="714" w:type="pct"/>
            <w:shd w:val="clear" w:color="auto" w:fill="auto"/>
          </w:tcPr>
          <w:p w:rsidR="00B52BB0" w:rsidRPr="00DF463B" w:rsidRDefault="00B52BB0" w:rsidP="003E074D">
            <w:pPr>
              <w:pStyle w:val="TableText"/>
            </w:pPr>
            <w:r w:rsidRPr="00E278D8">
              <w:t>No</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D70F0F">
              <w:rPr>
                <w:i/>
                <w:lang w:val="pt-BR"/>
              </w:rPr>
              <w:lastRenderedPageBreak/>
              <w:t xml:space="preserve">Coccus viridis </w:t>
            </w:r>
            <w:r w:rsidRPr="00FF321B">
              <w:rPr>
                <w:iCs/>
                <w:lang w:val="pt-BR"/>
              </w:rPr>
              <w:t>(Green, 1889)</w:t>
            </w:r>
          </w:p>
          <w:p w:rsidR="00B52BB0" w:rsidRPr="00FF321B" w:rsidRDefault="00B52BB0" w:rsidP="003E074D">
            <w:pPr>
              <w:pStyle w:val="TableText"/>
              <w:rPr>
                <w:iCs/>
                <w:lang w:val="pt-BR"/>
              </w:rPr>
            </w:pPr>
            <w:r w:rsidRPr="00FF321B">
              <w:rPr>
                <w:iCs/>
                <w:lang w:val="pt-BR"/>
              </w:rPr>
              <w:t>[Coccidae]</w:t>
            </w:r>
          </w:p>
          <w:p w:rsidR="00B52BB0" w:rsidRPr="00F6567E" w:rsidRDefault="00B52BB0" w:rsidP="003E074D">
            <w:pPr>
              <w:pStyle w:val="TableText"/>
              <w:rPr>
                <w:i/>
                <w:lang w:val="pt-BR"/>
              </w:rPr>
            </w:pPr>
            <w:r w:rsidRPr="00FF321B">
              <w:rPr>
                <w:iCs/>
                <w:lang w:val="pt-BR"/>
              </w:rPr>
              <w:t>Soft green scale</w:t>
            </w:r>
          </w:p>
        </w:tc>
        <w:tc>
          <w:tcPr>
            <w:tcW w:w="715" w:type="pct"/>
            <w:shd w:val="clear" w:color="auto" w:fill="auto"/>
          </w:tcPr>
          <w:p w:rsidR="00B52BB0" w:rsidRPr="00DF463B" w:rsidRDefault="00B52BB0" w:rsidP="003E074D">
            <w:pPr>
              <w:pStyle w:val="TableText"/>
              <w:rPr>
                <w:lang w:val="pt-BR"/>
              </w:rPr>
            </w:pPr>
            <w:r w:rsidRPr="00227FCA">
              <w:t xml:space="preserve">Yes </w:t>
            </w:r>
            <w:r>
              <w:rPr>
                <w:noProof/>
              </w:rPr>
              <w:t>(CABI 2019)</w:t>
            </w:r>
          </w:p>
        </w:tc>
        <w:tc>
          <w:tcPr>
            <w:tcW w:w="714" w:type="pct"/>
            <w:shd w:val="clear" w:color="auto" w:fill="auto"/>
          </w:tcPr>
          <w:p w:rsidR="00B52BB0" w:rsidRPr="00DF463B" w:rsidRDefault="00B52BB0" w:rsidP="003E074D">
            <w:pPr>
              <w:pStyle w:val="TableText"/>
              <w:rPr>
                <w:szCs w:val="16"/>
              </w:rPr>
            </w:pPr>
            <w:r w:rsidRPr="00227FCA">
              <w:t xml:space="preserve">Yes. NSW, NT, Qld, WA </w:t>
            </w:r>
            <w:r>
              <w:rPr>
                <w:noProof/>
              </w:rPr>
              <w:t>(Plant Health Australia 2019; Waterhouse &amp; Sands 2001)</w:t>
            </w:r>
          </w:p>
        </w:tc>
        <w:tc>
          <w:tcPr>
            <w:tcW w:w="714" w:type="pct"/>
            <w:shd w:val="clear" w:color="auto" w:fill="auto"/>
          </w:tcPr>
          <w:p w:rsidR="00B52BB0" w:rsidRPr="00DF463B" w:rsidRDefault="00B52BB0" w:rsidP="003E074D">
            <w:pPr>
              <w:pStyle w:val="TableText"/>
            </w:pPr>
            <w:r w:rsidRPr="00227FCA">
              <w:t>Assessment not required</w:t>
            </w:r>
          </w:p>
        </w:tc>
        <w:tc>
          <w:tcPr>
            <w:tcW w:w="714" w:type="pct"/>
            <w:shd w:val="clear" w:color="auto" w:fill="auto"/>
          </w:tcPr>
          <w:p w:rsidR="00B52BB0" w:rsidRPr="00DF463B" w:rsidRDefault="00B52BB0" w:rsidP="003E074D">
            <w:pPr>
              <w:pStyle w:val="TableText"/>
            </w:pPr>
            <w:r w:rsidRPr="00227FCA">
              <w:t>Assessment not required</w:t>
            </w:r>
          </w:p>
        </w:tc>
        <w:tc>
          <w:tcPr>
            <w:tcW w:w="714" w:type="pct"/>
            <w:shd w:val="clear" w:color="auto" w:fill="auto"/>
          </w:tcPr>
          <w:p w:rsidR="00B52BB0" w:rsidRPr="00DF463B" w:rsidRDefault="00B52BB0" w:rsidP="003E074D">
            <w:pPr>
              <w:pStyle w:val="TableText"/>
            </w:pPr>
            <w:r w:rsidRPr="00227FCA">
              <w:t>Assessment not required</w:t>
            </w:r>
          </w:p>
        </w:tc>
        <w:tc>
          <w:tcPr>
            <w:tcW w:w="714" w:type="pct"/>
            <w:shd w:val="clear" w:color="auto" w:fill="auto"/>
          </w:tcPr>
          <w:p w:rsidR="00B52BB0" w:rsidRPr="00DF463B" w:rsidRDefault="00B52BB0" w:rsidP="003E074D">
            <w:pPr>
              <w:pStyle w:val="TableText"/>
            </w:pPr>
            <w:r w:rsidRPr="00227FCA">
              <w:t>No</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D70F0F">
              <w:rPr>
                <w:i/>
                <w:lang w:val="pt-BR"/>
              </w:rPr>
              <w:t xml:space="preserve">Cornegenapsylla sinica </w:t>
            </w:r>
            <w:r w:rsidRPr="00FF321B">
              <w:rPr>
                <w:iCs/>
                <w:lang w:val="pt-BR"/>
              </w:rPr>
              <w:t>Yang &amp; Li, 1982</w:t>
            </w:r>
          </w:p>
          <w:p w:rsidR="00B52BB0" w:rsidRPr="00FF321B" w:rsidRDefault="00B52BB0" w:rsidP="003E074D">
            <w:pPr>
              <w:pStyle w:val="TableText"/>
              <w:rPr>
                <w:iCs/>
                <w:lang w:val="pt-BR"/>
              </w:rPr>
            </w:pPr>
            <w:r w:rsidRPr="00FF321B">
              <w:rPr>
                <w:iCs/>
                <w:lang w:val="pt-BR"/>
              </w:rPr>
              <w:t>[Psyllidae]</w:t>
            </w:r>
          </w:p>
          <w:p w:rsidR="00B52BB0" w:rsidRPr="00F6567E" w:rsidRDefault="00B52BB0" w:rsidP="003E074D">
            <w:pPr>
              <w:pStyle w:val="TableText"/>
              <w:rPr>
                <w:i/>
                <w:lang w:val="pt-BR"/>
              </w:rPr>
            </w:pPr>
            <w:r w:rsidRPr="00FF321B">
              <w:rPr>
                <w:iCs/>
                <w:lang w:val="pt-BR"/>
              </w:rPr>
              <w:t>Longan psyllid</w:t>
            </w:r>
          </w:p>
        </w:tc>
        <w:tc>
          <w:tcPr>
            <w:tcW w:w="715" w:type="pct"/>
            <w:shd w:val="clear" w:color="auto" w:fill="auto"/>
          </w:tcPr>
          <w:p w:rsidR="00B52BB0" w:rsidRPr="00DF463B" w:rsidRDefault="00B52BB0" w:rsidP="003E074D">
            <w:pPr>
              <w:pStyle w:val="TableText"/>
              <w:rPr>
                <w:lang w:val="pt-BR"/>
              </w:rPr>
            </w:pPr>
            <w:r w:rsidRPr="00362D3E">
              <w:t xml:space="preserve">Yes </w:t>
            </w:r>
            <w:r>
              <w:rPr>
                <w:noProof/>
              </w:rPr>
              <w:t>(PestNet 2019)</w:t>
            </w:r>
          </w:p>
        </w:tc>
        <w:tc>
          <w:tcPr>
            <w:tcW w:w="714" w:type="pct"/>
            <w:shd w:val="clear" w:color="auto" w:fill="auto"/>
          </w:tcPr>
          <w:p w:rsidR="00B52BB0" w:rsidRPr="00DF463B" w:rsidRDefault="00B52BB0" w:rsidP="003E074D">
            <w:pPr>
              <w:pStyle w:val="TableText"/>
              <w:rPr>
                <w:szCs w:val="16"/>
              </w:rPr>
            </w:pPr>
            <w:r w:rsidRPr="00362D3E">
              <w:t>No records found</w:t>
            </w:r>
          </w:p>
        </w:tc>
        <w:tc>
          <w:tcPr>
            <w:tcW w:w="714" w:type="pct"/>
            <w:shd w:val="clear" w:color="auto" w:fill="auto"/>
          </w:tcPr>
          <w:p w:rsidR="00B52BB0" w:rsidRPr="00DF463B" w:rsidRDefault="00B52BB0" w:rsidP="003E074D">
            <w:pPr>
              <w:pStyle w:val="TableText"/>
            </w:pPr>
            <w:r w:rsidRPr="00362D3E">
              <w:t xml:space="preserve">No. Associated with leaves and shoots </w:t>
            </w:r>
            <w:r>
              <w:rPr>
                <w:noProof/>
              </w:rPr>
              <w:t>(Shaoxiong 1999)</w:t>
            </w:r>
            <w:r w:rsidRPr="00362D3E">
              <w:t>.</w:t>
            </w:r>
          </w:p>
        </w:tc>
        <w:tc>
          <w:tcPr>
            <w:tcW w:w="714" w:type="pct"/>
            <w:shd w:val="clear" w:color="auto" w:fill="auto"/>
          </w:tcPr>
          <w:p w:rsidR="00B52BB0" w:rsidRPr="00DF463B" w:rsidRDefault="00B52BB0" w:rsidP="003E074D">
            <w:pPr>
              <w:pStyle w:val="TableText"/>
            </w:pPr>
            <w:r w:rsidRPr="00362D3E">
              <w:t>Assessment not required</w:t>
            </w:r>
          </w:p>
        </w:tc>
        <w:tc>
          <w:tcPr>
            <w:tcW w:w="714" w:type="pct"/>
            <w:shd w:val="clear" w:color="auto" w:fill="auto"/>
          </w:tcPr>
          <w:p w:rsidR="00B52BB0" w:rsidRPr="00DF463B" w:rsidRDefault="00B52BB0" w:rsidP="003E074D">
            <w:pPr>
              <w:pStyle w:val="TableText"/>
            </w:pPr>
            <w:r w:rsidRPr="00362D3E">
              <w:t>Assessment not required</w:t>
            </w:r>
          </w:p>
        </w:tc>
        <w:tc>
          <w:tcPr>
            <w:tcW w:w="714" w:type="pct"/>
            <w:shd w:val="clear" w:color="auto" w:fill="auto"/>
          </w:tcPr>
          <w:p w:rsidR="00B52BB0" w:rsidRPr="00DF463B" w:rsidRDefault="00B52BB0" w:rsidP="003E074D">
            <w:pPr>
              <w:pStyle w:val="TableText"/>
            </w:pPr>
            <w:r w:rsidRPr="00362D3E">
              <w:t>No</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D70F0F">
              <w:rPr>
                <w:i/>
                <w:lang w:val="pt-BR"/>
              </w:rPr>
              <w:t xml:space="preserve">Cryptotympana atrata </w:t>
            </w:r>
            <w:r w:rsidRPr="00FF321B">
              <w:rPr>
                <w:iCs/>
                <w:lang w:val="pt-BR"/>
              </w:rPr>
              <w:t>(Fabricius, 1775)</w:t>
            </w:r>
          </w:p>
          <w:p w:rsidR="00B52BB0" w:rsidRPr="00FF321B" w:rsidRDefault="00B52BB0" w:rsidP="003E074D">
            <w:pPr>
              <w:pStyle w:val="TableText"/>
              <w:rPr>
                <w:iCs/>
                <w:lang w:val="pt-BR"/>
              </w:rPr>
            </w:pPr>
            <w:r w:rsidRPr="00FF321B">
              <w:rPr>
                <w:iCs/>
                <w:lang w:val="pt-BR"/>
              </w:rPr>
              <w:t>[Cicadidae]</w:t>
            </w:r>
          </w:p>
          <w:p w:rsidR="00B52BB0" w:rsidRPr="00F6567E" w:rsidRDefault="00B52BB0" w:rsidP="003E074D">
            <w:pPr>
              <w:pStyle w:val="TableText"/>
              <w:rPr>
                <w:i/>
                <w:lang w:val="pt-BR"/>
              </w:rPr>
            </w:pPr>
            <w:r w:rsidRPr="00FF321B">
              <w:rPr>
                <w:iCs/>
                <w:lang w:val="pt-BR"/>
              </w:rPr>
              <w:t>Black cicada</w:t>
            </w:r>
          </w:p>
        </w:tc>
        <w:tc>
          <w:tcPr>
            <w:tcW w:w="715" w:type="pct"/>
            <w:shd w:val="clear" w:color="auto" w:fill="auto"/>
          </w:tcPr>
          <w:p w:rsidR="00B52BB0" w:rsidRPr="00DF463B" w:rsidRDefault="00B52BB0" w:rsidP="003E074D">
            <w:pPr>
              <w:pStyle w:val="TableText"/>
              <w:rPr>
                <w:lang w:val="pt-BR"/>
              </w:rPr>
            </w:pPr>
            <w:r w:rsidRPr="001F551C">
              <w:t xml:space="preserve">Yes </w:t>
            </w:r>
            <w:r>
              <w:rPr>
                <w:noProof/>
              </w:rPr>
              <w:t>(Sanborn 2014)</w:t>
            </w:r>
          </w:p>
        </w:tc>
        <w:tc>
          <w:tcPr>
            <w:tcW w:w="714" w:type="pct"/>
            <w:shd w:val="clear" w:color="auto" w:fill="auto"/>
          </w:tcPr>
          <w:p w:rsidR="00B52BB0" w:rsidRPr="00DF463B" w:rsidRDefault="00B52BB0" w:rsidP="003E074D">
            <w:pPr>
              <w:pStyle w:val="TableText"/>
              <w:rPr>
                <w:szCs w:val="16"/>
              </w:rPr>
            </w:pPr>
            <w:r w:rsidRPr="001F551C">
              <w:t>No records found</w:t>
            </w:r>
          </w:p>
        </w:tc>
        <w:tc>
          <w:tcPr>
            <w:tcW w:w="714" w:type="pct"/>
            <w:shd w:val="clear" w:color="auto" w:fill="auto"/>
          </w:tcPr>
          <w:p w:rsidR="00B52BB0" w:rsidRPr="00DF463B" w:rsidRDefault="00B52BB0" w:rsidP="003E074D">
            <w:pPr>
              <w:pStyle w:val="TableText"/>
            </w:pPr>
            <w:r w:rsidRPr="001F551C">
              <w:t xml:space="preserve">No. Adults feed on branches and nymphs feed on roots </w:t>
            </w:r>
            <w:r>
              <w:rPr>
                <w:noProof/>
              </w:rPr>
              <w:t>(CHNZX-Farming 2008)</w:t>
            </w:r>
            <w:r w:rsidRPr="001F551C">
              <w:t>.</w:t>
            </w:r>
          </w:p>
        </w:tc>
        <w:tc>
          <w:tcPr>
            <w:tcW w:w="714" w:type="pct"/>
            <w:shd w:val="clear" w:color="auto" w:fill="auto"/>
          </w:tcPr>
          <w:p w:rsidR="00B52BB0" w:rsidRPr="00DF463B" w:rsidRDefault="00B52BB0" w:rsidP="003E074D">
            <w:pPr>
              <w:pStyle w:val="TableText"/>
            </w:pPr>
            <w:r w:rsidRPr="001F551C">
              <w:t>Assessment not required</w:t>
            </w:r>
          </w:p>
        </w:tc>
        <w:tc>
          <w:tcPr>
            <w:tcW w:w="714" w:type="pct"/>
            <w:shd w:val="clear" w:color="auto" w:fill="auto"/>
          </w:tcPr>
          <w:p w:rsidR="00B52BB0" w:rsidRPr="00DF463B" w:rsidRDefault="00B52BB0" w:rsidP="003E074D">
            <w:pPr>
              <w:pStyle w:val="TableText"/>
            </w:pPr>
            <w:r w:rsidRPr="001F551C">
              <w:t>Assessment not required</w:t>
            </w:r>
          </w:p>
        </w:tc>
        <w:tc>
          <w:tcPr>
            <w:tcW w:w="714" w:type="pct"/>
            <w:shd w:val="clear" w:color="auto" w:fill="auto"/>
          </w:tcPr>
          <w:p w:rsidR="00B52BB0" w:rsidRPr="00DF463B" w:rsidRDefault="00B52BB0" w:rsidP="003E074D">
            <w:pPr>
              <w:pStyle w:val="TableText"/>
            </w:pPr>
            <w:r w:rsidRPr="001F551C">
              <w:t>No</w:t>
            </w:r>
          </w:p>
        </w:tc>
      </w:tr>
      <w:tr w:rsidR="00B52BB0" w:rsidRPr="00DF463B" w:rsidTr="003E074D">
        <w:trPr>
          <w:cantSplit/>
          <w:trHeight w:val="75"/>
          <w:jc w:val="center"/>
        </w:trPr>
        <w:tc>
          <w:tcPr>
            <w:tcW w:w="715" w:type="pct"/>
            <w:shd w:val="clear" w:color="auto" w:fill="auto"/>
          </w:tcPr>
          <w:p w:rsidR="00B52BB0" w:rsidRPr="004300E0" w:rsidRDefault="00B52BB0" w:rsidP="003E074D">
            <w:pPr>
              <w:pStyle w:val="TableText"/>
              <w:rPr>
                <w:lang w:val="pt-BR"/>
              </w:rPr>
            </w:pPr>
            <w:r w:rsidRPr="00D70F0F">
              <w:rPr>
                <w:i/>
                <w:lang w:val="pt-BR"/>
              </w:rPr>
              <w:t xml:space="preserve">Drepanococcus chiton </w:t>
            </w:r>
            <w:r w:rsidRPr="004300E0">
              <w:rPr>
                <w:lang w:val="pt-BR"/>
              </w:rPr>
              <w:t>(Green, 1909)</w:t>
            </w:r>
          </w:p>
          <w:p w:rsidR="00B52BB0" w:rsidRPr="004300E0" w:rsidRDefault="00B52BB0" w:rsidP="003E074D">
            <w:pPr>
              <w:pStyle w:val="TableText"/>
              <w:rPr>
                <w:lang w:val="pt-BR"/>
              </w:rPr>
            </w:pPr>
            <w:r w:rsidRPr="004300E0">
              <w:rPr>
                <w:lang w:val="pt-BR"/>
              </w:rPr>
              <w:t>[Coccidae]</w:t>
            </w:r>
          </w:p>
          <w:p w:rsidR="00B52BB0" w:rsidRPr="00F6567E" w:rsidRDefault="00B52BB0" w:rsidP="003E074D">
            <w:pPr>
              <w:pStyle w:val="TableText"/>
              <w:rPr>
                <w:i/>
                <w:lang w:val="pt-BR"/>
              </w:rPr>
            </w:pPr>
            <w:r w:rsidRPr="004300E0">
              <w:rPr>
                <w:lang w:val="pt-BR"/>
              </w:rPr>
              <w:t>Wax scale</w:t>
            </w:r>
          </w:p>
        </w:tc>
        <w:tc>
          <w:tcPr>
            <w:tcW w:w="715" w:type="pct"/>
            <w:shd w:val="clear" w:color="auto" w:fill="auto"/>
          </w:tcPr>
          <w:p w:rsidR="00B52BB0" w:rsidRPr="00DF463B" w:rsidRDefault="00B52BB0" w:rsidP="003E074D">
            <w:pPr>
              <w:pStyle w:val="TableText"/>
              <w:rPr>
                <w:lang w:val="pt-BR"/>
              </w:rPr>
            </w:pPr>
            <w:r w:rsidRPr="00BE174D">
              <w:t xml:space="preserve">Yes </w:t>
            </w:r>
            <w:r>
              <w:rPr>
                <w:noProof/>
              </w:rPr>
              <w:t>(García Morales et al. 2019; PaDIL 2019)</w:t>
            </w:r>
          </w:p>
        </w:tc>
        <w:tc>
          <w:tcPr>
            <w:tcW w:w="714" w:type="pct"/>
            <w:shd w:val="clear" w:color="auto" w:fill="auto"/>
          </w:tcPr>
          <w:p w:rsidR="00B52BB0" w:rsidRPr="00DF463B" w:rsidRDefault="00B52BB0" w:rsidP="003E074D">
            <w:pPr>
              <w:pStyle w:val="TableText"/>
              <w:rPr>
                <w:szCs w:val="16"/>
              </w:rPr>
            </w:pPr>
            <w:r w:rsidRPr="00BE174D">
              <w:t>No records found</w:t>
            </w:r>
          </w:p>
        </w:tc>
        <w:tc>
          <w:tcPr>
            <w:tcW w:w="714" w:type="pct"/>
            <w:shd w:val="clear" w:color="auto" w:fill="auto"/>
          </w:tcPr>
          <w:p w:rsidR="00B52BB0" w:rsidRPr="00DF463B" w:rsidRDefault="00B52BB0" w:rsidP="003E074D">
            <w:pPr>
              <w:pStyle w:val="TableText"/>
            </w:pPr>
            <w:r w:rsidRPr="00BE174D">
              <w:t xml:space="preserve">Yes. </w:t>
            </w:r>
            <w:r w:rsidRPr="00A03C7C">
              <w:rPr>
                <w:i/>
                <w:iCs/>
              </w:rPr>
              <w:t>Drepanococcus chiton</w:t>
            </w:r>
            <w:r w:rsidRPr="00BE174D">
              <w:t xml:space="preserve"> is associated with the longan fruit export pathway </w:t>
            </w:r>
            <w:r>
              <w:rPr>
                <w:noProof/>
              </w:rPr>
              <w:t>(Evans &amp; Dooley 2013)</w:t>
            </w:r>
            <w:r w:rsidRPr="00BE174D">
              <w:t>.</w:t>
            </w:r>
          </w:p>
        </w:tc>
        <w:tc>
          <w:tcPr>
            <w:tcW w:w="714" w:type="pct"/>
            <w:shd w:val="clear" w:color="auto" w:fill="auto"/>
          </w:tcPr>
          <w:p w:rsidR="00B52BB0" w:rsidRPr="00DF463B" w:rsidRDefault="00B52BB0" w:rsidP="003E074D">
            <w:pPr>
              <w:pStyle w:val="TableText"/>
            </w:pPr>
            <w:r w:rsidRPr="00BE174D">
              <w:t xml:space="preserve">Yes. </w:t>
            </w:r>
            <w:r w:rsidRPr="00A03C7C">
              <w:rPr>
                <w:i/>
                <w:iCs/>
              </w:rPr>
              <w:t>Drepanococcus chiton</w:t>
            </w:r>
            <w:r w:rsidRPr="00BE174D">
              <w:t xml:space="preserve"> is polyphagous, feeding on a range of plant species including cocoa, fig, lime, eggplant, guava and ornamental flower species </w:t>
            </w:r>
            <w:r>
              <w:rPr>
                <w:noProof/>
              </w:rPr>
              <w:t>(García Morales et al. 2019)</w:t>
            </w:r>
            <w:r w:rsidRPr="00BE174D">
              <w:t>. The host range and current geographic distribution of this pest suggest that there are suitable environments for it to establish and spread in Australia.</w:t>
            </w:r>
          </w:p>
        </w:tc>
        <w:tc>
          <w:tcPr>
            <w:tcW w:w="714" w:type="pct"/>
            <w:shd w:val="clear" w:color="auto" w:fill="auto"/>
          </w:tcPr>
          <w:p w:rsidR="00B52BB0" w:rsidRPr="00DF463B" w:rsidRDefault="00B52BB0" w:rsidP="003E074D">
            <w:pPr>
              <w:pStyle w:val="TableText"/>
            </w:pPr>
            <w:r w:rsidRPr="00BE174D">
              <w:t xml:space="preserve">Yes. This species is considered a serious economic pest that attacks several tropical fruit species of economic importance in Caribbean basin countries </w:t>
            </w:r>
            <w:r>
              <w:rPr>
                <w:noProof/>
              </w:rPr>
              <w:t>(Peña 2013)</w:t>
            </w:r>
            <w:r w:rsidRPr="00BE174D">
              <w:t>.</w:t>
            </w:r>
          </w:p>
        </w:tc>
        <w:tc>
          <w:tcPr>
            <w:tcW w:w="714" w:type="pct"/>
            <w:shd w:val="clear" w:color="auto" w:fill="auto"/>
          </w:tcPr>
          <w:p w:rsidR="00B52BB0" w:rsidRPr="00DF463B" w:rsidRDefault="00B52BB0" w:rsidP="003E074D">
            <w:pPr>
              <w:pStyle w:val="TableText"/>
            </w:pPr>
            <w:r w:rsidRPr="00BE174D">
              <w:t>Yes (EP)</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D70F0F">
              <w:rPr>
                <w:i/>
                <w:lang w:val="pt-BR"/>
              </w:rPr>
              <w:lastRenderedPageBreak/>
              <w:t xml:space="preserve">Dysmicoccus neobrevipes </w:t>
            </w:r>
            <w:r w:rsidRPr="00FF321B">
              <w:rPr>
                <w:iCs/>
                <w:lang w:val="pt-BR"/>
              </w:rPr>
              <w:t>Beardsley, 1959</w:t>
            </w:r>
          </w:p>
          <w:p w:rsidR="00B52BB0" w:rsidRPr="00FF321B" w:rsidRDefault="00B52BB0" w:rsidP="003E074D">
            <w:pPr>
              <w:pStyle w:val="TableText"/>
              <w:rPr>
                <w:iCs/>
                <w:lang w:val="pt-BR"/>
              </w:rPr>
            </w:pPr>
            <w:r w:rsidRPr="00FF321B">
              <w:rPr>
                <w:iCs/>
                <w:lang w:val="pt-BR"/>
              </w:rPr>
              <w:t>[Pseudococcidae]</w:t>
            </w:r>
          </w:p>
          <w:p w:rsidR="00B52BB0" w:rsidRPr="00F6567E" w:rsidRDefault="00B52BB0" w:rsidP="003E074D">
            <w:pPr>
              <w:pStyle w:val="TableText"/>
              <w:rPr>
                <w:i/>
                <w:lang w:val="pt-BR"/>
              </w:rPr>
            </w:pPr>
            <w:r w:rsidRPr="00FF321B">
              <w:rPr>
                <w:iCs/>
                <w:lang w:val="pt-BR"/>
              </w:rPr>
              <w:t>Grey pineapple mealybug</w:t>
            </w:r>
          </w:p>
        </w:tc>
        <w:tc>
          <w:tcPr>
            <w:tcW w:w="715" w:type="pct"/>
            <w:shd w:val="clear" w:color="auto" w:fill="auto"/>
          </w:tcPr>
          <w:p w:rsidR="00B52BB0" w:rsidRPr="00DF463B" w:rsidRDefault="00B52BB0" w:rsidP="003E074D">
            <w:pPr>
              <w:pStyle w:val="TableText"/>
              <w:rPr>
                <w:lang w:val="pt-BR"/>
              </w:rPr>
            </w:pPr>
            <w:r w:rsidRPr="007F13D0">
              <w:t xml:space="preserve">Yes </w:t>
            </w:r>
            <w:r>
              <w:rPr>
                <w:noProof/>
              </w:rPr>
              <w:t>(PPD 2017)</w:t>
            </w:r>
          </w:p>
        </w:tc>
        <w:tc>
          <w:tcPr>
            <w:tcW w:w="714" w:type="pct"/>
            <w:shd w:val="clear" w:color="auto" w:fill="auto"/>
          </w:tcPr>
          <w:p w:rsidR="00B52BB0" w:rsidRPr="00DF463B" w:rsidRDefault="00B52BB0" w:rsidP="003E074D">
            <w:pPr>
              <w:pStyle w:val="TableText"/>
              <w:rPr>
                <w:szCs w:val="16"/>
              </w:rPr>
            </w:pPr>
            <w:r w:rsidRPr="007F13D0">
              <w:t>No records found</w:t>
            </w:r>
          </w:p>
        </w:tc>
        <w:tc>
          <w:tcPr>
            <w:tcW w:w="714" w:type="pct"/>
            <w:shd w:val="clear" w:color="auto" w:fill="auto"/>
          </w:tcPr>
          <w:p w:rsidR="00B52BB0" w:rsidRPr="00DF463B" w:rsidRDefault="00B52BB0" w:rsidP="003E074D">
            <w:pPr>
              <w:pStyle w:val="TableText"/>
            </w:pPr>
            <w:r w:rsidRPr="007F13D0">
              <w:t xml:space="preserve">Yes. This species feeds on the fruit, leaves, roots and stems of longan plants </w:t>
            </w:r>
            <w:r>
              <w:rPr>
                <w:noProof/>
              </w:rPr>
              <w:t>(PPD 2017)</w:t>
            </w:r>
            <w:r w:rsidRPr="007F13D0">
              <w:t>.</w:t>
            </w:r>
          </w:p>
        </w:tc>
        <w:tc>
          <w:tcPr>
            <w:tcW w:w="714" w:type="pct"/>
            <w:shd w:val="clear" w:color="auto" w:fill="auto"/>
          </w:tcPr>
          <w:p w:rsidR="00B52BB0" w:rsidRPr="00DF463B" w:rsidRDefault="00B52BB0" w:rsidP="003E074D">
            <w:pPr>
              <w:pStyle w:val="TableText"/>
            </w:pPr>
            <w:r w:rsidRPr="007F13D0">
              <w:t xml:space="preserve">Yes. </w:t>
            </w:r>
            <w:r w:rsidRPr="00A03C7C">
              <w:rPr>
                <w:i/>
                <w:iCs/>
              </w:rPr>
              <w:t>Dysmicoccus neobrevipes</w:t>
            </w:r>
            <w:r w:rsidRPr="007F13D0">
              <w:t xml:space="preserve"> feeds on a wide range of host plants including citrus and mango, and has been reported as an important economic pest of pineapple and banana throughout its pantropical distribution </w:t>
            </w:r>
            <w:r>
              <w:rPr>
                <w:noProof/>
              </w:rPr>
              <w:t>(CABI 2019)</w:t>
            </w:r>
            <w:r w:rsidRPr="007F13D0">
              <w:t>. The host range and current geographic distribution of this pest suggest that there are suitable environments for it to establish and spread in Australia.</w:t>
            </w:r>
          </w:p>
        </w:tc>
        <w:tc>
          <w:tcPr>
            <w:tcW w:w="714" w:type="pct"/>
            <w:shd w:val="clear" w:color="auto" w:fill="auto"/>
          </w:tcPr>
          <w:p w:rsidR="00B52BB0" w:rsidRPr="00DF463B" w:rsidRDefault="00B52BB0" w:rsidP="003E074D">
            <w:pPr>
              <w:pStyle w:val="TableText"/>
            </w:pPr>
            <w:r w:rsidRPr="007F13D0">
              <w:t xml:space="preserve">Yes. Mealybugs directly damage their plant hosts, reducing productivity. </w:t>
            </w:r>
            <w:r w:rsidRPr="00A03C7C">
              <w:rPr>
                <w:i/>
                <w:iCs/>
              </w:rPr>
              <w:t>Dysmicoccus neobrevipes</w:t>
            </w:r>
            <w:r w:rsidRPr="007F13D0">
              <w:t xml:space="preserve"> is an important pest of pineapple and is a vector of pineapple mealybug wilt associated virus </w:t>
            </w:r>
            <w:r>
              <w:rPr>
                <w:noProof/>
              </w:rPr>
              <w:t>(Khoo, Ooi &amp; Ho 1991; Sarpong, Asare-Bediako &amp; Acheampong 2017; Williams 2004)</w:t>
            </w:r>
            <w:r>
              <w:t>.</w:t>
            </w:r>
          </w:p>
        </w:tc>
        <w:tc>
          <w:tcPr>
            <w:tcW w:w="714" w:type="pct"/>
            <w:shd w:val="clear" w:color="auto" w:fill="auto"/>
          </w:tcPr>
          <w:p w:rsidR="00B52BB0" w:rsidRPr="00DF463B" w:rsidRDefault="00B52BB0" w:rsidP="003E074D">
            <w:pPr>
              <w:pStyle w:val="TableText"/>
            </w:pPr>
            <w:r w:rsidRPr="007F13D0">
              <w:t>Yes (EP)</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D70F0F">
              <w:rPr>
                <w:i/>
                <w:lang w:val="pt-BR"/>
              </w:rPr>
              <w:lastRenderedPageBreak/>
              <w:t xml:space="preserve">Exallomochlus hispidus </w:t>
            </w:r>
            <w:r w:rsidRPr="00FF321B">
              <w:rPr>
                <w:iCs/>
                <w:lang w:val="pt-BR"/>
              </w:rPr>
              <w:t>(Morrison, 1921)</w:t>
            </w:r>
          </w:p>
          <w:p w:rsidR="00B52BB0" w:rsidRPr="00FF321B" w:rsidRDefault="00B52BB0" w:rsidP="003E074D">
            <w:pPr>
              <w:pStyle w:val="TableText"/>
              <w:rPr>
                <w:iCs/>
                <w:lang w:val="pt-BR"/>
              </w:rPr>
            </w:pPr>
            <w:r w:rsidRPr="00FF321B">
              <w:rPr>
                <w:iCs/>
                <w:lang w:val="pt-BR"/>
              </w:rPr>
              <w:t>[Pseudococcidae]</w:t>
            </w:r>
          </w:p>
          <w:p w:rsidR="00B52BB0" w:rsidRPr="00F6567E" w:rsidRDefault="00B52BB0" w:rsidP="003E074D">
            <w:pPr>
              <w:pStyle w:val="TableText"/>
              <w:rPr>
                <w:i/>
                <w:lang w:val="pt-BR"/>
              </w:rPr>
            </w:pPr>
            <w:r w:rsidRPr="00FF321B">
              <w:rPr>
                <w:iCs/>
                <w:lang w:val="pt-BR"/>
              </w:rPr>
              <w:t>Cocoa mealybug</w:t>
            </w:r>
          </w:p>
        </w:tc>
        <w:tc>
          <w:tcPr>
            <w:tcW w:w="715" w:type="pct"/>
            <w:shd w:val="clear" w:color="auto" w:fill="auto"/>
          </w:tcPr>
          <w:p w:rsidR="00B52BB0" w:rsidRPr="00DF463B" w:rsidRDefault="00B52BB0" w:rsidP="003E074D">
            <w:pPr>
              <w:pStyle w:val="TableText"/>
              <w:rPr>
                <w:lang w:val="pt-BR"/>
              </w:rPr>
            </w:pPr>
            <w:r w:rsidRPr="006276E0">
              <w:t xml:space="preserve">Yes </w:t>
            </w:r>
            <w:r>
              <w:rPr>
                <w:noProof/>
              </w:rPr>
              <w:t>(García Morales et al. 2019)</w:t>
            </w:r>
          </w:p>
        </w:tc>
        <w:tc>
          <w:tcPr>
            <w:tcW w:w="714" w:type="pct"/>
            <w:shd w:val="clear" w:color="auto" w:fill="auto"/>
          </w:tcPr>
          <w:p w:rsidR="00B52BB0" w:rsidRPr="00DF463B" w:rsidRDefault="00B52BB0" w:rsidP="003E074D">
            <w:pPr>
              <w:pStyle w:val="TableText"/>
              <w:rPr>
                <w:szCs w:val="16"/>
              </w:rPr>
            </w:pPr>
            <w:r w:rsidRPr="006276E0">
              <w:t>No records found</w:t>
            </w:r>
          </w:p>
        </w:tc>
        <w:tc>
          <w:tcPr>
            <w:tcW w:w="714" w:type="pct"/>
            <w:shd w:val="clear" w:color="auto" w:fill="auto"/>
          </w:tcPr>
          <w:p w:rsidR="00B52BB0" w:rsidRPr="00DF463B" w:rsidRDefault="00B52BB0" w:rsidP="003E074D">
            <w:pPr>
              <w:pStyle w:val="TableText"/>
            </w:pPr>
            <w:r w:rsidRPr="006276E0">
              <w:t xml:space="preserve">Yes. This species attacks the stems and fruits of host plants </w:t>
            </w:r>
            <w:r>
              <w:rPr>
                <w:noProof/>
              </w:rPr>
              <w:t>(García Morales et al. 2019)</w:t>
            </w:r>
            <w:r w:rsidRPr="006276E0">
              <w:t>.</w:t>
            </w:r>
          </w:p>
        </w:tc>
        <w:tc>
          <w:tcPr>
            <w:tcW w:w="714" w:type="pct"/>
            <w:shd w:val="clear" w:color="auto" w:fill="auto"/>
          </w:tcPr>
          <w:p w:rsidR="00B52BB0" w:rsidRPr="00DF463B" w:rsidRDefault="00B52BB0" w:rsidP="003E074D">
            <w:pPr>
              <w:pStyle w:val="TableText"/>
            </w:pPr>
            <w:r w:rsidRPr="006276E0">
              <w:t xml:space="preserve">Yes. </w:t>
            </w:r>
            <w:r w:rsidRPr="00A03C7C">
              <w:rPr>
                <w:i/>
                <w:iCs/>
              </w:rPr>
              <w:t>Exallomochlus hispidus</w:t>
            </w:r>
            <w:r w:rsidRPr="006276E0">
              <w:t xml:space="preserve"> has a wide host range including figs, rambutan, longan, durian, mangosteen, cocoa, sugar apple, mangrove fan palm and various Rubiaceae plants. Internationally it is distributed in most of Asia and in Italy in environments ranging from temperate to tropical </w:t>
            </w:r>
            <w:r>
              <w:rPr>
                <w:noProof/>
              </w:rPr>
              <w:t>(García Morales et al. 2019)</w:t>
            </w:r>
            <w:r w:rsidRPr="006276E0">
              <w:t>.</w:t>
            </w:r>
          </w:p>
        </w:tc>
        <w:tc>
          <w:tcPr>
            <w:tcW w:w="714" w:type="pct"/>
            <w:shd w:val="clear" w:color="auto" w:fill="auto"/>
          </w:tcPr>
          <w:p w:rsidR="00B52BB0" w:rsidRDefault="00B52BB0" w:rsidP="003E074D">
            <w:pPr>
              <w:pStyle w:val="TableText"/>
            </w:pPr>
            <w:r w:rsidRPr="006276E0">
              <w:t xml:space="preserve">Yes. </w:t>
            </w:r>
            <w:r w:rsidRPr="00A03C7C">
              <w:rPr>
                <w:i/>
                <w:iCs/>
              </w:rPr>
              <w:t>Exallomochlus hispidus</w:t>
            </w:r>
            <w:r w:rsidRPr="006276E0">
              <w:t xml:space="preserve"> is a pest of plants from 25 families, including several commercially grown species </w:t>
            </w:r>
            <w:r>
              <w:rPr>
                <w:noProof/>
              </w:rPr>
              <w:t>(Williams 2004)</w:t>
            </w:r>
            <w:r w:rsidRPr="006276E0">
              <w:t>.</w:t>
            </w:r>
          </w:p>
          <w:p w:rsidR="00B52BB0" w:rsidRPr="00DF463B" w:rsidRDefault="00B52BB0" w:rsidP="003E074D">
            <w:pPr>
              <w:pStyle w:val="TableText"/>
            </w:pPr>
            <w:r w:rsidRPr="006276E0">
              <w:t xml:space="preserve">Severe infestations may induce leaf drop but economic losses mostly result from indirect effects of moderate infestations. Deposits of powdery wax and black sooty mould that grows on honeydew droplets on fruits and leaves reduce fruit quality and photosynthesis. In presence of ants the cocoa mealybug tends to be a serious pest </w:t>
            </w:r>
            <w:r>
              <w:rPr>
                <w:noProof/>
              </w:rPr>
              <w:t>(Kuswadi et al. 2016)</w:t>
            </w:r>
            <w:r w:rsidRPr="006276E0">
              <w:t>.</w:t>
            </w:r>
          </w:p>
        </w:tc>
        <w:tc>
          <w:tcPr>
            <w:tcW w:w="714" w:type="pct"/>
            <w:shd w:val="clear" w:color="auto" w:fill="auto"/>
          </w:tcPr>
          <w:p w:rsidR="00B52BB0" w:rsidRPr="00DF463B" w:rsidRDefault="00B52BB0" w:rsidP="003E074D">
            <w:pPr>
              <w:pStyle w:val="TableText"/>
            </w:pPr>
            <w:r w:rsidRPr="006276E0">
              <w:t>Yes (EP)</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D70F0F">
              <w:rPr>
                <w:i/>
                <w:lang w:val="pt-BR"/>
              </w:rPr>
              <w:t xml:space="preserve">Ferrisia virgata </w:t>
            </w:r>
            <w:r w:rsidRPr="00FF321B">
              <w:rPr>
                <w:iCs/>
                <w:lang w:val="pt-BR"/>
              </w:rPr>
              <w:t>(Cockerell, 1893)</w:t>
            </w:r>
          </w:p>
          <w:p w:rsidR="00B52BB0" w:rsidRPr="00FF321B" w:rsidRDefault="00B52BB0" w:rsidP="003E074D">
            <w:pPr>
              <w:pStyle w:val="TableText"/>
              <w:rPr>
                <w:iCs/>
                <w:lang w:val="pt-BR"/>
              </w:rPr>
            </w:pPr>
            <w:r w:rsidRPr="00FF321B">
              <w:rPr>
                <w:iCs/>
                <w:lang w:val="pt-BR"/>
              </w:rPr>
              <w:t>[Pseudococcidae]</w:t>
            </w:r>
          </w:p>
          <w:p w:rsidR="00B52BB0" w:rsidRPr="00F6567E" w:rsidRDefault="00B52BB0" w:rsidP="003E074D">
            <w:pPr>
              <w:pStyle w:val="TableText"/>
              <w:rPr>
                <w:i/>
                <w:lang w:val="pt-BR"/>
              </w:rPr>
            </w:pPr>
            <w:r w:rsidRPr="00FF321B">
              <w:rPr>
                <w:iCs/>
                <w:lang w:val="pt-BR"/>
              </w:rPr>
              <w:t>Striped mealybug</w:t>
            </w:r>
          </w:p>
        </w:tc>
        <w:tc>
          <w:tcPr>
            <w:tcW w:w="715" w:type="pct"/>
            <w:shd w:val="clear" w:color="auto" w:fill="auto"/>
          </w:tcPr>
          <w:p w:rsidR="00B52BB0" w:rsidRPr="00DF463B" w:rsidRDefault="00B52BB0" w:rsidP="003E074D">
            <w:pPr>
              <w:pStyle w:val="TableText"/>
              <w:rPr>
                <w:lang w:val="pt-BR"/>
              </w:rPr>
            </w:pPr>
            <w:r w:rsidRPr="007218CA">
              <w:t xml:space="preserve">Yes </w:t>
            </w:r>
            <w:r>
              <w:rPr>
                <w:noProof/>
              </w:rPr>
              <w:t>(García Morales et al. 2019)</w:t>
            </w:r>
          </w:p>
        </w:tc>
        <w:tc>
          <w:tcPr>
            <w:tcW w:w="714" w:type="pct"/>
            <w:shd w:val="clear" w:color="auto" w:fill="auto"/>
          </w:tcPr>
          <w:p w:rsidR="00B52BB0" w:rsidRPr="00DF463B" w:rsidRDefault="00B52BB0" w:rsidP="003E074D">
            <w:pPr>
              <w:pStyle w:val="TableText"/>
              <w:rPr>
                <w:szCs w:val="16"/>
              </w:rPr>
            </w:pPr>
            <w:r w:rsidRPr="007218CA">
              <w:t xml:space="preserve">Yes. NSW, NT, Qld, WA </w:t>
            </w:r>
            <w:r>
              <w:rPr>
                <w:noProof/>
              </w:rPr>
              <w:t>(Plant Health Australia 2019; Poole 2010)</w:t>
            </w:r>
          </w:p>
        </w:tc>
        <w:tc>
          <w:tcPr>
            <w:tcW w:w="714" w:type="pct"/>
            <w:shd w:val="clear" w:color="auto" w:fill="auto"/>
          </w:tcPr>
          <w:p w:rsidR="00B52BB0" w:rsidRPr="00DF463B" w:rsidRDefault="00B52BB0" w:rsidP="003E074D">
            <w:pPr>
              <w:pStyle w:val="TableText"/>
            </w:pPr>
            <w:r w:rsidRPr="007218CA">
              <w:t>Assessment not required</w:t>
            </w:r>
          </w:p>
        </w:tc>
        <w:tc>
          <w:tcPr>
            <w:tcW w:w="714" w:type="pct"/>
            <w:shd w:val="clear" w:color="auto" w:fill="auto"/>
          </w:tcPr>
          <w:p w:rsidR="00B52BB0" w:rsidRPr="00DF463B" w:rsidRDefault="00B52BB0" w:rsidP="003E074D">
            <w:pPr>
              <w:pStyle w:val="TableText"/>
            </w:pPr>
            <w:r w:rsidRPr="007218CA">
              <w:t>Assessment not required</w:t>
            </w:r>
          </w:p>
        </w:tc>
        <w:tc>
          <w:tcPr>
            <w:tcW w:w="714" w:type="pct"/>
            <w:shd w:val="clear" w:color="auto" w:fill="auto"/>
          </w:tcPr>
          <w:p w:rsidR="00B52BB0" w:rsidRPr="00DF463B" w:rsidRDefault="00B52BB0" w:rsidP="003E074D">
            <w:pPr>
              <w:pStyle w:val="TableText"/>
            </w:pPr>
            <w:r w:rsidRPr="007218CA">
              <w:t>Assessment not required</w:t>
            </w:r>
          </w:p>
        </w:tc>
        <w:tc>
          <w:tcPr>
            <w:tcW w:w="714" w:type="pct"/>
            <w:shd w:val="clear" w:color="auto" w:fill="auto"/>
          </w:tcPr>
          <w:p w:rsidR="00B52BB0" w:rsidRPr="00DF463B" w:rsidRDefault="00B52BB0" w:rsidP="003E074D">
            <w:pPr>
              <w:pStyle w:val="TableText"/>
            </w:pPr>
            <w:r w:rsidRPr="007218CA">
              <w:t>No</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D70F0F">
              <w:rPr>
                <w:i/>
                <w:lang w:val="pt-BR"/>
              </w:rPr>
              <w:t xml:space="preserve">Geisha distinctissima </w:t>
            </w:r>
            <w:r w:rsidRPr="00FF321B">
              <w:rPr>
                <w:iCs/>
                <w:lang w:val="pt-BR"/>
              </w:rPr>
              <w:t>(Walker, 1858)</w:t>
            </w:r>
          </w:p>
          <w:p w:rsidR="00B52BB0" w:rsidRPr="00FF321B" w:rsidRDefault="00B52BB0" w:rsidP="003E074D">
            <w:pPr>
              <w:pStyle w:val="TableText"/>
              <w:rPr>
                <w:iCs/>
                <w:lang w:val="pt-BR"/>
              </w:rPr>
            </w:pPr>
            <w:r w:rsidRPr="00FF321B">
              <w:rPr>
                <w:iCs/>
                <w:lang w:val="pt-BR"/>
              </w:rPr>
              <w:t>[Flatidae]</w:t>
            </w:r>
          </w:p>
          <w:p w:rsidR="00B52BB0" w:rsidRPr="00F6567E" w:rsidRDefault="00B52BB0" w:rsidP="003E074D">
            <w:pPr>
              <w:pStyle w:val="TableText"/>
              <w:rPr>
                <w:i/>
                <w:lang w:val="pt-BR"/>
              </w:rPr>
            </w:pPr>
            <w:r w:rsidRPr="00FF321B">
              <w:rPr>
                <w:iCs/>
                <w:lang w:val="pt-BR"/>
              </w:rPr>
              <w:t>Green broad winged flatid</w:t>
            </w:r>
          </w:p>
        </w:tc>
        <w:tc>
          <w:tcPr>
            <w:tcW w:w="715" w:type="pct"/>
            <w:shd w:val="clear" w:color="auto" w:fill="auto"/>
          </w:tcPr>
          <w:p w:rsidR="00B52BB0" w:rsidRPr="00DF463B" w:rsidRDefault="00B52BB0" w:rsidP="003E074D">
            <w:pPr>
              <w:pStyle w:val="TableText"/>
              <w:rPr>
                <w:lang w:val="pt-BR"/>
              </w:rPr>
            </w:pPr>
            <w:r w:rsidRPr="00DB26BF">
              <w:t xml:space="preserve">Yes </w:t>
            </w:r>
            <w:r>
              <w:rPr>
                <w:noProof/>
              </w:rPr>
              <w:t>(Bourgoin 2019)</w:t>
            </w:r>
          </w:p>
        </w:tc>
        <w:tc>
          <w:tcPr>
            <w:tcW w:w="714" w:type="pct"/>
            <w:shd w:val="clear" w:color="auto" w:fill="auto"/>
          </w:tcPr>
          <w:p w:rsidR="00B52BB0" w:rsidRPr="00DF463B" w:rsidRDefault="00B52BB0" w:rsidP="003E074D">
            <w:pPr>
              <w:pStyle w:val="TableText"/>
              <w:rPr>
                <w:szCs w:val="16"/>
              </w:rPr>
            </w:pPr>
            <w:r w:rsidRPr="00DB26BF">
              <w:t>No records found</w:t>
            </w:r>
          </w:p>
        </w:tc>
        <w:tc>
          <w:tcPr>
            <w:tcW w:w="714" w:type="pct"/>
            <w:shd w:val="clear" w:color="auto" w:fill="auto"/>
          </w:tcPr>
          <w:p w:rsidR="00B52BB0" w:rsidRPr="00DF463B" w:rsidRDefault="00B52BB0" w:rsidP="003E074D">
            <w:pPr>
              <w:pStyle w:val="TableText"/>
            </w:pPr>
            <w:r w:rsidRPr="00DB26BF">
              <w:t xml:space="preserve">No. Associated with stems </w:t>
            </w:r>
            <w:r>
              <w:rPr>
                <w:noProof/>
              </w:rPr>
              <w:t>(USDA 1999)</w:t>
            </w:r>
            <w:r w:rsidRPr="00DB26BF">
              <w:t>.</w:t>
            </w:r>
          </w:p>
        </w:tc>
        <w:tc>
          <w:tcPr>
            <w:tcW w:w="714" w:type="pct"/>
            <w:shd w:val="clear" w:color="auto" w:fill="auto"/>
          </w:tcPr>
          <w:p w:rsidR="00B52BB0" w:rsidRPr="00DF463B" w:rsidRDefault="00B52BB0" w:rsidP="003E074D">
            <w:pPr>
              <w:pStyle w:val="TableText"/>
            </w:pPr>
            <w:r w:rsidRPr="00DB26BF">
              <w:t>Assessment not required</w:t>
            </w:r>
          </w:p>
        </w:tc>
        <w:tc>
          <w:tcPr>
            <w:tcW w:w="714" w:type="pct"/>
            <w:shd w:val="clear" w:color="auto" w:fill="auto"/>
          </w:tcPr>
          <w:p w:rsidR="00B52BB0" w:rsidRPr="00DF463B" w:rsidRDefault="00B52BB0" w:rsidP="003E074D">
            <w:pPr>
              <w:pStyle w:val="TableText"/>
            </w:pPr>
            <w:r w:rsidRPr="00DB26BF">
              <w:t>Assessment not required</w:t>
            </w:r>
          </w:p>
        </w:tc>
        <w:tc>
          <w:tcPr>
            <w:tcW w:w="714" w:type="pct"/>
            <w:shd w:val="clear" w:color="auto" w:fill="auto"/>
          </w:tcPr>
          <w:p w:rsidR="00B52BB0" w:rsidRPr="00DF463B" w:rsidRDefault="00B52BB0" w:rsidP="003E074D">
            <w:pPr>
              <w:pStyle w:val="TableText"/>
            </w:pPr>
            <w:r w:rsidRPr="00DB26BF">
              <w:t>No</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D70F0F">
              <w:rPr>
                <w:i/>
                <w:lang w:val="pt-BR"/>
              </w:rPr>
              <w:lastRenderedPageBreak/>
              <w:t xml:space="preserve">Greenidea ficicola </w:t>
            </w:r>
            <w:r>
              <w:rPr>
                <w:iCs/>
                <w:lang w:val="pt-BR"/>
              </w:rPr>
              <w:t>Takahashi, 1921</w:t>
            </w:r>
          </w:p>
          <w:p w:rsidR="00B52BB0" w:rsidRPr="00FF321B" w:rsidRDefault="00B52BB0" w:rsidP="003E074D">
            <w:pPr>
              <w:pStyle w:val="TableText"/>
              <w:rPr>
                <w:iCs/>
                <w:lang w:val="pt-BR"/>
              </w:rPr>
            </w:pPr>
            <w:r w:rsidRPr="00FF321B">
              <w:rPr>
                <w:iCs/>
                <w:lang w:val="pt-BR"/>
              </w:rPr>
              <w:t>[Aphididae]</w:t>
            </w:r>
          </w:p>
          <w:p w:rsidR="00B52BB0" w:rsidRPr="00F6567E" w:rsidRDefault="00B52BB0" w:rsidP="003E074D">
            <w:pPr>
              <w:pStyle w:val="TableText"/>
              <w:rPr>
                <w:i/>
                <w:lang w:val="pt-BR"/>
              </w:rPr>
            </w:pPr>
          </w:p>
        </w:tc>
        <w:tc>
          <w:tcPr>
            <w:tcW w:w="715" w:type="pct"/>
            <w:shd w:val="clear" w:color="auto" w:fill="auto"/>
          </w:tcPr>
          <w:p w:rsidR="00B52BB0" w:rsidRPr="00DF463B" w:rsidRDefault="00B52BB0" w:rsidP="003E074D">
            <w:pPr>
              <w:pStyle w:val="TableText"/>
              <w:rPr>
                <w:lang w:val="pt-BR"/>
              </w:rPr>
            </w:pPr>
            <w:r w:rsidRPr="00677ACD">
              <w:t xml:space="preserve">Yes </w:t>
            </w:r>
            <w:r>
              <w:rPr>
                <w:noProof/>
              </w:rPr>
              <w:t>(PPD 2017)</w:t>
            </w:r>
          </w:p>
        </w:tc>
        <w:tc>
          <w:tcPr>
            <w:tcW w:w="714" w:type="pct"/>
            <w:shd w:val="clear" w:color="auto" w:fill="auto"/>
          </w:tcPr>
          <w:p w:rsidR="00B52BB0" w:rsidRPr="00DF463B" w:rsidRDefault="00B52BB0" w:rsidP="003E074D">
            <w:pPr>
              <w:pStyle w:val="TableText"/>
              <w:rPr>
                <w:szCs w:val="16"/>
              </w:rPr>
            </w:pPr>
            <w:r w:rsidRPr="00677ACD">
              <w:t xml:space="preserve">Yes. NSW, Qld, WA </w:t>
            </w:r>
            <w:r>
              <w:rPr>
                <w:noProof/>
              </w:rPr>
              <w:t>(Plant Health Australia 2019)</w:t>
            </w:r>
          </w:p>
        </w:tc>
        <w:tc>
          <w:tcPr>
            <w:tcW w:w="714" w:type="pct"/>
            <w:shd w:val="clear" w:color="auto" w:fill="auto"/>
          </w:tcPr>
          <w:p w:rsidR="00B52BB0" w:rsidRPr="00DF463B" w:rsidRDefault="00B52BB0" w:rsidP="003E074D">
            <w:pPr>
              <w:pStyle w:val="TableText"/>
            </w:pPr>
            <w:r w:rsidRPr="00677ACD">
              <w:t>Assessment not required</w:t>
            </w:r>
          </w:p>
        </w:tc>
        <w:tc>
          <w:tcPr>
            <w:tcW w:w="714" w:type="pct"/>
            <w:shd w:val="clear" w:color="auto" w:fill="auto"/>
          </w:tcPr>
          <w:p w:rsidR="00B52BB0" w:rsidRPr="00DF463B" w:rsidRDefault="00B52BB0" w:rsidP="003E074D">
            <w:pPr>
              <w:pStyle w:val="TableText"/>
            </w:pPr>
            <w:r w:rsidRPr="00677ACD">
              <w:t>Assessment not required</w:t>
            </w:r>
          </w:p>
        </w:tc>
        <w:tc>
          <w:tcPr>
            <w:tcW w:w="714" w:type="pct"/>
            <w:shd w:val="clear" w:color="auto" w:fill="auto"/>
          </w:tcPr>
          <w:p w:rsidR="00B52BB0" w:rsidRPr="00DF463B" w:rsidRDefault="00B52BB0" w:rsidP="003E074D">
            <w:pPr>
              <w:pStyle w:val="TableText"/>
            </w:pPr>
            <w:r w:rsidRPr="00677ACD">
              <w:t>Assessment not required</w:t>
            </w:r>
          </w:p>
        </w:tc>
        <w:tc>
          <w:tcPr>
            <w:tcW w:w="714" w:type="pct"/>
            <w:shd w:val="clear" w:color="auto" w:fill="auto"/>
          </w:tcPr>
          <w:p w:rsidR="00B52BB0" w:rsidRPr="00DF463B" w:rsidRDefault="00B52BB0" w:rsidP="003E074D">
            <w:pPr>
              <w:pStyle w:val="TableText"/>
            </w:pPr>
            <w:r w:rsidRPr="00677ACD">
              <w:t>No</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D70F0F">
              <w:rPr>
                <w:i/>
                <w:lang w:val="pt-BR"/>
              </w:rPr>
              <w:t xml:space="preserve">Huechys sanguinea </w:t>
            </w:r>
            <w:r w:rsidRPr="00FF321B">
              <w:rPr>
                <w:iCs/>
                <w:lang w:val="pt-BR"/>
              </w:rPr>
              <w:t>(DeGreer, 1773)</w:t>
            </w:r>
          </w:p>
          <w:p w:rsidR="00B52BB0" w:rsidRPr="00FF321B" w:rsidRDefault="00B52BB0" w:rsidP="003E074D">
            <w:pPr>
              <w:pStyle w:val="TableText"/>
              <w:rPr>
                <w:iCs/>
                <w:lang w:val="pt-BR"/>
              </w:rPr>
            </w:pPr>
            <w:r w:rsidRPr="00FF321B">
              <w:rPr>
                <w:iCs/>
                <w:lang w:val="pt-BR"/>
              </w:rPr>
              <w:t>[Cicadidae]</w:t>
            </w:r>
          </w:p>
          <w:p w:rsidR="00B52BB0" w:rsidRPr="00F6567E" w:rsidRDefault="00B52BB0" w:rsidP="003E074D">
            <w:pPr>
              <w:pStyle w:val="TableText"/>
              <w:rPr>
                <w:i/>
                <w:lang w:val="pt-BR"/>
              </w:rPr>
            </w:pPr>
            <w:r w:rsidRPr="00FF321B">
              <w:rPr>
                <w:iCs/>
                <w:lang w:val="pt-BR"/>
              </w:rPr>
              <w:t>Black and scarlet cicada</w:t>
            </w:r>
          </w:p>
        </w:tc>
        <w:tc>
          <w:tcPr>
            <w:tcW w:w="715" w:type="pct"/>
            <w:shd w:val="clear" w:color="auto" w:fill="auto"/>
          </w:tcPr>
          <w:p w:rsidR="00B52BB0" w:rsidRPr="00DF463B" w:rsidRDefault="00B52BB0" w:rsidP="003E074D">
            <w:pPr>
              <w:pStyle w:val="TableText"/>
              <w:rPr>
                <w:lang w:val="pt-BR"/>
              </w:rPr>
            </w:pPr>
            <w:r w:rsidRPr="00CC79F4">
              <w:t xml:space="preserve">Yes </w:t>
            </w:r>
            <w:r>
              <w:rPr>
                <w:noProof/>
              </w:rPr>
              <w:t>(Sanborn 2014)</w:t>
            </w:r>
          </w:p>
        </w:tc>
        <w:tc>
          <w:tcPr>
            <w:tcW w:w="714" w:type="pct"/>
            <w:shd w:val="clear" w:color="auto" w:fill="auto"/>
          </w:tcPr>
          <w:p w:rsidR="00B52BB0" w:rsidRPr="00DF463B" w:rsidRDefault="00B52BB0" w:rsidP="003E074D">
            <w:pPr>
              <w:pStyle w:val="TableText"/>
              <w:rPr>
                <w:szCs w:val="16"/>
              </w:rPr>
            </w:pPr>
            <w:r w:rsidRPr="00CC79F4">
              <w:t>No records found</w:t>
            </w:r>
          </w:p>
        </w:tc>
        <w:tc>
          <w:tcPr>
            <w:tcW w:w="714" w:type="pct"/>
            <w:shd w:val="clear" w:color="auto" w:fill="auto"/>
          </w:tcPr>
          <w:p w:rsidR="00B52BB0" w:rsidRPr="00DF463B" w:rsidRDefault="00B52BB0" w:rsidP="003E074D">
            <w:pPr>
              <w:pStyle w:val="TableText"/>
            </w:pPr>
            <w:r w:rsidRPr="00CC79F4">
              <w:t xml:space="preserve">No. Associated with stems </w:t>
            </w:r>
            <w:r>
              <w:rPr>
                <w:noProof/>
              </w:rPr>
              <w:t>(USDA 1999)</w:t>
            </w:r>
            <w:r w:rsidRPr="00CC79F4">
              <w:t>.</w:t>
            </w:r>
          </w:p>
        </w:tc>
        <w:tc>
          <w:tcPr>
            <w:tcW w:w="714" w:type="pct"/>
            <w:shd w:val="clear" w:color="auto" w:fill="auto"/>
          </w:tcPr>
          <w:p w:rsidR="00B52BB0" w:rsidRPr="00DF463B" w:rsidRDefault="00B52BB0" w:rsidP="003E074D">
            <w:pPr>
              <w:pStyle w:val="TableText"/>
            </w:pPr>
            <w:r w:rsidRPr="00CC79F4">
              <w:t>Assessment not required</w:t>
            </w:r>
          </w:p>
        </w:tc>
        <w:tc>
          <w:tcPr>
            <w:tcW w:w="714" w:type="pct"/>
            <w:shd w:val="clear" w:color="auto" w:fill="auto"/>
          </w:tcPr>
          <w:p w:rsidR="00B52BB0" w:rsidRPr="00DF463B" w:rsidRDefault="00B52BB0" w:rsidP="003E074D">
            <w:pPr>
              <w:pStyle w:val="TableText"/>
            </w:pPr>
            <w:r w:rsidRPr="00CC79F4">
              <w:t>Assessment not required</w:t>
            </w:r>
          </w:p>
        </w:tc>
        <w:tc>
          <w:tcPr>
            <w:tcW w:w="714" w:type="pct"/>
            <w:shd w:val="clear" w:color="auto" w:fill="auto"/>
          </w:tcPr>
          <w:p w:rsidR="00B52BB0" w:rsidRPr="00DF463B" w:rsidRDefault="00B52BB0" w:rsidP="003E074D">
            <w:pPr>
              <w:pStyle w:val="TableText"/>
            </w:pPr>
            <w:r w:rsidRPr="00CC79F4">
              <w:t>No</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D70F0F">
              <w:rPr>
                <w:i/>
                <w:lang w:val="pt-BR"/>
              </w:rPr>
              <w:t xml:space="preserve">Idioscopus clypealis </w:t>
            </w:r>
            <w:r w:rsidRPr="00FF321B">
              <w:rPr>
                <w:iCs/>
                <w:lang w:val="pt-BR"/>
              </w:rPr>
              <w:t>(Lethierry, 1889)</w:t>
            </w:r>
          </w:p>
          <w:p w:rsidR="00B52BB0" w:rsidRPr="00FF321B" w:rsidRDefault="00B52BB0" w:rsidP="003E074D">
            <w:pPr>
              <w:pStyle w:val="TableText"/>
              <w:rPr>
                <w:iCs/>
                <w:lang w:val="pt-BR"/>
              </w:rPr>
            </w:pPr>
            <w:r w:rsidRPr="00FF321B">
              <w:rPr>
                <w:iCs/>
                <w:lang w:val="pt-BR"/>
              </w:rPr>
              <w:t>[Cicadellidae]</w:t>
            </w:r>
          </w:p>
          <w:p w:rsidR="00B52BB0" w:rsidRPr="00F6567E" w:rsidRDefault="00B52BB0" w:rsidP="003E074D">
            <w:pPr>
              <w:pStyle w:val="TableText"/>
              <w:rPr>
                <w:i/>
                <w:lang w:val="pt-BR"/>
              </w:rPr>
            </w:pPr>
            <w:r w:rsidRPr="00FF321B">
              <w:rPr>
                <w:iCs/>
                <w:lang w:val="pt-BR"/>
              </w:rPr>
              <w:t>Mango leafhopper</w:t>
            </w:r>
          </w:p>
        </w:tc>
        <w:tc>
          <w:tcPr>
            <w:tcW w:w="715" w:type="pct"/>
            <w:shd w:val="clear" w:color="auto" w:fill="auto"/>
          </w:tcPr>
          <w:p w:rsidR="00B52BB0" w:rsidRPr="00DF463B" w:rsidRDefault="00B52BB0" w:rsidP="003E074D">
            <w:pPr>
              <w:pStyle w:val="TableText"/>
              <w:rPr>
                <w:lang w:val="pt-BR"/>
              </w:rPr>
            </w:pPr>
            <w:r w:rsidRPr="00080FA4">
              <w:t xml:space="preserve">Yes </w:t>
            </w:r>
            <w:r>
              <w:rPr>
                <w:noProof/>
              </w:rPr>
              <w:t>(CABI 2019)</w:t>
            </w:r>
          </w:p>
        </w:tc>
        <w:tc>
          <w:tcPr>
            <w:tcW w:w="714" w:type="pct"/>
            <w:shd w:val="clear" w:color="auto" w:fill="auto"/>
          </w:tcPr>
          <w:p w:rsidR="00B52BB0" w:rsidRDefault="00B52BB0" w:rsidP="003E074D">
            <w:pPr>
              <w:pStyle w:val="TableText"/>
            </w:pPr>
            <w:r w:rsidRPr="00080FA4">
              <w:t xml:space="preserve">Yes. Qld </w:t>
            </w:r>
            <w:r>
              <w:rPr>
                <w:noProof/>
              </w:rPr>
              <w:t>(Plant Health Australia 2019)</w:t>
            </w:r>
          </w:p>
          <w:p w:rsidR="00B52BB0" w:rsidRPr="00DF463B" w:rsidRDefault="00B52BB0" w:rsidP="003E074D">
            <w:pPr>
              <w:pStyle w:val="TableText"/>
              <w:rPr>
                <w:szCs w:val="16"/>
              </w:rPr>
            </w:pPr>
            <w:r w:rsidRPr="00080FA4">
              <w:t>Regulated as a Declared Organism (Prohibited (s</w:t>
            </w:r>
            <w:r>
              <w:t>. </w:t>
            </w:r>
            <w:r w:rsidRPr="00080FA4">
              <w:t xml:space="preserve">12)) </w:t>
            </w:r>
            <w:r>
              <w:t>by</w:t>
            </w:r>
            <w:r w:rsidRPr="00080FA4">
              <w:t xml:space="preserve"> WA</w:t>
            </w:r>
            <w:r>
              <w:t xml:space="preserve"> under the</w:t>
            </w:r>
            <w:r w:rsidRPr="00080FA4">
              <w:t xml:space="preserve"> </w:t>
            </w:r>
            <w:r w:rsidRPr="00EF7092">
              <w:rPr>
                <w:i/>
              </w:rPr>
              <w:t>Biosecurity and Agriculture Management Act 2007</w:t>
            </w:r>
            <w:r w:rsidRPr="00080FA4">
              <w:t xml:space="preserve"> </w:t>
            </w:r>
            <w:r>
              <w:rPr>
                <w:noProof/>
              </w:rPr>
              <w:t>(Government of Western Australia 2018)</w:t>
            </w:r>
            <w:r w:rsidRPr="00080FA4">
              <w:t>.</w:t>
            </w:r>
          </w:p>
        </w:tc>
        <w:tc>
          <w:tcPr>
            <w:tcW w:w="714" w:type="pct"/>
            <w:shd w:val="clear" w:color="auto" w:fill="auto"/>
          </w:tcPr>
          <w:p w:rsidR="00B52BB0" w:rsidRPr="00DF463B" w:rsidRDefault="00B52BB0" w:rsidP="003E074D">
            <w:pPr>
              <w:pStyle w:val="TableText"/>
            </w:pPr>
            <w:r w:rsidRPr="00080FA4">
              <w:t xml:space="preserve">No. Feeds on flowers and new leaves </w:t>
            </w:r>
            <w:r>
              <w:rPr>
                <w:noProof/>
              </w:rPr>
              <w:t>(Fletcher &amp; Dangerfield 2002)</w:t>
            </w:r>
            <w:r w:rsidRPr="00080FA4">
              <w:t>.</w:t>
            </w:r>
          </w:p>
        </w:tc>
        <w:tc>
          <w:tcPr>
            <w:tcW w:w="714" w:type="pct"/>
            <w:shd w:val="clear" w:color="auto" w:fill="auto"/>
          </w:tcPr>
          <w:p w:rsidR="00B52BB0" w:rsidRPr="00DF463B" w:rsidRDefault="00B52BB0" w:rsidP="003E074D">
            <w:pPr>
              <w:pStyle w:val="TableText"/>
            </w:pPr>
            <w:r w:rsidRPr="00080FA4">
              <w:t>Assessment not required</w:t>
            </w:r>
          </w:p>
        </w:tc>
        <w:tc>
          <w:tcPr>
            <w:tcW w:w="714" w:type="pct"/>
            <w:shd w:val="clear" w:color="auto" w:fill="auto"/>
          </w:tcPr>
          <w:p w:rsidR="00B52BB0" w:rsidRPr="00DF463B" w:rsidRDefault="00B52BB0" w:rsidP="003E074D">
            <w:pPr>
              <w:pStyle w:val="TableText"/>
            </w:pPr>
            <w:r w:rsidRPr="00080FA4">
              <w:t>Assessment not required</w:t>
            </w:r>
          </w:p>
        </w:tc>
        <w:tc>
          <w:tcPr>
            <w:tcW w:w="714" w:type="pct"/>
            <w:shd w:val="clear" w:color="auto" w:fill="auto"/>
          </w:tcPr>
          <w:p w:rsidR="00B52BB0" w:rsidRPr="00DF463B" w:rsidRDefault="00B52BB0" w:rsidP="003E074D">
            <w:pPr>
              <w:pStyle w:val="TableText"/>
            </w:pPr>
            <w:r w:rsidRPr="00080FA4">
              <w:t>No</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D70F0F">
              <w:rPr>
                <w:i/>
                <w:lang w:val="pt-BR"/>
              </w:rPr>
              <w:t xml:space="preserve">Kerria lacca </w:t>
            </w:r>
            <w:r w:rsidRPr="00FF321B">
              <w:rPr>
                <w:iCs/>
                <w:lang w:val="pt-BR"/>
              </w:rPr>
              <w:t>(Kerr, 1782)</w:t>
            </w:r>
          </w:p>
          <w:p w:rsidR="00B52BB0" w:rsidRPr="00FF321B" w:rsidRDefault="00B52BB0" w:rsidP="003E074D">
            <w:pPr>
              <w:pStyle w:val="TableText"/>
              <w:rPr>
                <w:iCs/>
                <w:lang w:val="pt-BR"/>
              </w:rPr>
            </w:pPr>
            <w:r w:rsidRPr="00FF321B">
              <w:rPr>
                <w:iCs/>
                <w:lang w:val="pt-BR"/>
              </w:rPr>
              <w:t>[Kerriidae]</w:t>
            </w:r>
          </w:p>
          <w:p w:rsidR="00B52BB0" w:rsidRPr="00F6567E" w:rsidRDefault="00B52BB0" w:rsidP="003E074D">
            <w:pPr>
              <w:pStyle w:val="TableText"/>
              <w:rPr>
                <w:i/>
                <w:lang w:val="pt-BR"/>
              </w:rPr>
            </w:pPr>
            <w:r w:rsidRPr="00FF321B">
              <w:rPr>
                <w:iCs/>
                <w:lang w:val="pt-BR"/>
              </w:rPr>
              <w:t>Lac insect</w:t>
            </w:r>
          </w:p>
        </w:tc>
        <w:tc>
          <w:tcPr>
            <w:tcW w:w="715" w:type="pct"/>
            <w:shd w:val="clear" w:color="auto" w:fill="auto"/>
          </w:tcPr>
          <w:p w:rsidR="00B52BB0" w:rsidRPr="00DF463B" w:rsidRDefault="00B52BB0" w:rsidP="003E074D">
            <w:pPr>
              <w:pStyle w:val="TableText"/>
              <w:rPr>
                <w:lang w:val="pt-BR"/>
              </w:rPr>
            </w:pPr>
            <w:r w:rsidRPr="00D31E8D">
              <w:t xml:space="preserve">Yes </w:t>
            </w:r>
            <w:r>
              <w:rPr>
                <w:noProof/>
              </w:rPr>
              <w:t>(Mishra &amp; Kumar 2017)</w:t>
            </w:r>
          </w:p>
        </w:tc>
        <w:tc>
          <w:tcPr>
            <w:tcW w:w="714" w:type="pct"/>
            <w:shd w:val="clear" w:color="auto" w:fill="auto"/>
          </w:tcPr>
          <w:p w:rsidR="00B52BB0" w:rsidRPr="00DF463B" w:rsidRDefault="00B52BB0" w:rsidP="003E074D">
            <w:pPr>
              <w:pStyle w:val="TableText"/>
              <w:rPr>
                <w:szCs w:val="16"/>
              </w:rPr>
            </w:pPr>
            <w:r w:rsidRPr="00D31E8D">
              <w:t>No records found</w:t>
            </w:r>
          </w:p>
        </w:tc>
        <w:tc>
          <w:tcPr>
            <w:tcW w:w="714" w:type="pct"/>
            <w:shd w:val="clear" w:color="auto" w:fill="auto"/>
          </w:tcPr>
          <w:p w:rsidR="00B52BB0" w:rsidRPr="00DF463B" w:rsidRDefault="00B52BB0" w:rsidP="003E074D">
            <w:pPr>
              <w:pStyle w:val="TableText"/>
            </w:pPr>
            <w:r w:rsidRPr="00D31E8D">
              <w:t xml:space="preserve">No. </w:t>
            </w:r>
            <w:r>
              <w:t>F</w:t>
            </w:r>
            <w:r w:rsidRPr="00D31E8D">
              <w:t xml:space="preserve">eeds on sap from twigs </w:t>
            </w:r>
            <w:r>
              <w:rPr>
                <w:noProof/>
              </w:rPr>
              <w:t>(Mishra &amp; Kumar 2017)</w:t>
            </w:r>
            <w:r w:rsidRPr="00D31E8D">
              <w:t>.</w:t>
            </w:r>
          </w:p>
        </w:tc>
        <w:tc>
          <w:tcPr>
            <w:tcW w:w="714" w:type="pct"/>
            <w:shd w:val="clear" w:color="auto" w:fill="auto"/>
          </w:tcPr>
          <w:p w:rsidR="00B52BB0" w:rsidRPr="00DF463B" w:rsidRDefault="00B52BB0" w:rsidP="003E074D">
            <w:pPr>
              <w:pStyle w:val="TableText"/>
            </w:pPr>
            <w:r w:rsidRPr="00D31E8D">
              <w:t>Assessment not required</w:t>
            </w:r>
          </w:p>
        </w:tc>
        <w:tc>
          <w:tcPr>
            <w:tcW w:w="714" w:type="pct"/>
            <w:shd w:val="clear" w:color="auto" w:fill="auto"/>
          </w:tcPr>
          <w:p w:rsidR="00B52BB0" w:rsidRPr="00DF463B" w:rsidRDefault="00B52BB0" w:rsidP="003E074D">
            <w:pPr>
              <w:pStyle w:val="TableText"/>
            </w:pPr>
            <w:r w:rsidRPr="00D31E8D">
              <w:t>Assessment not required</w:t>
            </w:r>
          </w:p>
        </w:tc>
        <w:tc>
          <w:tcPr>
            <w:tcW w:w="714" w:type="pct"/>
            <w:shd w:val="clear" w:color="auto" w:fill="auto"/>
          </w:tcPr>
          <w:p w:rsidR="00B52BB0" w:rsidRPr="00DF463B" w:rsidRDefault="00B52BB0" w:rsidP="003E074D">
            <w:pPr>
              <w:pStyle w:val="TableText"/>
            </w:pPr>
            <w:r w:rsidRPr="00D31E8D">
              <w:t>No</w:t>
            </w:r>
          </w:p>
        </w:tc>
      </w:tr>
      <w:tr w:rsidR="00B52BB0" w:rsidRPr="00DF463B" w:rsidTr="003E074D">
        <w:trPr>
          <w:cantSplit/>
          <w:trHeight w:val="75"/>
          <w:jc w:val="center"/>
        </w:trPr>
        <w:tc>
          <w:tcPr>
            <w:tcW w:w="715" w:type="pct"/>
            <w:shd w:val="clear" w:color="auto" w:fill="auto"/>
          </w:tcPr>
          <w:p w:rsidR="00B52BB0" w:rsidRPr="006E28DA" w:rsidRDefault="00B52BB0" w:rsidP="003E074D">
            <w:pPr>
              <w:autoSpaceDE w:val="0"/>
              <w:autoSpaceDN w:val="0"/>
              <w:adjustRightInd w:val="0"/>
              <w:spacing w:before="60" w:after="60" w:line="240" w:lineRule="auto"/>
              <w:rPr>
                <w:rFonts w:eastAsia="Cambria" w:cs="Arial"/>
                <w:sz w:val="18"/>
                <w:szCs w:val="18"/>
                <w:lang w:eastAsia="en-AU"/>
              </w:rPr>
            </w:pPr>
            <w:r w:rsidRPr="00727C5C">
              <w:rPr>
                <w:rFonts w:eastAsia="Cambria" w:cs="Arial"/>
                <w:i/>
                <w:iCs/>
                <w:sz w:val="18"/>
                <w:szCs w:val="18"/>
                <w:lang w:eastAsia="en-AU"/>
              </w:rPr>
              <w:t xml:space="preserve">Lawana imitata </w:t>
            </w:r>
            <w:r w:rsidRPr="006E28DA">
              <w:rPr>
                <w:rFonts w:eastAsia="Cambria" w:cs="Arial"/>
                <w:sz w:val="18"/>
                <w:szCs w:val="18"/>
                <w:lang w:eastAsia="en-AU"/>
              </w:rPr>
              <w:t>(Melichar, 1902)</w:t>
            </w:r>
          </w:p>
          <w:p w:rsidR="00B52BB0" w:rsidRPr="006E28DA" w:rsidRDefault="00B52BB0" w:rsidP="003E074D">
            <w:pPr>
              <w:autoSpaceDE w:val="0"/>
              <w:autoSpaceDN w:val="0"/>
              <w:adjustRightInd w:val="0"/>
              <w:spacing w:before="60" w:after="60" w:line="240" w:lineRule="auto"/>
              <w:rPr>
                <w:rFonts w:eastAsia="Cambria" w:cs="Arial"/>
                <w:sz w:val="18"/>
                <w:szCs w:val="18"/>
                <w:lang w:eastAsia="en-AU"/>
              </w:rPr>
            </w:pPr>
            <w:r w:rsidRPr="006E28DA">
              <w:rPr>
                <w:rFonts w:eastAsia="Cambria" w:cs="Arial"/>
                <w:sz w:val="18"/>
                <w:szCs w:val="18"/>
                <w:lang w:eastAsia="en-AU"/>
              </w:rPr>
              <w:t>[Flatidae]</w:t>
            </w:r>
          </w:p>
          <w:p w:rsidR="00B52BB0" w:rsidRPr="00F6567E" w:rsidRDefault="00B52BB0" w:rsidP="003E074D">
            <w:pPr>
              <w:pStyle w:val="TableText"/>
              <w:rPr>
                <w:i/>
                <w:lang w:val="pt-BR"/>
              </w:rPr>
            </w:pPr>
          </w:p>
        </w:tc>
        <w:tc>
          <w:tcPr>
            <w:tcW w:w="715" w:type="pct"/>
            <w:shd w:val="clear" w:color="auto" w:fill="auto"/>
          </w:tcPr>
          <w:p w:rsidR="00B52BB0" w:rsidRPr="00DF463B" w:rsidRDefault="00B52BB0" w:rsidP="003E074D">
            <w:pPr>
              <w:pStyle w:val="TableText"/>
              <w:rPr>
                <w:lang w:val="pt-BR"/>
              </w:rPr>
            </w:pPr>
            <w:r w:rsidRPr="004D12D3">
              <w:t xml:space="preserve">Yes </w:t>
            </w:r>
            <w:r>
              <w:rPr>
                <w:noProof/>
              </w:rPr>
              <w:t>(CABI 2019)</w:t>
            </w:r>
          </w:p>
        </w:tc>
        <w:tc>
          <w:tcPr>
            <w:tcW w:w="714" w:type="pct"/>
            <w:shd w:val="clear" w:color="auto" w:fill="auto"/>
          </w:tcPr>
          <w:p w:rsidR="00B52BB0" w:rsidRPr="00DF463B" w:rsidRDefault="00B52BB0" w:rsidP="003E074D">
            <w:pPr>
              <w:pStyle w:val="TableText"/>
              <w:rPr>
                <w:szCs w:val="16"/>
              </w:rPr>
            </w:pPr>
            <w:r w:rsidRPr="004D12D3">
              <w:t>No records found</w:t>
            </w:r>
          </w:p>
        </w:tc>
        <w:tc>
          <w:tcPr>
            <w:tcW w:w="714" w:type="pct"/>
            <w:shd w:val="clear" w:color="auto" w:fill="auto"/>
          </w:tcPr>
          <w:p w:rsidR="00B52BB0" w:rsidRPr="00DF463B" w:rsidRDefault="00B52BB0" w:rsidP="003E074D">
            <w:pPr>
              <w:pStyle w:val="TableText"/>
            </w:pPr>
            <w:r w:rsidRPr="004D12D3">
              <w:t xml:space="preserve">No. Feeds on leaves and shoots </w:t>
            </w:r>
            <w:r>
              <w:rPr>
                <w:noProof/>
              </w:rPr>
              <w:t>(Liu et al. 1996)</w:t>
            </w:r>
            <w:r w:rsidRPr="004D12D3">
              <w:t>.</w:t>
            </w:r>
          </w:p>
        </w:tc>
        <w:tc>
          <w:tcPr>
            <w:tcW w:w="714" w:type="pct"/>
            <w:shd w:val="clear" w:color="auto" w:fill="auto"/>
          </w:tcPr>
          <w:p w:rsidR="00B52BB0" w:rsidRPr="00DF463B" w:rsidRDefault="00B52BB0" w:rsidP="003E074D">
            <w:pPr>
              <w:pStyle w:val="TableText"/>
            </w:pPr>
            <w:r w:rsidRPr="004D12D3">
              <w:t>Assessment not required</w:t>
            </w:r>
          </w:p>
        </w:tc>
        <w:tc>
          <w:tcPr>
            <w:tcW w:w="714" w:type="pct"/>
            <w:shd w:val="clear" w:color="auto" w:fill="auto"/>
          </w:tcPr>
          <w:p w:rsidR="00B52BB0" w:rsidRPr="00DF463B" w:rsidRDefault="00B52BB0" w:rsidP="003E074D">
            <w:pPr>
              <w:pStyle w:val="TableText"/>
            </w:pPr>
            <w:r w:rsidRPr="004D12D3">
              <w:t>Assessment not required</w:t>
            </w:r>
          </w:p>
        </w:tc>
        <w:tc>
          <w:tcPr>
            <w:tcW w:w="714" w:type="pct"/>
            <w:shd w:val="clear" w:color="auto" w:fill="auto"/>
          </w:tcPr>
          <w:p w:rsidR="00B52BB0" w:rsidRPr="00DF463B" w:rsidRDefault="00B52BB0" w:rsidP="003E074D">
            <w:pPr>
              <w:pStyle w:val="TableText"/>
            </w:pPr>
            <w:r w:rsidRPr="004D12D3">
              <w:t>No</w:t>
            </w:r>
          </w:p>
        </w:tc>
      </w:tr>
      <w:tr w:rsidR="00B52BB0" w:rsidRPr="00DF463B" w:rsidTr="003E074D">
        <w:trPr>
          <w:cantSplit/>
          <w:trHeight w:val="75"/>
          <w:jc w:val="center"/>
        </w:trPr>
        <w:tc>
          <w:tcPr>
            <w:tcW w:w="715" w:type="pct"/>
            <w:shd w:val="clear" w:color="auto" w:fill="auto"/>
          </w:tcPr>
          <w:p w:rsidR="00B52BB0" w:rsidRPr="006E28DA" w:rsidRDefault="00B52BB0" w:rsidP="003E074D">
            <w:pPr>
              <w:autoSpaceDE w:val="0"/>
              <w:autoSpaceDN w:val="0"/>
              <w:adjustRightInd w:val="0"/>
              <w:spacing w:before="60" w:after="60" w:line="240" w:lineRule="auto"/>
              <w:rPr>
                <w:rFonts w:eastAsia="Cambria" w:cs="Arial"/>
                <w:sz w:val="18"/>
                <w:szCs w:val="18"/>
                <w:lang w:eastAsia="en-AU"/>
              </w:rPr>
            </w:pPr>
            <w:r w:rsidRPr="00727C5C">
              <w:rPr>
                <w:rFonts w:eastAsia="Cambria" w:cs="Arial"/>
                <w:i/>
                <w:iCs/>
                <w:sz w:val="18"/>
                <w:szCs w:val="18"/>
                <w:lang w:eastAsia="en-AU"/>
              </w:rPr>
              <w:lastRenderedPageBreak/>
              <w:t xml:space="preserve">Lepidosaphes ulmi </w:t>
            </w:r>
            <w:r w:rsidRPr="006E28DA">
              <w:rPr>
                <w:rFonts w:eastAsia="Cambria" w:cs="Arial"/>
                <w:sz w:val="18"/>
                <w:szCs w:val="18"/>
                <w:lang w:eastAsia="en-AU"/>
              </w:rPr>
              <w:t>(Linnaeus, 1758)</w:t>
            </w:r>
          </w:p>
          <w:p w:rsidR="00B52BB0" w:rsidRPr="006E28DA" w:rsidRDefault="00B52BB0" w:rsidP="003E074D">
            <w:pPr>
              <w:autoSpaceDE w:val="0"/>
              <w:autoSpaceDN w:val="0"/>
              <w:adjustRightInd w:val="0"/>
              <w:spacing w:before="60" w:after="60" w:line="240" w:lineRule="auto"/>
              <w:rPr>
                <w:rFonts w:eastAsia="Cambria" w:cs="Arial"/>
                <w:sz w:val="18"/>
                <w:szCs w:val="18"/>
                <w:lang w:eastAsia="en-AU"/>
              </w:rPr>
            </w:pPr>
            <w:r w:rsidRPr="006E28DA">
              <w:rPr>
                <w:rFonts w:eastAsia="Cambria" w:cs="Arial"/>
                <w:sz w:val="18"/>
                <w:szCs w:val="18"/>
                <w:lang w:eastAsia="en-AU"/>
              </w:rPr>
              <w:t>[Diaspididae]</w:t>
            </w:r>
          </w:p>
          <w:p w:rsidR="00B52BB0" w:rsidRPr="00F6567E" w:rsidRDefault="00B52BB0" w:rsidP="003E074D">
            <w:pPr>
              <w:pStyle w:val="TableText"/>
              <w:rPr>
                <w:i/>
                <w:lang w:val="pt-BR"/>
              </w:rPr>
            </w:pPr>
            <w:r w:rsidRPr="006E28DA">
              <w:rPr>
                <w:rFonts w:eastAsia="Cambria" w:cs="Arial"/>
                <w:szCs w:val="18"/>
                <w:lang w:eastAsia="en-AU"/>
              </w:rPr>
              <w:t>Oyster–shell scale</w:t>
            </w:r>
          </w:p>
        </w:tc>
        <w:tc>
          <w:tcPr>
            <w:tcW w:w="715" w:type="pct"/>
            <w:shd w:val="clear" w:color="auto" w:fill="auto"/>
          </w:tcPr>
          <w:p w:rsidR="00B52BB0" w:rsidRPr="00DF463B" w:rsidRDefault="00B52BB0" w:rsidP="003E074D">
            <w:pPr>
              <w:pStyle w:val="TableText"/>
              <w:rPr>
                <w:lang w:val="pt-BR"/>
              </w:rPr>
            </w:pPr>
            <w:r w:rsidRPr="00DB2560">
              <w:t xml:space="preserve">Yes </w:t>
            </w:r>
            <w:r>
              <w:rPr>
                <w:noProof/>
              </w:rPr>
              <w:t>(PPD 2017)</w:t>
            </w:r>
            <w:r w:rsidRPr="00DB2560">
              <w:t xml:space="preserve"> (as </w:t>
            </w:r>
            <w:r w:rsidRPr="006958DA">
              <w:rPr>
                <w:i/>
              </w:rPr>
              <w:t>Lepidosaphes uloni</w:t>
            </w:r>
            <w:r w:rsidRPr="00DB2560">
              <w:t>)</w:t>
            </w:r>
          </w:p>
        </w:tc>
        <w:tc>
          <w:tcPr>
            <w:tcW w:w="714" w:type="pct"/>
            <w:shd w:val="clear" w:color="auto" w:fill="auto"/>
          </w:tcPr>
          <w:p w:rsidR="00B52BB0" w:rsidRPr="00DF463B" w:rsidRDefault="00B52BB0" w:rsidP="003E074D">
            <w:pPr>
              <w:pStyle w:val="TableText"/>
              <w:rPr>
                <w:szCs w:val="16"/>
              </w:rPr>
            </w:pPr>
            <w:r w:rsidRPr="00DB2560">
              <w:t xml:space="preserve">Yes. NSW, Qld, SA, Tas., WA </w:t>
            </w:r>
            <w:r>
              <w:rPr>
                <w:noProof/>
              </w:rPr>
              <w:t>(Plant Health Australia 2019)</w:t>
            </w:r>
          </w:p>
        </w:tc>
        <w:tc>
          <w:tcPr>
            <w:tcW w:w="714" w:type="pct"/>
            <w:shd w:val="clear" w:color="auto" w:fill="auto"/>
          </w:tcPr>
          <w:p w:rsidR="00B52BB0" w:rsidRPr="00DF463B" w:rsidRDefault="00B52BB0" w:rsidP="003E074D">
            <w:pPr>
              <w:pStyle w:val="TableText"/>
            </w:pPr>
            <w:r w:rsidRPr="00DB2560">
              <w:t>Assessment not required</w:t>
            </w:r>
          </w:p>
        </w:tc>
        <w:tc>
          <w:tcPr>
            <w:tcW w:w="714" w:type="pct"/>
            <w:shd w:val="clear" w:color="auto" w:fill="auto"/>
          </w:tcPr>
          <w:p w:rsidR="00B52BB0" w:rsidRPr="00DF463B" w:rsidRDefault="00B52BB0" w:rsidP="003E074D">
            <w:pPr>
              <w:pStyle w:val="TableText"/>
            </w:pPr>
            <w:r w:rsidRPr="00DB2560">
              <w:t>Assessment not required</w:t>
            </w:r>
          </w:p>
        </w:tc>
        <w:tc>
          <w:tcPr>
            <w:tcW w:w="714" w:type="pct"/>
            <w:shd w:val="clear" w:color="auto" w:fill="auto"/>
          </w:tcPr>
          <w:p w:rsidR="00B52BB0" w:rsidRPr="00DF463B" w:rsidRDefault="00B52BB0" w:rsidP="003E074D">
            <w:pPr>
              <w:pStyle w:val="TableText"/>
            </w:pPr>
            <w:r w:rsidRPr="00DB2560">
              <w:t>Assessment not required</w:t>
            </w:r>
          </w:p>
        </w:tc>
        <w:tc>
          <w:tcPr>
            <w:tcW w:w="714" w:type="pct"/>
            <w:shd w:val="clear" w:color="auto" w:fill="auto"/>
          </w:tcPr>
          <w:p w:rsidR="00B52BB0" w:rsidRPr="00DF463B" w:rsidRDefault="00B52BB0" w:rsidP="003E074D">
            <w:pPr>
              <w:pStyle w:val="TableText"/>
            </w:pPr>
            <w:r w:rsidRPr="00DB2560">
              <w:t>No</w:t>
            </w:r>
          </w:p>
        </w:tc>
      </w:tr>
      <w:tr w:rsidR="00B52BB0" w:rsidRPr="00DF463B" w:rsidTr="003E074D">
        <w:trPr>
          <w:cantSplit/>
          <w:trHeight w:val="75"/>
          <w:jc w:val="center"/>
        </w:trPr>
        <w:tc>
          <w:tcPr>
            <w:tcW w:w="715" w:type="pct"/>
            <w:shd w:val="clear" w:color="auto" w:fill="auto"/>
          </w:tcPr>
          <w:p w:rsidR="00B52BB0" w:rsidRPr="006E28DA" w:rsidRDefault="00B52BB0" w:rsidP="003E074D">
            <w:pPr>
              <w:autoSpaceDE w:val="0"/>
              <w:autoSpaceDN w:val="0"/>
              <w:adjustRightInd w:val="0"/>
              <w:spacing w:before="60" w:after="60" w:line="240" w:lineRule="auto"/>
              <w:rPr>
                <w:rFonts w:eastAsia="Cambria" w:cs="Arial,Italic"/>
                <w:sz w:val="18"/>
                <w:szCs w:val="18"/>
                <w:lang w:eastAsia="en-AU"/>
              </w:rPr>
            </w:pPr>
            <w:r w:rsidRPr="00727C5C">
              <w:rPr>
                <w:rFonts w:eastAsia="Cambria" w:cs="Arial,Italic"/>
                <w:i/>
                <w:iCs/>
                <w:sz w:val="18"/>
                <w:szCs w:val="18"/>
                <w:lang w:eastAsia="en-AU"/>
              </w:rPr>
              <w:t xml:space="preserve">Leptocorisa acuta </w:t>
            </w:r>
            <w:r w:rsidRPr="006E28DA">
              <w:rPr>
                <w:rFonts w:eastAsia="Cambria" w:cs="Arial,Italic"/>
                <w:sz w:val="18"/>
                <w:szCs w:val="18"/>
                <w:lang w:eastAsia="en-AU"/>
              </w:rPr>
              <w:t>(Thunberg, 1783)</w:t>
            </w:r>
          </w:p>
          <w:p w:rsidR="00B52BB0" w:rsidRPr="006E28DA" w:rsidRDefault="00B52BB0" w:rsidP="003E074D">
            <w:pPr>
              <w:autoSpaceDE w:val="0"/>
              <w:autoSpaceDN w:val="0"/>
              <w:adjustRightInd w:val="0"/>
              <w:spacing w:before="60" w:after="60" w:line="240" w:lineRule="auto"/>
              <w:rPr>
                <w:rFonts w:eastAsia="Cambria" w:cs="Arial,Italic"/>
                <w:sz w:val="18"/>
                <w:szCs w:val="18"/>
                <w:lang w:eastAsia="en-AU"/>
              </w:rPr>
            </w:pPr>
            <w:r w:rsidRPr="006E28DA">
              <w:rPr>
                <w:rFonts w:eastAsia="Cambria" w:cs="Arial,Italic"/>
                <w:sz w:val="18"/>
                <w:szCs w:val="18"/>
                <w:lang w:eastAsia="en-AU"/>
              </w:rPr>
              <w:t>[Coreidae]</w:t>
            </w:r>
          </w:p>
          <w:p w:rsidR="00B52BB0" w:rsidRPr="00F6567E" w:rsidRDefault="00B52BB0" w:rsidP="003E074D">
            <w:pPr>
              <w:pStyle w:val="TableText"/>
              <w:rPr>
                <w:i/>
                <w:lang w:val="pt-BR"/>
              </w:rPr>
            </w:pPr>
            <w:r w:rsidRPr="006E28DA">
              <w:rPr>
                <w:rFonts w:eastAsia="Cambria" w:cs="Arial,Italic"/>
                <w:szCs w:val="18"/>
                <w:lang w:eastAsia="en-AU"/>
              </w:rPr>
              <w:t>Rice seed bug</w:t>
            </w:r>
          </w:p>
        </w:tc>
        <w:tc>
          <w:tcPr>
            <w:tcW w:w="715" w:type="pct"/>
            <w:shd w:val="clear" w:color="auto" w:fill="auto"/>
          </w:tcPr>
          <w:p w:rsidR="00B52BB0" w:rsidRPr="00DF463B" w:rsidRDefault="00B52BB0" w:rsidP="003E074D">
            <w:pPr>
              <w:pStyle w:val="TableText"/>
              <w:rPr>
                <w:lang w:val="pt-BR"/>
              </w:rPr>
            </w:pPr>
            <w:r w:rsidRPr="00F3489B">
              <w:t xml:space="preserve">Yes </w:t>
            </w:r>
            <w:r>
              <w:rPr>
                <w:noProof/>
              </w:rPr>
              <w:t>(Waterhouse 1993)</w:t>
            </w:r>
          </w:p>
        </w:tc>
        <w:tc>
          <w:tcPr>
            <w:tcW w:w="714" w:type="pct"/>
            <w:shd w:val="clear" w:color="auto" w:fill="auto"/>
          </w:tcPr>
          <w:p w:rsidR="00B52BB0" w:rsidRDefault="00B52BB0" w:rsidP="003E074D">
            <w:pPr>
              <w:pStyle w:val="TableText"/>
            </w:pPr>
            <w:r w:rsidRPr="00F3489B">
              <w:t xml:space="preserve">Yes. NSW, NT, Qld, Tas. </w:t>
            </w:r>
            <w:r>
              <w:rPr>
                <w:noProof/>
              </w:rPr>
              <w:t>(Plant Health Australia 2019)</w:t>
            </w:r>
          </w:p>
          <w:p w:rsidR="00B52BB0" w:rsidRPr="00DF463B" w:rsidRDefault="00B52BB0" w:rsidP="003E074D">
            <w:pPr>
              <w:pStyle w:val="TableText"/>
              <w:rPr>
                <w:szCs w:val="16"/>
              </w:rPr>
            </w:pPr>
            <w:r w:rsidRPr="00F3489B">
              <w:t xml:space="preserve">Permitted </w:t>
            </w:r>
            <w:r>
              <w:t>(</w:t>
            </w:r>
            <w:r w:rsidRPr="00F3489B">
              <w:t>s</w:t>
            </w:r>
            <w:r>
              <w:t>. </w:t>
            </w:r>
            <w:r w:rsidRPr="00F3489B">
              <w:t>11</w:t>
            </w:r>
            <w:r>
              <w:t>) by</w:t>
            </w:r>
            <w:r w:rsidRPr="00F3489B">
              <w:t xml:space="preserve"> WA</w:t>
            </w:r>
            <w:r>
              <w:t xml:space="preserve"> under the</w:t>
            </w:r>
            <w:r w:rsidRPr="00F3489B">
              <w:t xml:space="preserve"> </w:t>
            </w:r>
            <w:r w:rsidRPr="00781407">
              <w:rPr>
                <w:i/>
              </w:rPr>
              <w:t>Biosecurity and Agriculture Management Act 2007</w:t>
            </w:r>
            <w:r w:rsidRPr="00F3489B">
              <w:t xml:space="preserve"> </w:t>
            </w:r>
            <w:r>
              <w:rPr>
                <w:noProof/>
              </w:rPr>
              <w:t>(Government of Western Australia 2018)</w:t>
            </w:r>
            <w:r w:rsidRPr="00F3489B">
              <w:t>.</w:t>
            </w:r>
          </w:p>
        </w:tc>
        <w:tc>
          <w:tcPr>
            <w:tcW w:w="714" w:type="pct"/>
            <w:shd w:val="clear" w:color="auto" w:fill="auto"/>
          </w:tcPr>
          <w:p w:rsidR="00B52BB0" w:rsidRPr="00DF463B" w:rsidRDefault="00B52BB0" w:rsidP="003E074D">
            <w:pPr>
              <w:pStyle w:val="TableText"/>
            </w:pPr>
            <w:r w:rsidRPr="00F3489B">
              <w:t>Assessment not required</w:t>
            </w:r>
          </w:p>
        </w:tc>
        <w:tc>
          <w:tcPr>
            <w:tcW w:w="714" w:type="pct"/>
            <w:shd w:val="clear" w:color="auto" w:fill="auto"/>
          </w:tcPr>
          <w:p w:rsidR="00B52BB0" w:rsidRPr="00DF463B" w:rsidRDefault="00B52BB0" w:rsidP="003E074D">
            <w:pPr>
              <w:pStyle w:val="TableText"/>
            </w:pPr>
            <w:r w:rsidRPr="00F3489B">
              <w:t>Assessment not required</w:t>
            </w:r>
          </w:p>
        </w:tc>
        <w:tc>
          <w:tcPr>
            <w:tcW w:w="714" w:type="pct"/>
            <w:shd w:val="clear" w:color="auto" w:fill="auto"/>
          </w:tcPr>
          <w:p w:rsidR="00B52BB0" w:rsidRPr="00DF463B" w:rsidRDefault="00B52BB0" w:rsidP="003E074D">
            <w:pPr>
              <w:pStyle w:val="TableText"/>
            </w:pPr>
            <w:r w:rsidRPr="00F3489B">
              <w:t>Assessment not required</w:t>
            </w:r>
          </w:p>
        </w:tc>
        <w:tc>
          <w:tcPr>
            <w:tcW w:w="714" w:type="pct"/>
            <w:shd w:val="clear" w:color="auto" w:fill="auto"/>
          </w:tcPr>
          <w:p w:rsidR="00B52BB0" w:rsidRPr="00DF463B" w:rsidRDefault="00B52BB0" w:rsidP="003E074D">
            <w:pPr>
              <w:pStyle w:val="TableText"/>
            </w:pPr>
            <w:r w:rsidRPr="00F3489B">
              <w:t>No</w:t>
            </w:r>
          </w:p>
        </w:tc>
      </w:tr>
      <w:tr w:rsidR="00B52BB0" w:rsidRPr="00DF463B" w:rsidTr="003E074D">
        <w:trPr>
          <w:cantSplit/>
          <w:trHeight w:val="75"/>
          <w:jc w:val="center"/>
        </w:trPr>
        <w:tc>
          <w:tcPr>
            <w:tcW w:w="715" w:type="pct"/>
            <w:shd w:val="clear" w:color="auto" w:fill="auto"/>
          </w:tcPr>
          <w:p w:rsidR="00B52BB0" w:rsidRPr="00727C5C" w:rsidRDefault="00B52BB0" w:rsidP="003E074D">
            <w:pPr>
              <w:autoSpaceDE w:val="0"/>
              <w:autoSpaceDN w:val="0"/>
              <w:adjustRightInd w:val="0"/>
              <w:spacing w:before="60" w:after="60" w:line="240" w:lineRule="auto"/>
              <w:rPr>
                <w:rFonts w:eastAsia="Cambria" w:cs="Calibri"/>
                <w:i/>
                <w:sz w:val="18"/>
                <w:szCs w:val="18"/>
                <w:lang w:eastAsia="en-AU"/>
              </w:rPr>
            </w:pPr>
            <w:r w:rsidRPr="00727C5C">
              <w:rPr>
                <w:rFonts w:eastAsia="Cambria" w:cs="Calibri"/>
                <w:i/>
                <w:sz w:val="18"/>
                <w:szCs w:val="18"/>
                <w:lang w:eastAsia="en-AU"/>
              </w:rPr>
              <w:t>Maconellicoccus hirsutus</w:t>
            </w:r>
          </w:p>
          <w:p w:rsidR="00B52BB0" w:rsidRPr="006E28DA" w:rsidRDefault="00B52BB0" w:rsidP="003E074D">
            <w:pPr>
              <w:autoSpaceDE w:val="0"/>
              <w:autoSpaceDN w:val="0"/>
              <w:adjustRightInd w:val="0"/>
              <w:spacing w:before="60" w:after="60" w:line="240" w:lineRule="auto"/>
              <w:rPr>
                <w:rFonts w:eastAsia="Cambria" w:cs="Calibri"/>
                <w:iCs/>
                <w:sz w:val="18"/>
                <w:szCs w:val="18"/>
                <w:lang w:eastAsia="en-AU"/>
              </w:rPr>
            </w:pPr>
            <w:r w:rsidRPr="006E28DA">
              <w:rPr>
                <w:rFonts w:eastAsia="Cambria" w:cs="Calibri"/>
                <w:iCs/>
                <w:sz w:val="18"/>
                <w:szCs w:val="18"/>
                <w:lang w:eastAsia="en-AU"/>
              </w:rPr>
              <w:t>(Green, 1908)</w:t>
            </w:r>
          </w:p>
          <w:p w:rsidR="00B52BB0" w:rsidRPr="006E28DA" w:rsidRDefault="00B52BB0" w:rsidP="003E074D">
            <w:pPr>
              <w:autoSpaceDE w:val="0"/>
              <w:autoSpaceDN w:val="0"/>
              <w:adjustRightInd w:val="0"/>
              <w:spacing w:before="60" w:after="60" w:line="240" w:lineRule="auto"/>
              <w:rPr>
                <w:rFonts w:eastAsia="Cambria" w:cs="Calibri"/>
                <w:iCs/>
                <w:sz w:val="18"/>
                <w:szCs w:val="18"/>
                <w:lang w:eastAsia="en-AU"/>
              </w:rPr>
            </w:pPr>
            <w:r w:rsidRPr="006E28DA">
              <w:rPr>
                <w:rFonts w:eastAsia="Cambria" w:cs="Calibri"/>
                <w:iCs/>
                <w:sz w:val="18"/>
                <w:szCs w:val="18"/>
                <w:lang w:eastAsia="en-AU"/>
              </w:rPr>
              <w:t>[Pseudococcidae]</w:t>
            </w:r>
          </w:p>
          <w:p w:rsidR="00B52BB0" w:rsidRPr="00F6567E" w:rsidRDefault="00B52BB0" w:rsidP="003E074D">
            <w:pPr>
              <w:pStyle w:val="TableText"/>
              <w:rPr>
                <w:i/>
                <w:lang w:val="pt-BR"/>
              </w:rPr>
            </w:pPr>
            <w:r w:rsidRPr="006E28DA">
              <w:rPr>
                <w:rFonts w:eastAsia="Cambria" w:cs="Calibri"/>
                <w:iCs/>
                <w:szCs w:val="18"/>
                <w:lang w:eastAsia="en-AU"/>
              </w:rPr>
              <w:t>Pink hibiscus mealybug</w:t>
            </w:r>
          </w:p>
        </w:tc>
        <w:tc>
          <w:tcPr>
            <w:tcW w:w="715" w:type="pct"/>
            <w:shd w:val="clear" w:color="auto" w:fill="auto"/>
          </w:tcPr>
          <w:p w:rsidR="00B52BB0" w:rsidRPr="00DF463B" w:rsidRDefault="00B52BB0" w:rsidP="003E074D">
            <w:pPr>
              <w:pStyle w:val="TableText"/>
              <w:rPr>
                <w:lang w:val="pt-BR"/>
              </w:rPr>
            </w:pPr>
            <w:r w:rsidRPr="00D62399">
              <w:t xml:space="preserve">Yes </w:t>
            </w:r>
            <w:r>
              <w:rPr>
                <w:noProof/>
              </w:rPr>
              <w:t>(García Morales et al. 2019; Williams 2004)</w:t>
            </w:r>
          </w:p>
        </w:tc>
        <w:tc>
          <w:tcPr>
            <w:tcW w:w="714" w:type="pct"/>
            <w:shd w:val="clear" w:color="auto" w:fill="auto"/>
          </w:tcPr>
          <w:p w:rsidR="00B52BB0" w:rsidRPr="00DF463B" w:rsidRDefault="00B52BB0" w:rsidP="003E074D">
            <w:pPr>
              <w:pStyle w:val="TableText"/>
              <w:rPr>
                <w:szCs w:val="16"/>
              </w:rPr>
            </w:pPr>
            <w:r w:rsidRPr="00D62399">
              <w:t xml:space="preserve">Yes. NSW, NT, Qld, WA </w:t>
            </w:r>
            <w:r>
              <w:rPr>
                <w:noProof/>
              </w:rPr>
              <w:t>(Plant Health Australia 2019)</w:t>
            </w:r>
          </w:p>
        </w:tc>
        <w:tc>
          <w:tcPr>
            <w:tcW w:w="714" w:type="pct"/>
            <w:shd w:val="clear" w:color="auto" w:fill="auto"/>
          </w:tcPr>
          <w:p w:rsidR="00B52BB0" w:rsidRPr="00DF463B" w:rsidRDefault="00B52BB0" w:rsidP="003E074D">
            <w:pPr>
              <w:pStyle w:val="TableText"/>
            </w:pPr>
            <w:r w:rsidRPr="00D62399">
              <w:t>Assessment not required</w:t>
            </w:r>
          </w:p>
        </w:tc>
        <w:tc>
          <w:tcPr>
            <w:tcW w:w="714" w:type="pct"/>
            <w:shd w:val="clear" w:color="auto" w:fill="auto"/>
          </w:tcPr>
          <w:p w:rsidR="00B52BB0" w:rsidRPr="00DF463B" w:rsidRDefault="00B52BB0" w:rsidP="003E074D">
            <w:pPr>
              <w:pStyle w:val="TableText"/>
            </w:pPr>
            <w:r w:rsidRPr="00D62399">
              <w:t>Assessment not required</w:t>
            </w:r>
          </w:p>
        </w:tc>
        <w:tc>
          <w:tcPr>
            <w:tcW w:w="714" w:type="pct"/>
            <w:shd w:val="clear" w:color="auto" w:fill="auto"/>
          </w:tcPr>
          <w:p w:rsidR="00B52BB0" w:rsidRPr="00DF463B" w:rsidRDefault="00B52BB0" w:rsidP="003E074D">
            <w:pPr>
              <w:pStyle w:val="TableText"/>
            </w:pPr>
            <w:r w:rsidRPr="00D62399">
              <w:t>Assessment not required</w:t>
            </w:r>
          </w:p>
        </w:tc>
        <w:tc>
          <w:tcPr>
            <w:tcW w:w="714" w:type="pct"/>
            <w:shd w:val="clear" w:color="auto" w:fill="auto"/>
          </w:tcPr>
          <w:p w:rsidR="00B52BB0" w:rsidRPr="00DF463B" w:rsidRDefault="00B52BB0" w:rsidP="003E074D">
            <w:pPr>
              <w:pStyle w:val="TableText"/>
            </w:pPr>
            <w:r w:rsidRPr="00D62399">
              <w:t>No</w:t>
            </w:r>
          </w:p>
        </w:tc>
      </w:tr>
      <w:tr w:rsidR="00B52BB0" w:rsidRPr="00DF463B" w:rsidTr="003E074D">
        <w:trPr>
          <w:cantSplit/>
          <w:trHeight w:val="75"/>
          <w:jc w:val="center"/>
        </w:trPr>
        <w:tc>
          <w:tcPr>
            <w:tcW w:w="715" w:type="pct"/>
            <w:shd w:val="clear" w:color="auto" w:fill="auto"/>
          </w:tcPr>
          <w:p w:rsidR="00B52BB0" w:rsidRPr="006E28DA" w:rsidRDefault="00B52BB0" w:rsidP="003E074D">
            <w:pPr>
              <w:autoSpaceDE w:val="0"/>
              <w:autoSpaceDN w:val="0"/>
              <w:adjustRightInd w:val="0"/>
              <w:spacing w:before="60" w:after="60" w:line="240" w:lineRule="auto"/>
              <w:rPr>
                <w:rFonts w:eastAsia="Cambria" w:cs="Calibri"/>
                <w:iCs/>
                <w:sz w:val="18"/>
                <w:szCs w:val="18"/>
                <w:lang w:eastAsia="en-AU"/>
              </w:rPr>
            </w:pPr>
            <w:r w:rsidRPr="00727C5C">
              <w:rPr>
                <w:rFonts w:eastAsia="Cambria" w:cs="Calibri"/>
                <w:i/>
                <w:sz w:val="18"/>
                <w:szCs w:val="18"/>
                <w:lang w:eastAsia="en-AU"/>
              </w:rPr>
              <w:t xml:space="preserve">Nipaecoccus viridis </w:t>
            </w:r>
            <w:r w:rsidRPr="006E28DA">
              <w:rPr>
                <w:rFonts w:eastAsia="Cambria" w:cs="Calibri"/>
                <w:iCs/>
                <w:sz w:val="18"/>
                <w:szCs w:val="18"/>
                <w:lang w:eastAsia="en-AU"/>
              </w:rPr>
              <w:t>(Newstead, 1894)</w:t>
            </w:r>
          </w:p>
          <w:p w:rsidR="00B52BB0" w:rsidRPr="006E28DA" w:rsidRDefault="00B52BB0" w:rsidP="003E074D">
            <w:pPr>
              <w:autoSpaceDE w:val="0"/>
              <w:autoSpaceDN w:val="0"/>
              <w:adjustRightInd w:val="0"/>
              <w:spacing w:before="60" w:after="60" w:line="240" w:lineRule="auto"/>
              <w:rPr>
                <w:rFonts w:eastAsia="Cambria" w:cs="Calibri"/>
                <w:iCs/>
                <w:sz w:val="18"/>
                <w:szCs w:val="18"/>
                <w:lang w:eastAsia="en-AU"/>
              </w:rPr>
            </w:pPr>
            <w:r w:rsidRPr="006E28DA">
              <w:rPr>
                <w:rFonts w:eastAsia="Cambria" w:cs="Calibri"/>
                <w:iCs/>
                <w:sz w:val="18"/>
                <w:szCs w:val="18"/>
                <w:lang w:eastAsia="en-AU"/>
              </w:rPr>
              <w:t>[Pseudococcidae]</w:t>
            </w:r>
          </w:p>
          <w:p w:rsidR="00B52BB0" w:rsidRPr="00F6567E" w:rsidRDefault="00B52BB0" w:rsidP="003E074D">
            <w:pPr>
              <w:pStyle w:val="TableText"/>
              <w:rPr>
                <w:i/>
                <w:lang w:val="pt-BR"/>
              </w:rPr>
            </w:pPr>
            <w:r w:rsidRPr="006E28DA">
              <w:rPr>
                <w:rFonts w:eastAsia="Cambria" w:cs="Calibri"/>
                <w:iCs/>
                <w:szCs w:val="18"/>
                <w:lang w:eastAsia="en-AU"/>
              </w:rPr>
              <w:t>Spherical mealybug</w:t>
            </w:r>
          </w:p>
        </w:tc>
        <w:tc>
          <w:tcPr>
            <w:tcW w:w="715" w:type="pct"/>
            <w:shd w:val="clear" w:color="auto" w:fill="auto"/>
          </w:tcPr>
          <w:p w:rsidR="00B52BB0" w:rsidRPr="00DF463B" w:rsidRDefault="00B52BB0" w:rsidP="003E074D">
            <w:pPr>
              <w:pStyle w:val="TableText"/>
              <w:rPr>
                <w:lang w:val="pt-BR"/>
              </w:rPr>
            </w:pPr>
            <w:r w:rsidRPr="00A465BD">
              <w:t xml:space="preserve">Yes </w:t>
            </w:r>
            <w:r>
              <w:rPr>
                <w:noProof/>
              </w:rPr>
              <w:t>(CABI 2019; García Morales et al. 2019)</w:t>
            </w:r>
          </w:p>
        </w:tc>
        <w:tc>
          <w:tcPr>
            <w:tcW w:w="714" w:type="pct"/>
            <w:shd w:val="clear" w:color="auto" w:fill="auto"/>
          </w:tcPr>
          <w:p w:rsidR="00B52BB0" w:rsidRPr="00DF463B" w:rsidRDefault="00B52BB0" w:rsidP="003E074D">
            <w:pPr>
              <w:pStyle w:val="TableText"/>
              <w:rPr>
                <w:szCs w:val="16"/>
              </w:rPr>
            </w:pPr>
            <w:r w:rsidRPr="00A465BD">
              <w:t xml:space="preserve">Yes. NT, Qld, WA </w:t>
            </w:r>
            <w:r>
              <w:rPr>
                <w:noProof/>
              </w:rPr>
              <w:t>(Plant Health Australia 2019)</w:t>
            </w:r>
          </w:p>
        </w:tc>
        <w:tc>
          <w:tcPr>
            <w:tcW w:w="714" w:type="pct"/>
            <w:shd w:val="clear" w:color="auto" w:fill="auto"/>
          </w:tcPr>
          <w:p w:rsidR="00B52BB0" w:rsidRPr="00DF463B" w:rsidRDefault="00B52BB0" w:rsidP="003E074D">
            <w:pPr>
              <w:pStyle w:val="TableText"/>
            </w:pPr>
            <w:r w:rsidRPr="00A465BD">
              <w:t>Assessment not required</w:t>
            </w:r>
          </w:p>
        </w:tc>
        <w:tc>
          <w:tcPr>
            <w:tcW w:w="714" w:type="pct"/>
            <w:shd w:val="clear" w:color="auto" w:fill="auto"/>
          </w:tcPr>
          <w:p w:rsidR="00B52BB0" w:rsidRPr="00DF463B" w:rsidRDefault="00B52BB0" w:rsidP="003E074D">
            <w:pPr>
              <w:pStyle w:val="TableText"/>
            </w:pPr>
            <w:r w:rsidRPr="00A465BD">
              <w:t>Assessment not required</w:t>
            </w:r>
          </w:p>
        </w:tc>
        <w:tc>
          <w:tcPr>
            <w:tcW w:w="714" w:type="pct"/>
            <w:shd w:val="clear" w:color="auto" w:fill="auto"/>
          </w:tcPr>
          <w:p w:rsidR="00B52BB0" w:rsidRPr="00DF463B" w:rsidRDefault="00B52BB0" w:rsidP="003E074D">
            <w:pPr>
              <w:pStyle w:val="TableText"/>
            </w:pPr>
            <w:r w:rsidRPr="00A465BD">
              <w:t>Assessment not required</w:t>
            </w:r>
          </w:p>
        </w:tc>
        <w:tc>
          <w:tcPr>
            <w:tcW w:w="714" w:type="pct"/>
            <w:shd w:val="clear" w:color="auto" w:fill="auto"/>
          </w:tcPr>
          <w:p w:rsidR="00B52BB0" w:rsidRPr="00DF463B" w:rsidRDefault="00B52BB0" w:rsidP="003E074D">
            <w:pPr>
              <w:pStyle w:val="TableText"/>
            </w:pPr>
            <w:r w:rsidRPr="00A465BD">
              <w:t>No</w:t>
            </w:r>
          </w:p>
        </w:tc>
      </w:tr>
      <w:tr w:rsidR="00B52BB0" w:rsidRPr="00DF463B" w:rsidTr="003E074D">
        <w:trPr>
          <w:cantSplit/>
          <w:trHeight w:val="75"/>
          <w:jc w:val="center"/>
        </w:trPr>
        <w:tc>
          <w:tcPr>
            <w:tcW w:w="715" w:type="pct"/>
            <w:shd w:val="clear" w:color="auto" w:fill="auto"/>
          </w:tcPr>
          <w:p w:rsidR="00B52BB0" w:rsidRPr="006E28DA" w:rsidRDefault="00B52BB0" w:rsidP="003E074D">
            <w:pPr>
              <w:autoSpaceDE w:val="0"/>
              <w:autoSpaceDN w:val="0"/>
              <w:adjustRightInd w:val="0"/>
              <w:spacing w:before="60" w:after="60" w:line="240" w:lineRule="auto"/>
              <w:rPr>
                <w:rFonts w:eastAsia="Cambria" w:cs="Arial"/>
                <w:iCs/>
                <w:sz w:val="18"/>
                <w:szCs w:val="18"/>
                <w:lang w:eastAsia="en-AU"/>
              </w:rPr>
            </w:pPr>
            <w:r w:rsidRPr="00727C5C">
              <w:rPr>
                <w:rFonts w:eastAsia="Cambria" w:cs="Arial"/>
                <w:i/>
                <w:sz w:val="18"/>
                <w:szCs w:val="18"/>
                <w:lang w:eastAsia="en-AU"/>
              </w:rPr>
              <w:lastRenderedPageBreak/>
              <w:t xml:space="preserve">Paracoccus interceptus </w:t>
            </w:r>
            <w:r w:rsidRPr="006E28DA">
              <w:rPr>
                <w:rFonts w:eastAsia="Cambria" w:cs="Arial"/>
                <w:iCs/>
                <w:sz w:val="18"/>
                <w:szCs w:val="18"/>
                <w:lang w:eastAsia="en-AU"/>
              </w:rPr>
              <w:t>Lit, 1997</w:t>
            </w:r>
          </w:p>
          <w:p w:rsidR="00B52BB0" w:rsidRPr="006E28DA" w:rsidRDefault="00B52BB0" w:rsidP="003E074D">
            <w:pPr>
              <w:autoSpaceDE w:val="0"/>
              <w:autoSpaceDN w:val="0"/>
              <w:adjustRightInd w:val="0"/>
              <w:spacing w:before="60" w:after="60" w:line="240" w:lineRule="auto"/>
              <w:rPr>
                <w:rFonts w:eastAsia="Cambria" w:cs="Arial"/>
                <w:iCs/>
                <w:sz w:val="18"/>
                <w:szCs w:val="18"/>
                <w:lang w:eastAsia="en-AU"/>
              </w:rPr>
            </w:pPr>
            <w:r w:rsidRPr="006E28DA">
              <w:rPr>
                <w:rFonts w:eastAsia="Cambria" w:cs="Arial"/>
                <w:iCs/>
                <w:sz w:val="18"/>
                <w:szCs w:val="18"/>
                <w:lang w:eastAsia="en-AU"/>
              </w:rPr>
              <w:t>[Pseudococcidae]</w:t>
            </w:r>
          </w:p>
          <w:p w:rsidR="00B52BB0" w:rsidRPr="00F6567E" w:rsidRDefault="00B52BB0" w:rsidP="003E074D">
            <w:pPr>
              <w:pStyle w:val="TableText"/>
              <w:rPr>
                <w:i/>
                <w:lang w:val="pt-BR"/>
              </w:rPr>
            </w:pPr>
            <w:r w:rsidRPr="006E28DA">
              <w:rPr>
                <w:rFonts w:eastAsia="Cambria" w:cs="Arial"/>
                <w:iCs/>
                <w:szCs w:val="18"/>
                <w:lang w:eastAsia="en-AU"/>
              </w:rPr>
              <w:t>Intercepted mealybug</w:t>
            </w:r>
          </w:p>
        </w:tc>
        <w:tc>
          <w:tcPr>
            <w:tcW w:w="715" w:type="pct"/>
            <w:shd w:val="clear" w:color="auto" w:fill="auto"/>
          </w:tcPr>
          <w:p w:rsidR="00B52BB0" w:rsidRPr="00DF463B" w:rsidRDefault="00B52BB0" w:rsidP="003E074D">
            <w:pPr>
              <w:pStyle w:val="TableText"/>
              <w:rPr>
                <w:lang w:val="pt-BR"/>
              </w:rPr>
            </w:pPr>
            <w:r w:rsidRPr="002116A2">
              <w:t xml:space="preserve">Yes </w:t>
            </w:r>
            <w:r>
              <w:rPr>
                <w:noProof/>
              </w:rPr>
              <w:t>(García Morales et al. 2019)</w:t>
            </w:r>
          </w:p>
        </w:tc>
        <w:tc>
          <w:tcPr>
            <w:tcW w:w="714" w:type="pct"/>
            <w:shd w:val="clear" w:color="auto" w:fill="auto"/>
          </w:tcPr>
          <w:p w:rsidR="00B52BB0" w:rsidRPr="00DF463B" w:rsidRDefault="00B52BB0" w:rsidP="003E074D">
            <w:pPr>
              <w:pStyle w:val="TableText"/>
              <w:rPr>
                <w:szCs w:val="16"/>
              </w:rPr>
            </w:pPr>
            <w:r w:rsidRPr="002116A2">
              <w:t>No records found</w:t>
            </w:r>
          </w:p>
        </w:tc>
        <w:tc>
          <w:tcPr>
            <w:tcW w:w="714" w:type="pct"/>
            <w:shd w:val="clear" w:color="auto" w:fill="auto"/>
          </w:tcPr>
          <w:p w:rsidR="00B52BB0" w:rsidRPr="00DF463B" w:rsidRDefault="00B52BB0" w:rsidP="003E074D">
            <w:pPr>
              <w:pStyle w:val="TableText"/>
            </w:pPr>
            <w:r w:rsidRPr="002116A2">
              <w:t xml:space="preserve">Yes. </w:t>
            </w:r>
            <w:r w:rsidRPr="00A03C7C">
              <w:rPr>
                <w:i/>
                <w:iCs/>
              </w:rPr>
              <w:t>Paracoccus interceptus</w:t>
            </w:r>
            <w:r w:rsidRPr="002116A2">
              <w:t xml:space="preserve"> is associated with the longan fruit export pathway </w:t>
            </w:r>
            <w:r>
              <w:rPr>
                <w:noProof/>
              </w:rPr>
              <w:t>(Evans &amp; Dooley 2013)</w:t>
            </w:r>
            <w:r w:rsidRPr="002116A2">
              <w:t>.</w:t>
            </w:r>
          </w:p>
        </w:tc>
        <w:tc>
          <w:tcPr>
            <w:tcW w:w="714" w:type="pct"/>
            <w:shd w:val="clear" w:color="auto" w:fill="auto"/>
          </w:tcPr>
          <w:p w:rsidR="00B52BB0" w:rsidRPr="00DF463B" w:rsidRDefault="00B52BB0" w:rsidP="003E074D">
            <w:pPr>
              <w:pStyle w:val="TableText"/>
            </w:pPr>
            <w:r w:rsidRPr="002116A2">
              <w:t>Yes. Th</w:t>
            </w:r>
            <w:r>
              <w:t>is</w:t>
            </w:r>
            <w:r w:rsidRPr="002116A2">
              <w:t xml:space="preserve"> </w:t>
            </w:r>
            <w:r>
              <w:t>species</w:t>
            </w:r>
            <w:r w:rsidRPr="002116A2">
              <w:t xml:space="preserve"> is recorded from more than 24 host plant species across 18 families including mangosteens, mango, custard apple, fig, guava, citrus fruits, lychee and rambutan </w:t>
            </w:r>
            <w:r>
              <w:rPr>
                <w:noProof/>
              </w:rPr>
              <w:t>(Williams 2004)</w:t>
            </w:r>
            <w:r w:rsidRPr="002116A2">
              <w:t>. It is likely to establish and spread in Australia if introduced.</w:t>
            </w:r>
          </w:p>
        </w:tc>
        <w:tc>
          <w:tcPr>
            <w:tcW w:w="714" w:type="pct"/>
            <w:shd w:val="clear" w:color="auto" w:fill="auto"/>
          </w:tcPr>
          <w:p w:rsidR="00B52BB0" w:rsidRPr="00727C5C" w:rsidRDefault="00B52BB0" w:rsidP="003E074D">
            <w:pPr>
              <w:pStyle w:val="Default"/>
              <w:spacing w:before="60" w:after="60"/>
              <w:rPr>
                <w:rFonts w:ascii="Cambria" w:hAnsi="Cambria"/>
                <w:color w:val="auto"/>
                <w:sz w:val="18"/>
                <w:szCs w:val="18"/>
              </w:rPr>
            </w:pPr>
            <w:r w:rsidRPr="00727C5C">
              <w:rPr>
                <w:rFonts w:ascii="Cambria" w:hAnsi="Cambria"/>
                <w:color w:val="auto"/>
                <w:sz w:val="18"/>
                <w:szCs w:val="18"/>
              </w:rPr>
              <w:t xml:space="preserve">Yes. Like other mealybug species </w:t>
            </w:r>
            <w:r w:rsidRPr="00A03C7C">
              <w:rPr>
                <w:rFonts w:ascii="Cambria" w:hAnsi="Cambria"/>
                <w:i/>
                <w:iCs/>
                <w:color w:val="auto"/>
                <w:sz w:val="18"/>
                <w:szCs w:val="18"/>
              </w:rPr>
              <w:t>P</w:t>
            </w:r>
            <w:r>
              <w:rPr>
                <w:rFonts w:ascii="Cambria" w:hAnsi="Cambria"/>
                <w:i/>
                <w:iCs/>
                <w:color w:val="auto"/>
                <w:sz w:val="18"/>
                <w:szCs w:val="18"/>
              </w:rPr>
              <w:t>. </w:t>
            </w:r>
            <w:r w:rsidRPr="00A03C7C">
              <w:rPr>
                <w:rFonts w:ascii="Cambria" w:hAnsi="Cambria"/>
                <w:i/>
                <w:iCs/>
                <w:color w:val="auto"/>
                <w:sz w:val="18"/>
                <w:szCs w:val="18"/>
              </w:rPr>
              <w:t>interceptus</w:t>
            </w:r>
            <w:r w:rsidRPr="00727C5C">
              <w:rPr>
                <w:rFonts w:ascii="Cambria" w:hAnsi="Cambria"/>
                <w:color w:val="auto"/>
                <w:sz w:val="18"/>
                <w:szCs w:val="18"/>
              </w:rPr>
              <w:t xml:space="preserve"> has the potential to become an important pest when introduced into new regions. </w:t>
            </w:r>
            <w:r>
              <w:rPr>
                <w:rFonts w:ascii="Cambria" w:hAnsi="Cambria"/>
                <w:noProof/>
                <w:color w:val="auto"/>
                <w:sz w:val="18"/>
                <w:szCs w:val="18"/>
              </w:rPr>
              <w:t>Williams (2004)</w:t>
            </w:r>
            <w:r w:rsidRPr="00727C5C">
              <w:rPr>
                <w:rFonts w:ascii="Cambria" w:hAnsi="Cambria"/>
                <w:color w:val="auto"/>
                <w:sz w:val="18"/>
                <w:szCs w:val="18"/>
              </w:rPr>
              <w:t xml:space="preserve"> states that </w:t>
            </w:r>
            <w:r>
              <w:rPr>
                <w:rFonts w:ascii="Cambria" w:hAnsi="Cambria"/>
                <w:i/>
                <w:iCs/>
                <w:color w:val="auto"/>
                <w:sz w:val="18"/>
                <w:szCs w:val="18"/>
              </w:rPr>
              <w:t>P. </w:t>
            </w:r>
            <w:r w:rsidRPr="00A03C7C">
              <w:rPr>
                <w:rFonts w:ascii="Cambria" w:hAnsi="Cambria"/>
                <w:i/>
                <w:iCs/>
                <w:color w:val="auto"/>
                <w:sz w:val="18"/>
                <w:szCs w:val="18"/>
              </w:rPr>
              <w:t>interceptus</w:t>
            </w:r>
            <w:r w:rsidRPr="00727C5C">
              <w:rPr>
                <w:rFonts w:ascii="Cambria" w:hAnsi="Cambria"/>
                <w:color w:val="auto"/>
                <w:sz w:val="18"/>
                <w:szCs w:val="18"/>
              </w:rPr>
              <w:t xml:space="preserve"> must be regarded as a possible invasive species as it is frequently intercepted by quarantine inspections in the United States.</w:t>
            </w:r>
          </w:p>
          <w:p w:rsidR="00B52BB0" w:rsidRPr="00DF463B" w:rsidRDefault="00B52BB0" w:rsidP="003E074D">
            <w:pPr>
              <w:pStyle w:val="TableText"/>
            </w:pPr>
            <w:r w:rsidRPr="00727C5C">
              <w:rPr>
                <w:szCs w:val="18"/>
              </w:rPr>
              <w:t xml:space="preserve">Mealybugs feed on sap, stressing their host plants and reducing the yield of commercial crops. The production of honeydew by mealybugs also promotes the growth of sooty moulds, which reduces the marketability of fruit </w:t>
            </w:r>
            <w:r>
              <w:rPr>
                <w:noProof/>
              </w:rPr>
              <w:t>(CABI 2019)</w:t>
            </w:r>
            <w:r w:rsidRPr="00727C5C">
              <w:rPr>
                <w:szCs w:val="18"/>
              </w:rPr>
              <w:t>.</w:t>
            </w:r>
          </w:p>
        </w:tc>
        <w:tc>
          <w:tcPr>
            <w:tcW w:w="714" w:type="pct"/>
            <w:shd w:val="clear" w:color="auto" w:fill="auto"/>
          </w:tcPr>
          <w:p w:rsidR="00B52BB0" w:rsidRPr="00DF463B" w:rsidRDefault="00B52BB0" w:rsidP="003E074D">
            <w:pPr>
              <w:pStyle w:val="TableText"/>
            </w:pPr>
            <w:r w:rsidRPr="005B56F4">
              <w:rPr>
                <w:szCs w:val="18"/>
              </w:rPr>
              <w:t>Yes (EP)</w:t>
            </w:r>
          </w:p>
        </w:tc>
      </w:tr>
      <w:tr w:rsidR="00B52BB0" w:rsidRPr="00DF463B"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Arial,Italic"/>
                <w:sz w:val="18"/>
                <w:szCs w:val="18"/>
                <w:lang w:eastAsia="en-AU"/>
              </w:rPr>
            </w:pPr>
            <w:r w:rsidRPr="00727C5C">
              <w:rPr>
                <w:rFonts w:eastAsia="Cambria" w:cs="Arial,Italic"/>
                <w:i/>
                <w:iCs/>
                <w:sz w:val="18"/>
                <w:szCs w:val="18"/>
                <w:lang w:eastAsia="en-AU"/>
              </w:rPr>
              <w:t xml:space="preserve">Parasaissetia nigra </w:t>
            </w:r>
            <w:r w:rsidRPr="004569F6">
              <w:rPr>
                <w:rFonts w:eastAsia="Cambria" w:cs="Arial,Italic"/>
                <w:sz w:val="18"/>
                <w:szCs w:val="18"/>
                <w:lang w:eastAsia="en-AU"/>
              </w:rPr>
              <w:t>(Nietner, 1861)</w:t>
            </w:r>
          </w:p>
          <w:p w:rsidR="00B52BB0" w:rsidRPr="004569F6" w:rsidRDefault="00B52BB0" w:rsidP="003E074D">
            <w:pPr>
              <w:autoSpaceDE w:val="0"/>
              <w:autoSpaceDN w:val="0"/>
              <w:adjustRightInd w:val="0"/>
              <w:spacing w:before="60" w:after="60" w:line="240" w:lineRule="auto"/>
              <w:rPr>
                <w:rFonts w:eastAsia="Cambria" w:cs="Arial,Italic"/>
                <w:sz w:val="18"/>
                <w:szCs w:val="18"/>
                <w:lang w:eastAsia="en-AU"/>
              </w:rPr>
            </w:pPr>
            <w:r w:rsidRPr="004569F6">
              <w:rPr>
                <w:rFonts w:eastAsia="Cambria" w:cs="Arial,Italic"/>
                <w:sz w:val="18"/>
                <w:szCs w:val="18"/>
                <w:lang w:eastAsia="en-AU"/>
              </w:rPr>
              <w:t>[Coccidae]</w:t>
            </w:r>
          </w:p>
          <w:p w:rsidR="00B52BB0" w:rsidRPr="00F6567E" w:rsidRDefault="00B52BB0" w:rsidP="003E074D">
            <w:pPr>
              <w:pStyle w:val="TableText"/>
              <w:rPr>
                <w:i/>
                <w:lang w:val="pt-BR"/>
              </w:rPr>
            </w:pPr>
            <w:r w:rsidRPr="004569F6">
              <w:rPr>
                <w:rFonts w:eastAsia="Cambria" w:cs="Arial,Italic"/>
                <w:szCs w:val="18"/>
                <w:lang w:eastAsia="en-AU"/>
              </w:rPr>
              <w:t>Black coffee scale</w:t>
            </w:r>
          </w:p>
        </w:tc>
        <w:tc>
          <w:tcPr>
            <w:tcW w:w="715" w:type="pct"/>
            <w:shd w:val="clear" w:color="auto" w:fill="auto"/>
          </w:tcPr>
          <w:p w:rsidR="00B52BB0" w:rsidRPr="00DF463B" w:rsidRDefault="00B52BB0" w:rsidP="003E074D">
            <w:pPr>
              <w:pStyle w:val="TableText"/>
              <w:rPr>
                <w:lang w:val="pt-BR"/>
              </w:rPr>
            </w:pPr>
            <w:r w:rsidRPr="00750ECD">
              <w:t xml:space="preserve">Yes </w:t>
            </w:r>
            <w:r>
              <w:rPr>
                <w:noProof/>
              </w:rPr>
              <w:t>(García Morales et al. 2019)</w:t>
            </w:r>
          </w:p>
        </w:tc>
        <w:tc>
          <w:tcPr>
            <w:tcW w:w="714" w:type="pct"/>
            <w:shd w:val="clear" w:color="auto" w:fill="auto"/>
          </w:tcPr>
          <w:p w:rsidR="00B52BB0" w:rsidRPr="00DF463B" w:rsidRDefault="00B52BB0" w:rsidP="003E074D">
            <w:pPr>
              <w:pStyle w:val="TableText"/>
              <w:rPr>
                <w:szCs w:val="16"/>
              </w:rPr>
            </w:pPr>
            <w:r w:rsidRPr="00750ECD">
              <w:t xml:space="preserve">Yes. NSW, NT, Qld, SA, Vic., WA </w:t>
            </w:r>
            <w:r>
              <w:rPr>
                <w:noProof/>
              </w:rPr>
              <w:t>(Plant Health Australia 2019)</w:t>
            </w:r>
          </w:p>
        </w:tc>
        <w:tc>
          <w:tcPr>
            <w:tcW w:w="714" w:type="pct"/>
            <w:shd w:val="clear" w:color="auto" w:fill="auto"/>
          </w:tcPr>
          <w:p w:rsidR="00B52BB0" w:rsidRPr="00DF463B" w:rsidRDefault="00B52BB0" w:rsidP="003E074D">
            <w:pPr>
              <w:pStyle w:val="TableText"/>
            </w:pPr>
            <w:r w:rsidRPr="00750ECD">
              <w:t>Assessment not required</w:t>
            </w:r>
          </w:p>
        </w:tc>
        <w:tc>
          <w:tcPr>
            <w:tcW w:w="714" w:type="pct"/>
            <w:shd w:val="clear" w:color="auto" w:fill="auto"/>
          </w:tcPr>
          <w:p w:rsidR="00B52BB0" w:rsidRPr="00DF463B" w:rsidRDefault="00B52BB0" w:rsidP="003E074D">
            <w:pPr>
              <w:pStyle w:val="TableText"/>
            </w:pPr>
            <w:r w:rsidRPr="00750ECD">
              <w:t>Assessment not required</w:t>
            </w:r>
          </w:p>
        </w:tc>
        <w:tc>
          <w:tcPr>
            <w:tcW w:w="714" w:type="pct"/>
            <w:shd w:val="clear" w:color="auto" w:fill="auto"/>
          </w:tcPr>
          <w:p w:rsidR="00B52BB0" w:rsidRPr="00DF463B" w:rsidRDefault="00B52BB0" w:rsidP="003E074D">
            <w:pPr>
              <w:pStyle w:val="TableText"/>
            </w:pPr>
            <w:r w:rsidRPr="00750ECD">
              <w:t>Assessment not required</w:t>
            </w:r>
          </w:p>
        </w:tc>
        <w:tc>
          <w:tcPr>
            <w:tcW w:w="714" w:type="pct"/>
            <w:shd w:val="clear" w:color="auto" w:fill="auto"/>
          </w:tcPr>
          <w:p w:rsidR="00B52BB0" w:rsidRPr="00DF463B" w:rsidRDefault="00B52BB0" w:rsidP="003E074D">
            <w:pPr>
              <w:pStyle w:val="TableText"/>
            </w:pPr>
            <w:r w:rsidRPr="00750ECD">
              <w:t>No</w:t>
            </w:r>
          </w:p>
        </w:tc>
      </w:tr>
      <w:tr w:rsidR="00B52BB0" w:rsidRPr="00DF463B" w:rsidTr="003E074D">
        <w:trPr>
          <w:cantSplit/>
          <w:trHeight w:val="75"/>
          <w:jc w:val="center"/>
        </w:trPr>
        <w:tc>
          <w:tcPr>
            <w:tcW w:w="715" w:type="pct"/>
            <w:shd w:val="clear" w:color="auto" w:fill="auto"/>
          </w:tcPr>
          <w:p w:rsidR="00B52BB0" w:rsidRDefault="00B52BB0" w:rsidP="003E074D">
            <w:pPr>
              <w:autoSpaceDE w:val="0"/>
              <w:autoSpaceDN w:val="0"/>
              <w:adjustRightInd w:val="0"/>
              <w:spacing w:before="60" w:after="60" w:line="240" w:lineRule="auto"/>
              <w:rPr>
                <w:rFonts w:eastAsia="Cambria" w:cs="Arial"/>
                <w:iCs/>
                <w:sz w:val="18"/>
                <w:szCs w:val="18"/>
                <w:lang w:eastAsia="en-AU"/>
              </w:rPr>
            </w:pPr>
            <w:r>
              <w:rPr>
                <w:rFonts w:eastAsia="Cambria" w:cs="Arial"/>
                <w:i/>
                <w:iCs/>
                <w:sz w:val="18"/>
                <w:szCs w:val="18"/>
                <w:lang w:eastAsia="en-AU"/>
              </w:rPr>
              <w:lastRenderedPageBreak/>
              <w:t>Planococcus angkorensis</w:t>
            </w:r>
            <w:r>
              <w:rPr>
                <w:rFonts w:eastAsia="Cambria" w:cs="Arial"/>
                <w:iCs/>
                <w:sz w:val="18"/>
                <w:szCs w:val="18"/>
                <w:lang w:eastAsia="en-AU"/>
              </w:rPr>
              <w:t xml:space="preserve"> (Takahashi, 1942)</w:t>
            </w:r>
          </w:p>
          <w:p w:rsidR="00B52BB0" w:rsidRDefault="00B52BB0" w:rsidP="003E074D">
            <w:pPr>
              <w:autoSpaceDE w:val="0"/>
              <w:autoSpaceDN w:val="0"/>
              <w:adjustRightInd w:val="0"/>
              <w:spacing w:before="60" w:after="60" w:line="240" w:lineRule="auto"/>
              <w:rPr>
                <w:rFonts w:eastAsia="Cambria" w:cs="Arial"/>
                <w:iCs/>
                <w:sz w:val="18"/>
                <w:szCs w:val="18"/>
                <w:lang w:eastAsia="en-AU"/>
              </w:rPr>
            </w:pPr>
            <w:r>
              <w:rPr>
                <w:rFonts w:eastAsia="Cambria" w:cs="Arial"/>
                <w:iCs/>
                <w:sz w:val="18"/>
                <w:szCs w:val="18"/>
                <w:lang w:eastAsia="en-AU"/>
              </w:rPr>
              <w:t>[Pseudococcidae]</w:t>
            </w:r>
          </w:p>
          <w:p w:rsidR="00B52BB0" w:rsidRPr="0062223C" w:rsidRDefault="00B52BB0" w:rsidP="003E074D">
            <w:pPr>
              <w:autoSpaceDE w:val="0"/>
              <w:autoSpaceDN w:val="0"/>
              <w:adjustRightInd w:val="0"/>
              <w:spacing w:before="60" w:after="60" w:line="240" w:lineRule="auto"/>
              <w:rPr>
                <w:rFonts w:eastAsia="Cambria" w:cs="Arial"/>
                <w:iCs/>
                <w:sz w:val="18"/>
                <w:szCs w:val="18"/>
                <w:lang w:eastAsia="en-AU"/>
              </w:rPr>
            </w:pPr>
          </w:p>
        </w:tc>
        <w:tc>
          <w:tcPr>
            <w:tcW w:w="715" w:type="pct"/>
            <w:shd w:val="clear" w:color="auto" w:fill="auto"/>
          </w:tcPr>
          <w:p w:rsidR="00B52BB0" w:rsidRPr="000F1448" w:rsidRDefault="00B52BB0" w:rsidP="003E074D">
            <w:pPr>
              <w:pStyle w:val="TableText"/>
            </w:pPr>
            <w:r w:rsidRPr="00750ECD">
              <w:t xml:space="preserve">Yes </w:t>
            </w:r>
            <w:r>
              <w:rPr>
                <w:noProof/>
              </w:rPr>
              <w:t>(García Morales et al. 2019)</w:t>
            </w:r>
          </w:p>
        </w:tc>
        <w:tc>
          <w:tcPr>
            <w:tcW w:w="714" w:type="pct"/>
            <w:shd w:val="clear" w:color="auto" w:fill="auto"/>
          </w:tcPr>
          <w:p w:rsidR="00B52BB0" w:rsidRPr="000F1448" w:rsidRDefault="00B52BB0" w:rsidP="003E074D">
            <w:pPr>
              <w:pStyle w:val="TableText"/>
            </w:pPr>
            <w:r w:rsidRPr="00774BF9">
              <w:t>No records found</w:t>
            </w:r>
          </w:p>
        </w:tc>
        <w:tc>
          <w:tcPr>
            <w:tcW w:w="714" w:type="pct"/>
            <w:shd w:val="clear" w:color="auto" w:fill="auto"/>
          </w:tcPr>
          <w:p w:rsidR="00B52BB0" w:rsidRPr="00AC2E92" w:rsidRDefault="00B52BB0" w:rsidP="003E074D">
            <w:pPr>
              <w:pStyle w:val="TableText"/>
            </w:pPr>
            <w:r>
              <w:t xml:space="preserve">No. </w:t>
            </w:r>
            <w:r>
              <w:rPr>
                <w:rFonts w:eastAsia="Cambria" w:cs="Arial"/>
                <w:i/>
                <w:iCs/>
                <w:szCs w:val="18"/>
                <w:lang w:eastAsia="en-AU"/>
              </w:rPr>
              <w:t>Planococcus angkorensis</w:t>
            </w:r>
            <w:r>
              <w:rPr>
                <w:rFonts w:eastAsia="Cambria" w:cs="Arial"/>
                <w:iCs/>
                <w:szCs w:val="18"/>
                <w:lang w:eastAsia="en-AU"/>
              </w:rPr>
              <w:t xml:space="preserve"> feeds on the roots and within the stems of host plants </w:t>
            </w:r>
            <w:r>
              <w:rPr>
                <w:noProof/>
              </w:rPr>
              <w:t>(Williams 2004)</w:t>
            </w:r>
            <w:r>
              <w:t>.</w:t>
            </w:r>
          </w:p>
        </w:tc>
        <w:tc>
          <w:tcPr>
            <w:tcW w:w="714" w:type="pct"/>
            <w:shd w:val="clear" w:color="auto" w:fill="auto"/>
          </w:tcPr>
          <w:p w:rsidR="00B52BB0" w:rsidRPr="000F1448" w:rsidRDefault="00B52BB0" w:rsidP="003E074D">
            <w:pPr>
              <w:pStyle w:val="TableText"/>
            </w:pPr>
            <w:r w:rsidRPr="00750ECD">
              <w:t>Assessment not required</w:t>
            </w:r>
          </w:p>
        </w:tc>
        <w:tc>
          <w:tcPr>
            <w:tcW w:w="714" w:type="pct"/>
            <w:shd w:val="clear" w:color="auto" w:fill="auto"/>
          </w:tcPr>
          <w:p w:rsidR="00B52BB0" w:rsidRPr="000F1448" w:rsidRDefault="00B52BB0" w:rsidP="003E074D">
            <w:pPr>
              <w:pStyle w:val="TableText"/>
            </w:pPr>
            <w:r w:rsidRPr="00750ECD">
              <w:t>Assessment not required</w:t>
            </w:r>
          </w:p>
        </w:tc>
        <w:tc>
          <w:tcPr>
            <w:tcW w:w="714" w:type="pct"/>
            <w:shd w:val="clear" w:color="auto" w:fill="auto"/>
          </w:tcPr>
          <w:p w:rsidR="00B52BB0" w:rsidRPr="000F1448" w:rsidRDefault="00B52BB0" w:rsidP="003E074D">
            <w:pPr>
              <w:pStyle w:val="TableText"/>
            </w:pPr>
            <w:r w:rsidRPr="00750ECD">
              <w:t>No</w:t>
            </w:r>
          </w:p>
        </w:tc>
      </w:tr>
      <w:tr w:rsidR="00B52BB0" w:rsidRPr="00DF463B"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Arial"/>
                <w:sz w:val="18"/>
                <w:szCs w:val="18"/>
                <w:lang w:eastAsia="en-AU"/>
              </w:rPr>
            </w:pPr>
            <w:r w:rsidRPr="00727C5C">
              <w:rPr>
                <w:rFonts w:eastAsia="Cambria" w:cs="Arial"/>
                <w:i/>
                <w:iCs/>
                <w:sz w:val="18"/>
                <w:szCs w:val="18"/>
                <w:lang w:eastAsia="en-AU"/>
              </w:rPr>
              <w:t xml:space="preserve">Planococcus citri </w:t>
            </w:r>
            <w:r w:rsidRPr="004569F6">
              <w:rPr>
                <w:rFonts w:eastAsia="Cambria" w:cs="Arial"/>
                <w:sz w:val="18"/>
                <w:szCs w:val="18"/>
                <w:lang w:eastAsia="en-AU"/>
              </w:rPr>
              <w:t>(Risso, 1813)</w:t>
            </w:r>
          </w:p>
          <w:p w:rsidR="00B52BB0" w:rsidRPr="004569F6" w:rsidRDefault="00B52BB0" w:rsidP="003E074D">
            <w:pPr>
              <w:autoSpaceDE w:val="0"/>
              <w:autoSpaceDN w:val="0"/>
              <w:adjustRightInd w:val="0"/>
              <w:spacing w:before="60" w:after="60" w:line="240" w:lineRule="auto"/>
              <w:rPr>
                <w:rFonts w:eastAsia="Cambria" w:cs="Arial"/>
                <w:sz w:val="18"/>
                <w:szCs w:val="18"/>
                <w:lang w:eastAsia="en-AU"/>
              </w:rPr>
            </w:pPr>
            <w:r w:rsidRPr="004569F6">
              <w:rPr>
                <w:rFonts w:eastAsia="Cambria" w:cs="Arial"/>
                <w:sz w:val="18"/>
                <w:szCs w:val="18"/>
                <w:lang w:eastAsia="en-AU"/>
              </w:rPr>
              <w:t>[Pseudococcidae]</w:t>
            </w:r>
          </w:p>
          <w:p w:rsidR="00B52BB0" w:rsidRPr="00F6567E" w:rsidRDefault="00B52BB0" w:rsidP="003E074D">
            <w:pPr>
              <w:pStyle w:val="TableText"/>
              <w:rPr>
                <w:i/>
                <w:lang w:val="pt-BR"/>
              </w:rPr>
            </w:pPr>
            <w:r w:rsidRPr="004569F6">
              <w:rPr>
                <w:rFonts w:eastAsia="Cambria" w:cs="Arial"/>
                <w:szCs w:val="18"/>
                <w:lang w:eastAsia="en-AU"/>
              </w:rPr>
              <w:t>Citrus mealybug</w:t>
            </w:r>
          </w:p>
        </w:tc>
        <w:tc>
          <w:tcPr>
            <w:tcW w:w="715" w:type="pct"/>
            <w:shd w:val="clear" w:color="auto" w:fill="auto"/>
          </w:tcPr>
          <w:p w:rsidR="00B52BB0" w:rsidRPr="00DF463B" w:rsidRDefault="00B52BB0" w:rsidP="003E074D">
            <w:pPr>
              <w:pStyle w:val="TableText"/>
              <w:rPr>
                <w:lang w:val="pt-BR"/>
              </w:rPr>
            </w:pPr>
            <w:r w:rsidRPr="000F1448">
              <w:t xml:space="preserve">Yes </w:t>
            </w:r>
            <w:r>
              <w:rPr>
                <w:noProof/>
              </w:rPr>
              <w:t>(García Morales et al. 2019)</w:t>
            </w:r>
          </w:p>
        </w:tc>
        <w:tc>
          <w:tcPr>
            <w:tcW w:w="714" w:type="pct"/>
            <w:shd w:val="clear" w:color="auto" w:fill="auto"/>
          </w:tcPr>
          <w:p w:rsidR="00B52BB0" w:rsidRPr="00DF463B" w:rsidRDefault="00B52BB0" w:rsidP="003E074D">
            <w:pPr>
              <w:pStyle w:val="TableText"/>
              <w:rPr>
                <w:szCs w:val="16"/>
              </w:rPr>
            </w:pPr>
            <w:r w:rsidRPr="000F1448">
              <w:t>Yes. NSW, NT, Qld, SA, Tas</w:t>
            </w:r>
            <w:r w:rsidR="003E074D">
              <w:t>.</w:t>
            </w:r>
            <w:r w:rsidRPr="000F1448">
              <w:t xml:space="preserve">, Vic., WA </w:t>
            </w:r>
            <w:r>
              <w:rPr>
                <w:noProof/>
              </w:rPr>
              <w:t>(Plant Health Australia 2019)</w:t>
            </w:r>
          </w:p>
        </w:tc>
        <w:tc>
          <w:tcPr>
            <w:tcW w:w="714" w:type="pct"/>
            <w:shd w:val="clear" w:color="auto" w:fill="auto"/>
          </w:tcPr>
          <w:p w:rsidR="00B52BB0" w:rsidRPr="00DF463B" w:rsidRDefault="00B52BB0" w:rsidP="003E074D">
            <w:pPr>
              <w:pStyle w:val="TableText"/>
            </w:pPr>
            <w:r w:rsidRPr="000F1448">
              <w:t>Assessment not required</w:t>
            </w:r>
          </w:p>
        </w:tc>
        <w:tc>
          <w:tcPr>
            <w:tcW w:w="714" w:type="pct"/>
            <w:shd w:val="clear" w:color="auto" w:fill="auto"/>
          </w:tcPr>
          <w:p w:rsidR="00B52BB0" w:rsidRPr="00DF463B" w:rsidRDefault="00B52BB0" w:rsidP="003E074D">
            <w:pPr>
              <w:pStyle w:val="TableText"/>
            </w:pPr>
            <w:r w:rsidRPr="000F1448">
              <w:t>Assessment not required</w:t>
            </w:r>
          </w:p>
        </w:tc>
        <w:tc>
          <w:tcPr>
            <w:tcW w:w="714" w:type="pct"/>
            <w:shd w:val="clear" w:color="auto" w:fill="auto"/>
          </w:tcPr>
          <w:p w:rsidR="00B52BB0" w:rsidRPr="00DF463B" w:rsidRDefault="00B52BB0" w:rsidP="003E074D">
            <w:pPr>
              <w:pStyle w:val="TableText"/>
            </w:pPr>
            <w:r w:rsidRPr="000F1448">
              <w:t>Assessment not required</w:t>
            </w:r>
          </w:p>
        </w:tc>
        <w:tc>
          <w:tcPr>
            <w:tcW w:w="714" w:type="pct"/>
            <w:shd w:val="clear" w:color="auto" w:fill="auto"/>
          </w:tcPr>
          <w:p w:rsidR="00B52BB0" w:rsidRPr="00DF463B" w:rsidRDefault="00B52BB0" w:rsidP="003E074D">
            <w:pPr>
              <w:pStyle w:val="TableText"/>
            </w:pPr>
            <w:r w:rsidRPr="000F1448">
              <w:t>No</w:t>
            </w:r>
          </w:p>
        </w:tc>
      </w:tr>
      <w:tr w:rsidR="00B52BB0" w:rsidRPr="00DF463B"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Arial"/>
                <w:iCs/>
                <w:sz w:val="18"/>
                <w:szCs w:val="18"/>
                <w:lang w:eastAsia="en-AU"/>
              </w:rPr>
            </w:pPr>
            <w:r w:rsidRPr="00727C5C">
              <w:rPr>
                <w:rFonts w:eastAsia="Cambria" w:cs="Arial"/>
                <w:i/>
                <w:sz w:val="18"/>
                <w:szCs w:val="18"/>
                <w:lang w:eastAsia="en-AU"/>
              </w:rPr>
              <w:t xml:space="preserve">Planococcus lilacinus </w:t>
            </w:r>
            <w:r w:rsidRPr="004569F6">
              <w:rPr>
                <w:rFonts w:eastAsia="Cambria" w:cs="Arial"/>
                <w:iCs/>
                <w:sz w:val="18"/>
                <w:szCs w:val="18"/>
                <w:lang w:eastAsia="en-AU"/>
              </w:rPr>
              <w:t>Ferris, 1950</w:t>
            </w:r>
          </w:p>
          <w:p w:rsidR="00B52BB0" w:rsidRPr="004569F6" w:rsidRDefault="00B52BB0" w:rsidP="003E074D">
            <w:pPr>
              <w:autoSpaceDE w:val="0"/>
              <w:autoSpaceDN w:val="0"/>
              <w:adjustRightInd w:val="0"/>
              <w:spacing w:before="60" w:after="60" w:line="240" w:lineRule="auto"/>
              <w:rPr>
                <w:rFonts w:eastAsia="Cambria" w:cs="Arial"/>
                <w:iCs/>
                <w:sz w:val="18"/>
                <w:szCs w:val="18"/>
                <w:lang w:eastAsia="en-AU"/>
              </w:rPr>
            </w:pPr>
            <w:r w:rsidRPr="004569F6">
              <w:rPr>
                <w:rFonts w:eastAsia="Cambria" w:cs="Arial"/>
                <w:iCs/>
                <w:sz w:val="18"/>
                <w:szCs w:val="18"/>
                <w:lang w:eastAsia="en-AU"/>
              </w:rPr>
              <w:t>[Pseudococcidae]</w:t>
            </w:r>
          </w:p>
          <w:p w:rsidR="00B52BB0" w:rsidRPr="00F6567E" w:rsidRDefault="00B52BB0" w:rsidP="003E074D">
            <w:pPr>
              <w:pStyle w:val="TableText"/>
              <w:rPr>
                <w:i/>
                <w:lang w:val="pt-BR"/>
              </w:rPr>
            </w:pPr>
            <w:r w:rsidRPr="004569F6">
              <w:rPr>
                <w:rFonts w:eastAsia="Cambria" w:cs="Arial"/>
                <w:iCs/>
                <w:szCs w:val="18"/>
                <w:lang w:eastAsia="en-AU"/>
              </w:rPr>
              <w:t>Coffee mealybug</w:t>
            </w:r>
          </w:p>
        </w:tc>
        <w:tc>
          <w:tcPr>
            <w:tcW w:w="715" w:type="pct"/>
            <w:shd w:val="clear" w:color="auto" w:fill="auto"/>
          </w:tcPr>
          <w:p w:rsidR="00B52BB0" w:rsidRPr="00DF463B" w:rsidRDefault="00B52BB0" w:rsidP="003E074D">
            <w:pPr>
              <w:pStyle w:val="TableText"/>
              <w:rPr>
                <w:lang w:val="pt-BR"/>
              </w:rPr>
            </w:pPr>
            <w:r w:rsidRPr="006C67F1">
              <w:t xml:space="preserve">Yes </w:t>
            </w:r>
            <w:r>
              <w:rPr>
                <w:noProof/>
              </w:rPr>
              <w:t>(García Morales et al. 2019)</w:t>
            </w:r>
          </w:p>
        </w:tc>
        <w:tc>
          <w:tcPr>
            <w:tcW w:w="714" w:type="pct"/>
            <w:shd w:val="clear" w:color="auto" w:fill="auto"/>
          </w:tcPr>
          <w:p w:rsidR="00B52BB0" w:rsidRPr="00DF463B" w:rsidRDefault="00B52BB0" w:rsidP="003E074D">
            <w:pPr>
              <w:pStyle w:val="TableText"/>
              <w:rPr>
                <w:szCs w:val="16"/>
              </w:rPr>
            </w:pPr>
            <w:r w:rsidRPr="006C67F1">
              <w:t xml:space="preserve">Yes. Torres Strait, under official control </w:t>
            </w:r>
            <w:r>
              <w:rPr>
                <w:noProof/>
              </w:rPr>
              <w:t>(QDAF 2018a)</w:t>
            </w:r>
          </w:p>
        </w:tc>
        <w:tc>
          <w:tcPr>
            <w:tcW w:w="714" w:type="pct"/>
            <w:shd w:val="clear" w:color="auto" w:fill="auto"/>
          </w:tcPr>
          <w:p w:rsidR="00B52BB0" w:rsidRPr="00DF463B" w:rsidRDefault="00B52BB0" w:rsidP="003E074D">
            <w:pPr>
              <w:pStyle w:val="TableText"/>
            </w:pPr>
            <w:r w:rsidRPr="006C67F1">
              <w:t xml:space="preserve">Yes. </w:t>
            </w:r>
            <w:r w:rsidRPr="00A03C7C">
              <w:rPr>
                <w:i/>
                <w:iCs/>
              </w:rPr>
              <w:t>Planococcus lilacinus</w:t>
            </w:r>
            <w:r w:rsidRPr="006C67F1">
              <w:t xml:space="preserve"> is associated with the longan fruit export pathway </w:t>
            </w:r>
            <w:r>
              <w:rPr>
                <w:noProof/>
              </w:rPr>
              <w:t>(Evans &amp; Dooley 2013)</w:t>
            </w:r>
            <w:r w:rsidRPr="006C67F1">
              <w:t>.</w:t>
            </w:r>
          </w:p>
        </w:tc>
        <w:tc>
          <w:tcPr>
            <w:tcW w:w="714" w:type="pct"/>
            <w:shd w:val="clear" w:color="auto" w:fill="auto"/>
          </w:tcPr>
          <w:p w:rsidR="00B52BB0" w:rsidRPr="00DF463B" w:rsidRDefault="00B52BB0" w:rsidP="003E074D">
            <w:pPr>
              <w:pStyle w:val="TableText"/>
            </w:pPr>
            <w:r w:rsidRPr="006C67F1">
              <w:t xml:space="preserve">Yes. </w:t>
            </w:r>
            <w:r w:rsidRPr="00A03C7C">
              <w:rPr>
                <w:i/>
                <w:iCs/>
              </w:rPr>
              <w:t>Planococcus lilacinus</w:t>
            </w:r>
            <w:r w:rsidRPr="006C67F1">
              <w:t xml:space="preserve"> has a wide host range and is distributed throughout many tropical areas </w:t>
            </w:r>
            <w:r>
              <w:rPr>
                <w:noProof/>
              </w:rPr>
              <w:t>(Entwistle 1972)</w:t>
            </w:r>
            <w:r w:rsidRPr="006C67F1">
              <w:t xml:space="preserve">. Reproduction is usually parthenogenetic </w:t>
            </w:r>
            <w:r>
              <w:rPr>
                <w:noProof/>
              </w:rPr>
              <w:t>(Khoo, Ooi &amp; Ho 1991)</w:t>
            </w:r>
            <w:r w:rsidRPr="006C67F1">
              <w:t>.</w:t>
            </w:r>
          </w:p>
        </w:tc>
        <w:tc>
          <w:tcPr>
            <w:tcW w:w="714" w:type="pct"/>
            <w:shd w:val="clear" w:color="auto" w:fill="auto"/>
          </w:tcPr>
          <w:p w:rsidR="00B52BB0" w:rsidRPr="00DF463B" w:rsidRDefault="00B52BB0" w:rsidP="003E074D">
            <w:pPr>
              <w:pStyle w:val="TableText"/>
            </w:pPr>
            <w:r w:rsidRPr="006C67F1">
              <w:t xml:space="preserve">Yes. </w:t>
            </w:r>
            <w:r w:rsidRPr="00A03C7C">
              <w:rPr>
                <w:i/>
                <w:iCs/>
              </w:rPr>
              <w:t>Planococcus lilacinus</w:t>
            </w:r>
            <w:r w:rsidRPr="006C67F1">
              <w:t xml:space="preserve"> is common in southern Asia and has been reported attacking many economically important crops </w:t>
            </w:r>
            <w:r>
              <w:rPr>
                <w:noProof/>
              </w:rPr>
              <w:t>(Williams 2004)</w:t>
            </w:r>
            <w:r w:rsidRPr="006C67F1">
              <w:t xml:space="preserve">. It is considered a major threat to agriculture </w:t>
            </w:r>
            <w:r>
              <w:rPr>
                <w:noProof/>
              </w:rPr>
              <w:t>(Miller, Miller &amp; Watson 2002)</w:t>
            </w:r>
            <w:r w:rsidRPr="006C67F1">
              <w:t>.</w:t>
            </w:r>
          </w:p>
        </w:tc>
        <w:tc>
          <w:tcPr>
            <w:tcW w:w="714" w:type="pct"/>
            <w:shd w:val="clear" w:color="auto" w:fill="auto"/>
          </w:tcPr>
          <w:p w:rsidR="00B52BB0" w:rsidRPr="00DF463B" w:rsidRDefault="00B52BB0" w:rsidP="003E074D">
            <w:pPr>
              <w:pStyle w:val="TableText"/>
            </w:pPr>
            <w:r w:rsidRPr="006C67F1">
              <w:t>Yes (EP)</w:t>
            </w:r>
          </w:p>
        </w:tc>
      </w:tr>
      <w:tr w:rsidR="00B52BB0" w:rsidRPr="00ED7687"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Arial"/>
                <w:iCs/>
                <w:sz w:val="18"/>
                <w:szCs w:val="18"/>
                <w:lang w:eastAsia="en-AU"/>
              </w:rPr>
            </w:pPr>
            <w:r w:rsidRPr="00727C5C">
              <w:rPr>
                <w:rFonts w:eastAsia="Cambria" w:cs="Arial"/>
                <w:i/>
                <w:sz w:val="18"/>
                <w:szCs w:val="18"/>
                <w:lang w:eastAsia="en-AU"/>
              </w:rPr>
              <w:lastRenderedPageBreak/>
              <w:t xml:space="preserve">Planococcus litchi </w:t>
            </w:r>
            <w:r w:rsidRPr="004569F6">
              <w:rPr>
                <w:rFonts w:eastAsia="Cambria" w:cs="Arial"/>
                <w:iCs/>
                <w:sz w:val="18"/>
                <w:szCs w:val="18"/>
                <w:lang w:eastAsia="en-AU"/>
              </w:rPr>
              <w:t>Cox 1989</w:t>
            </w:r>
          </w:p>
          <w:p w:rsidR="00B52BB0" w:rsidRPr="004569F6" w:rsidRDefault="00B52BB0" w:rsidP="003E074D">
            <w:pPr>
              <w:autoSpaceDE w:val="0"/>
              <w:autoSpaceDN w:val="0"/>
              <w:adjustRightInd w:val="0"/>
              <w:spacing w:before="60" w:after="60" w:line="240" w:lineRule="auto"/>
              <w:rPr>
                <w:rFonts w:eastAsia="Cambria" w:cs="Arial"/>
                <w:iCs/>
                <w:sz w:val="18"/>
                <w:szCs w:val="18"/>
                <w:lang w:eastAsia="en-AU"/>
              </w:rPr>
            </w:pPr>
            <w:r w:rsidRPr="004569F6">
              <w:rPr>
                <w:rFonts w:eastAsia="Cambria" w:cs="Arial"/>
                <w:iCs/>
                <w:sz w:val="18"/>
                <w:szCs w:val="18"/>
                <w:lang w:eastAsia="en-AU"/>
              </w:rPr>
              <w:t>(Pseudococcidae)</w:t>
            </w:r>
          </w:p>
          <w:p w:rsidR="00B52BB0" w:rsidRPr="00ED7687" w:rsidRDefault="00B52BB0" w:rsidP="003E074D">
            <w:pPr>
              <w:autoSpaceDE w:val="0"/>
              <w:autoSpaceDN w:val="0"/>
              <w:adjustRightInd w:val="0"/>
              <w:spacing w:before="60" w:after="60" w:line="240" w:lineRule="auto"/>
              <w:rPr>
                <w:rFonts w:eastAsia="Cambria" w:cs="Arial"/>
                <w:iCs/>
                <w:sz w:val="18"/>
                <w:szCs w:val="18"/>
                <w:lang w:eastAsia="en-AU"/>
              </w:rPr>
            </w:pPr>
            <w:r w:rsidRPr="004569F6">
              <w:rPr>
                <w:rFonts w:eastAsia="Cambria" w:cs="Arial"/>
                <w:iCs/>
                <w:sz w:val="18"/>
                <w:szCs w:val="18"/>
                <w:lang w:eastAsia="en-AU"/>
              </w:rPr>
              <w:t>Litchi mealybug</w:t>
            </w:r>
          </w:p>
        </w:tc>
        <w:tc>
          <w:tcPr>
            <w:tcW w:w="715" w:type="pct"/>
            <w:shd w:val="clear" w:color="auto" w:fill="auto"/>
          </w:tcPr>
          <w:p w:rsidR="00B52BB0" w:rsidRPr="00ED7687" w:rsidRDefault="00B52BB0" w:rsidP="003E074D">
            <w:pPr>
              <w:pStyle w:val="TableText"/>
              <w:rPr>
                <w:szCs w:val="18"/>
                <w:lang w:val="pt-BR"/>
              </w:rPr>
            </w:pPr>
            <w:r w:rsidRPr="00774BF9">
              <w:t xml:space="preserve">Yes </w:t>
            </w:r>
            <w:r>
              <w:rPr>
                <w:noProof/>
              </w:rPr>
              <w:t>(García Morales et al. 2019)</w:t>
            </w:r>
          </w:p>
        </w:tc>
        <w:tc>
          <w:tcPr>
            <w:tcW w:w="714" w:type="pct"/>
            <w:shd w:val="clear" w:color="auto" w:fill="auto"/>
          </w:tcPr>
          <w:p w:rsidR="00B52BB0" w:rsidRPr="00ED7687" w:rsidRDefault="00B52BB0" w:rsidP="003E074D">
            <w:pPr>
              <w:pStyle w:val="TableText"/>
              <w:rPr>
                <w:szCs w:val="18"/>
              </w:rPr>
            </w:pPr>
            <w:r w:rsidRPr="00774BF9">
              <w:t>No records found</w:t>
            </w:r>
          </w:p>
        </w:tc>
        <w:tc>
          <w:tcPr>
            <w:tcW w:w="714" w:type="pct"/>
            <w:shd w:val="clear" w:color="auto" w:fill="auto"/>
          </w:tcPr>
          <w:p w:rsidR="00B52BB0" w:rsidRPr="00ED7687" w:rsidRDefault="00B52BB0" w:rsidP="003E074D">
            <w:pPr>
              <w:pStyle w:val="TableText"/>
              <w:rPr>
                <w:szCs w:val="18"/>
              </w:rPr>
            </w:pPr>
            <w:r w:rsidRPr="00774BF9">
              <w:t xml:space="preserve">Yes. </w:t>
            </w:r>
            <w:r w:rsidRPr="00A03C7C">
              <w:rPr>
                <w:i/>
                <w:iCs/>
              </w:rPr>
              <w:t>Planococcus litchi</w:t>
            </w:r>
            <w:r w:rsidRPr="00774BF9">
              <w:t xml:space="preserve"> is associated with longan and has been intercepted on fruit shipments of lychees </w:t>
            </w:r>
            <w:r>
              <w:rPr>
                <w:noProof/>
              </w:rPr>
              <w:t>(García Morales et al. 2019)</w:t>
            </w:r>
            <w:r w:rsidRPr="00774BF9">
              <w:t>.</w:t>
            </w:r>
          </w:p>
        </w:tc>
        <w:tc>
          <w:tcPr>
            <w:tcW w:w="714" w:type="pct"/>
            <w:shd w:val="clear" w:color="auto" w:fill="auto"/>
          </w:tcPr>
          <w:p w:rsidR="00B52BB0" w:rsidRPr="00ED7687" w:rsidRDefault="00B52BB0" w:rsidP="003E074D">
            <w:pPr>
              <w:pStyle w:val="TableText"/>
              <w:rPr>
                <w:szCs w:val="18"/>
              </w:rPr>
            </w:pPr>
            <w:r w:rsidRPr="00774BF9">
              <w:t xml:space="preserve">Yes. </w:t>
            </w:r>
            <w:r w:rsidRPr="00A03C7C">
              <w:rPr>
                <w:i/>
                <w:iCs/>
              </w:rPr>
              <w:t>Planococcus litchi</w:t>
            </w:r>
            <w:r w:rsidRPr="00774BF9">
              <w:t xml:space="preserve"> feeds on longans, lychees, loquat and pineapples. It has been reported from multiple temperate and tropical regions in Asia </w:t>
            </w:r>
            <w:r>
              <w:rPr>
                <w:noProof/>
              </w:rPr>
              <w:t>(García Morales et al. 2019)</w:t>
            </w:r>
            <w:r w:rsidRPr="00774BF9">
              <w:t>. The host range and geographic distribution of this pest suggest that it is capable of establishing and spreading in Australia.</w:t>
            </w:r>
          </w:p>
        </w:tc>
        <w:tc>
          <w:tcPr>
            <w:tcW w:w="714" w:type="pct"/>
            <w:shd w:val="clear" w:color="auto" w:fill="auto"/>
          </w:tcPr>
          <w:p w:rsidR="00B52BB0" w:rsidRPr="00ED7687" w:rsidRDefault="00B52BB0" w:rsidP="003E074D">
            <w:pPr>
              <w:pStyle w:val="TableText"/>
              <w:rPr>
                <w:szCs w:val="18"/>
              </w:rPr>
            </w:pPr>
            <w:r w:rsidRPr="00774BF9">
              <w:t xml:space="preserve">Yes. </w:t>
            </w:r>
            <w:r w:rsidRPr="00A03C7C">
              <w:rPr>
                <w:i/>
                <w:iCs/>
              </w:rPr>
              <w:t>Planococcus litchi</w:t>
            </w:r>
            <w:r w:rsidRPr="00774BF9">
              <w:t xml:space="preserve"> is a pest of several commercial crops </w:t>
            </w:r>
            <w:r>
              <w:rPr>
                <w:noProof/>
              </w:rPr>
              <w:t>(García Morales et al. 2019)</w:t>
            </w:r>
            <w:r w:rsidRPr="00774BF9">
              <w:t>.</w:t>
            </w:r>
          </w:p>
        </w:tc>
        <w:tc>
          <w:tcPr>
            <w:tcW w:w="714" w:type="pct"/>
            <w:shd w:val="clear" w:color="auto" w:fill="auto"/>
          </w:tcPr>
          <w:p w:rsidR="00B52BB0" w:rsidRPr="00ED7687" w:rsidRDefault="00B52BB0" w:rsidP="003E074D">
            <w:pPr>
              <w:pStyle w:val="TableText"/>
              <w:rPr>
                <w:szCs w:val="18"/>
              </w:rPr>
            </w:pPr>
            <w:r w:rsidRPr="00774BF9">
              <w:t>Yes (EP)</w:t>
            </w:r>
          </w:p>
        </w:tc>
      </w:tr>
      <w:tr w:rsidR="00B52BB0" w:rsidRPr="00DF463B" w:rsidTr="003E074D">
        <w:trPr>
          <w:cantSplit/>
          <w:trHeight w:val="75"/>
          <w:jc w:val="center"/>
        </w:trPr>
        <w:tc>
          <w:tcPr>
            <w:tcW w:w="715" w:type="pct"/>
            <w:shd w:val="clear" w:color="auto" w:fill="auto"/>
          </w:tcPr>
          <w:p w:rsidR="00B52BB0" w:rsidRPr="004569F6" w:rsidRDefault="00B52BB0" w:rsidP="003E074D">
            <w:pPr>
              <w:spacing w:before="60" w:after="60" w:line="240" w:lineRule="auto"/>
              <w:rPr>
                <w:iCs/>
                <w:sz w:val="18"/>
                <w:szCs w:val="18"/>
              </w:rPr>
            </w:pPr>
            <w:r w:rsidRPr="00727C5C">
              <w:rPr>
                <w:i/>
                <w:sz w:val="18"/>
                <w:szCs w:val="18"/>
              </w:rPr>
              <w:t xml:space="preserve">Planococcus minor </w:t>
            </w:r>
            <w:r w:rsidRPr="004569F6">
              <w:rPr>
                <w:iCs/>
                <w:sz w:val="18"/>
                <w:szCs w:val="18"/>
              </w:rPr>
              <w:t>(Maskell, 1897)</w:t>
            </w:r>
          </w:p>
          <w:p w:rsidR="00B52BB0" w:rsidRPr="004569F6" w:rsidRDefault="00B52BB0" w:rsidP="003E074D">
            <w:pPr>
              <w:spacing w:before="60" w:after="60" w:line="240" w:lineRule="auto"/>
              <w:rPr>
                <w:iCs/>
                <w:sz w:val="18"/>
                <w:szCs w:val="18"/>
              </w:rPr>
            </w:pPr>
            <w:r w:rsidRPr="004569F6">
              <w:rPr>
                <w:iCs/>
                <w:sz w:val="18"/>
                <w:szCs w:val="18"/>
              </w:rPr>
              <w:t>[Pseudococcidae]</w:t>
            </w:r>
          </w:p>
          <w:p w:rsidR="00B52BB0" w:rsidRPr="00F6567E" w:rsidRDefault="00B52BB0" w:rsidP="003E074D">
            <w:pPr>
              <w:pStyle w:val="TableText"/>
              <w:rPr>
                <w:i/>
                <w:lang w:val="pt-BR"/>
              </w:rPr>
            </w:pPr>
            <w:r w:rsidRPr="004569F6">
              <w:rPr>
                <w:iCs/>
                <w:szCs w:val="18"/>
              </w:rPr>
              <w:t>Passionvine mealybug</w:t>
            </w:r>
          </w:p>
        </w:tc>
        <w:tc>
          <w:tcPr>
            <w:tcW w:w="715" w:type="pct"/>
            <w:shd w:val="clear" w:color="auto" w:fill="auto"/>
          </w:tcPr>
          <w:p w:rsidR="00B52BB0" w:rsidRPr="00DF463B" w:rsidRDefault="00B52BB0" w:rsidP="003E074D">
            <w:pPr>
              <w:pStyle w:val="TableText"/>
              <w:rPr>
                <w:lang w:val="pt-BR"/>
              </w:rPr>
            </w:pPr>
            <w:r w:rsidRPr="00A51DF6">
              <w:t xml:space="preserve">Yes </w:t>
            </w:r>
            <w:r>
              <w:rPr>
                <w:noProof/>
              </w:rPr>
              <w:t>(García Morales et al. 2019)</w:t>
            </w:r>
          </w:p>
        </w:tc>
        <w:tc>
          <w:tcPr>
            <w:tcW w:w="714" w:type="pct"/>
            <w:shd w:val="clear" w:color="auto" w:fill="auto"/>
          </w:tcPr>
          <w:p w:rsidR="00B52BB0" w:rsidRDefault="00B52BB0" w:rsidP="003E074D">
            <w:pPr>
              <w:pStyle w:val="TableText"/>
            </w:pPr>
            <w:r w:rsidRPr="00A51DF6">
              <w:t xml:space="preserve">Yes. ACT, NSW, NT, Qld, SA, Vic. </w:t>
            </w:r>
            <w:r>
              <w:rPr>
                <w:noProof/>
              </w:rPr>
              <w:t>(Plant Health Australia 2019)</w:t>
            </w:r>
          </w:p>
          <w:p w:rsidR="00B52BB0" w:rsidRPr="00DF463B" w:rsidRDefault="00B52BB0" w:rsidP="003E074D">
            <w:pPr>
              <w:pStyle w:val="TableText"/>
              <w:rPr>
                <w:szCs w:val="16"/>
              </w:rPr>
            </w:pPr>
            <w:r w:rsidRPr="00A51DF6">
              <w:t>Regulated as a Declared Organism (Prohibited (s</w:t>
            </w:r>
            <w:r>
              <w:t>. </w:t>
            </w:r>
            <w:r w:rsidRPr="00A51DF6">
              <w:t xml:space="preserve">12)) </w:t>
            </w:r>
            <w:r>
              <w:t>by</w:t>
            </w:r>
            <w:r w:rsidRPr="00A51DF6">
              <w:t xml:space="preserve"> WA </w:t>
            </w:r>
            <w:r>
              <w:t xml:space="preserve">under the </w:t>
            </w:r>
            <w:r w:rsidRPr="00781407">
              <w:rPr>
                <w:i/>
              </w:rPr>
              <w:t>Biosecurity and Agriculture Management Act 2007</w:t>
            </w:r>
            <w:r w:rsidRPr="00A51DF6">
              <w:t xml:space="preserve"> </w:t>
            </w:r>
            <w:r>
              <w:rPr>
                <w:noProof/>
              </w:rPr>
              <w:t>(Government of Western Australia 2018)</w:t>
            </w:r>
            <w:r w:rsidRPr="00A51DF6">
              <w:t>.</w:t>
            </w:r>
          </w:p>
        </w:tc>
        <w:tc>
          <w:tcPr>
            <w:tcW w:w="714" w:type="pct"/>
            <w:shd w:val="clear" w:color="auto" w:fill="auto"/>
          </w:tcPr>
          <w:p w:rsidR="00B52BB0" w:rsidRPr="00DF463B" w:rsidRDefault="00B52BB0" w:rsidP="003E074D">
            <w:pPr>
              <w:pStyle w:val="TableText"/>
            </w:pPr>
            <w:r w:rsidRPr="00A51DF6">
              <w:t xml:space="preserve">Yes. </w:t>
            </w:r>
            <w:r w:rsidRPr="00A03C7C">
              <w:rPr>
                <w:i/>
                <w:iCs/>
              </w:rPr>
              <w:t>Planococcus minor</w:t>
            </w:r>
            <w:r w:rsidRPr="00A51DF6">
              <w:t xml:space="preserve"> is associated with the longan fruit export pathway </w:t>
            </w:r>
            <w:r>
              <w:rPr>
                <w:noProof/>
              </w:rPr>
              <w:t>(USDA-APHIS 2007)</w:t>
            </w:r>
            <w:r w:rsidRPr="00A51DF6">
              <w:t>.</w:t>
            </w:r>
          </w:p>
        </w:tc>
        <w:tc>
          <w:tcPr>
            <w:tcW w:w="714" w:type="pct"/>
            <w:shd w:val="clear" w:color="auto" w:fill="auto"/>
          </w:tcPr>
          <w:p w:rsidR="00B52BB0" w:rsidRPr="00DF463B" w:rsidRDefault="00B52BB0" w:rsidP="003E074D">
            <w:pPr>
              <w:pStyle w:val="TableText"/>
            </w:pPr>
            <w:r w:rsidRPr="00A51DF6">
              <w:t xml:space="preserve">Yes. </w:t>
            </w:r>
            <w:r w:rsidRPr="00A03C7C">
              <w:rPr>
                <w:i/>
                <w:iCs/>
              </w:rPr>
              <w:t>Planococcus minor</w:t>
            </w:r>
            <w:r w:rsidRPr="00A51DF6">
              <w:t xml:space="preserve"> has a wide host range including mango, banana, mandarin, potato and grapevine </w:t>
            </w:r>
            <w:r>
              <w:rPr>
                <w:noProof/>
              </w:rPr>
              <w:t>(CABI 2019)</w:t>
            </w:r>
            <w:r w:rsidRPr="00A51DF6">
              <w:t xml:space="preserve">. It is distributed in the Australian states and territories of ACT, NSW, NT, Qld, SA and Vic. Internationally it is distributed in most of Asia, Eastern Europe and parts of Africa in environments ranging from temperate to tropical </w:t>
            </w:r>
            <w:r>
              <w:rPr>
                <w:noProof/>
              </w:rPr>
              <w:t>(García Morales et al. 2019)</w:t>
            </w:r>
            <w:r w:rsidRPr="00A51DF6">
              <w:t>.</w:t>
            </w:r>
          </w:p>
        </w:tc>
        <w:tc>
          <w:tcPr>
            <w:tcW w:w="714" w:type="pct"/>
            <w:shd w:val="clear" w:color="auto" w:fill="auto"/>
          </w:tcPr>
          <w:p w:rsidR="00B52BB0" w:rsidRPr="00DF463B" w:rsidRDefault="00B52BB0" w:rsidP="003E074D">
            <w:pPr>
              <w:pStyle w:val="TableText"/>
            </w:pPr>
            <w:r w:rsidRPr="00A51DF6">
              <w:t xml:space="preserve">Yes. </w:t>
            </w:r>
            <w:r w:rsidRPr="00A03C7C">
              <w:rPr>
                <w:i/>
                <w:iCs/>
              </w:rPr>
              <w:t>Planococcus minor</w:t>
            </w:r>
            <w:r w:rsidRPr="00A51DF6">
              <w:t xml:space="preserve"> is a significant pest of over 250 plant species, including several commercial crops </w:t>
            </w:r>
            <w:r>
              <w:rPr>
                <w:noProof/>
              </w:rPr>
              <w:t>(Roda et al. 2013; Venette &amp; Davis 2004)</w:t>
            </w:r>
            <w:r w:rsidRPr="00A51DF6">
              <w:t>.</w:t>
            </w:r>
          </w:p>
        </w:tc>
        <w:tc>
          <w:tcPr>
            <w:tcW w:w="714" w:type="pct"/>
            <w:shd w:val="clear" w:color="auto" w:fill="auto"/>
          </w:tcPr>
          <w:p w:rsidR="00B52BB0" w:rsidRPr="00DF463B" w:rsidRDefault="00B52BB0" w:rsidP="003E074D">
            <w:pPr>
              <w:pStyle w:val="TableText"/>
            </w:pPr>
            <w:r w:rsidRPr="00A51DF6">
              <w:t>Yes (EP, WA)</w:t>
            </w:r>
          </w:p>
        </w:tc>
      </w:tr>
      <w:tr w:rsidR="00B52BB0" w:rsidRPr="00DF463B" w:rsidTr="003E074D">
        <w:trPr>
          <w:cantSplit/>
          <w:trHeight w:val="75"/>
          <w:jc w:val="center"/>
        </w:trPr>
        <w:tc>
          <w:tcPr>
            <w:tcW w:w="715" w:type="pct"/>
            <w:shd w:val="clear" w:color="auto" w:fill="auto"/>
          </w:tcPr>
          <w:p w:rsidR="00B52BB0" w:rsidRDefault="00B52BB0" w:rsidP="003E074D">
            <w:pPr>
              <w:autoSpaceDE w:val="0"/>
              <w:autoSpaceDN w:val="0"/>
              <w:adjustRightInd w:val="0"/>
              <w:spacing w:before="60" w:after="60" w:line="240" w:lineRule="auto"/>
              <w:rPr>
                <w:rFonts w:eastAsia="Cambria" w:cs="Arial"/>
                <w:iCs/>
                <w:sz w:val="18"/>
                <w:szCs w:val="18"/>
                <w:lang w:eastAsia="en-AU"/>
              </w:rPr>
            </w:pPr>
            <w:r>
              <w:rPr>
                <w:rFonts w:eastAsia="Cambria" w:cs="Arial"/>
                <w:i/>
                <w:iCs/>
                <w:sz w:val="18"/>
                <w:szCs w:val="18"/>
                <w:lang w:eastAsia="en-AU"/>
              </w:rPr>
              <w:lastRenderedPageBreak/>
              <w:t>Pseudococcus baliteus</w:t>
            </w:r>
            <w:r>
              <w:rPr>
                <w:rFonts w:eastAsia="Cambria" w:cs="Arial"/>
                <w:iCs/>
                <w:sz w:val="18"/>
                <w:szCs w:val="18"/>
                <w:lang w:eastAsia="en-AU"/>
              </w:rPr>
              <w:t xml:space="preserve"> Lit, 1994</w:t>
            </w:r>
          </w:p>
          <w:p w:rsidR="00B52BB0" w:rsidRDefault="00B52BB0" w:rsidP="003E074D">
            <w:pPr>
              <w:autoSpaceDE w:val="0"/>
              <w:autoSpaceDN w:val="0"/>
              <w:adjustRightInd w:val="0"/>
              <w:spacing w:before="60" w:after="60" w:line="240" w:lineRule="auto"/>
              <w:rPr>
                <w:rFonts w:eastAsia="Cambria" w:cs="Arial"/>
                <w:iCs/>
                <w:sz w:val="18"/>
                <w:szCs w:val="18"/>
                <w:lang w:eastAsia="en-AU"/>
              </w:rPr>
            </w:pPr>
            <w:r>
              <w:rPr>
                <w:rFonts w:eastAsia="Cambria" w:cs="Arial"/>
                <w:iCs/>
                <w:sz w:val="18"/>
                <w:szCs w:val="18"/>
                <w:lang w:eastAsia="en-AU"/>
              </w:rPr>
              <w:t>[Pseudococcidae]</w:t>
            </w:r>
          </w:p>
          <w:p w:rsidR="00B52BB0" w:rsidRPr="00CA5D83" w:rsidRDefault="00B52BB0" w:rsidP="003E074D">
            <w:pPr>
              <w:autoSpaceDE w:val="0"/>
              <w:autoSpaceDN w:val="0"/>
              <w:adjustRightInd w:val="0"/>
              <w:spacing w:before="60" w:after="60" w:line="240" w:lineRule="auto"/>
              <w:rPr>
                <w:rFonts w:eastAsia="Cambria" w:cs="Arial"/>
                <w:iCs/>
                <w:sz w:val="18"/>
                <w:szCs w:val="18"/>
                <w:lang w:eastAsia="en-AU"/>
              </w:rPr>
            </w:pPr>
            <w:r>
              <w:rPr>
                <w:rFonts w:eastAsia="Cambria" w:cs="Arial"/>
                <w:iCs/>
                <w:sz w:val="18"/>
                <w:szCs w:val="18"/>
                <w:lang w:eastAsia="en-AU"/>
              </w:rPr>
              <w:t>Aerial root mealybug</w:t>
            </w:r>
          </w:p>
        </w:tc>
        <w:tc>
          <w:tcPr>
            <w:tcW w:w="715" w:type="pct"/>
            <w:shd w:val="clear" w:color="auto" w:fill="auto"/>
          </w:tcPr>
          <w:p w:rsidR="00B52BB0" w:rsidRPr="008C3AFE" w:rsidRDefault="00B52BB0" w:rsidP="003E074D">
            <w:pPr>
              <w:pStyle w:val="TableText"/>
            </w:pPr>
            <w:r>
              <w:t xml:space="preserve">Yes </w:t>
            </w:r>
            <w:r>
              <w:rPr>
                <w:noProof/>
              </w:rPr>
              <w:t>(García Morales et al. 2019)</w:t>
            </w:r>
          </w:p>
        </w:tc>
        <w:tc>
          <w:tcPr>
            <w:tcW w:w="714" w:type="pct"/>
            <w:shd w:val="clear" w:color="auto" w:fill="auto"/>
          </w:tcPr>
          <w:p w:rsidR="00B52BB0" w:rsidRPr="008C3AFE" w:rsidRDefault="00B52BB0" w:rsidP="003E074D">
            <w:pPr>
              <w:pStyle w:val="TableText"/>
            </w:pPr>
            <w:r w:rsidRPr="008C3AFE">
              <w:t>No records found</w:t>
            </w:r>
          </w:p>
        </w:tc>
        <w:tc>
          <w:tcPr>
            <w:tcW w:w="714" w:type="pct"/>
            <w:shd w:val="clear" w:color="auto" w:fill="auto"/>
          </w:tcPr>
          <w:p w:rsidR="00B52BB0" w:rsidRPr="00B27DC8" w:rsidRDefault="00B52BB0" w:rsidP="003E074D">
            <w:pPr>
              <w:pStyle w:val="TableText"/>
            </w:pPr>
            <w:r>
              <w:t xml:space="preserve">Yes. Longan is a host of </w:t>
            </w:r>
            <w:r>
              <w:rPr>
                <w:i/>
              </w:rPr>
              <w:t>P. baliteus</w:t>
            </w:r>
            <w:r>
              <w:t xml:space="preserve"> </w:t>
            </w:r>
            <w:r>
              <w:rPr>
                <w:noProof/>
              </w:rPr>
              <w:t>(García Morales et al. 2019)</w:t>
            </w:r>
            <w:r>
              <w:t xml:space="preserve">. Although this species is mostly associated with the aerial roots of its hosts </w:t>
            </w:r>
            <w:r>
              <w:rPr>
                <w:noProof/>
              </w:rPr>
              <w:t>(García Morales et al. 2019)</w:t>
            </w:r>
            <w:r>
              <w:t xml:space="preserve">, it has been intercepted globally on shipments of fruit commodities </w:t>
            </w:r>
            <w:r>
              <w:rPr>
                <w:noProof/>
              </w:rPr>
              <w:t>(Department of Agriculture and Water Resources 2019; Evans &amp; Dooley 2013)</w:t>
            </w:r>
            <w:r>
              <w:t xml:space="preserve">, including longan </w:t>
            </w:r>
            <w:r>
              <w:rPr>
                <w:noProof/>
              </w:rPr>
              <w:t>(Williams 2004)</w:t>
            </w:r>
            <w:r>
              <w:t>.</w:t>
            </w:r>
          </w:p>
        </w:tc>
        <w:tc>
          <w:tcPr>
            <w:tcW w:w="714" w:type="pct"/>
            <w:shd w:val="clear" w:color="auto" w:fill="auto"/>
          </w:tcPr>
          <w:p w:rsidR="00B52BB0" w:rsidRPr="00804636" w:rsidRDefault="00B52BB0" w:rsidP="003E074D">
            <w:pPr>
              <w:pStyle w:val="TableText"/>
            </w:pPr>
            <w:r>
              <w:t xml:space="preserve">Yes. </w:t>
            </w:r>
            <w:r>
              <w:rPr>
                <w:rFonts w:eastAsia="Cambria" w:cs="Arial"/>
                <w:i/>
                <w:iCs/>
                <w:szCs w:val="18"/>
                <w:lang w:eastAsia="en-AU"/>
              </w:rPr>
              <w:t>Pseudococcus baliteus</w:t>
            </w:r>
            <w:r>
              <w:t xml:space="preserve"> has a wide host range including durian, lychee, bitter orange and mangosteen </w:t>
            </w:r>
            <w:r>
              <w:rPr>
                <w:noProof/>
              </w:rPr>
              <w:t>(García Morales et al. 2019)</w:t>
            </w:r>
            <w:r>
              <w:t xml:space="preserve">. </w:t>
            </w:r>
            <w:r w:rsidRPr="00023593">
              <w:t xml:space="preserve">This species is present in China and India, and is widespread in South East Asia </w:t>
            </w:r>
            <w:r>
              <w:rPr>
                <w:noProof/>
              </w:rPr>
              <w:t>(García Morales et al. 2019; Williams 2004)</w:t>
            </w:r>
            <w:r w:rsidRPr="00023593">
              <w:t>. The host range and geographic distribution of this pest suggest that it is capable of establishing and spreading in Australia.</w:t>
            </w:r>
          </w:p>
        </w:tc>
        <w:tc>
          <w:tcPr>
            <w:tcW w:w="714" w:type="pct"/>
            <w:shd w:val="clear" w:color="auto" w:fill="auto"/>
          </w:tcPr>
          <w:p w:rsidR="00B52BB0" w:rsidRPr="00317DA3" w:rsidRDefault="00B52BB0" w:rsidP="003E074D">
            <w:pPr>
              <w:pStyle w:val="TableText"/>
            </w:pPr>
            <w:r>
              <w:t xml:space="preserve">Yes. </w:t>
            </w:r>
            <w:r>
              <w:rPr>
                <w:rFonts w:eastAsia="Cambria" w:cs="Arial"/>
                <w:i/>
                <w:iCs/>
                <w:szCs w:val="18"/>
                <w:lang w:eastAsia="en-AU"/>
              </w:rPr>
              <w:t>Pseudococcus baliteus</w:t>
            </w:r>
            <w:r>
              <w:rPr>
                <w:rFonts w:eastAsia="Cambria" w:cs="Arial"/>
                <w:iCs/>
                <w:szCs w:val="18"/>
                <w:lang w:eastAsia="en-AU"/>
              </w:rPr>
              <w:t xml:space="preserve"> attacks several commercial tropical fruit crops including lychee and mangosteen </w:t>
            </w:r>
            <w:r>
              <w:rPr>
                <w:noProof/>
              </w:rPr>
              <w:t>(Evans &amp; Dooley 2013; García Morales et al. 2019)</w:t>
            </w:r>
            <w:r>
              <w:t xml:space="preserve">, </w:t>
            </w:r>
            <w:r w:rsidRPr="00FC4550">
              <w:t xml:space="preserve">and it has been recorded on oranges </w:t>
            </w:r>
            <w:r>
              <w:rPr>
                <w:noProof/>
              </w:rPr>
              <w:t>(Williams 2004)</w:t>
            </w:r>
            <w:r>
              <w:rPr>
                <w:rFonts w:eastAsia="Cambria" w:cs="Arial"/>
                <w:iCs/>
                <w:szCs w:val="18"/>
                <w:lang w:eastAsia="en-AU"/>
              </w:rPr>
              <w:t>.</w:t>
            </w:r>
          </w:p>
        </w:tc>
        <w:tc>
          <w:tcPr>
            <w:tcW w:w="714" w:type="pct"/>
            <w:shd w:val="clear" w:color="auto" w:fill="auto"/>
          </w:tcPr>
          <w:p w:rsidR="00B52BB0" w:rsidRPr="008C3AFE" w:rsidRDefault="00B52BB0" w:rsidP="003E074D">
            <w:pPr>
              <w:pStyle w:val="TableText"/>
            </w:pPr>
            <w:r>
              <w:t>Yes (EP)</w:t>
            </w:r>
          </w:p>
        </w:tc>
      </w:tr>
      <w:tr w:rsidR="00B52BB0" w:rsidRPr="00DF463B"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Arial"/>
                <w:sz w:val="18"/>
                <w:szCs w:val="18"/>
                <w:lang w:eastAsia="en-AU"/>
              </w:rPr>
            </w:pPr>
            <w:r w:rsidRPr="00727C5C">
              <w:rPr>
                <w:rFonts w:eastAsia="Cambria" w:cs="Arial"/>
                <w:i/>
                <w:iCs/>
                <w:sz w:val="18"/>
                <w:szCs w:val="18"/>
                <w:lang w:eastAsia="en-AU"/>
              </w:rPr>
              <w:t xml:space="preserve">Pseudococcus comstocki </w:t>
            </w:r>
            <w:r w:rsidRPr="004569F6">
              <w:rPr>
                <w:rFonts w:eastAsia="Cambria" w:cs="Arial"/>
                <w:sz w:val="18"/>
                <w:szCs w:val="18"/>
                <w:lang w:eastAsia="en-AU"/>
              </w:rPr>
              <w:t>(Kuwana, 1902)</w:t>
            </w:r>
          </w:p>
          <w:p w:rsidR="00B52BB0" w:rsidRPr="004569F6" w:rsidRDefault="00B52BB0" w:rsidP="003E074D">
            <w:pPr>
              <w:autoSpaceDE w:val="0"/>
              <w:autoSpaceDN w:val="0"/>
              <w:adjustRightInd w:val="0"/>
              <w:spacing w:before="60" w:after="60" w:line="240" w:lineRule="auto"/>
              <w:rPr>
                <w:rFonts w:eastAsia="Cambria" w:cs="Arial"/>
                <w:sz w:val="18"/>
                <w:szCs w:val="18"/>
                <w:lang w:eastAsia="en-AU"/>
              </w:rPr>
            </w:pPr>
            <w:r w:rsidRPr="004569F6">
              <w:rPr>
                <w:rFonts w:eastAsia="Cambria" w:cs="Arial"/>
                <w:sz w:val="18"/>
                <w:szCs w:val="18"/>
                <w:lang w:eastAsia="en-AU"/>
              </w:rPr>
              <w:t>[Pseudococcidae]</w:t>
            </w:r>
          </w:p>
          <w:p w:rsidR="00B52BB0" w:rsidRPr="00F6567E" w:rsidRDefault="00B52BB0" w:rsidP="003E074D">
            <w:pPr>
              <w:pStyle w:val="TableText"/>
              <w:rPr>
                <w:i/>
                <w:lang w:val="pt-BR"/>
              </w:rPr>
            </w:pPr>
            <w:r w:rsidRPr="004569F6">
              <w:rPr>
                <w:rFonts w:eastAsia="Cambria" w:cs="Arial"/>
                <w:szCs w:val="18"/>
                <w:lang w:eastAsia="en-AU"/>
              </w:rPr>
              <w:t>Comstock’s mealybug</w:t>
            </w:r>
          </w:p>
        </w:tc>
        <w:tc>
          <w:tcPr>
            <w:tcW w:w="715" w:type="pct"/>
            <w:shd w:val="clear" w:color="auto" w:fill="auto"/>
          </w:tcPr>
          <w:p w:rsidR="00B52BB0" w:rsidRPr="00DF463B" w:rsidRDefault="00B52BB0" w:rsidP="003E074D">
            <w:pPr>
              <w:pStyle w:val="TableText"/>
              <w:rPr>
                <w:lang w:val="pt-BR"/>
              </w:rPr>
            </w:pPr>
            <w:r w:rsidRPr="008C3AFE">
              <w:t xml:space="preserve">Yes </w:t>
            </w:r>
            <w:r>
              <w:rPr>
                <w:noProof/>
              </w:rPr>
              <w:t>(García Morales et al. 2019)</w:t>
            </w:r>
          </w:p>
        </w:tc>
        <w:tc>
          <w:tcPr>
            <w:tcW w:w="714" w:type="pct"/>
            <w:shd w:val="clear" w:color="auto" w:fill="auto"/>
          </w:tcPr>
          <w:p w:rsidR="00B52BB0" w:rsidRPr="00DF463B" w:rsidRDefault="00B52BB0" w:rsidP="003E074D">
            <w:pPr>
              <w:pStyle w:val="TableText"/>
              <w:rPr>
                <w:szCs w:val="16"/>
              </w:rPr>
            </w:pPr>
            <w:r w:rsidRPr="008C3AFE">
              <w:t>No records found</w:t>
            </w:r>
          </w:p>
        </w:tc>
        <w:tc>
          <w:tcPr>
            <w:tcW w:w="714" w:type="pct"/>
            <w:shd w:val="clear" w:color="auto" w:fill="auto"/>
          </w:tcPr>
          <w:p w:rsidR="00B52BB0" w:rsidRPr="00DF463B" w:rsidRDefault="00B52BB0" w:rsidP="003E074D">
            <w:pPr>
              <w:pStyle w:val="TableText"/>
            </w:pPr>
            <w:r w:rsidRPr="008C3AFE">
              <w:t xml:space="preserve">No. Associated with leaves </w:t>
            </w:r>
            <w:r>
              <w:rPr>
                <w:noProof/>
              </w:rPr>
              <w:t>(USDA 1999)</w:t>
            </w:r>
            <w:r w:rsidRPr="008C3AFE">
              <w:t>.</w:t>
            </w:r>
          </w:p>
        </w:tc>
        <w:tc>
          <w:tcPr>
            <w:tcW w:w="714" w:type="pct"/>
            <w:shd w:val="clear" w:color="auto" w:fill="auto"/>
          </w:tcPr>
          <w:p w:rsidR="00B52BB0" w:rsidRPr="00DF463B" w:rsidRDefault="00B52BB0" w:rsidP="003E074D">
            <w:pPr>
              <w:pStyle w:val="TableText"/>
            </w:pPr>
            <w:r w:rsidRPr="008C3AFE">
              <w:t>Assessment not required</w:t>
            </w:r>
          </w:p>
        </w:tc>
        <w:tc>
          <w:tcPr>
            <w:tcW w:w="714" w:type="pct"/>
            <w:shd w:val="clear" w:color="auto" w:fill="auto"/>
          </w:tcPr>
          <w:p w:rsidR="00B52BB0" w:rsidRPr="00DF463B" w:rsidRDefault="00B52BB0" w:rsidP="003E074D">
            <w:pPr>
              <w:pStyle w:val="TableText"/>
            </w:pPr>
            <w:r w:rsidRPr="008C3AFE">
              <w:t>Assessment not required</w:t>
            </w:r>
          </w:p>
        </w:tc>
        <w:tc>
          <w:tcPr>
            <w:tcW w:w="714" w:type="pct"/>
            <w:shd w:val="clear" w:color="auto" w:fill="auto"/>
          </w:tcPr>
          <w:p w:rsidR="00B52BB0" w:rsidRPr="00DF463B" w:rsidRDefault="00B52BB0" w:rsidP="003E074D">
            <w:pPr>
              <w:pStyle w:val="TableText"/>
            </w:pPr>
            <w:r w:rsidRPr="008C3AFE">
              <w:t>No</w:t>
            </w:r>
          </w:p>
        </w:tc>
      </w:tr>
      <w:tr w:rsidR="00B52BB0" w:rsidRPr="00DF463B" w:rsidTr="003E074D">
        <w:trPr>
          <w:cantSplit/>
          <w:trHeight w:val="75"/>
          <w:jc w:val="center"/>
        </w:trPr>
        <w:tc>
          <w:tcPr>
            <w:tcW w:w="715" w:type="pct"/>
            <w:shd w:val="clear" w:color="auto" w:fill="auto"/>
          </w:tcPr>
          <w:p w:rsidR="00B52BB0" w:rsidRPr="004569F6" w:rsidRDefault="00B52BB0" w:rsidP="003E074D">
            <w:pPr>
              <w:spacing w:before="60" w:after="60" w:line="240" w:lineRule="auto"/>
              <w:rPr>
                <w:iCs/>
                <w:sz w:val="18"/>
                <w:szCs w:val="18"/>
              </w:rPr>
            </w:pPr>
            <w:r w:rsidRPr="00727C5C">
              <w:rPr>
                <w:i/>
                <w:sz w:val="18"/>
                <w:szCs w:val="18"/>
              </w:rPr>
              <w:lastRenderedPageBreak/>
              <w:t xml:space="preserve">Pseudococcus cryptus </w:t>
            </w:r>
            <w:r w:rsidRPr="004569F6">
              <w:rPr>
                <w:iCs/>
                <w:sz w:val="18"/>
                <w:szCs w:val="18"/>
              </w:rPr>
              <w:t>Hempel, 1918</w:t>
            </w:r>
          </w:p>
          <w:p w:rsidR="00B52BB0" w:rsidRPr="004569F6" w:rsidRDefault="00B52BB0" w:rsidP="003E074D">
            <w:pPr>
              <w:spacing w:before="60" w:after="60" w:line="240" w:lineRule="auto"/>
              <w:rPr>
                <w:iCs/>
                <w:sz w:val="18"/>
                <w:szCs w:val="18"/>
              </w:rPr>
            </w:pPr>
            <w:r w:rsidRPr="004569F6">
              <w:rPr>
                <w:iCs/>
                <w:sz w:val="18"/>
                <w:szCs w:val="18"/>
              </w:rPr>
              <w:t>[Pseudococcidae]</w:t>
            </w:r>
          </w:p>
          <w:p w:rsidR="00B52BB0" w:rsidRPr="00DF463B" w:rsidRDefault="00B52BB0" w:rsidP="003E074D">
            <w:pPr>
              <w:pStyle w:val="TableText"/>
              <w:rPr>
                <w:i/>
                <w:lang w:val="en-US"/>
              </w:rPr>
            </w:pPr>
            <w:r w:rsidRPr="004569F6">
              <w:rPr>
                <w:iCs/>
                <w:szCs w:val="18"/>
              </w:rPr>
              <w:t>Citriculus mealybu</w:t>
            </w:r>
            <w:r w:rsidRPr="00E448B5">
              <w:rPr>
                <w:iCs/>
                <w:szCs w:val="18"/>
              </w:rPr>
              <w:t>g</w:t>
            </w:r>
          </w:p>
        </w:tc>
        <w:tc>
          <w:tcPr>
            <w:tcW w:w="715" w:type="pct"/>
            <w:shd w:val="clear" w:color="auto" w:fill="auto"/>
          </w:tcPr>
          <w:p w:rsidR="00B52BB0" w:rsidRPr="00DF463B" w:rsidRDefault="00B52BB0" w:rsidP="003E074D">
            <w:pPr>
              <w:pStyle w:val="TableText"/>
            </w:pPr>
            <w:r w:rsidRPr="003957C5">
              <w:t xml:space="preserve">Yes </w:t>
            </w:r>
            <w:r>
              <w:rPr>
                <w:noProof/>
              </w:rPr>
              <w:t>(García Morales et al. 2019)</w:t>
            </w:r>
          </w:p>
        </w:tc>
        <w:tc>
          <w:tcPr>
            <w:tcW w:w="714" w:type="pct"/>
            <w:shd w:val="clear" w:color="auto" w:fill="auto"/>
          </w:tcPr>
          <w:p w:rsidR="00B52BB0" w:rsidRDefault="00B52BB0" w:rsidP="003E074D">
            <w:pPr>
              <w:pStyle w:val="TableText"/>
            </w:pPr>
            <w:r w:rsidRPr="003957C5">
              <w:t xml:space="preserve">Yes. Qld </w:t>
            </w:r>
            <w:r>
              <w:rPr>
                <w:noProof/>
              </w:rPr>
              <w:t>(QDAF 2018b)</w:t>
            </w:r>
          </w:p>
          <w:p w:rsidR="00B52BB0" w:rsidRPr="00DF463B" w:rsidRDefault="00B52BB0" w:rsidP="003E074D">
            <w:pPr>
              <w:pStyle w:val="TableText"/>
            </w:pPr>
            <w:r w:rsidRPr="003957C5">
              <w:t>Regulated as a Declared Organism (Prohibited (s</w:t>
            </w:r>
            <w:r>
              <w:t>. </w:t>
            </w:r>
            <w:r w:rsidRPr="003957C5">
              <w:t xml:space="preserve">12)) </w:t>
            </w:r>
            <w:r>
              <w:t>by</w:t>
            </w:r>
            <w:r w:rsidRPr="003957C5">
              <w:t xml:space="preserve"> WA </w:t>
            </w:r>
            <w:r>
              <w:t xml:space="preserve">under the </w:t>
            </w:r>
            <w:r w:rsidRPr="00D7431D">
              <w:rPr>
                <w:i/>
              </w:rPr>
              <w:t>Biosecurity and Agriculture Management Act 2007</w:t>
            </w:r>
            <w:r w:rsidRPr="003957C5">
              <w:t xml:space="preserve"> </w:t>
            </w:r>
            <w:r>
              <w:rPr>
                <w:noProof/>
              </w:rPr>
              <w:t>(Government of Western Australia 2018)</w:t>
            </w:r>
            <w:r w:rsidRPr="003957C5">
              <w:t>.</w:t>
            </w:r>
          </w:p>
        </w:tc>
        <w:tc>
          <w:tcPr>
            <w:tcW w:w="714" w:type="pct"/>
            <w:shd w:val="clear" w:color="auto" w:fill="auto"/>
          </w:tcPr>
          <w:p w:rsidR="00B52BB0" w:rsidRPr="00DF463B" w:rsidRDefault="00B52BB0" w:rsidP="003E074D">
            <w:pPr>
              <w:pStyle w:val="TableText"/>
            </w:pPr>
            <w:r w:rsidRPr="003957C5">
              <w:t xml:space="preserve">Yes. </w:t>
            </w:r>
            <w:r>
              <w:t>This species f</w:t>
            </w:r>
            <w:r w:rsidRPr="003957C5">
              <w:t xml:space="preserve">eeds on the leaves, twigs, fruit and trunk of host plants </w:t>
            </w:r>
            <w:r>
              <w:rPr>
                <w:noProof/>
              </w:rPr>
              <w:t>(Yiğit &amp; Telli 2013)</w:t>
            </w:r>
            <w:r w:rsidRPr="003957C5">
              <w:t xml:space="preserve"> and is associated with the export fruit pathway for longan </w:t>
            </w:r>
            <w:r>
              <w:rPr>
                <w:noProof/>
              </w:rPr>
              <w:t>(USDA-APHIS 2011)</w:t>
            </w:r>
            <w:r w:rsidRPr="003957C5">
              <w:t>.</w:t>
            </w:r>
          </w:p>
        </w:tc>
        <w:tc>
          <w:tcPr>
            <w:tcW w:w="714" w:type="pct"/>
            <w:shd w:val="clear" w:color="auto" w:fill="auto"/>
          </w:tcPr>
          <w:p w:rsidR="00B52BB0" w:rsidRPr="00DF463B" w:rsidRDefault="00B52BB0" w:rsidP="003E074D">
            <w:pPr>
              <w:pStyle w:val="TableText"/>
            </w:pPr>
            <w:r w:rsidRPr="003957C5">
              <w:t xml:space="preserve">Yes. This species feeds on host plants in 41 plant families including avocado, banana, citrus, guava, lychee, mango and grape as well as several widely grown ornamental shrubs and trees </w:t>
            </w:r>
            <w:r>
              <w:rPr>
                <w:noProof/>
              </w:rPr>
              <w:t>(García Morales et al. 2019)</w:t>
            </w:r>
            <w:r w:rsidRPr="003957C5">
              <w:t xml:space="preserve">. Widespread in South East Asia, east Africa, Central and South America and the Pacific </w:t>
            </w:r>
            <w:r>
              <w:rPr>
                <w:noProof/>
              </w:rPr>
              <w:t>(Williams 2004)</w:t>
            </w:r>
            <w:r w:rsidRPr="003957C5">
              <w:t>.</w:t>
            </w:r>
          </w:p>
        </w:tc>
        <w:tc>
          <w:tcPr>
            <w:tcW w:w="714" w:type="pct"/>
            <w:shd w:val="clear" w:color="auto" w:fill="auto"/>
          </w:tcPr>
          <w:p w:rsidR="00B52BB0" w:rsidRPr="00DF463B" w:rsidRDefault="00B52BB0" w:rsidP="003E074D">
            <w:pPr>
              <w:pStyle w:val="TableText"/>
            </w:pPr>
            <w:r w:rsidRPr="003957C5">
              <w:t xml:space="preserve">Yes. This species rapidly became a serious pest of citrus when accidentally introduced into Israel </w:t>
            </w:r>
            <w:r>
              <w:rPr>
                <w:noProof/>
              </w:rPr>
              <w:t>(Williams 2004)</w:t>
            </w:r>
            <w:r w:rsidRPr="003957C5">
              <w:t>.</w:t>
            </w:r>
          </w:p>
        </w:tc>
        <w:tc>
          <w:tcPr>
            <w:tcW w:w="714" w:type="pct"/>
            <w:shd w:val="clear" w:color="auto" w:fill="auto"/>
          </w:tcPr>
          <w:p w:rsidR="00B52BB0" w:rsidRPr="00DF463B" w:rsidRDefault="00B52BB0" w:rsidP="003E074D">
            <w:pPr>
              <w:pStyle w:val="TableText"/>
            </w:pPr>
            <w:r w:rsidRPr="003957C5">
              <w:t>Yes (EP, WA)</w:t>
            </w:r>
          </w:p>
        </w:tc>
      </w:tr>
      <w:tr w:rsidR="00B52BB0" w:rsidRPr="00DF463B"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Arial,Italic"/>
                <w:sz w:val="18"/>
                <w:szCs w:val="18"/>
                <w:lang w:eastAsia="en-AU"/>
              </w:rPr>
            </w:pPr>
            <w:r w:rsidRPr="00727C5C">
              <w:rPr>
                <w:rFonts w:eastAsia="Cambria" w:cs="Arial,Italic"/>
                <w:i/>
                <w:iCs/>
                <w:sz w:val="18"/>
                <w:szCs w:val="18"/>
                <w:lang w:eastAsia="en-AU"/>
              </w:rPr>
              <w:t xml:space="preserve">Pulvinaria polygonata </w:t>
            </w:r>
            <w:r w:rsidRPr="004569F6">
              <w:rPr>
                <w:rFonts w:eastAsia="Cambria" w:cs="Arial,Italic"/>
                <w:sz w:val="18"/>
                <w:szCs w:val="18"/>
                <w:lang w:eastAsia="en-AU"/>
              </w:rPr>
              <w:t>Cockerell, 1905</w:t>
            </w:r>
          </w:p>
          <w:p w:rsidR="00B52BB0" w:rsidRPr="004569F6" w:rsidRDefault="00B52BB0" w:rsidP="003E074D">
            <w:pPr>
              <w:autoSpaceDE w:val="0"/>
              <w:autoSpaceDN w:val="0"/>
              <w:adjustRightInd w:val="0"/>
              <w:spacing w:before="60" w:after="60" w:line="240" w:lineRule="auto"/>
              <w:rPr>
                <w:rFonts w:eastAsia="Cambria" w:cs="Arial,Italic"/>
                <w:sz w:val="18"/>
                <w:szCs w:val="18"/>
                <w:lang w:eastAsia="en-AU"/>
              </w:rPr>
            </w:pPr>
            <w:r w:rsidRPr="004569F6">
              <w:rPr>
                <w:rFonts w:eastAsia="Cambria" w:cs="Arial,Italic"/>
                <w:sz w:val="18"/>
                <w:szCs w:val="18"/>
                <w:lang w:eastAsia="en-AU"/>
              </w:rPr>
              <w:t>[Coccidae]</w:t>
            </w:r>
          </w:p>
          <w:p w:rsidR="00B52BB0" w:rsidRPr="00DF463B" w:rsidRDefault="00B52BB0" w:rsidP="003E074D">
            <w:pPr>
              <w:pStyle w:val="TableText"/>
            </w:pPr>
            <w:r w:rsidRPr="004569F6">
              <w:rPr>
                <w:rFonts w:eastAsia="Cambria" w:cs="Arial,Italic"/>
                <w:szCs w:val="18"/>
                <w:lang w:eastAsia="en-AU"/>
              </w:rPr>
              <w:t>Cottony citrus scale</w:t>
            </w:r>
          </w:p>
        </w:tc>
        <w:tc>
          <w:tcPr>
            <w:tcW w:w="715" w:type="pct"/>
            <w:shd w:val="clear" w:color="auto" w:fill="auto"/>
          </w:tcPr>
          <w:p w:rsidR="00B52BB0" w:rsidRPr="00DF463B" w:rsidRDefault="00B52BB0" w:rsidP="003E074D">
            <w:pPr>
              <w:pStyle w:val="TableText"/>
            </w:pPr>
            <w:r w:rsidRPr="00175D25">
              <w:t xml:space="preserve">Yes </w:t>
            </w:r>
            <w:r>
              <w:rPr>
                <w:noProof/>
              </w:rPr>
              <w:t>(García Morales et al. 2019)</w:t>
            </w:r>
          </w:p>
        </w:tc>
        <w:tc>
          <w:tcPr>
            <w:tcW w:w="714" w:type="pct"/>
            <w:shd w:val="clear" w:color="auto" w:fill="auto"/>
          </w:tcPr>
          <w:p w:rsidR="00B52BB0" w:rsidRDefault="00B52BB0" w:rsidP="003E074D">
            <w:pPr>
              <w:pStyle w:val="TableText"/>
            </w:pPr>
            <w:r w:rsidRPr="00175D25">
              <w:t xml:space="preserve">Yes. Qld </w:t>
            </w:r>
            <w:r>
              <w:rPr>
                <w:noProof/>
              </w:rPr>
              <w:t>(Plant Health Australia 2019)</w:t>
            </w:r>
          </w:p>
          <w:p w:rsidR="00B52BB0" w:rsidRPr="00DF463B" w:rsidRDefault="00B52BB0" w:rsidP="003E074D">
            <w:pPr>
              <w:pStyle w:val="TableText"/>
              <w:rPr>
                <w:sz w:val="16"/>
              </w:rPr>
            </w:pPr>
            <w:r w:rsidRPr="00175D25">
              <w:t>Regulated as a Declared Organism (Prohibited (s</w:t>
            </w:r>
            <w:r>
              <w:t>. </w:t>
            </w:r>
            <w:r w:rsidRPr="00175D25">
              <w:t xml:space="preserve">12)) </w:t>
            </w:r>
            <w:r>
              <w:t>by</w:t>
            </w:r>
            <w:r w:rsidRPr="00175D25">
              <w:t xml:space="preserve"> WA </w:t>
            </w:r>
            <w:r>
              <w:t xml:space="preserve">under the </w:t>
            </w:r>
            <w:r w:rsidRPr="00D7431D">
              <w:rPr>
                <w:i/>
              </w:rPr>
              <w:t>Biosecurity and Agriculture Management Act 2007</w:t>
            </w:r>
            <w:r w:rsidRPr="00175D25">
              <w:t xml:space="preserve"> </w:t>
            </w:r>
            <w:r>
              <w:rPr>
                <w:noProof/>
              </w:rPr>
              <w:t>(Government of Western Australia 2018)</w:t>
            </w:r>
            <w:r w:rsidRPr="00175D25">
              <w:t>.</w:t>
            </w:r>
          </w:p>
        </w:tc>
        <w:tc>
          <w:tcPr>
            <w:tcW w:w="714" w:type="pct"/>
            <w:shd w:val="clear" w:color="auto" w:fill="auto"/>
          </w:tcPr>
          <w:p w:rsidR="00B52BB0" w:rsidRPr="00DF463B" w:rsidRDefault="00B52BB0" w:rsidP="003E074D">
            <w:pPr>
              <w:pStyle w:val="TableText"/>
              <w:rPr>
                <w:sz w:val="16"/>
              </w:rPr>
            </w:pPr>
            <w:r w:rsidRPr="00175D25">
              <w:t>No. Associated with leaves and stems</w:t>
            </w:r>
            <w:r>
              <w:t xml:space="preserve"> </w:t>
            </w:r>
            <w:r>
              <w:rPr>
                <w:noProof/>
              </w:rPr>
              <w:t>(Miller et al. 2014)</w:t>
            </w:r>
            <w:r w:rsidRPr="00175D25">
              <w:t>.</w:t>
            </w:r>
          </w:p>
        </w:tc>
        <w:tc>
          <w:tcPr>
            <w:tcW w:w="714" w:type="pct"/>
            <w:shd w:val="clear" w:color="auto" w:fill="auto"/>
          </w:tcPr>
          <w:p w:rsidR="00B52BB0" w:rsidRPr="00DF463B" w:rsidRDefault="00B52BB0" w:rsidP="003E074D">
            <w:pPr>
              <w:pStyle w:val="TableText"/>
            </w:pPr>
            <w:r w:rsidRPr="00175D25">
              <w:t>Assessment not required</w:t>
            </w:r>
          </w:p>
        </w:tc>
        <w:tc>
          <w:tcPr>
            <w:tcW w:w="714" w:type="pct"/>
            <w:shd w:val="clear" w:color="auto" w:fill="auto"/>
          </w:tcPr>
          <w:p w:rsidR="00B52BB0" w:rsidRPr="00DF463B" w:rsidRDefault="00B52BB0" w:rsidP="003E074D">
            <w:pPr>
              <w:pStyle w:val="TableText"/>
            </w:pPr>
            <w:r w:rsidRPr="00175D25">
              <w:t>Assessment not required</w:t>
            </w:r>
          </w:p>
        </w:tc>
        <w:tc>
          <w:tcPr>
            <w:tcW w:w="714" w:type="pct"/>
            <w:shd w:val="clear" w:color="auto" w:fill="auto"/>
          </w:tcPr>
          <w:p w:rsidR="00B52BB0" w:rsidRPr="00DF463B" w:rsidRDefault="00B52BB0" w:rsidP="003E074D">
            <w:pPr>
              <w:pStyle w:val="TableText"/>
            </w:pPr>
            <w:r w:rsidRPr="00175D25">
              <w:t>No</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D70F0F">
              <w:rPr>
                <w:i/>
                <w:lang w:val="pt-BR"/>
              </w:rPr>
              <w:t xml:space="preserve">Pyrops candelaria </w:t>
            </w:r>
            <w:r>
              <w:rPr>
                <w:iCs/>
                <w:lang w:val="pt-BR"/>
              </w:rPr>
              <w:t>Linnaeus, 1758</w:t>
            </w:r>
          </w:p>
          <w:p w:rsidR="00B52BB0" w:rsidRPr="00FF321B" w:rsidRDefault="00B52BB0" w:rsidP="003E074D">
            <w:pPr>
              <w:pStyle w:val="TableText"/>
              <w:rPr>
                <w:iCs/>
                <w:lang w:val="pt-BR"/>
              </w:rPr>
            </w:pPr>
            <w:r w:rsidRPr="00FF321B">
              <w:rPr>
                <w:iCs/>
                <w:lang w:val="pt-BR"/>
              </w:rPr>
              <w:t>Synonym:</w:t>
            </w:r>
            <w:r w:rsidRPr="00D70F0F">
              <w:rPr>
                <w:i/>
                <w:lang w:val="pt-BR"/>
              </w:rPr>
              <w:t xml:space="preserve"> Laternaria candelaria </w:t>
            </w:r>
            <w:r w:rsidRPr="00FF321B">
              <w:rPr>
                <w:iCs/>
                <w:lang w:val="pt-BR"/>
              </w:rPr>
              <w:t>(Linnaeus, 1758)</w:t>
            </w:r>
          </w:p>
          <w:p w:rsidR="00B52BB0" w:rsidRPr="00FF321B" w:rsidRDefault="00B52BB0" w:rsidP="003E074D">
            <w:pPr>
              <w:pStyle w:val="TableText"/>
              <w:rPr>
                <w:iCs/>
                <w:lang w:val="pt-BR"/>
              </w:rPr>
            </w:pPr>
            <w:r w:rsidRPr="00FF321B">
              <w:rPr>
                <w:iCs/>
                <w:lang w:val="pt-BR"/>
              </w:rPr>
              <w:t>[Fulgoridae]</w:t>
            </w:r>
          </w:p>
          <w:p w:rsidR="00B52BB0" w:rsidRPr="00F6567E" w:rsidRDefault="00B52BB0" w:rsidP="003E074D">
            <w:pPr>
              <w:pStyle w:val="TableText"/>
              <w:rPr>
                <w:i/>
                <w:lang w:val="pt-BR"/>
              </w:rPr>
            </w:pPr>
            <w:r w:rsidRPr="00FF321B">
              <w:rPr>
                <w:iCs/>
                <w:lang w:val="pt-BR"/>
              </w:rPr>
              <w:t>Lantern bug</w:t>
            </w:r>
          </w:p>
        </w:tc>
        <w:tc>
          <w:tcPr>
            <w:tcW w:w="715" w:type="pct"/>
            <w:shd w:val="clear" w:color="auto" w:fill="auto"/>
          </w:tcPr>
          <w:p w:rsidR="00B52BB0" w:rsidRPr="00DF463B" w:rsidRDefault="00B52BB0" w:rsidP="003E074D">
            <w:pPr>
              <w:pStyle w:val="TableText"/>
              <w:rPr>
                <w:lang w:val="pt-BR"/>
              </w:rPr>
            </w:pPr>
            <w:r w:rsidRPr="00EC67A4">
              <w:t xml:space="preserve">Yes </w:t>
            </w:r>
            <w:r>
              <w:rPr>
                <w:noProof/>
              </w:rPr>
              <w:t>(Encyclopedia of Life 2019)</w:t>
            </w:r>
          </w:p>
        </w:tc>
        <w:tc>
          <w:tcPr>
            <w:tcW w:w="714" w:type="pct"/>
            <w:shd w:val="clear" w:color="auto" w:fill="auto"/>
          </w:tcPr>
          <w:p w:rsidR="00B52BB0" w:rsidRPr="00DF463B" w:rsidRDefault="00B52BB0" w:rsidP="003E074D">
            <w:pPr>
              <w:pStyle w:val="TableText"/>
              <w:rPr>
                <w:szCs w:val="16"/>
              </w:rPr>
            </w:pPr>
            <w:r w:rsidRPr="00EC67A4">
              <w:t>No records found</w:t>
            </w:r>
          </w:p>
        </w:tc>
        <w:tc>
          <w:tcPr>
            <w:tcW w:w="714" w:type="pct"/>
            <w:shd w:val="clear" w:color="auto" w:fill="auto"/>
          </w:tcPr>
          <w:p w:rsidR="00B52BB0" w:rsidRPr="00DF463B" w:rsidRDefault="00B52BB0" w:rsidP="003E074D">
            <w:pPr>
              <w:pStyle w:val="TableText"/>
            </w:pPr>
            <w:r w:rsidRPr="00EC67A4">
              <w:t xml:space="preserve">No. </w:t>
            </w:r>
            <w:r>
              <w:t>This species f</w:t>
            </w:r>
            <w:r w:rsidRPr="00EC67A4">
              <w:t xml:space="preserve">eeds on sap from the branches and trunk of the tree </w:t>
            </w:r>
            <w:r>
              <w:rPr>
                <w:noProof/>
              </w:rPr>
              <w:t>(Encyclopedia of Life 2019)</w:t>
            </w:r>
            <w:r w:rsidRPr="00EC67A4">
              <w:t>.</w:t>
            </w:r>
          </w:p>
        </w:tc>
        <w:tc>
          <w:tcPr>
            <w:tcW w:w="714" w:type="pct"/>
            <w:shd w:val="clear" w:color="auto" w:fill="auto"/>
          </w:tcPr>
          <w:p w:rsidR="00B52BB0" w:rsidRPr="00DF463B" w:rsidRDefault="00B52BB0" w:rsidP="003E074D">
            <w:pPr>
              <w:pStyle w:val="TableText"/>
            </w:pPr>
            <w:r w:rsidRPr="00EC67A4">
              <w:t>Assessment not required</w:t>
            </w:r>
          </w:p>
        </w:tc>
        <w:tc>
          <w:tcPr>
            <w:tcW w:w="714" w:type="pct"/>
            <w:shd w:val="clear" w:color="auto" w:fill="auto"/>
          </w:tcPr>
          <w:p w:rsidR="00B52BB0" w:rsidRPr="00DF463B" w:rsidRDefault="00B52BB0" w:rsidP="003E074D">
            <w:pPr>
              <w:pStyle w:val="TableText"/>
            </w:pPr>
            <w:r w:rsidRPr="00EC67A4">
              <w:t>Assessment not required</w:t>
            </w:r>
          </w:p>
        </w:tc>
        <w:tc>
          <w:tcPr>
            <w:tcW w:w="714" w:type="pct"/>
            <w:shd w:val="clear" w:color="auto" w:fill="auto"/>
          </w:tcPr>
          <w:p w:rsidR="00B52BB0" w:rsidRPr="00DF463B" w:rsidRDefault="00B52BB0" w:rsidP="003E074D">
            <w:pPr>
              <w:pStyle w:val="TableText"/>
            </w:pPr>
            <w:r w:rsidRPr="00EC67A4">
              <w:t>No</w:t>
            </w:r>
          </w:p>
        </w:tc>
      </w:tr>
      <w:tr w:rsidR="00B52BB0" w:rsidRPr="00DF463B" w:rsidTr="003E074D">
        <w:trPr>
          <w:cantSplit/>
          <w:trHeight w:val="75"/>
          <w:jc w:val="center"/>
        </w:trPr>
        <w:tc>
          <w:tcPr>
            <w:tcW w:w="715" w:type="pct"/>
            <w:shd w:val="clear" w:color="auto" w:fill="auto"/>
          </w:tcPr>
          <w:p w:rsidR="00B52BB0" w:rsidRPr="00FF321B" w:rsidRDefault="00B52BB0" w:rsidP="003E074D">
            <w:pPr>
              <w:pStyle w:val="TableText"/>
              <w:rPr>
                <w:iCs/>
                <w:lang w:val="pt-BR"/>
              </w:rPr>
            </w:pPr>
            <w:r w:rsidRPr="00727C5C">
              <w:rPr>
                <w:i/>
                <w:lang w:val="pt-BR"/>
              </w:rPr>
              <w:lastRenderedPageBreak/>
              <w:t xml:space="preserve">Pyrops lathburii </w:t>
            </w:r>
            <w:r>
              <w:rPr>
                <w:iCs/>
                <w:lang w:val="pt-BR"/>
              </w:rPr>
              <w:t>(Kirby, 1818)</w:t>
            </w:r>
          </w:p>
          <w:p w:rsidR="00B52BB0" w:rsidRPr="00FF321B" w:rsidRDefault="00B52BB0" w:rsidP="003E074D">
            <w:pPr>
              <w:pStyle w:val="TableText"/>
              <w:rPr>
                <w:iCs/>
                <w:lang w:val="pt-BR"/>
              </w:rPr>
            </w:pPr>
            <w:r w:rsidRPr="00FF321B">
              <w:rPr>
                <w:iCs/>
                <w:lang w:val="pt-BR"/>
              </w:rPr>
              <w:t xml:space="preserve">Synonym: </w:t>
            </w:r>
            <w:r w:rsidRPr="00727C5C">
              <w:rPr>
                <w:i/>
                <w:lang w:val="pt-BR"/>
              </w:rPr>
              <w:t xml:space="preserve">Laternaria lathburii </w:t>
            </w:r>
            <w:r w:rsidRPr="00FF321B">
              <w:rPr>
                <w:iCs/>
                <w:lang w:val="pt-BR"/>
              </w:rPr>
              <w:t>(Kirby, 1818)</w:t>
            </w:r>
          </w:p>
          <w:p w:rsidR="00B52BB0" w:rsidRPr="00FF321B" w:rsidRDefault="00B52BB0" w:rsidP="003E074D">
            <w:pPr>
              <w:pStyle w:val="TableText"/>
              <w:rPr>
                <w:iCs/>
                <w:lang w:val="pt-BR"/>
              </w:rPr>
            </w:pPr>
            <w:r w:rsidRPr="00FF321B">
              <w:rPr>
                <w:iCs/>
                <w:lang w:val="pt-BR"/>
              </w:rPr>
              <w:t>[Fulgoridae]</w:t>
            </w:r>
          </w:p>
          <w:p w:rsidR="00B52BB0" w:rsidRPr="00F6567E" w:rsidRDefault="00B52BB0" w:rsidP="003E074D">
            <w:pPr>
              <w:pStyle w:val="TableText"/>
              <w:rPr>
                <w:i/>
                <w:lang w:val="pt-BR"/>
              </w:rPr>
            </w:pPr>
          </w:p>
        </w:tc>
        <w:tc>
          <w:tcPr>
            <w:tcW w:w="715" w:type="pct"/>
            <w:shd w:val="clear" w:color="auto" w:fill="auto"/>
          </w:tcPr>
          <w:p w:rsidR="00B52BB0" w:rsidRPr="00DF463B" w:rsidRDefault="00B52BB0" w:rsidP="003E074D">
            <w:pPr>
              <w:pStyle w:val="TableText"/>
              <w:rPr>
                <w:lang w:val="pt-BR"/>
              </w:rPr>
            </w:pPr>
            <w:r w:rsidRPr="00F61069">
              <w:t xml:space="preserve">Yes </w:t>
            </w:r>
            <w:r>
              <w:rPr>
                <w:noProof/>
              </w:rPr>
              <w:t>(Constant &amp; Pham 2017)</w:t>
            </w:r>
          </w:p>
        </w:tc>
        <w:tc>
          <w:tcPr>
            <w:tcW w:w="714" w:type="pct"/>
            <w:shd w:val="clear" w:color="auto" w:fill="auto"/>
          </w:tcPr>
          <w:p w:rsidR="00B52BB0" w:rsidRPr="00DF463B" w:rsidRDefault="00B52BB0" w:rsidP="003E074D">
            <w:pPr>
              <w:pStyle w:val="TableText"/>
              <w:rPr>
                <w:szCs w:val="16"/>
              </w:rPr>
            </w:pPr>
            <w:r w:rsidRPr="00F61069">
              <w:t>No records found</w:t>
            </w:r>
          </w:p>
        </w:tc>
        <w:tc>
          <w:tcPr>
            <w:tcW w:w="714" w:type="pct"/>
            <w:shd w:val="clear" w:color="auto" w:fill="auto"/>
          </w:tcPr>
          <w:p w:rsidR="00B52BB0" w:rsidRPr="00DF463B" w:rsidRDefault="00B52BB0" w:rsidP="003E074D">
            <w:pPr>
              <w:pStyle w:val="TableText"/>
            </w:pPr>
            <w:r w:rsidRPr="00F61069">
              <w:t xml:space="preserve">No. Associated with stems </w:t>
            </w:r>
            <w:r>
              <w:rPr>
                <w:noProof/>
              </w:rPr>
              <w:t>(USDA 1999)</w:t>
            </w:r>
            <w:r w:rsidRPr="00F61069">
              <w:t>.</w:t>
            </w:r>
          </w:p>
        </w:tc>
        <w:tc>
          <w:tcPr>
            <w:tcW w:w="714" w:type="pct"/>
            <w:shd w:val="clear" w:color="auto" w:fill="auto"/>
          </w:tcPr>
          <w:p w:rsidR="00B52BB0" w:rsidRPr="00DF463B" w:rsidRDefault="00B52BB0" w:rsidP="003E074D">
            <w:pPr>
              <w:pStyle w:val="TableText"/>
            </w:pPr>
            <w:r w:rsidRPr="00F61069">
              <w:t>Assessment not required</w:t>
            </w:r>
          </w:p>
        </w:tc>
        <w:tc>
          <w:tcPr>
            <w:tcW w:w="714" w:type="pct"/>
            <w:shd w:val="clear" w:color="auto" w:fill="auto"/>
          </w:tcPr>
          <w:p w:rsidR="00B52BB0" w:rsidRPr="00DF463B" w:rsidRDefault="00B52BB0" w:rsidP="003E074D">
            <w:pPr>
              <w:pStyle w:val="TableText"/>
            </w:pPr>
            <w:r w:rsidRPr="00F61069">
              <w:t>Assessment not required</w:t>
            </w:r>
          </w:p>
        </w:tc>
        <w:tc>
          <w:tcPr>
            <w:tcW w:w="714" w:type="pct"/>
            <w:shd w:val="clear" w:color="auto" w:fill="auto"/>
          </w:tcPr>
          <w:p w:rsidR="00B52BB0" w:rsidRPr="00DF463B" w:rsidRDefault="00B52BB0" w:rsidP="003E074D">
            <w:pPr>
              <w:pStyle w:val="TableText"/>
            </w:pPr>
            <w:r w:rsidRPr="00F61069">
              <w:t>No</w:t>
            </w:r>
          </w:p>
        </w:tc>
      </w:tr>
      <w:tr w:rsidR="00B52BB0" w:rsidRPr="00DF463B"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Arial,Italic"/>
                <w:sz w:val="18"/>
                <w:szCs w:val="18"/>
                <w:lang w:eastAsia="en-AU"/>
              </w:rPr>
            </w:pPr>
            <w:r w:rsidRPr="00727C5C">
              <w:rPr>
                <w:rFonts w:eastAsia="Cambria" w:cs="Arial,Italic"/>
                <w:i/>
                <w:iCs/>
                <w:sz w:val="18"/>
                <w:szCs w:val="18"/>
                <w:lang w:eastAsia="en-AU"/>
              </w:rPr>
              <w:t xml:space="preserve">Pyrops spinolae </w:t>
            </w:r>
            <w:r w:rsidRPr="004569F6">
              <w:rPr>
                <w:rFonts w:eastAsia="Cambria" w:cs="Arial,Italic"/>
                <w:sz w:val="18"/>
                <w:szCs w:val="18"/>
                <w:lang w:eastAsia="en-AU"/>
              </w:rPr>
              <w:t>(Westwood, 1842)</w:t>
            </w:r>
          </w:p>
          <w:p w:rsidR="00B52BB0" w:rsidRPr="004569F6" w:rsidRDefault="00B52BB0" w:rsidP="003E074D">
            <w:pPr>
              <w:autoSpaceDE w:val="0"/>
              <w:autoSpaceDN w:val="0"/>
              <w:adjustRightInd w:val="0"/>
              <w:spacing w:before="60" w:after="60" w:line="240" w:lineRule="auto"/>
              <w:rPr>
                <w:rFonts w:eastAsia="Cambria" w:cs="Arial,Italic"/>
                <w:sz w:val="18"/>
                <w:szCs w:val="18"/>
                <w:lang w:eastAsia="en-AU"/>
              </w:rPr>
            </w:pPr>
            <w:r w:rsidRPr="004569F6">
              <w:rPr>
                <w:rFonts w:eastAsia="Cambria" w:cs="Arial,Italic"/>
                <w:sz w:val="18"/>
                <w:szCs w:val="18"/>
                <w:lang w:eastAsia="en-AU"/>
              </w:rPr>
              <w:t>[Fulgoridae]</w:t>
            </w:r>
          </w:p>
          <w:p w:rsidR="00B52BB0" w:rsidRPr="00DF463B" w:rsidRDefault="00B52BB0" w:rsidP="003E074D">
            <w:pPr>
              <w:pStyle w:val="TableText"/>
            </w:pPr>
            <w:r w:rsidRPr="004569F6">
              <w:rPr>
                <w:rFonts w:eastAsia="Cambria" w:cs="Arial,Italic"/>
                <w:szCs w:val="18"/>
                <w:lang w:eastAsia="en-AU"/>
              </w:rPr>
              <w:t>Lantern bug</w:t>
            </w:r>
          </w:p>
        </w:tc>
        <w:tc>
          <w:tcPr>
            <w:tcW w:w="715" w:type="pct"/>
            <w:shd w:val="clear" w:color="auto" w:fill="auto"/>
          </w:tcPr>
          <w:p w:rsidR="00B52BB0" w:rsidRPr="00DF463B" w:rsidRDefault="00B52BB0" w:rsidP="003E074D">
            <w:pPr>
              <w:pStyle w:val="TableText"/>
            </w:pPr>
            <w:r w:rsidRPr="00C33BE6">
              <w:t xml:space="preserve">Yes </w:t>
            </w:r>
            <w:r>
              <w:rPr>
                <w:noProof/>
              </w:rPr>
              <w:t>(Constant &amp; Pham 2017)</w:t>
            </w:r>
          </w:p>
        </w:tc>
        <w:tc>
          <w:tcPr>
            <w:tcW w:w="714" w:type="pct"/>
            <w:shd w:val="clear" w:color="auto" w:fill="auto"/>
          </w:tcPr>
          <w:p w:rsidR="00B52BB0" w:rsidRPr="00DF463B" w:rsidRDefault="00B52BB0" w:rsidP="003E074D">
            <w:pPr>
              <w:pStyle w:val="TableText"/>
              <w:rPr>
                <w:sz w:val="16"/>
              </w:rPr>
            </w:pPr>
            <w:r w:rsidRPr="00C33BE6">
              <w:t>No records found</w:t>
            </w:r>
          </w:p>
        </w:tc>
        <w:tc>
          <w:tcPr>
            <w:tcW w:w="714" w:type="pct"/>
            <w:shd w:val="clear" w:color="auto" w:fill="auto"/>
          </w:tcPr>
          <w:p w:rsidR="00B52BB0" w:rsidRPr="00DF463B" w:rsidRDefault="00B52BB0" w:rsidP="003E074D">
            <w:pPr>
              <w:pStyle w:val="TableText"/>
              <w:rPr>
                <w:sz w:val="16"/>
              </w:rPr>
            </w:pPr>
            <w:r w:rsidRPr="00C33BE6">
              <w:t xml:space="preserve">No. Associated with stems </w:t>
            </w:r>
            <w:r>
              <w:rPr>
                <w:noProof/>
              </w:rPr>
              <w:t>(USDA 1999)</w:t>
            </w:r>
            <w:r w:rsidRPr="00C33BE6">
              <w:t>.</w:t>
            </w:r>
          </w:p>
        </w:tc>
        <w:tc>
          <w:tcPr>
            <w:tcW w:w="714" w:type="pct"/>
            <w:shd w:val="clear" w:color="auto" w:fill="auto"/>
          </w:tcPr>
          <w:p w:rsidR="00B52BB0" w:rsidRPr="00DF463B" w:rsidRDefault="00B52BB0" w:rsidP="003E074D">
            <w:pPr>
              <w:pStyle w:val="TableText"/>
            </w:pPr>
            <w:r w:rsidRPr="00C33BE6">
              <w:t>Assessment not required</w:t>
            </w:r>
          </w:p>
        </w:tc>
        <w:tc>
          <w:tcPr>
            <w:tcW w:w="714" w:type="pct"/>
            <w:shd w:val="clear" w:color="auto" w:fill="auto"/>
          </w:tcPr>
          <w:p w:rsidR="00B52BB0" w:rsidRPr="00DF463B" w:rsidRDefault="00B52BB0" w:rsidP="003E074D">
            <w:pPr>
              <w:pStyle w:val="TableText"/>
            </w:pPr>
            <w:r w:rsidRPr="00C33BE6">
              <w:t>Assessment not required</w:t>
            </w:r>
          </w:p>
        </w:tc>
        <w:tc>
          <w:tcPr>
            <w:tcW w:w="714" w:type="pct"/>
            <w:shd w:val="clear" w:color="auto" w:fill="auto"/>
          </w:tcPr>
          <w:p w:rsidR="00B52BB0" w:rsidRPr="00DF463B" w:rsidRDefault="00B52BB0" w:rsidP="003E074D">
            <w:pPr>
              <w:pStyle w:val="TableText"/>
            </w:pPr>
            <w:r w:rsidRPr="00C33BE6">
              <w:t>No</w:t>
            </w:r>
          </w:p>
        </w:tc>
      </w:tr>
      <w:tr w:rsidR="00B52BB0" w:rsidRPr="00DF463B"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Arial"/>
                <w:sz w:val="18"/>
                <w:szCs w:val="18"/>
                <w:lang w:eastAsia="en-AU"/>
              </w:rPr>
            </w:pPr>
            <w:r w:rsidRPr="00727C5C">
              <w:rPr>
                <w:rFonts w:eastAsia="Cambria" w:cs="Arial"/>
                <w:i/>
                <w:iCs/>
                <w:sz w:val="18"/>
                <w:szCs w:val="18"/>
                <w:lang w:eastAsia="en-AU"/>
              </w:rPr>
              <w:t xml:space="preserve">Rastrococcus truncatispinus </w:t>
            </w:r>
            <w:r w:rsidRPr="004569F6">
              <w:rPr>
                <w:rFonts w:eastAsia="Cambria" w:cs="Arial"/>
                <w:sz w:val="18"/>
                <w:szCs w:val="18"/>
                <w:lang w:eastAsia="en-AU"/>
              </w:rPr>
              <w:t>Williams, 1985</w:t>
            </w:r>
          </w:p>
          <w:p w:rsidR="00B52BB0" w:rsidRPr="004569F6" w:rsidRDefault="00B52BB0" w:rsidP="003E074D">
            <w:pPr>
              <w:autoSpaceDE w:val="0"/>
              <w:autoSpaceDN w:val="0"/>
              <w:adjustRightInd w:val="0"/>
              <w:spacing w:before="60" w:after="60" w:line="240" w:lineRule="auto"/>
              <w:rPr>
                <w:rFonts w:eastAsia="Cambria" w:cs="Arial"/>
                <w:sz w:val="18"/>
                <w:szCs w:val="18"/>
                <w:lang w:eastAsia="en-AU"/>
              </w:rPr>
            </w:pPr>
            <w:r w:rsidRPr="004569F6">
              <w:rPr>
                <w:rFonts w:eastAsia="Cambria" w:cs="Arial"/>
                <w:sz w:val="18"/>
                <w:szCs w:val="18"/>
                <w:lang w:eastAsia="en-AU"/>
              </w:rPr>
              <w:t>[Pseudococcidae]</w:t>
            </w:r>
          </w:p>
          <w:p w:rsidR="00B52BB0" w:rsidRPr="00DF463B" w:rsidRDefault="00B52BB0" w:rsidP="003E074D">
            <w:pPr>
              <w:pStyle w:val="TableText"/>
            </w:pPr>
            <w:r w:rsidRPr="004569F6">
              <w:rPr>
                <w:rFonts w:eastAsia="Cambria" w:cs="Arial"/>
                <w:szCs w:val="18"/>
                <w:lang w:eastAsia="en-AU"/>
              </w:rPr>
              <w:t>Rastrococcus mealybug</w:t>
            </w:r>
          </w:p>
        </w:tc>
        <w:tc>
          <w:tcPr>
            <w:tcW w:w="715" w:type="pct"/>
            <w:shd w:val="clear" w:color="auto" w:fill="auto"/>
          </w:tcPr>
          <w:p w:rsidR="00B52BB0" w:rsidRPr="00DF463B" w:rsidRDefault="00B52BB0" w:rsidP="003E074D">
            <w:pPr>
              <w:pStyle w:val="TableText"/>
            </w:pPr>
            <w:r w:rsidRPr="00F811C1">
              <w:t xml:space="preserve">Yes </w:t>
            </w:r>
            <w:r>
              <w:rPr>
                <w:noProof/>
              </w:rPr>
              <w:t>(PPD 2017)</w:t>
            </w:r>
          </w:p>
        </w:tc>
        <w:tc>
          <w:tcPr>
            <w:tcW w:w="714" w:type="pct"/>
            <w:shd w:val="clear" w:color="auto" w:fill="auto"/>
          </w:tcPr>
          <w:p w:rsidR="00B52BB0" w:rsidRDefault="00B52BB0" w:rsidP="003E074D">
            <w:pPr>
              <w:pStyle w:val="TableText"/>
            </w:pPr>
            <w:r w:rsidRPr="00F811C1">
              <w:t xml:space="preserve">Yes. NSW, Qld, SA </w:t>
            </w:r>
            <w:r>
              <w:rPr>
                <w:noProof/>
              </w:rPr>
              <w:t>(Plant Health Australia 2019)</w:t>
            </w:r>
          </w:p>
          <w:p w:rsidR="00B52BB0" w:rsidRPr="00DF463B" w:rsidRDefault="00B52BB0" w:rsidP="003E074D">
            <w:pPr>
              <w:pStyle w:val="TableText"/>
              <w:rPr>
                <w:sz w:val="16"/>
              </w:rPr>
            </w:pPr>
            <w:r w:rsidRPr="00F811C1">
              <w:t>Regulated as a Declared Organism (Prohibited (s</w:t>
            </w:r>
            <w:r>
              <w:t>. </w:t>
            </w:r>
            <w:r w:rsidRPr="00F811C1">
              <w:t xml:space="preserve">12)) </w:t>
            </w:r>
            <w:r>
              <w:t>by</w:t>
            </w:r>
            <w:r w:rsidRPr="00F811C1">
              <w:t xml:space="preserve"> WA </w:t>
            </w:r>
            <w:r>
              <w:t xml:space="preserve">under the </w:t>
            </w:r>
            <w:r w:rsidRPr="00D7431D">
              <w:rPr>
                <w:i/>
              </w:rPr>
              <w:t>Biosecurity and Agriculture Management Act 2007</w:t>
            </w:r>
            <w:r w:rsidRPr="00F811C1">
              <w:t xml:space="preserve"> </w:t>
            </w:r>
            <w:r>
              <w:rPr>
                <w:noProof/>
              </w:rPr>
              <w:t>(Government of Western Australia 2018)</w:t>
            </w:r>
            <w:r w:rsidRPr="00F811C1">
              <w:t>.</w:t>
            </w:r>
          </w:p>
        </w:tc>
        <w:tc>
          <w:tcPr>
            <w:tcW w:w="714" w:type="pct"/>
            <w:shd w:val="clear" w:color="auto" w:fill="auto"/>
          </w:tcPr>
          <w:p w:rsidR="00B52BB0" w:rsidRPr="00DF463B" w:rsidRDefault="00B52BB0" w:rsidP="003E074D">
            <w:pPr>
              <w:pStyle w:val="TableText"/>
              <w:rPr>
                <w:sz w:val="16"/>
              </w:rPr>
            </w:pPr>
            <w:r w:rsidRPr="00F811C1">
              <w:t xml:space="preserve">No. Feeds on leaves </w:t>
            </w:r>
            <w:r>
              <w:rPr>
                <w:noProof/>
              </w:rPr>
              <w:t>(Gullan 2000)</w:t>
            </w:r>
            <w:r w:rsidRPr="00F811C1">
              <w:t>.</w:t>
            </w:r>
          </w:p>
        </w:tc>
        <w:tc>
          <w:tcPr>
            <w:tcW w:w="714" w:type="pct"/>
            <w:shd w:val="clear" w:color="auto" w:fill="auto"/>
          </w:tcPr>
          <w:p w:rsidR="00B52BB0" w:rsidRPr="00DF463B" w:rsidRDefault="00B52BB0" w:rsidP="003E074D">
            <w:pPr>
              <w:pStyle w:val="TableText"/>
            </w:pPr>
            <w:r w:rsidRPr="00F811C1">
              <w:t>Assessment not required</w:t>
            </w:r>
          </w:p>
        </w:tc>
        <w:tc>
          <w:tcPr>
            <w:tcW w:w="714" w:type="pct"/>
            <w:shd w:val="clear" w:color="auto" w:fill="auto"/>
          </w:tcPr>
          <w:p w:rsidR="00B52BB0" w:rsidRPr="00DF463B" w:rsidRDefault="00B52BB0" w:rsidP="003E074D">
            <w:pPr>
              <w:pStyle w:val="TableText"/>
            </w:pPr>
            <w:r w:rsidRPr="00F811C1">
              <w:t>Assessment not required</w:t>
            </w:r>
          </w:p>
        </w:tc>
        <w:tc>
          <w:tcPr>
            <w:tcW w:w="714" w:type="pct"/>
            <w:shd w:val="clear" w:color="auto" w:fill="auto"/>
          </w:tcPr>
          <w:p w:rsidR="00B52BB0" w:rsidRPr="00DF463B" w:rsidRDefault="00B52BB0" w:rsidP="003E074D">
            <w:pPr>
              <w:pStyle w:val="TableText"/>
            </w:pPr>
            <w:r w:rsidRPr="00F811C1">
              <w:t>No</w:t>
            </w:r>
          </w:p>
        </w:tc>
      </w:tr>
      <w:tr w:rsidR="00B52BB0" w:rsidRPr="00DF463B"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Arial"/>
                <w:sz w:val="18"/>
                <w:szCs w:val="18"/>
                <w:lang w:eastAsia="en-AU"/>
              </w:rPr>
            </w:pPr>
            <w:r w:rsidRPr="00727C5C">
              <w:rPr>
                <w:rFonts w:eastAsia="Cambria" w:cs="Arial"/>
                <w:i/>
                <w:iCs/>
                <w:sz w:val="18"/>
                <w:szCs w:val="18"/>
                <w:lang w:eastAsia="en-AU"/>
              </w:rPr>
              <w:t xml:space="preserve">Saissetia coffeae </w:t>
            </w:r>
            <w:r w:rsidRPr="004569F6">
              <w:rPr>
                <w:rFonts w:eastAsia="Cambria" w:cs="Arial"/>
                <w:sz w:val="18"/>
                <w:szCs w:val="18"/>
                <w:lang w:eastAsia="en-AU"/>
              </w:rPr>
              <w:t>(Walker, 1852)</w:t>
            </w:r>
          </w:p>
          <w:p w:rsidR="00B52BB0" w:rsidRPr="004569F6" w:rsidRDefault="00B52BB0" w:rsidP="003E074D">
            <w:pPr>
              <w:autoSpaceDE w:val="0"/>
              <w:autoSpaceDN w:val="0"/>
              <w:adjustRightInd w:val="0"/>
              <w:spacing w:before="60" w:after="60" w:line="240" w:lineRule="auto"/>
              <w:rPr>
                <w:rFonts w:eastAsia="Cambria" w:cs="Arial"/>
                <w:sz w:val="18"/>
                <w:szCs w:val="18"/>
                <w:lang w:eastAsia="en-AU"/>
              </w:rPr>
            </w:pPr>
            <w:r w:rsidRPr="004569F6">
              <w:rPr>
                <w:rFonts w:eastAsia="Cambria" w:cs="Arial"/>
                <w:sz w:val="18"/>
                <w:szCs w:val="18"/>
                <w:lang w:eastAsia="en-AU"/>
              </w:rPr>
              <w:t>[Coccidae]</w:t>
            </w:r>
          </w:p>
          <w:p w:rsidR="00B52BB0" w:rsidRPr="00DF463B" w:rsidRDefault="00B52BB0" w:rsidP="003E074D">
            <w:pPr>
              <w:pStyle w:val="TableText"/>
            </w:pPr>
            <w:r w:rsidRPr="004569F6">
              <w:rPr>
                <w:rFonts w:eastAsia="Cambria" w:cs="Arial"/>
                <w:szCs w:val="18"/>
                <w:lang w:eastAsia="en-AU"/>
              </w:rPr>
              <w:t>Hemispherical scale</w:t>
            </w:r>
          </w:p>
        </w:tc>
        <w:tc>
          <w:tcPr>
            <w:tcW w:w="715" w:type="pct"/>
            <w:shd w:val="clear" w:color="auto" w:fill="auto"/>
          </w:tcPr>
          <w:p w:rsidR="00B52BB0" w:rsidRPr="00DF463B" w:rsidRDefault="00B52BB0" w:rsidP="003E074D">
            <w:pPr>
              <w:pStyle w:val="TableText"/>
            </w:pPr>
            <w:r w:rsidRPr="001E66B7">
              <w:t xml:space="preserve">Yes </w:t>
            </w:r>
            <w:r>
              <w:rPr>
                <w:noProof/>
              </w:rPr>
              <w:t>(García Morales et al. 2019)</w:t>
            </w:r>
          </w:p>
        </w:tc>
        <w:tc>
          <w:tcPr>
            <w:tcW w:w="714" w:type="pct"/>
            <w:shd w:val="clear" w:color="auto" w:fill="auto"/>
          </w:tcPr>
          <w:p w:rsidR="00B52BB0" w:rsidRPr="00DF463B" w:rsidRDefault="00B52BB0" w:rsidP="003E074D">
            <w:pPr>
              <w:pStyle w:val="TableText"/>
              <w:rPr>
                <w:sz w:val="16"/>
              </w:rPr>
            </w:pPr>
            <w:r w:rsidRPr="001E66B7">
              <w:t xml:space="preserve">Yes. ACT, NSW, NT, Qld, SA, Tas., Vic., WA </w:t>
            </w:r>
            <w:r>
              <w:rPr>
                <w:noProof/>
              </w:rPr>
              <w:t>(Plant Health Australia 2019)</w:t>
            </w:r>
          </w:p>
        </w:tc>
        <w:tc>
          <w:tcPr>
            <w:tcW w:w="714" w:type="pct"/>
            <w:shd w:val="clear" w:color="auto" w:fill="auto"/>
          </w:tcPr>
          <w:p w:rsidR="00B52BB0" w:rsidRPr="00DF463B" w:rsidRDefault="00B52BB0" w:rsidP="003E074D">
            <w:pPr>
              <w:pStyle w:val="TableText"/>
              <w:rPr>
                <w:sz w:val="16"/>
              </w:rPr>
            </w:pPr>
            <w:r w:rsidRPr="001E66B7">
              <w:t>Assessment not required</w:t>
            </w:r>
          </w:p>
        </w:tc>
        <w:tc>
          <w:tcPr>
            <w:tcW w:w="714" w:type="pct"/>
            <w:shd w:val="clear" w:color="auto" w:fill="auto"/>
          </w:tcPr>
          <w:p w:rsidR="00B52BB0" w:rsidRPr="00DF463B" w:rsidRDefault="00B52BB0" w:rsidP="003E074D">
            <w:pPr>
              <w:pStyle w:val="TableText"/>
            </w:pPr>
            <w:r w:rsidRPr="001E66B7">
              <w:t>Assessment not required</w:t>
            </w:r>
          </w:p>
        </w:tc>
        <w:tc>
          <w:tcPr>
            <w:tcW w:w="714" w:type="pct"/>
            <w:shd w:val="clear" w:color="auto" w:fill="auto"/>
          </w:tcPr>
          <w:p w:rsidR="00B52BB0" w:rsidRPr="00DF463B" w:rsidRDefault="00B52BB0" w:rsidP="003E074D">
            <w:pPr>
              <w:pStyle w:val="TableText"/>
            </w:pPr>
            <w:r w:rsidRPr="001E66B7">
              <w:t>Assessment not required</w:t>
            </w:r>
          </w:p>
        </w:tc>
        <w:tc>
          <w:tcPr>
            <w:tcW w:w="714" w:type="pct"/>
            <w:shd w:val="clear" w:color="auto" w:fill="auto"/>
          </w:tcPr>
          <w:p w:rsidR="00B52BB0" w:rsidRPr="00DF463B" w:rsidRDefault="00B52BB0" w:rsidP="003E074D">
            <w:pPr>
              <w:pStyle w:val="TableText"/>
            </w:pPr>
            <w:r w:rsidRPr="001E66B7">
              <w:t>No</w:t>
            </w:r>
          </w:p>
        </w:tc>
      </w:tr>
      <w:tr w:rsidR="00B52BB0" w:rsidRPr="00DF463B"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Arial"/>
                <w:sz w:val="18"/>
                <w:szCs w:val="18"/>
                <w:lang w:eastAsia="en-AU"/>
              </w:rPr>
            </w:pPr>
            <w:r w:rsidRPr="0040486E">
              <w:rPr>
                <w:rFonts w:eastAsia="Cambria" w:cs="Arial"/>
                <w:i/>
                <w:iCs/>
                <w:sz w:val="18"/>
                <w:szCs w:val="18"/>
                <w:lang w:eastAsia="en-AU"/>
              </w:rPr>
              <w:t xml:space="preserve">Saissetia oleae </w:t>
            </w:r>
            <w:r w:rsidRPr="004569F6">
              <w:rPr>
                <w:rFonts w:eastAsia="Cambria" w:cs="Arial"/>
                <w:sz w:val="18"/>
                <w:szCs w:val="18"/>
                <w:lang w:eastAsia="en-AU"/>
              </w:rPr>
              <w:t>(Olivier, 1791)</w:t>
            </w:r>
          </w:p>
          <w:p w:rsidR="00B52BB0" w:rsidRPr="004569F6" w:rsidRDefault="00B52BB0" w:rsidP="003E074D">
            <w:pPr>
              <w:autoSpaceDE w:val="0"/>
              <w:autoSpaceDN w:val="0"/>
              <w:adjustRightInd w:val="0"/>
              <w:spacing w:before="60" w:after="60" w:line="240" w:lineRule="auto"/>
              <w:rPr>
                <w:rFonts w:eastAsia="Cambria" w:cs="Arial"/>
                <w:sz w:val="18"/>
                <w:szCs w:val="18"/>
                <w:lang w:eastAsia="en-AU"/>
              </w:rPr>
            </w:pPr>
            <w:r w:rsidRPr="004569F6">
              <w:rPr>
                <w:rFonts w:eastAsia="Cambria" w:cs="Arial"/>
                <w:sz w:val="18"/>
                <w:szCs w:val="18"/>
                <w:lang w:eastAsia="en-AU"/>
              </w:rPr>
              <w:t>[Coccidae]</w:t>
            </w:r>
          </w:p>
          <w:p w:rsidR="00B52BB0" w:rsidRPr="00DF463B" w:rsidRDefault="00B52BB0" w:rsidP="003E074D">
            <w:pPr>
              <w:pStyle w:val="TableText"/>
            </w:pPr>
            <w:r w:rsidRPr="004569F6">
              <w:rPr>
                <w:rFonts w:eastAsia="Cambria" w:cs="Arial"/>
                <w:szCs w:val="18"/>
                <w:lang w:eastAsia="en-AU"/>
              </w:rPr>
              <w:t>Black scale</w:t>
            </w:r>
          </w:p>
        </w:tc>
        <w:tc>
          <w:tcPr>
            <w:tcW w:w="715" w:type="pct"/>
            <w:shd w:val="clear" w:color="auto" w:fill="auto"/>
          </w:tcPr>
          <w:p w:rsidR="00B52BB0" w:rsidRPr="00DF463B" w:rsidRDefault="00B52BB0" w:rsidP="003E074D">
            <w:pPr>
              <w:pStyle w:val="TableText"/>
            </w:pPr>
            <w:r w:rsidRPr="00323364">
              <w:t xml:space="preserve">Yes </w:t>
            </w:r>
            <w:r>
              <w:rPr>
                <w:noProof/>
              </w:rPr>
              <w:t>(García Morales et al. 2019)</w:t>
            </w:r>
          </w:p>
        </w:tc>
        <w:tc>
          <w:tcPr>
            <w:tcW w:w="714" w:type="pct"/>
            <w:shd w:val="clear" w:color="auto" w:fill="auto"/>
          </w:tcPr>
          <w:p w:rsidR="00B52BB0" w:rsidRPr="00DF463B" w:rsidRDefault="00B52BB0" w:rsidP="003E074D">
            <w:pPr>
              <w:pStyle w:val="TableText"/>
              <w:rPr>
                <w:sz w:val="16"/>
              </w:rPr>
            </w:pPr>
            <w:r w:rsidRPr="00323364">
              <w:t xml:space="preserve">Yes. NSW, NT, Qld, SA, Tas., Vic., WA </w:t>
            </w:r>
            <w:r>
              <w:rPr>
                <w:noProof/>
              </w:rPr>
              <w:t>(Plant Health Australia 2019)</w:t>
            </w:r>
          </w:p>
        </w:tc>
        <w:tc>
          <w:tcPr>
            <w:tcW w:w="714" w:type="pct"/>
            <w:shd w:val="clear" w:color="auto" w:fill="auto"/>
          </w:tcPr>
          <w:p w:rsidR="00B52BB0" w:rsidRPr="00DF463B" w:rsidRDefault="00B52BB0" w:rsidP="003E074D">
            <w:pPr>
              <w:pStyle w:val="TableText"/>
              <w:rPr>
                <w:sz w:val="16"/>
              </w:rPr>
            </w:pPr>
            <w:r w:rsidRPr="00323364">
              <w:t>Assessment not required</w:t>
            </w:r>
          </w:p>
        </w:tc>
        <w:tc>
          <w:tcPr>
            <w:tcW w:w="714" w:type="pct"/>
            <w:shd w:val="clear" w:color="auto" w:fill="auto"/>
          </w:tcPr>
          <w:p w:rsidR="00B52BB0" w:rsidRPr="00DF463B" w:rsidRDefault="00B52BB0" w:rsidP="003E074D">
            <w:pPr>
              <w:pStyle w:val="TableText"/>
            </w:pPr>
            <w:r w:rsidRPr="00323364">
              <w:t>Assessment not required</w:t>
            </w:r>
          </w:p>
        </w:tc>
        <w:tc>
          <w:tcPr>
            <w:tcW w:w="714" w:type="pct"/>
            <w:shd w:val="clear" w:color="auto" w:fill="auto"/>
          </w:tcPr>
          <w:p w:rsidR="00B52BB0" w:rsidRPr="00DF463B" w:rsidRDefault="00B52BB0" w:rsidP="003E074D">
            <w:pPr>
              <w:pStyle w:val="TableText"/>
            </w:pPr>
            <w:r w:rsidRPr="00323364">
              <w:t>Assessment not required</w:t>
            </w:r>
          </w:p>
        </w:tc>
        <w:tc>
          <w:tcPr>
            <w:tcW w:w="714" w:type="pct"/>
            <w:shd w:val="clear" w:color="auto" w:fill="auto"/>
          </w:tcPr>
          <w:p w:rsidR="00B52BB0" w:rsidRPr="00DF463B" w:rsidRDefault="00B52BB0" w:rsidP="003E074D">
            <w:pPr>
              <w:pStyle w:val="TableText"/>
            </w:pPr>
            <w:r w:rsidRPr="00323364">
              <w:t>No</w:t>
            </w:r>
          </w:p>
        </w:tc>
      </w:tr>
      <w:tr w:rsidR="00B52BB0" w:rsidRPr="00DF463B"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Arial"/>
                <w:sz w:val="18"/>
                <w:szCs w:val="18"/>
                <w:lang w:eastAsia="en-AU"/>
              </w:rPr>
            </w:pPr>
            <w:r w:rsidRPr="0040486E">
              <w:rPr>
                <w:rFonts w:eastAsia="Cambria" w:cs="Arial"/>
                <w:i/>
                <w:iCs/>
                <w:sz w:val="18"/>
                <w:szCs w:val="18"/>
                <w:lang w:eastAsia="en-AU"/>
              </w:rPr>
              <w:lastRenderedPageBreak/>
              <w:t xml:space="preserve">Siphanta acuta </w:t>
            </w:r>
            <w:r>
              <w:rPr>
                <w:rFonts w:eastAsia="Cambria" w:cs="Arial"/>
                <w:sz w:val="18"/>
                <w:szCs w:val="18"/>
                <w:lang w:eastAsia="en-AU"/>
              </w:rPr>
              <w:t>(Walker, 1851)</w:t>
            </w:r>
          </w:p>
          <w:p w:rsidR="00B52BB0" w:rsidRPr="004569F6" w:rsidRDefault="00B52BB0" w:rsidP="003E074D">
            <w:pPr>
              <w:autoSpaceDE w:val="0"/>
              <w:autoSpaceDN w:val="0"/>
              <w:adjustRightInd w:val="0"/>
              <w:spacing w:before="60" w:after="60" w:line="240" w:lineRule="auto"/>
              <w:rPr>
                <w:rFonts w:eastAsia="Cambria" w:cs="Arial"/>
                <w:sz w:val="18"/>
                <w:szCs w:val="18"/>
                <w:lang w:eastAsia="en-AU"/>
              </w:rPr>
            </w:pPr>
            <w:r w:rsidRPr="004569F6">
              <w:rPr>
                <w:rFonts w:eastAsia="Cambria" w:cs="Arial"/>
                <w:sz w:val="18"/>
                <w:szCs w:val="18"/>
                <w:lang w:eastAsia="en-AU"/>
              </w:rPr>
              <w:t>[Flatidae]</w:t>
            </w:r>
          </w:p>
          <w:p w:rsidR="00B52BB0" w:rsidRPr="00DF463B" w:rsidRDefault="00B52BB0" w:rsidP="003E074D">
            <w:pPr>
              <w:pStyle w:val="TableText"/>
            </w:pPr>
            <w:r w:rsidRPr="004569F6">
              <w:rPr>
                <w:rFonts w:eastAsia="Cambria" w:cs="Arial"/>
                <w:szCs w:val="18"/>
                <w:lang w:eastAsia="en-AU"/>
              </w:rPr>
              <w:t>Green plant hopper</w:t>
            </w:r>
          </w:p>
        </w:tc>
        <w:tc>
          <w:tcPr>
            <w:tcW w:w="715" w:type="pct"/>
            <w:shd w:val="clear" w:color="auto" w:fill="auto"/>
          </w:tcPr>
          <w:p w:rsidR="00B52BB0" w:rsidRPr="00DF463B" w:rsidRDefault="00B52BB0" w:rsidP="003E074D">
            <w:pPr>
              <w:pStyle w:val="TableText"/>
            </w:pPr>
            <w:r w:rsidRPr="008F15DA">
              <w:t xml:space="preserve">Yes </w:t>
            </w:r>
            <w:r>
              <w:rPr>
                <w:noProof/>
              </w:rPr>
              <w:t>(PPD 2017)</w:t>
            </w:r>
          </w:p>
        </w:tc>
        <w:tc>
          <w:tcPr>
            <w:tcW w:w="714" w:type="pct"/>
            <w:shd w:val="clear" w:color="auto" w:fill="auto"/>
          </w:tcPr>
          <w:p w:rsidR="00B52BB0" w:rsidRPr="00DF463B" w:rsidRDefault="00B52BB0" w:rsidP="003E074D">
            <w:pPr>
              <w:pStyle w:val="TableText"/>
              <w:rPr>
                <w:sz w:val="16"/>
              </w:rPr>
            </w:pPr>
            <w:r w:rsidRPr="008F15DA">
              <w:t xml:space="preserve">Yes. ACT, NSW, Qld, SA, Tas., Vic., WA </w:t>
            </w:r>
            <w:r>
              <w:rPr>
                <w:noProof/>
              </w:rPr>
              <w:t>(Plant Health Australia 2019)</w:t>
            </w:r>
          </w:p>
        </w:tc>
        <w:tc>
          <w:tcPr>
            <w:tcW w:w="714" w:type="pct"/>
            <w:shd w:val="clear" w:color="auto" w:fill="auto"/>
          </w:tcPr>
          <w:p w:rsidR="00B52BB0" w:rsidRPr="00DF463B" w:rsidRDefault="00B52BB0" w:rsidP="003E074D">
            <w:pPr>
              <w:pStyle w:val="TableText"/>
              <w:rPr>
                <w:sz w:val="16"/>
              </w:rPr>
            </w:pPr>
            <w:r w:rsidRPr="008F15DA">
              <w:t>Assessment not required</w:t>
            </w:r>
          </w:p>
        </w:tc>
        <w:tc>
          <w:tcPr>
            <w:tcW w:w="714" w:type="pct"/>
            <w:shd w:val="clear" w:color="auto" w:fill="auto"/>
          </w:tcPr>
          <w:p w:rsidR="00B52BB0" w:rsidRPr="00DF463B" w:rsidRDefault="00B52BB0" w:rsidP="003E074D">
            <w:pPr>
              <w:pStyle w:val="TableText"/>
            </w:pPr>
            <w:r w:rsidRPr="008F15DA">
              <w:t>Assessment not required</w:t>
            </w:r>
          </w:p>
        </w:tc>
        <w:tc>
          <w:tcPr>
            <w:tcW w:w="714" w:type="pct"/>
            <w:shd w:val="clear" w:color="auto" w:fill="auto"/>
          </w:tcPr>
          <w:p w:rsidR="00B52BB0" w:rsidRPr="00DF463B" w:rsidRDefault="00B52BB0" w:rsidP="003E074D">
            <w:pPr>
              <w:pStyle w:val="TableText"/>
            </w:pPr>
            <w:r w:rsidRPr="008F15DA">
              <w:t>Assessment not required</w:t>
            </w:r>
          </w:p>
        </w:tc>
        <w:tc>
          <w:tcPr>
            <w:tcW w:w="714" w:type="pct"/>
            <w:shd w:val="clear" w:color="auto" w:fill="auto"/>
          </w:tcPr>
          <w:p w:rsidR="00B52BB0" w:rsidRPr="00DF463B" w:rsidRDefault="00B52BB0" w:rsidP="003E074D">
            <w:pPr>
              <w:pStyle w:val="TableText"/>
            </w:pPr>
            <w:r w:rsidRPr="008F15DA">
              <w:t>No</w:t>
            </w:r>
          </w:p>
        </w:tc>
      </w:tr>
      <w:tr w:rsidR="00B52BB0" w:rsidRPr="00DF463B"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Arial"/>
                <w:sz w:val="18"/>
                <w:szCs w:val="18"/>
                <w:lang w:eastAsia="en-AU"/>
              </w:rPr>
            </w:pPr>
            <w:r w:rsidRPr="0040486E">
              <w:rPr>
                <w:rFonts w:eastAsia="Cambria" w:cs="Arial"/>
                <w:i/>
                <w:iCs/>
                <w:sz w:val="18"/>
                <w:szCs w:val="18"/>
                <w:lang w:eastAsia="en-AU"/>
              </w:rPr>
              <w:t xml:space="preserve">Tessaratoma javanica </w:t>
            </w:r>
            <w:r w:rsidRPr="004569F6">
              <w:rPr>
                <w:rFonts w:eastAsia="Cambria" w:cs="Arial"/>
                <w:sz w:val="18"/>
                <w:szCs w:val="18"/>
                <w:lang w:eastAsia="en-AU"/>
              </w:rPr>
              <w:t>(Thunberg, 1783)</w:t>
            </w:r>
          </w:p>
          <w:p w:rsidR="00B52BB0" w:rsidRPr="004569F6" w:rsidRDefault="00B52BB0" w:rsidP="003E074D">
            <w:pPr>
              <w:autoSpaceDE w:val="0"/>
              <w:autoSpaceDN w:val="0"/>
              <w:adjustRightInd w:val="0"/>
              <w:spacing w:before="60" w:after="60" w:line="240" w:lineRule="auto"/>
              <w:rPr>
                <w:rFonts w:eastAsia="Cambria" w:cs="Arial"/>
                <w:sz w:val="18"/>
                <w:szCs w:val="18"/>
                <w:lang w:eastAsia="en-AU"/>
              </w:rPr>
            </w:pPr>
            <w:r w:rsidRPr="004569F6">
              <w:rPr>
                <w:rFonts w:eastAsia="Cambria" w:cs="Arial"/>
                <w:sz w:val="18"/>
                <w:szCs w:val="18"/>
                <w:lang w:eastAsia="en-AU"/>
              </w:rPr>
              <w:t>[Tessaratomidae]</w:t>
            </w:r>
          </w:p>
          <w:p w:rsidR="00B52BB0" w:rsidRPr="00DF463B" w:rsidRDefault="00B52BB0" w:rsidP="003E074D">
            <w:pPr>
              <w:pStyle w:val="TableText"/>
            </w:pPr>
            <w:r>
              <w:t>Litchi stink bug</w:t>
            </w:r>
          </w:p>
        </w:tc>
        <w:tc>
          <w:tcPr>
            <w:tcW w:w="715" w:type="pct"/>
            <w:shd w:val="clear" w:color="auto" w:fill="auto"/>
          </w:tcPr>
          <w:p w:rsidR="00B52BB0" w:rsidRPr="00DF463B" w:rsidRDefault="00B52BB0" w:rsidP="003E074D">
            <w:pPr>
              <w:pStyle w:val="TableText"/>
            </w:pPr>
            <w:r w:rsidRPr="00484E73">
              <w:t xml:space="preserve">Yes </w:t>
            </w:r>
            <w:r>
              <w:rPr>
                <w:noProof/>
              </w:rPr>
              <w:t>(CABI 2019)</w:t>
            </w:r>
          </w:p>
        </w:tc>
        <w:tc>
          <w:tcPr>
            <w:tcW w:w="714" w:type="pct"/>
            <w:shd w:val="clear" w:color="auto" w:fill="auto"/>
          </w:tcPr>
          <w:p w:rsidR="00B52BB0" w:rsidRPr="00DF463B" w:rsidRDefault="00B52BB0" w:rsidP="003E074D">
            <w:pPr>
              <w:pStyle w:val="TableText"/>
              <w:rPr>
                <w:sz w:val="16"/>
              </w:rPr>
            </w:pPr>
            <w:r w:rsidRPr="00484E73">
              <w:t>No records found</w:t>
            </w:r>
          </w:p>
        </w:tc>
        <w:tc>
          <w:tcPr>
            <w:tcW w:w="714" w:type="pct"/>
            <w:shd w:val="clear" w:color="auto" w:fill="auto"/>
          </w:tcPr>
          <w:p w:rsidR="00B52BB0" w:rsidRPr="00DF463B" w:rsidRDefault="00B52BB0" w:rsidP="003E074D">
            <w:pPr>
              <w:pStyle w:val="TableText"/>
              <w:rPr>
                <w:sz w:val="16"/>
              </w:rPr>
            </w:pPr>
            <w:r w:rsidRPr="00484E73">
              <w:t xml:space="preserve">No. Adults and nymphs feed on the terminals, flowers, twigs and fruit and usually cause premature drop of fruit </w:t>
            </w:r>
            <w:r>
              <w:rPr>
                <w:noProof/>
              </w:rPr>
              <w:t>(Peña, Sharp &amp; Wysoki 2002)</w:t>
            </w:r>
            <w:r w:rsidRPr="00484E73">
              <w:t xml:space="preserve">. Eggs are laid in conspicuous groups on the underside of leaves </w:t>
            </w:r>
            <w:r>
              <w:rPr>
                <w:noProof/>
              </w:rPr>
              <w:t>(Kumar &amp; Singh 2007)</w:t>
            </w:r>
            <w:r>
              <w:t>.</w:t>
            </w:r>
            <w:r w:rsidRPr="00484E73">
              <w:t xml:space="preserve"> Tessaratomid species are easily detected and removed in the field </w:t>
            </w:r>
            <w:r>
              <w:rPr>
                <w:noProof/>
              </w:rPr>
              <w:t>(Peña, Sharp &amp; Wysoki 2002)</w:t>
            </w:r>
            <w:r w:rsidRPr="00484E73">
              <w:t>. Therefore this species will not be associated with harvested fruit.</w:t>
            </w:r>
          </w:p>
        </w:tc>
        <w:tc>
          <w:tcPr>
            <w:tcW w:w="714" w:type="pct"/>
            <w:shd w:val="clear" w:color="auto" w:fill="auto"/>
          </w:tcPr>
          <w:p w:rsidR="00B52BB0" w:rsidRPr="00DF463B" w:rsidRDefault="00B52BB0" w:rsidP="003E074D">
            <w:pPr>
              <w:pStyle w:val="TableText"/>
            </w:pPr>
            <w:r w:rsidRPr="00484E73">
              <w:t>Assessment not required</w:t>
            </w:r>
          </w:p>
        </w:tc>
        <w:tc>
          <w:tcPr>
            <w:tcW w:w="714" w:type="pct"/>
            <w:shd w:val="clear" w:color="auto" w:fill="auto"/>
          </w:tcPr>
          <w:p w:rsidR="00B52BB0" w:rsidRPr="00DF463B" w:rsidRDefault="00B52BB0" w:rsidP="003E074D">
            <w:pPr>
              <w:pStyle w:val="TableText"/>
            </w:pPr>
            <w:r w:rsidRPr="00484E73">
              <w:t>Assessment not required</w:t>
            </w:r>
          </w:p>
        </w:tc>
        <w:tc>
          <w:tcPr>
            <w:tcW w:w="714" w:type="pct"/>
            <w:shd w:val="clear" w:color="auto" w:fill="auto"/>
          </w:tcPr>
          <w:p w:rsidR="00B52BB0" w:rsidRPr="00DF463B" w:rsidRDefault="00B52BB0" w:rsidP="003E074D">
            <w:pPr>
              <w:pStyle w:val="TableText"/>
            </w:pPr>
            <w:r w:rsidRPr="00484E73">
              <w:t>No</w:t>
            </w:r>
          </w:p>
        </w:tc>
      </w:tr>
      <w:tr w:rsidR="00B52BB0" w:rsidRPr="00DF463B"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Arial"/>
                <w:sz w:val="18"/>
                <w:szCs w:val="18"/>
                <w:lang w:eastAsia="en-AU"/>
              </w:rPr>
            </w:pPr>
            <w:r w:rsidRPr="0040486E">
              <w:rPr>
                <w:rFonts w:eastAsia="Cambria" w:cs="Arial"/>
                <w:i/>
                <w:iCs/>
                <w:sz w:val="18"/>
                <w:szCs w:val="18"/>
                <w:lang w:eastAsia="en-AU"/>
              </w:rPr>
              <w:t xml:space="preserve">Tessaratoma longicorne </w:t>
            </w:r>
            <w:r w:rsidRPr="004569F6">
              <w:rPr>
                <w:rFonts w:eastAsia="Cambria" w:cs="Arial"/>
                <w:sz w:val="18"/>
                <w:szCs w:val="18"/>
                <w:lang w:eastAsia="en-AU"/>
              </w:rPr>
              <w:t>Dohrn, 1863</w:t>
            </w:r>
          </w:p>
          <w:p w:rsidR="00B52BB0" w:rsidRPr="004569F6" w:rsidRDefault="00B52BB0" w:rsidP="003E074D">
            <w:pPr>
              <w:autoSpaceDE w:val="0"/>
              <w:autoSpaceDN w:val="0"/>
              <w:adjustRightInd w:val="0"/>
              <w:spacing w:before="60" w:after="60" w:line="240" w:lineRule="auto"/>
              <w:rPr>
                <w:rFonts w:eastAsia="Cambria" w:cs="Arial"/>
                <w:sz w:val="18"/>
                <w:szCs w:val="18"/>
                <w:lang w:eastAsia="en-AU"/>
              </w:rPr>
            </w:pPr>
            <w:r w:rsidRPr="004569F6">
              <w:rPr>
                <w:rFonts w:eastAsia="Cambria" w:cs="Arial"/>
                <w:sz w:val="18"/>
                <w:szCs w:val="18"/>
                <w:lang w:eastAsia="en-AU"/>
              </w:rPr>
              <w:t>[Tessaratomidae]</w:t>
            </w:r>
          </w:p>
          <w:p w:rsidR="00B52BB0" w:rsidRPr="0040486E" w:rsidRDefault="00B52BB0" w:rsidP="003E074D">
            <w:pPr>
              <w:autoSpaceDE w:val="0"/>
              <w:autoSpaceDN w:val="0"/>
              <w:adjustRightInd w:val="0"/>
              <w:spacing w:before="60" w:after="60" w:line="240" w:lineRule="auto"/>
              <w:rPr>
                <w:rFonts w:eastAsia="Cambria" w:cs="Arial"/>
                <w:i/>
                <w:iCs/>
                <w:sz w:val="18"/>
                <w:szCs w:val="18"/>
                <w:lang w:eastAsia="en-AU"/>
              </w:rPr>
            </w:pPr>
          </w:p>
        </w:tc>
        <w:tc>
          <w:tcPr>
            <w:tcW w:w="715" w:type="pct"/>
            <w:shd w:val="clear" w:color="auto" w:fill="auto"/>
          </w:tcPr>
          <w:p w:rsidR="00B52BB0" w:rsidRPr="00484E73" w:rsidRDefault="00B52BB0" w:rsidP="003E074D">
            <w:pPr>
              <w:pStyle w:val="TableText"/>
            </w:pPr>
            <w:r w:rsidRPr="002768D0">
              <w:t xml:space="preserve">Yes </w:t>
            </w:r>
            <w:r>
              <w:rPr>
                <w:noProof/>
              </w:rPr>
              <w:t>(PPD 2017)</w:t>
            </w:r>
          </w:p>
        </w:tc>
        <w:tc>
          <w:tcPr>
            <w:tcW w:w="714" w:type="pct"/>
            <w:shd w:val="clear" w:color="auto" w:fill="auto"/>
          </w:tcPr>
          <w:p w:rsidR="00B52BB0" w:rsidRPr="00484E73" w:rsidRDefault="00B52BB0" w:rsidP="003E074D">
            <w:pPr>
              <w:pStyle w:val="TableText"/>
            </w:pPr>
            <w:r w:rsidRPr="002768D0">
              <w:t>No records found</w:t>
            </w:r>
          </w:p>
        </w:tc>
        <w:tc>
          <w:tcPr>
            <w:tcW w:w="714" w:type="pct"/>
            <w:shd w:val="clear" w:color="auto" w:fill="auto"/>
          </w:tcPr>
          <w:p w:rsidR="00B52BB0" w:rsidRPr="00484E73" w:rsidRDefault="00B52BB0" w:rsidP="003E074D">
            <w:pPr>
              <w:pStyle w:val="TableText"/>
            </w:pPr>
            <w:r w:rsidRPr="002768D0">
              <w:t xml:space="preserve">No. </w:t>
            </w:r>
            <w:r>
              <w:t>This species feed</w:t>
            </w:r>
            <w:r w:rsidRPr="002768D0">
              <w:t xml:space="preserve"> on sap of leaves </w:t>
            </w:r>
            <w:r>
              <w:rPr>
                <w:noProof/>
              </w:rPr>
              <w:t>(International Tropical Fruits Network 2012)</w:t>
            </w:r>
            <w:r w:rsidRPr="002768D0">
              <w:t>.</w:t>
            </w:r>
          </w:p>
        </w:tc>
        <w:tc>
          <w:tcPr>
            <w:tcW w:w="714" w:type="pct"/>
            <w:shd w:val="clear" w:color="auto" w:fill="auto"/>
          </w:tcPr>
          <w:p w:rsidR="00B52BB0" w:rsidRPr="00484E73" w:rsidRDefault="00B52BB0" w:rsidP="003E074D">
            <w:pPr>
              <w:pStyle w:val="TableText"/>
            </w:pPr>
            <w:r w:rsidRPr="002768D0">
              <w:t>Assessment not required</w:t>
            </w:r>
          </w:p>
        </w:tc>
        <w:tc>
          <w:tcPr>
            <w:tcW w:w="714" w:type="pct"/>
            <w:shd w:val="clear" w:color="auto" w:fill="auto"/>
          </w:tcPr>
          <w:p w:rsidR="00B52BB0" w:rsidRPr="00484E73" w:rsidRDefault="00B52BB0" w:rsidP="003E074D">
            <w:pPr>
              <w:pStyle w:val="TableText"/>
            </w:pPr>
            <w:r w:rsidRPr="002768D0">
              <w:t>Assessment not required</w:t>
            </w:r>
          </w:p>
        </w:tc>
        <w:tc>
          <w:tcPr>
            <w:tcW w:w="714" w:type="pct"/>
            <w:shd w:val="clear" w:color="auto" w:fill="auto"/>
          </w:tcPr>
          <w:p w:rsidR="00B52BB0" w:rsidRPr="00484E73" w:rsidRDefault="00B52BB0" w:rsidP="003E074D">
            <w:pPr>
              <w:pStyle w:val="TableText"/>
            </w:pPr>
            <w:r w:rsidRPr="002768D0">
              <w:t>No</w:t>
            </w:r>
          </w:p>
        </w:tc>
      </w:tr>
      <w:tr w:rsidR="00B52BB0" w:rsidRPr="00DF463B"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Arial"/>
                <w:iCs/>
                <w:sz w:val="18"/>
                <w:szCs w:val="18"/>
                <w:lang w:eastAsia="en-AU"/>
              </w:rPr>
            </w:pPr>
            <w:r w:rsidRPr="0040486E">
              <w:rPr>
                <w:rFonts w:eastAsia="Cambria" w:cs="Arial"/>
                <w:i/>
                <w:sz w:val="18"/>
                <w:szCs w:val="18"/>
                <w:lang w:eastAsia="en-AU"/>
              </w:rPr>
              <w:lastRenderedPageBreak/>
              <w:t xml:space="preserve">Tessaratoma papillosa </w:t>
            </w:r>
            <w:r w:rsidRPr="004569F6">
              <w:rPr>
                <w:rFonts w:eastAsia="Cambria" w:cs="Arial"/>
                <w:iCs/>
                <w:sz w:val="18"/>
                <w:szCs w:val="18"/>
                <w:lang w:eastAsia="en-AU"/>
              </w:rPr>
              <w:t>(Drury, 1770)</w:t>
            </w:r>
          </w:p>
          <w:p w:rsidR="00B52BB0" w:rsidRPr="004569F6" w:rsidRDefault="00B52BB0" w:rsidP="003E074D">
            <w:pPr>
              <w:autoSpaceDE w:val="0"/>
              <w:autoSpaceDN w:val="0"/>
              <w:adjustRightInd w:val="0"/>
              <w:spacing w:before="60" w:after="60" w:line="240" w:lineRule="auto"/>
              <w:rPr>
                <w:rFonts w:eastAsia="Cambria" w:cs="Arial"/>
                <w:iCs/>
                <w:sz w:val="18"/>
                <w:szCs w:val="18"/>
                <w:lang w:eastAsia="en-AU"/>
              </w:rPr>
            </w:pPr>
            <w:r w:rsidRPr="004569F6">
              <w:rPr>
                <w:rFonts w:eastAsia="Cambria" w:cs="Arial"/>
                <w:iCs/>
                <w:sz w:val="18"/>
                <w:szCs w:val="18"/>
                <w:lang w:eastAsia="en-AU"/>
              </w:rPr>
              <w:t>[Tessaratomidae]</w:t>
            </w:r>
          </w:p>
          <w:p w:rsidR="00B52BB0" w:rsidRPr="00DF463B" w:rsidRDefault="00B52BB0" w:rsidP="003E074D">
            <w:pPr>
              <w:pStyle w:val="TableText"/>
            </w:pPr>
            <w:r w:rsidRPr="004569F6">
              <w:rPr>
                <w:rFonts w:eastAsia="Cambria" w:cs="Arial"/>
                <w:iCs/>
                <w:szCs w:val="18"/>
                <w:lang w:eastAsia="en-AU"/>
              </w:rPr>
              <w:t>Litchi stink bug</w:t>
            </w:r>
          </w:p>
        </w:tc>
        <w:tc>
          <w:tcPr>
            <w:tcW w:w="715" w:type="pct"/>
            <w:shd w:val="clear" w:color="auto" w:fill="auto"/>
          </w:tcPr>
          <w:p w:rsidR="00B52BB0" w:rsidRPr="00DF463B" w:rsidRDefault="00B52BB0" w:rsidP="003E074D">
            <w:pPr>
              <w:pStyle w:val="TableText"/>
            </w:pPr>
            <w:r w:rsidRPr="00226953">
              <w:t xml:space="preserve">Yes </w:t>
            </w:r>
            <w:r>
              <w:rPr>
                <w:noProof/>
              </w:rPr>
              <w:t>(CABI 2019; Pham 2016)</w:t>
            </w:r>
          </w:p>
        </w:tc>
        <w:tc>
          <w:tcPr>
            <w:tcW w:w="714" w:type="pct"/>
            <w:shd w:val="clear" w:color="auto" w:fill="auto"/>
          </w:tcPr>
          <w:p w:rsidR="00B52BB0" w:rsidRPr="00DF463B" w:rsidRDefault="00B52BB0" w:rsidP="003E074D">
            <w:pPr>
              <w:pStyle w:val="TableText"/>
              <w:rPr>
                <w:sz w:val="16"/>
              </w:rPr>
            </w:pPr>
            <w:r w:rsidRPr="00226953">
              <w:t>No records found</w:t>
            </w:r>
          </w:p>
        </w:tc>
        <w:tc>
          <w:tcPr>
            <w:tcW w:w="714" w:type="pct"/>
            <w:shd w:val="clear" w:color="auto" w:fill="auto"/>
          </w:tcPr>
          <w:p w:rsidR="00B52BB0" w:rsidRPr="00DF463B" w:rsidRDefault="00B52BB0" w:rsidP="003E074D">
            <w:pPr>
              <w:pStyle w:val="TableText"/>
              <w:rPr>
                <w:sz w:val="16"/>
              </w:rPr>
            </w:pPr>
            <w:r w:rsidRPr="00226953">
              <w:t>No. Adults and nymphs</w:t>
            </w:r>
            <w:r>
              <w:t xml:space="preserve"> of this species</w:t>
            </w:r>
            <w:r w:rsidRPr="00226953">
              <w:t xml:space="preserve"> feed on the terminals, flowers, twigs and fruit and usually cause premature drop of fruit </w:t>
            </w:r>
            <w:r>
              <w:rPr>
                <w:noProof/>
              </w:rPr>
              <w:t>(Peña, Sharp &amp; Wysoki 2002)</w:t>
            </w:r>
            <w:r w:rsidRPr="00226953">
              <w:t xml:space="preserve">. Adults and nymphs are highly visible and abandon the host if disturbed </w:t>
            </w:r>
            <w:r>
              <w:rPr>
                <w:noProof/>
              </w:rPr>
              <w:t>(DAFF 2013)</w:t>
            </w:r>
            <w:r w:rsidRPr="00226953">
              <w:t>. Therefore, this species will not be associated with harvested fruit.</w:t>
            </w:r>
          </w:p>
        </w:tc>
        <w:tc>
          <w:tcPr>
            <w:tcW w:w="714" w:type="pct"/>
            <w:shd w:val="clear" w:color="auto" w:fill="auto"/>
          </w:tcPr>
          <w:p w:rsidR="00B52BB0" w:rsidRPr="00DF463B" w:rsidRDefault="00B52BB0" w:rsidP="003E074D">
            <w:pPr>
              <w:pStyle w:val="TableText"/>
            </w:pPr>
            <w:r w:rsidRPr="00226953">
              <w:t>Assessment not required</w:t>
            </w:r>
          </w:p>
        </w:tc>
        <w:tc>
          <w:tcPr>
            <w:tcW w:w="714" w:type="pct"/>
            <w:shd w:val="clear" w:color="auto" w:fill="auto"/>
          </w:tcPr>
          <w:p w:rsidR="00B52BB0" w:rsidRPr="00DF463B" w:rsidRDefault="00B52BB0" w:rsidP="003E074D">
            <w:pPr>
              <w:pStyle w:val="TableText"/>
            </w:pPr>
            <w:r w:rsidRPr="00226953">
              <w:t>Assessment not required</w:t>
            </w:r>
          </w:p>
        </w:tc>
        <w:tc>
          <w:tcPr>
            <w:tcW w:w="714" w:type="pct"/>
            <w:shd w:val="clear" w:color="auto" w:fill="auto"/>
          </w:tcPr>
          <w:p w:rsidR="00B52BB0" w:rsidRPr="00DF463B" w:rsidRDefault="00B52BB0" w:rsidP="003E074D">
            <w:pPr>
              <w:pStyle w:val="TableText"/>
            </w:pPr>
            <w:r w:rsidRPr="00226953">
              <w:t>No</w:t>
            </w:r>
          </w:p>
        </w:tc>
      </w:tr>
      <w:tr w:rsidR="00B52BB0" w:rsidRPr="00DF463B"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Arial"/>
                <w:sz w:val="18"/>
                <w:szCs w:val="18"/>
                <w:lang w:eastAsia="en-AU"/>
              </w:rPr>
            </w:pPr>
            <w:r w:rsidRPr="0040486E">
              <w:rPr>
                <w:rFonts w:eastAsia="Cambria" w:cs="Arial"/>
                <w:i/>
                <w:iCs/>
                <w:sz w:val="18"/>
                <w:szCs w:val="18"/>
                <w:lang w:eastAsia="en-AU"/>
              </w:rPr>
              <w:t xml:space="preserve">Toxoptera aurantii </w:t>
            </w:r>
            <w:r w:rsidRPr="004569F6">
              <w:rPr>
                <w:rFonts w:eastAsia="Cambria" w:cs="Arial"/>
                <w:sz w:val="18"/>
                <w:szCs w:val="18"/>
                <w:lang w:eastAsia="en-AU"/>
              </w:rPr>
              <w:t>(Boyer de Fons</w:t>
            </w:r>
            <w:r>
              <w:rPr>
                <w:rFonts w:eastAsia="Cambria" w:cs="Arial"/>
                <w:sz w:val="18"/>
                <w:szCs w:val="18"/>
                <w:lang w:eastAsia="en-AU"/>
              </w:rPr>
              <w:t>c</w:t>
            </w:r>
            <w:r w:rsidRPr="004569F6">
              <w:rPr>
                <w:rFonts w:eastAsia="Cambria" w:cs="Arial"/>
                <w:sz w:val="18"/>
                <w:szCs w:val="18"/>
                <w:lang w:eastAsia="en-AU"/>
              </w:rPr>
              <w:t>olombe, 1841)</w:t>
            </w:r>
          </w:p>
          <w:p w:rsidR="00B52BB0" w:rsidRPr="004569F6" w:rsidRDefault="00B52BB0" w:rsidP="003E074D">
            <w:pPr>
              <w:autoSpaceDE w:val="0"/>
              <w:autoSpaceDN w:val="0"/>
              <w:adjustRightInd w:val="0"/>
              <w:spacing w:before="60" w:after="60" w:line="240" w:lineRule="auto"/>
              <w:rPr>
                <w:rFonts w:eastAsia="Cambria" w:cs="Arial"/>
                <w:sz w:val="18"/>
                <w:szCs w:val="18"/>
                <w:lang w:eastAsia="en-AU"/>
              </w:rPr>
            </w:pPr>
            <w:r w:rsidRPr="004569F6">
              <w:rPr>
                <w:rFonts w:eastAsia="Cambria" w:cs="Arial"/>
                <w:sz w:val="18"/>
                <w:szCs w:val="18"/>
                <w:lang w:eastAsia="en-AU"/>
              </w:rPr>
              <w:t>[Aphididae]</w:t>
            </w:r>
          </w:p>
          <w:p w:rsidR="00B52BB0" w:rsidRPr="00DF463B" w:rsidRDefault="00B52BB0" w:rsidP="003E074D">
            <w:pPr>
              <w:pStyle w:val="TableText"/>
            </w:pPr>
            <w:r>
              <w:rPr>
                <w:rFonts w:eastAsia="Cambria" w:cs="Arial"/>
                <w:szCs w:val="18"/>
                <w:lang w:eastAsia="en-AU"/>
              </w:rPr>
              <w:t>Camellia</w:t>
            </w:r>
            <w:r w:rsidRPr="004569F6">
              <w:rPr>
                <w:rFonts w:eastAsia="Cambria" w:cs="Arial"/>
                <w:szCs w:val="18"/>
                <w:lang w:eastAsia="en-AU"/>
              </w:rPr>
              <w:t xml:space="preserve"> aphid</w:t>
            </w:r>
          </w:p>
        </w:tc>
        <w:tc>
          <w:tcPr>
            <w:tcW w:w="715" w:type="pct"/>
            <w:shd w:val="clear" w:color="auto" w:fill="auto"/>
          </w:tcPr>
          <w:p w:rsidR="00B52BB0" w:rsidRPr="00DF463B" w:rsidRDefault="00B52BB0" w:rsidP="003E074D">
            <w:pPr>
              <w:pStyle w:val="TableText"/>
            </w:pPr>
            <w:r w:rsidRPr="003E4111">
              <w:t xml:space="preserve">Yes </w:t>
            </w:r>
            <w:r>
              <w:rPr>
                <w:noProof/>
              </w:rPr>
              <w:t>(CABI 2019; FAO 2004)</w:t>
            </w:r>
          </w:p>
        </w:tc>
        <w:tc>
          <w:tcPr>
            <w:tcW w:w="714" w:type="pct"/>
            <w:shd w:val="clear" w:color="auto" w:fill="auto"/>
          </w:tcPr>
          <w:p w:rsidR="00B52BB0" w:rsidRPr="00DF463B" w:rsidRDefault="00B52BB0" w:rsidP="003E074D">
            <w:pPr>
              <w:pStyle w:val="TableText"/>
              <w:rPr>
                <w:sz w:val="16"/>
              </w:rPr>
            </w:pPr>
            <w:r w:rsidRPr="003E4111">
              <w:t xml:space="preserve">Yes. NSW, NT, Qld, SA, Tas., Vic., WA </w:t>
            </w:r>
            <w:r>
              <w:rPr>
                <w:noProof/>
              </w:rPr>
              <w:t>(Plant Health Australia 2019)</w:t>
            </w:r>
          </w:p>
        </w:tc>
        <w:tc>
          <w:tcPr>
            <w:tcW w:w="714" w:type="pct"/>
            <w:shd w:val="clear" w:color="auto" w:fill="auto"/>
          </w:tcPr>
          <w:p w:rsidR="00B52BB0" w:rsidRPr="00DF463B" w:rsidRDefault="00B52BB0" w:rsidP="003E074D">
            <w:pPr>
              <w:pStyle w:val="TableText"/>
              <w:rPr>
                <w:sz w:val="16"/>
              </w:rPr>
            </w:pPr>
            <w:r w:rsidRPr="003E4111">
              <w:t>Assessment not required</w:t>
            </w:r>
          </w:p>
        </w:tc>
        <w:tc>
          <w:tcPr>
            <w:tcW w:w="714" w:type="pct"/>
            <w:shd w:val="clear" w:color="auto" w:fill="auto"/>
          </w:tcPr>
          <w:p w:rsidR="00B52BB0" w:rsidRPr="00DF463B" w:rsidRDefault="00B52BB0" w:rsidP="003E074D">
            <w:pPr>
              <w:pStyle w:val="TableText"/>
            </w:pPr>
            <w:r w:rsidRPr="003E4111">
              <w:t>Assessment not required</w:t>
            </w:r>
          </w:p>
        </w:tc>
        <w:tc>
          <w:tcPr>
            <w:tcW w:w="714" w:type="pct"/>
            <w:shd w:val="clear" w:color="auto" w:fill="auto"/>
          </w:tcPr>
          <w:p w:rsidR="00B52BB0" w:rsidRPr="00DF463B" w:rsidRDefault="00B52BB0" w:rsidP="003E074D">
            <w:pPr>
              <w:pStyle w:val="TableText"/>
            </w:pPr>
            <w:r w:rsidRPr="003E4111">
              <w:t>Assessment not required</w:t>
            </w:r>
          </w:p>
        </w:tc>
        <w:tc>
          <w:tcPr>
            <w:tcW w:w="714" w:type="pct"/>
            <w:shd w:val="clear" w:color="auto" w:fill="auto"/>
          </w:tcPr>
          <w:p w:rsidR="00B52BB0" w:rsidRPr="00DF463B" w:rsidRDefault="00B52BB0" w:rsidP="003E074D">
            <w:pPr>
              <w:pStyle w:val="TableText"/>
            </w:pPr>
            <w:r w:rsidRPr="003E4111">
              <w:t>No</w:t>
            </w:r>
          </w:p>
        </w:tc>
      </w:tr>
      <w:tr w:rsidR="00B52BB0" w:rsidTr="003E074D">
        <w:trPr>
          <w:cantSplit/>
          <w:trHeight w:val="75"/>
          <w:jc w:val="center"/>
        </w:trPr>
        <w:tc>
          <w:tcPr>
            <w:tcW w:w="5000" w:type="pct"/>
            <w:gridSpan w:val="7"/>
            <w:shd w:val="clear" w:color="auto" w:fill="auto"/>
          </w:tcPr>
          <w:p w:rsidR="00B52BB0" w:rsidRDefault="00B52BB0" w:rsidP="003E074D">
            <w:pPr>
              <w:pStyle w:val="TableText"/>
              <w:keepNext/>
            </w:pPr>
            <w:r w:rsidRPr="003713FB">
              <w:t>Lepidoptera</w:t>
            </w:r>
          </w:p>
        </w:tc>
      </w:tr>
      <w:tr w:rsidR="00B52BB0" w:rsidRPr="007E70AF" w:rsidTr="003E074D">
        <w:trPr>
          <w:cantSplit/>
          <w:trHeight w:val="75"/>
          <w:jc w:val="center"/>
        </w:trPr>
        <w:tc>
          <w:tcPr>
            <w:tcW w:w="715" w:type="pct"/>
            <w:shd w:val="clear" w:color="auto" w:fill="auto"/>
          </w:tcPr>
          <w:p w:rsidR="00B52BB0" w:rsidRPr="004569F6" w:rsidRDefault="00B52BB0" w:rsidP="003E074D">
            <w:pPr>
              <w:spacing w:before="60" w:after="60" w:line="240" w:lineRule="auto"/>
              <w:rPr>
                <w:rFonts w:eastAsia="Times New Roman" w:cs="Times New Roman"/>
                <w:bCs/>
                <w:sz w:val="18"/>
                <w:szCs w:val="18"/>
              </w:rPr>
            </w:pPr>
            <w:r w:rsidRPr="0040486E">
              <w:rPr>
                <w:rFonts w:eastAsia="Times New Roman" w:cs="Times New Roman"/>
                <w:bCs/>
                <w:i/>
                <w:iCs/>
                <w:sz w:val="18"/>
                <w:szCs w:val="18"/>
              </w:rPr>
              <w:t xml:space="preserve">Acanthoecia larminati </w:t>
            </w:r>
            <w:r w:rsidRPr="004569F6">
              <w:rPr>
                <w:rFonts w:eastAsia="Times New Roman" w:cs="Times New Roman"/>
                <w:bCs/>
                <w:sz w:val="18"/>
                <w:szCs w:val="18"/>
              </w:rPr>
              <w:t>(Heylaerts, 1904)</w:t>
            </w:r>
          </w:p>
          <w:p w:rsidR="00B52BB0" w:rsidRPr="004569F6" w:rsidRDefault="00B52BB0" w:rsidP="003E074D">
            <w:pPr>
              <w:spacing w:before="60" w:after="60" w:line="240" w:lineRule="auto"/>
              <w:rPr>
                <w:rFonts w:eastAsia="Times New Roman" w:cs="Times New Roman"/>
                <w:bCs/>
                <w:sz w:val="18"/>
                <w:szCs w:val="18"/>
              </w:rPr>
            </w:pPr>
            <w:r w:rsidRPr="004569F6">
              <w:rPr>
                <w:rFonts w:eastAsia="Times New Roman" w:cs="Times New Roman"/>
                <w:bCs/>
                <w:sz w:val="18"/>
                <w:szCs w:val="18"/>
              </w:rPr>
              <w:t>[Psychidae]</w:t>
            </w:r>
          </w:p>
          <w:p w:rsidR="00B52BB0" w:rsidRPr="007E70AF" w:rsidRDefault="00B52BB0" w:rsidP="003E074D">
            <w:pPr>
              <w:pStyle w:val="TableText"/>
              <w:rPr>
                <w:u w:val="single"/>
                <w:lang w:val="en-US"/>
              </w:rPr>
            </w:pPr>
          </w:p>
        </w:tc>
        <w:tc>
          <w:tcPr>
            <w:tcW w:w="715" w:type="pct"/>
            <w:shd w:val="clear" w:color="auto" w:fill="auto"/>
          </w:tcPr>
          <w:p w:rsidR="00B52BB0" w:rsidRPr="007E70AF" w:rsidRDefault="00B52BB0" w:rsidP="003E074D">
            <w:pPr>
              <w:pStyle w:val="TableText"/>
              <w:rPr>
                <w:sz w:val="16"/>
              </w:rPr>
            </w:pPr>
            <w:r w:rsidRPr="00E53121">
              <w:t xml:space="preserve">Yes </w:t>
            </w:r>
            <w:r>
              <w:rPr>
                <w:noProof/>
              </w:rPr>
              <w:t>(Sobczyk 2011)</w:t>
            </w:r>
          </w:p>
        </w:tc>
        <w:tc>
          <w:tcPr>
            <w:tcW w:w="714" w:type="pct"/>
            <w:shd w:val="clear" w:color="auto" w:fill="auto"/>
          </w:tcPr>
          <w:p w:rsidR="00B52BB0" w:rsidRPr="007E70AF" w:rsidRDefault="00B52BB0" w:rsidP="003E074D">
            <w:pPr>
              <w:pStyle w:val="TableText"/>
              <w:rPr>
                <w:sz w:val="16"/>
              </w:rPr>
            </w:pPr>
            <w:r w:rsidRPr="00E53121">
              <w:t>No records found</w:t>
            </w:r>
          </w:p>
        </w:tc>
        <w:tc>
          <w:tcPr>
            <w:tcW w:w="714" w:type="pct"/>
            <w:shd w:val="clear" w:color="auto" w:fill="auto"/>
          </w:tcPr>
          <w:p w:rsidR="00B52BB0" w:rsidRPr="007E70AF" w:rsidRDefault="00B52BB0" w:rsidP="003E074D">
            <w:pPr>
              <w:pStyle w:val="TableText"/>
              <w:rPr>
                <w:sz w:val="16"/>
              </w:rPr>
            </w:pPr>
            <w:r w:rsidRPr="00E53121">
              <w:t xml:space="preserve">No. Not associated with fruit </w:t>
            </w:r>
            <w:r>
              <w:rPr>
                <w:noProof/>
              </w:rPr>
              <w:t>(USDA 1999)</w:t>
            </w:r>
            <w:r w:rsidRPr="00E53121">
              <w:t>.</w:t>
            </w:r>
          </w:p>
        </w:tc>
        <w:tc>
          <w:tcPr>
            <w:tcW w:w="714" w:type="pct"/>
            <w:shd w:val="clear" w:color="auto" w:fill="auto"/>
          </w:tcPr>
          <w:p w:rsidR="00B52BB0" w:rsidRPr="007E70AF" w:rsidRDefault="00B52BB0" w:rsidP="003E074D">
            <w:pPr>
              <w:pStyle w:val="TableText"/>
            </w:pPr>
            <w:r w:rsidRPr="00E53121">
              <w:t>Assessment not required</w:t>
            </w:r>
          </w:p>
        </w:tc>
        <w:tc>
          <w:tcPr>
            <w:tcW w:w="714" w:type="pct"/>
            <w:shd w:val="clear" w:color="auto" w:fill="auto"/>
          </w:tcPr>
          <w:p w:rsidR="00B52BB0" w:rsidRPr="007E70AF" w:rsidRDefault="00B52BB0" w:rsidP="003E074D">
            <w:pPr>
              <w:pStyle w:val="TableText"/>
            </w:pPr>
            <w:r w:rsidRPr="00E53121">
              <w:t>Assessment not required</w:t>
            </w:r>
          </w:p>
        </w:tc>
        <w:tc>
          <w:tcPr>
            <w:tcW w:w="714" w:type="pct"/>
            <w:shd w:val="clear" w:color="auto" w:fill="auto"/>
          </w:tcPr>
          <w:p w:rsidR="00B52BB0" w:rsidRPr="007E70AF" w:rsidRDefault="00B52BB0" w:rsidP="003E074D">
            <w:pPr>
              <w:pStyle w:val="TableText"/>
            </w:pPr>
            <w:r w:rsidRPr="00E53121">
              <w:t>No</w:t>
            </w:r>
          </w:p>
        </w:tc>
      </w:tr>
      <w:tr w:rsidR="00B52BB0" w:rsidRPr="007E70AF" w:rsidTr="003E074D">
        <w:trPr>
          <w:cantSplit/>
          <w:trHeight w:val="75"/>
          <w:jc w:val="center"/>
        </w:trPr>
        <w:tc>
          <w:tcPr>
            <w:tcW w:w="715" w:type="pct"/>
            <w:shd w:val="clear" w:color="auto" w:fill="auto"/>
          </w:tcPr>
          <w:p w:rsidR="00B52BB0" w:rsidRPr="004569F6" w:rsidRDefault="00B52BB0" w:rsidP="003E074D">
            <w:pPr>
              <w:spacing w:before="60" w:after="60" w:line="240" w:lineRule="auto"/>
              <w:rPr>
                <w:rFonts w:eastAsia="Times New Roman" w:cs="Times New Roman"/>
                <w:bCs/>
                <w:sz w:val="18"/>
                <w:szCs w:val="18"/>
              </w:rPr>
            </w:pPr>
            <w:r w:rsidRPr="0040486E">
              <w:rPr>
                <w:rFonts w:eastAsia="Times New Roman" w:cs="Times New Roman"/>
                <w:bCs/>
                <w:i/>
                <w:iCs/>
                <w:sz w:val="18"/>
                <w:szCs w:val="18"/>
              </w:rPr>
              <w:t xml:space="preserve">Achaea janata </w:t>
            </w:r>
            <w:r w:rsidRPr="004569F6">
              <w:rPr>
                <w:rFonts w:eastAsia="Times New Roman" w:cs="Times New Roman"/>
                <w:bCs/>
                <w:sz w:val="18"/>
                <w:szCs w:val="18"/>
              </w:rPr>
              <w:t>(Linnaeus, 1758)</w:t>
            </w:r>
          </w:p>
          <w:p w:rsidR="00B52BB0" w:rsidRPr="004569F6" w:rsidRDefault="00B52BB0" w:rsidP="003E074D">
            <w:pPr>
              <w:spacing w:before="60" w:after="60" w:line="240" w:lineRule="auto"/>
              <w:rPr>
                <w:rFonts w:eastAsia="Times New Roman" w:cs="Times New Roman"/>
                <w:bCs/>
                <w:sz w:val="18"/>
                <w:szCs w:val="18"/>
              </w:rPr>
            </w:pPr>
            <w:r w:rsidRPr="004569F6">
              <w:rPr>
                <w:rFonts w:eastAsia="Times New Roman" w:cs="Times New Roman"/>
                <w:bCs/>
                <w:sz w:val="18"/>
                <w:szCs w:val="18"/>
              </w:rPr>
              <w:t>[Noctuidae]</w:t>
            </w:r>
          </w:p>
          <w:p w:rsidR="00B52BB0" w:rsidRPr="007E70AF" w:rsidRDefault="00B52BB0" w:rsidP="003E074D">
            <w:pPr>
              <w:pStyle w:val="TableText"/>
              <w:rPr>
                <w:i/>
                <w:lang w:val="pt-BR"/>
              </w:rPr>
            </w:pPr>
            <w:r w:rsidRPr="004569F6">
              <w:rPr>
                <w:rFonts w:eastAsia="Times New Roman" w:cs="Times New Roman"/>
                <w:bCs/>
                <w:szCs w:val="18"/>
              </w:rPr>
              <w:t>Castor semilooper</w:t>
            </w:r>
          </w:p>
        </w:tc>
        <w:tc>
          <w:tcPr>
            <w:tcW w:w="715" w:type="pct"/>
            <w:shd w:val="clear" w:color="auto" w:fill="auto"/>
          </w:tcPr>
          <w:p w:rsidR="00B52BB0" w:rsidRPr="007E70AF" w:rsidRDefault="00B52BB0" w:rsidP="003E074D">
            <w:pPr>
              <w:pStyle w:val="TableText"/>
              <w:rPr>
                <w:lang w:val="pt-BR"/>
              </w:rPr>
            </w:pPr>
            <w:r w:rsidRPr="00C55F38">
              <w:t xml:space="preserve">Yes </w:t>
            </w:r>
            <w:r>
              <w:rPr>
                <w:noProof/>
              </w:rPr>
              <w:t>(CABI 2019)</w:t>
            </w:r>
          </w:p>
        </w:tc>
        <w:tc>
          <w:tcPr>
            <w:tcW w:w="714" w:type="pct"/>
            <w:shd w:val="clear" w:color="auto" w:fill="auto"/>
          </w:tcPr>
          <w:p w:rsidR="00B52BB0" w:rsidRPr="007E70AF" w:rsidRDefault="00B52BB0" w:rsidP="003E074D">
            <w:pPr>
              <w:pStyle w:val="TableText"/>
              <w:rPr>
                <w:szCs w:val="16"/>
              </w:rPr>
            </w:pPr>
            <w:r w:rsidRPr="00C55F38">
              <w:t xml:space="preserve">Yes. NSW, NT, Qld, SA, WA </w:t>
            </w:r>
            <w:r>
              <w:rPr>
                <w:noProof/>
              </w:rPr>
              <w:t>(Plant Health Australia 2019)</w:t>
            </w:r>
          </w:p>
        </w:tc>
        <w:tc>
          <w:tcPr>
            <w:tcW w:w="714" w:type="pct"/>
            <w:shd w:val="clear" w:color="auto" w:fill="auto"/>
          </w:tcPr>
          <w:p w:rsidR="00B52BB0" w:rsidRPr="007E70AF" w:rsidRDefault="00B52BB0" w:rsidP="003E074D">
            <w:pPr>
              <w:pStyle w:val="TableText"/>
            </w:pPr>
            <w:r w:rsidRPr="00C55F38">
              <w:t>Assessment not required</w:t>
            </w:r>
          </w:p>
        </w:tc>
        <w:tc>
          <w:tcPr>
            <w:tcW w:w="714" w:type="pct"/>
            <w:shd w:val="clear" w:color="auto" w:fill="auto"/>
          </w:tcPr>
          <w:p w:rsidR="00B52BB0" w:rsidRPr="007E70AF" w:rsidRDefault="00B52BB0" w:rsidP="003E074D">
            <w:pPr>
              <w:pStyle w:val="TableText"/>
            </w:pPr>
            <w:r w:rsidRPr="00C55F38">
              <w:t>Assessment not required</w:t>
            </w:r>
          </w:p>
        </w:tc>
        <w:tc>
          <w:tcPr>
            <w:tcW w:w="714" w:type="pct"/>
            <w:shd w:val="clear" w:color="auto" w:fill="auto"/>
          </w:tcPr>
          <w:p w:rsidR="00B52BB0" w:rsidRPr="007E70AF" w:rsidRDefault="00B52BB0" w:rsidP="003E074D">
            <w:pPr>
              <w:pStyle w:val="TableText"/>
            </w:pPr>
            <w:r w:rsidRPr="00C55F38">
              <w:t>Assessment not required</w:t>
            </w:r>
          </w:p>
        </w:tc>
        <w:tc>
          <w:tcPr>
            <w:tcW w:w="714" w:type="pct"/>
            <w:shd w:val="clear" w:color="auto" w:fill="auto"/>
          </w:tcPr>
          <w:p w:rsidR="00B52BB0" w:rsidRPr="007E70AF" w:rsidRDefault="00B52BB0" w:rsidP="003E074D">
            <w:pPr>
              <w:pStyle w:val="TableText"/>
            </w:pPr>
            <w:r w:rsidRPr="00C55F38">
              <w:t>No</w:t>
            </w:r>
          </w:p>
        </w:tc>
      </w:tr>
      <w:tr w:rsidR="00B52BB0" w:rsidRPr="007E70AF" w:rsidTr="003E074D">
        <w:trPr>
          <w:cantSplit/>
          <w:trHeight w:val="75"/>
          <w:jc w:val="center"/>
        </w:trPr>
        <w:tc>
          <w:tcPr>
            <w:tcW w:w="715" w:type="pct"/>
            <w:shd w:val="clear" w:color="auto" w:fill="auto"/>
          </w:tcPr>
          <w:p w:rsidR="00B52BB0" w:rsidRPr="004569F6" w:rsidRDefault="00B52BB0" w:rsidP="003E074D">
            <w:pPr>
              <w:spacing w:before="60" w:after="60" w:line="240" w:lineRule="auto"/>
              <w:rPr>
                <w:rFonts w:eastAsia="Times New Roman" w:cs="Times New Roman"/>
                <w:iCs/>
                <w:sz w:val="18"/>
                <w:szCs w:val="18"/>
              </w:rPr>
            </w:pPr>
            <w:r w:rsidRPr="0040486E">
              <w:rPr>
                <w:rFonts w:eastAsia="Times New Roman" w:cs="Times New Roman"/>
                <w:i/>
                <w:sz w:val="18"/>
                <w:szCs w:val="18"/>
              </w:rPr>
              <w:lastRenderedPageBreak/>
              <w:t xml:space="preserve">Adoxophyes privatana </w:t>
            </w:r>
            <w:r w:rsidRPr="004569F6">
              <w:rPr>
                <w:rFonts w:eastAsia="Times New Roman" w:cs="Times New Roman"/>
                <w:iCs/>
                <w:sz w:val="18"/>
                <w:szCs w:val="18"/>
              </w:rPr>
              <w:t>Walker,</w:t>
            </w:r>
            <w:r>
              <w:rPr>
                <w:rFonts w:eastAsia="Times New Roman" w:cs="Times New Roman"/>
                <w:iCs/>
                <w:sz w:val="18"/>
                <w:szCs w:val="18"/>
              </w:rPr>
              <w:t xml:space="preserve"> </w:t>
            </w:r>
            <w:r w:rsidRPr="004569F6">
              <w:rPr>
                <w:rFonts w:eastAsia="Times New Roman" w:cs="Times New Roman"/>
                <w:iCs/>
                <w:sz w:val="18"/>
                <w:szCs w:val="18"/>
              </w:rPr>
              <w:t>1863</w:t>
            </w:r>
          </w:p>
          <w:p w:rsidR="00B52BB0" w:rsidRPr="004569F6" w:rsidRDefault="00B52BB0" w:rsidP="003E074D">
            <w:pPr>
              <w:spacing w:before="60" w:after="60" w:line="240" w:lineRule="auto"/>
              <w:rPr>
                <w:rFonts w:eastAsia="Times New Roman" w:cs="Times New Roman"/>
                <w:iCs/>
                <w:sz w:val="18"/>
                <w:szCs w:val="18"/>
              </w:rPr>
            </w:pPr>
            <w:r w:rsidRPr="004569F6">
              <w:rPr>
                <w:rFonts w:eastAsia="Times New Roman" w:cs="Times New Roman"/>
                <w:iCs/>
                <w:sz w:val="18"/>
                <w:szCs w:val="18"/>
              </w:rPr>
              <w:t>[Tortricidae]</w:t>
            </w:r>
          </w:p>
          <w:p w:rsidR="00B52BB0" w:rsidRPr="007E70AF" w:rsidRDefault="00B52BB0" w:rsidP="003E074D">
            <w:pPr>
              <w:pStyle w:val="TableText"/>
              <w:rPr>
                <w:i/>
                <w:lang w:val="pt-BR"/>
              </w:rPr>
            </w:pPr>
            <w:r w:rsidRPr="004569F6">
              <w:rPr>
                <w:rFonts w:eastAsia="Times New Roman" w:cs="Times New Roman"/>
                <w:iCs/>
                <w:szCs w:val="18"/>
              </w:rPr>
              <w:t>Apple leaf-curling moth</w:t>
            </w:r>
          </w:p>
        </w:tc>
        <w:tc>
          <w:tcPr>
            <w:tcW w:w="715" w:type="pct"/>
            <w:shd w:val="clear" w:color="auto" w:fill="auto"/>
          </w:tcPr>
          <w:p w:rsidR="00B52BB0" w:rsidRPr="007E70AF" w:rsidRDefault="00B52BB0" w:rsidP="003E074D">
            <w:pPr>
              <w:pStyle w:val="TableText"/>
              <w:rPr>
                <w:lang w:val="pt-BR"/>
              </w:rPr>
            </w:pPr>
            <w:r w:rsidRPr="00DC793D">
              <w:t xml:space="preserve">Yes </w:t>
            </w:r>
            <w:r>
              <w:rPr>
                <w:noProof/>
              </w:rPr>
              <w:t>(CABI 2019)</w:t>
            </w:r>
          </w:p>
        </w:tc>
        <w:tc>
          <w:tcPr>
            <w:tcW w:w="714" w:type="pct"/>
            <w:shd w:val="clear" w:color="auto" w:fill="auto"/>
          </w:tcPr>
          <w:p w:rsidR="00B52BB0" w:rsidRPr="007E70AF" w:rsidRDefault="00B52BB0" w:rsidP="003E074D">
            <w:pPr>
              <w:pStyle w:val="TableText"/>
              <w:rPr>
                <w:szCs w:val="16"/>
              </w:rPr>
            </w:pPr>
            <w:r w:rsidRPr="00DC793D">
              <w:t>No records found</w:t>
            </w:r>
          </w:p>
        </w:tc>
        <w:tc>
          <w:tcPr>
            <w:tcW w:w="714" w:type="pct"/>
            <w:shd w:val="clear" w:color="auto" w:fill="auto"/>
          </w:tcPr>
          <w:p w:rsidR="00B52BB0" w:rsidRPr="007E70AF" w:rsidRDefault="00B52BB0" w:rsidP="003E074D">
            <w:pPr>
              <w:pStyle w:val="TableText"/>
            </w:pPr>
            <w:r w:rsidRPr="00DC793D">
              <w:t xml:space="preserve">No. Eggs </w:t>
            </w:r>
            <w:r>
              <w:t>a</w:t>
            </w:r>
            <w:r w:rsidRPr="00DC793D">
              <w:t xml:space="preserve">re laid in batches on the leaves </w:t>
            </w:r>
            <w:r>
              <w:rPr>
                <w:noProof/>
              </w:rPr>
              <w:t>(Meijerman &amp; Ulenberg 2016)</w:t>
            </w:r>
            <w:r w:rsidRPr="00DC793D">
              <w:t xml:space="preserve">. Larvae web several leaves together to form a nest for feeding. This nest can include fruit, but larvae are very active and will wriggle away or drop to the ground when disturbed </w:t>
            </w:r>
            <w:r>
              <w:rPr>
                <w:noProof/>
              </w:rPr>
              <w:t>(Meijerman &amp; Ulenberg 2016)</w:t>
            </w:r>
            <w:r w:rsidRPr="00DC793D">
              <w:t>. Therefore, this species will not be associated with harvested fruit.</w:t>
            </w:r>
          </w:p>
        </w:tc>
        <w:tc>
          <w:tcPr>
            <w:tcW w:w="714" w:type="pct"/>
            <w:shd w:val="clear" w:color="auto" w:fill="auto"/>
          </w:tcPr>
          <w:p w:rsidR="00B52BB0" w:rsidRPr="007E70AF" w:rsidRDefault="00B52BB0" w:rsidP="003E074D">
            <w:pPr>
              <w:pStyle w:val="TableText"/>
            </w:pPr>
            <w:r w:rsidRPr="00DC793D">
              <w:t>Assessment not required</w:t>
            </w:r>
          </w:p>
        </w:tc>
        <w:tc>
          <w:tcPr>
            <w:tcW w:w="714" w:type="pct"/>
            <w:shd w:val="clear" w:color="auto" w:fill="auto"/>
          </w:tcPr>
          <w:p w:rsidR="00B52BB0" w:rsidRPr="007E70AF" w:rsidRDefault="00B52BB0" w:rsidP="003E074D">
            <w:pPr>
              <w:pStyle w:val="TableText"/>
            </w:pPr>
            <w:r w:rsidRPr="00DC793D">
              <w:t>Assessment not required</w:t>
            </w:r>
          </w:p>
        </w:tc>
        <w:tc>
          <w:tcPr>
            <w:tcW w:w="714" w:type="pct"/>
            <w:shd w:val="clear" w:color="auto" w:fill="auto"/>
          </w:tcPr>
          <w:p w:rsidR="00B52BB0" w:rsidRPr="007E70AF" w:rsidRDefault="00B52BB0" w:rsidP="003E074D">
            <w:pPr>
              <w:pStyle w:val="TableText"/>
            </w:pPr>
            <w:r w:rsidRPr="00DC793D">
              <w:t>No</w:t>
            </w:r>
          </w:p>
        </w:tc>
      </w:tr>
      <w:tr w:rsidR="00B52BB0" w:rsidRPr="007E70AF" w:rsidTr="003E074D">
        <w:trPr>
          <w:cantSplit/>
          <w:trHeight w:val="75"/>
          <w:jc w:val="center"/>
        </w:trPr>
        <w:tc>
          <w:tcPr>
            <w:tcW w:w="715" w:type="pct"/>
            <w:shd w:val="clear" w:color="auto" w:fill="auto"/>
          </w:tcPr>
          <w:p w:rsidR="00B52BB0" w:rsidRPr="004569F6" w:rsidRDefault="00B52BB0" w:rsidP="003E074D">
            <w:pPr>
              <w:spacing w:before="60" w:after="60" w:line="240" w:lineRule="auto"/>
              <w:rPr>
                <w:rFonts w:eastAsia="Times New Roman" w:cs="Times New Roman"/>
                <w:iCs/>
                <w:sz w:val="18"/>
                <w:szCs w:val="18"/>
              </w:rPr>
            </w:pPr>
            <w:r w:rsidRPr="0040486E">
              <w:rPr>
                <w:rFonts w:eastAsia="Times New Roman" w:cs="Times New Roman"/>
                <w:i/>
                <w:sz w:val="18"/>
                <w:szCs w:val="18"/>
              </w:rPr>
              <w:t xml:space="preserve">Archips micacaena </w:t>
            </w:r>
            <w:r w:rsidRPr="004569F6">
              <w:rPr>
                <w:rFonts w:eastAsia="Times New Roman" w:cs="Times New Roman"/>
                <w:iCs/>
                <w:sz w:val="18"/>
                <w:szCs w:val="18"/>
              </w:rPr>
              <w:t>Walker, 1863</w:t>
            </w:r>
          </w:p>
          <w:p w:rsidR="00B52BB0" w:rsidRPr="004569F6" w:rsidRDefault="00B52BB0" w:rsidP="003E074D">
            <w:pPr>
              <w:spacing w:before="60" w:after="60" w:line="240" w:lineRule="auto"/>
              <w:rPr>
                <w:rFonts w:eastAsia="Times New Roman" w:cs="Times New Roman"/>
                <w:iCs/>
                <w:sz w:val="18"/>
                <w:szCs w:val="18"/>
              </w:rPr>
            </w:pPr>
            <w:r w:rsidRPr="004569F6">
              <w:rPr>
                <w:rFonts w:eastAsia="Times New Roman" w:cs="Times New Roman"/>
                <w:iCs/>
                <w:sz w:val="18"/>
                <w:szCs w:val="18"/>
              </w:rPr>
              <w:t>[Tortricidae]</w:t>
            </w:r>
          </w:p>
          <w:p w:rsidR="00B52BB0" w:rsidRPr="007E70AF" w:rsidRDefault="00B52BB0" w:rsidP="003E074D">
            <w:pPr>
              <w:pStyle w:val="TableText"/>
              <w:rPr>
                <w:i/>
                <w:lang w:val="en-US"/>
              </w:rPr>
            </w:pPr>
            <w:r w:rsidRPr="004569F6">
              <w:rPr>
                <w:rFonts w:eastAsia="Times New Roman" w:cs="Times New Roman"/>
                <w:iCs/>
                <w:szCs w:val="18"/>
              </w:rPr>
              <w:t>Leaf roller</w:t>
            </w:r>
          </w:p>
        </w:tc>
        <w:tc>
          <w:tcPr>
            <w:tcW w:w="715" w:type="pct"/>
            <w:shd w:val="clear" w:color="auto" w:fill="auto"/>
          </w:tcPr>
          <w:p w:rsidR="00B52BB0" w:rsidRPr="007E70AF" w:rsidRDefault="00B52BB0" w:rsidP="003E074D">
            <w:pPr>
              <w:pStyle w:val="TableText"/>
              <w:rPr>
                <w:sz w:val="16"/>
              </w:rPr>
            </w:pPr>
            <w:r w:rsidRPr="00074A92">
              <w:t xml:space="preserve">Yes </w:t>
            </w:r>
            <w:r>
              <w:rPr>
                <w:noProof/>
              </w:rPr>
              <w:t>(PPD 2017)</w:t>
            </w:r>
          </w:p>
        </w:tc>
        <w:tc>
          <w:tcPr>
            <w:tcW w:w="714" w:type="pct"/>
            <w:shd w:val="clear" w:color="auto" w:fill="auto"/>
          </w:tcPr>
          <w:p w:rsidR="00B52BB0" w:rsidRPr="007E70AF" w:rsidRDefault="00B52BB0" w:rsidP="003E074D">
            <w:pPr>
              <w:pStyle w:val="TableText"/>
              <w:rPr>
                <w:sz w:val="16"/>
              </w:rPr>
            </w:pPr>
            <w:r w:rsidRPr="00074A92">
              <w:t>No records found</w:t>
            </w:r>
          </w:p>
        </w:tc>
        <w:tc>
          <w:tcPr>
            <w:tcW w:w="714" w:type="pct"/>
            <w:shd w:val="clear" w:color="auto" w:fill="auto"/>
          </w:tcPr>
          <w:p w:rsidR="00B52BB0" w:rsidRPr="007E70AF" w:rsidRDefault="00B52BB0" w:rsidP="003E074D">
            <w:pPr>
              <w:pStyle w:val="TableText"/>
              <w:rPr>
                <w:sz w:val="16"/>
              </w:rPr>
            </w:pPr>
            <w:r w:rsidRPr="00074A92">
              <w:t xml:space="preserve">No. Feeds on leaves </w:t>
            </w:r>
            <w:r>
              <w:rPr>
                <w:noProof/>
              </w:rPr>
              <w:t>(Nair 2001)</w:t>
            </w:r>
            <w:r w:rsidRPr="00074A92">
              <w:t>.</w:t>
            </w:r>
          </w:p>
        </w:tc>
        <w:tc>
          <w:tcPr>
            <w:tcW w:w="714" w:type="pct"/>
            <w:shd w:val="clear" w:color="auto" w:fill="auto"/>
          </w:tcPr>
          <w:p w:rsidR="00B52BB0" w:rsidRPr="007E70AF" w:rsidRDefault="00B52BB0" w:rsidP="003E074D">
            <w:pPr>
              <w:pStyle w:val="TableText"/>
            </w:pPr>
            <w:r w:rsidRPr="00074A92">
              <w:t>Assessment not required</w:t>
            </w:r>
          </w:p>
        </w:tc>
        <w:tc>
          <w:tcPr>
            <w:tcW w:w="714" w:type="pct"/>
            <w:shd w:val="clear" w:color="auto" w:fill="auto"/>
          </w:tcPr>
          <w:p w:rsidR="00B52BB0" w:rsidRPr="007E70AF" w:rsidRDefault="00B52BB0" w:rsidP="003E074D">
            <w:pPr>
              <w:pStyle w:val="TableText"/>
            </w:pPr>
            <w:r w:rsidRPr="00074A92">
              <w:t>Assessment not required</w:t>
            </w:r>
          </w:p>
        </w:tc>
        <w:tc>
          <w:tcPr>
            <w:tcW w:w="714" w:type="pct"/>
            <w:shd w:val="clear" w:color="auto" w:fill="auto"/>
          </w:tcPr>
          <w:p w:rsidR="00B52BB0" w:rsidRPr="007E70AF" w:rsidRDefault="00B52BB0" w:rsidP="003E074D">
            <w:pPr>
              <w:pStyle w:val="TableText"/>
            </w:pPr>
            <w:r w:rsidRPr="00074A92">
              <w:t>No</w:t>
            </w:r>
          </w:p>
        </w:tc>
      </w:tr>
      <w:tr w:rsidR="00B52BB0" w:rsidRPr="007E70AF"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0486E">
              <w:rPr>
                <w:rFonts w:eastAsia="Cambria" w:cs="Melior-Italic"/>
                <w:i/>
                <w:iCs/>
                <w:sz w:val="18"/>
                <w:szCs w:val="18"/>
                <w:lang w:eastAsia="en-AU"/>
              </w:rPr>
              <w:t xml:space="preserve">Clania variegata </w:t>
            </w:r>
            <w:r w:rsidRPr="004569F6">
              <w:rPr>
                <w:rFonts w:eastAsia="Cambria" w:cs="Melior-Italic"/>
                <w:sz w:val="18"/>
                <w:szCs w:val="18"/>
                <w:lang w:eastAsia="en-AU"/>
              </w:rPr>
              <w:t>(Snellen, 1879)</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569F6">
              <w:rPr>
                <w:rFonts w:eastAsia="Cambria" w:cs="Melior-Italic"/>
                <w:sz w:val="18"/>
                <w:szCs w:val="18"/>
                <w:lang w:eastAsia="en-AU"/>
              </w:rPr>
              <w:t>Synonyms:</w:t>
            </w:r>
            <w:r w:rsidRPr="0040486E">
              <w:rPr>
                <w:rFonts w:eastAsia="Cambria" w:cs="Melior-Italic"/>
                <w:i/>
                <w:iCs/>
                <w:sz w:val="18"/>
                <w:szCs w:val="18"/>
                <w:lang w:eastAsia="en-AU"/>
              </w:rPr>
              <w:t xml:space="preserve"> Eumeta variegata </w:t>
            </w:r>
            <w:r w:rsidRPr="004569F6">
              <w:rPr>
                <w:rFonts w:eastAsia="Cambria" w:cs="Melior-Italic"/>
                <w:sz w:val="18"/>
                <w:szCs w:val="18"/>
                <w:lang w:eastAsia="en-AU"/>
              </w:rPr>
              <w:t>Snellen, 1879</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0486E">
              <w:rPr>
                <w:rFonts w:eastAsia="Cambria" w:cs="Melior-Italic"/>
                <w:i/>
                <w:iCs/>
                <w:sz w:val="18"/>
                <w:szCs w:val="18"/>
                <w:lang w:eastAsia="en-AU"/>
              </w:rPr>
              <w:t xml:space="preserve">Cryptothelea variegata </w:t>
            </w:r>
            <w:r w:rsidRPr="004569F6">
              <w:rPr>
                <w:rFonts w:eastAsia="Cambria" w:cs="Melior-Italic"/>
                <w:sz w:val="18"/>
                <w:szCs w:val="18"/>
                <w:lang w:eastAsia="en-AU"/>
              </w:rPr>
              <w:t>Snellen, 1879</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569F6">
              <w:rPr>
                <w:rFonts w:eastAsia="Cambria" w:cs="Melior-Italic"/>
                <w:sz w:val="18"/>
                <w:szCs w:val="18"/>
                <w:lang w:eastAsia="en-AU"/>
              </w:rPr>
              <w:t>[Psychidae]</w:t>
            </w:r>
          </w:p>
          <w:p w:rsidR="00B52BB0" w:rsidRPr="007E70AF" w:rsidRDefault="00B52BB0" w:rsidP="003E074D">
            <w:pPr>
              <w:pStyle w:val="TableText"/>
              <w:rPr>
                <w:i/>
                <w:lang w:val="pt-BR"/>
              </w:rPr>
            </w:pPr>
            <w:r w:rsidRPr="004569F6">
              <w:rPr>
                <w:rFonts w:eastAsia="Cambria" w:cs="Melior-Italic"/>
                <w:szCs w:val="18"/>
                <w:lang w:eastAsia="en-AU"/>
              </w:rPr>
              <w:t>Bagworm</w:t>
            </w:r>
          </w:p>
        </w:tc>
        <w:tc>
          <w:tcPr>
            <w:tcW w:w="715" w:type="pct"/>
            <w:shd w:val="clear" w:color="auto" w:fill="auto"/>
          </w:tcPr>
          <w:p w:rsidR="00B52BB0" w:rsidRPr="007E70AF" w:rsidRDefault="00B52BB0" w:rsidP="003E074D">
            <w:pPr>
              <w:pStyle w:val="TableText"/>
              <w:rPr>
                <w:lang w:val="pt-BR"/>
              </w:rPr>
            </w:pPr>
            <w:r w:rsidRPr="00DE2D62">
              <w:t xml:space="preserve">Yes </w:t>
            </w:r>
            <w:r>
              <w:rPr>
                <w:noProof/>
              </w:rPr>
              <w:t>(CABI 2019)</w:t>
            </w:r>
          </w:p>
        </w:tc>
        <w:tc>
          <w:tcPr>
            <w:tcW w:w="714" w:type="pct"/>
            <w:shd w:val="clear" w:color="auto" w:fill="auto"/>
          </w:tcPr>
          <w:p w:rsidR="00B52BB0" w:rsidRPr="007E70AF" w:rsidRDefault="00B52BB0" w:rsidP="003E074D">
            <w:pPr>
              <w:pStyle w:val="TableText"/>
              <w:rPr>
                <w:szCs w:val="16"/>
              </w:rPr>
            </w:pPr>
            <w:r w:rsidRPr="00DE2D62">
              <w:t xml:space="preserve">Yes. NT, WA </w:t>
            </w:r>
            <w:r>
              <w:rPr>
                <w:noProof/>
              </w:rPr>
              <w:t>(Plant Health Australia 2019)</w:t>
            </w:r>
          </w:p>
        </w:tc>
        <w:tc>
          <w:tcPr>
            <w:tcW w:w="714" w:type="pct"/>
            <w:shd w:val="clear" w:color="auto" w:fill="auto"/>
          </w:tcPr>
          <w:p w:rsidR="00B52BB0" w:rsidRPr="007E70AF" w:rsidRDefault="00B52BB0" w:rsidP="003E074D">
            <w:pPr>
              <w:pStyle w:val="TableText"/>
            </w:pPr>
            <w:r w:rsidRPr="00DE2D62">
              <w:t>Assessment not required</w:t>
            </w:r>
          </w:p>
        </w:tc>
        <w:tc>
          <w:tcPr>
            <w:tcW w:w="714" w:type="pct"/>
            <w:shd w:val="clear" w:color="auto" w:fill="auto"/>
          </w:tcPr>
          <w:p w:rsidR="00B52BB0" w:rsidRPr="007E70AF" w:rsidRDefault="00B52BB0" w:rsidP="003E074D">
            <w:pPr>
              <w:pStyle w:val="TableText"/>
            </w:pPr>
            <w:r w:rsidRPr="00DE2D62">
              <w:t>Assessment not required</w:t>
            </w:r>
          </w:p>
        </w:tc>
        <w:tc>
          <w:tcPr>
            <w:tcW w:w="714" w:type="pct"/>
            <w:shd w:val="clear" w:color="auto" w:fill="auto"/>
          </w:tcPr>
          <w:p w:rsidR="00B52BB0" w:rsidRPr="007E70AF" w:rsidRDefault="00B52BB0" w:rsidP="003E074D">
            <w:pPr>
              <w:pStyle w:val="TableText"/>
            </w:pPr>
            <w:r w:rsidRPr="00DE2D62">
              <w:t>Assessment not required</w:t>
            </w:r>
          </w:p>
        </w:tc>
        <w:tc>
          <w:tcPr>
            <w:tcW w:w="714" w:type="pct"/>
            <w:shd w:val="clear" w:color="auto" w:fill="auto"/>
          </w:tcPr>
          <w:p w:rsidR="00B52BB0" w:rsidRPr="007E70AF" w:rsidRDefault="00B52BB0" w:rsidP="003E074D">
            <w:pPr>
              <w:pStyle w:val="TableText"/>
            </w:pPr>
            <w:r w:rsidRPr="00DE2D62">
              <w:t>No</w:t>
            </w:r>
          </w:p>
        </w:tc>
      </w:tr>
      <w:tr w:rsidR="00B52BB0" w:rsidRPr="007E70AF" w:rsidTr="003E074D">
        <w:trPr>
          <w:cantSplit/>
          <w:trHeight w:val="75"/>
          <w:jc w:val="center"/>
        </w:trPr>
        <w:tc>
          <w:tcPr>
            <w:tcW w:w="715" w:type="pct"/>
            <w:shd w:val="clear" w:color="auto" w:fill="auto"/>
          </w:tcPr>
          <w:p w:rsidR="00B52BB0" w:rsidRPr="004569F6" w:rsidRDefault="00B52BB0" w:rsidP="003E074D">
            <w:pPr>
              <w:spacing w:before="60" w:after="60" w:line="240" w:lineRule="auto"/>
              <w:rPr>
                <w:rFonts w:eastAsia="Times New Roman" w:cs="Times New Roman"/>
                <w:iCs/>
                <w:sz w:val="18"/>
                <w:szCs w:val="18"/>
              </w:rPr>
            </w:pPr>
            <w:r w:rsidRPr="0040486E">
              <w:rPr>
                <w:rFonts w:eastAsia="Times New Roman" w:cs="Times New Roman"/>
                <w:i/>
                <w:sz w:val="18"/>
                <w:szCs w:val="18"/>
              </w:rPr>
              <w:lastRenderedPageBreak/>
              <w:t xml:space="preserve">Conogethes punctiferalis </w:t>
            </w:r>
            <w:r w:rsidRPr="004569F6">
              <w:rPr>
                <w:rFonts w:eastAsia="Times New Roman" w:cs="Times New Roman"/>
                <w:iCs/>
                <w:sz w:val="18"/>
                <w:szCs w:val="18"/>
              </w:rPr>
              <w:t>(Guenée, 1854)</w:t>
            </w:r>
          </w:p>
          <w:p w:rsidR="00B52BB0" w:rsidRPr="004569F6" w:rsidRDefault="00B52BB0" w:rsidP="003E074D">
            <w:pPr>
              <w:spacing w:before="60" w:after="60" w:line="240" w:lineRule="auto"/>
              <w:rPr>
                <w:rFonts w:eastAsia="Times New Roman" w:cs="Times New Roman"/>
                <w:iCs/>
                <w:sz w:val="18"/>
                <w:szCs w:val="18"/>
              </w:rPr>
            </w:pPr>
            <w:r w:rsidRPr="004569F6">
              <w:rPr>
                <w:rFonts w:eastAsia="Times New Roman" w:cs="Times New Roman"/>
                <w:iCs/>
                <w:sz w:val="18"/>
                <w:szCs w:val="18"/>
              </w:rPr>
              <w:t>[Pyralidae]</w:t>
            </w:r>
          </w:p>
          <w:p w:rsidR="00B52BB0" w:rsidRPr="007E70AF" w:rsidRDefault="00B52BB0" w:rsidP="003E074D">
            <w:pPr>
              <w:pStyle w:val="TableText"/>
              <w:rPr>
                <w:i/>
                <w:lang w:val="pt-BR"/>
              </w:rPr>
            </w:pPr>
            <w:r w:rsidRPr="004569F6">
              <w:rPr>
                <w:rFonts w:eastAsia="Times New Roman" w:cs="Times New Roman"/>
                <w:iCs/>
                <w:szCs w:val="18"/>
              </w:rPr>
              <w:t>Yellow peach moth</w:t>
            </w:r>
          </w:p>
        </w:tc>
        <w:tc>
          <w:tcPr>
            <w:tcW w:w="715" w:type="pct"/>
            <w:shd w:val="clear" w:color="auto" w:fill="auto"/>
          </w:tcPr>
          <w:p w:rsidR="00B52BB0" w:rsidRPr="007E70AF" w:rsidRDefault="00B52BB0" w:rsidP="003E074D">
            <w:pPr>
              <w:pStyle w:val="TableText"/>
              <w:rPr>
                <w:lang w:val="pt-BR"/>
              </w:rPr>
            </w:pPr>
            <w:r w:rsidRPr="00E3344E">
              <w:t xml:space="preserve">Yes </w:t>
            </w:r>
            <w:r>
              <w:rPr>
                <w:noProof/>
              </w:rPr>
              <w:t>(CABI 2019; PPD 2017)</w:t>
            </w:r>
          </w:p>
        </w:tc>
        <w:tc>
          <w:tcPr>
            <w:tcW w:w="714" w:type="pct"/>
            <w:shd w:val="clear" w:color="auto" w:fill="auto"/>
          </w:tcPr>
          <w:p w:rsidR="00B52BB0" w:rsidRPr="007E70AF" w:rsidRDefault="00B52BB0" w:rsidP="003E074D">
            <w:pPr>
              <w:pStyle w:val="TableText"/>
              <w:rPr>
                <w:szCs w:val="16"/>
              </w:rPr>
            </w:pPr>
            <w:r w:rsidRPr="00E3344E">
              <w:t xml:space="preserve">Yes. NSW, NT, Qld, SA, WA </w:t>
            </w:r>
            <w:r>
              <w:rPr>
                <w:noProof/>
              </w:rPr>
              <w:t>(Plant Health Australia 2019)</w:t>
            </w:r>
          </w:p>
        </w:tc>
        <w:tc>
          <w:tcPr>
            <w:tcW w:w="714" w:type="pct"/>
            <w:shd w:val="clear" w:color="auto" w:fill="auto"/>
          </w:tcPr>
          <w:p w:rsidR="00B52BB0" w:rsidRPr="007E70AF" w:rsidRDefault="00B52BB0" w:rsidP="003E074D">
            <w:pPr>
              <w:pStyle w:val="TableText"/>
            </w:pPr>
            <w:r w:rsidRPr="00E3344E">
              <w:t>Assessment not required</w:t>
            </w:r>
          </w:p>
        </w:tc>
        <w:tc>
          <w:tcPr>
            <w:tcW w:w="714" w:type="pct"/>
            <w:shd w:val="clear" w:color="auto" w:fill="auto"/>
          </w:tcPr>
          <w:p w:rsidR="00B52BB0" w:rsidRPr="007E70AF" w:rsidRDefault="00B52BB0" w:rsidP="003E074D">
            <w:pPr>
              <w:pStyle w:val="TableText"/>
            </w:pPr>
            <w:r w:rsidRPr="00E3344E">
              <w:t>Assessment not required</w:t>
            </w:r>
          </w:p>
        </w:tc>
        <w:tc>
          <w:tcPr>
            <w:tcW w:w="714" w:type="pct"/>
            <w:shd w:val="clear" w:color="auto" w:fill="auto"/>
          </w:tcPr>
          <w:p w:rsidR="00B52BB0" w:rsidRPr="007E70AF" w:rsidRDefault="00B52BB0" w:rsidP="003E074D">
            <w:pPr>
              <w:pStyle w:val="TableText"/>
            </w:pPr>
            <w:r w:rsidRPr="00E3344E">
              <w:t>Assessment not required</w:t>
            </w:r>
          </w:p>
        </w:tc>
        <w:tc>
          <w:tcPr>
            <w:tcW w:w="714" w:type="pct"/>
            <w:shd w:val="clear" w:color="auto" w:fill="auto"/>
          </w:tcPr>
          <w:p w:rsidR="00B52BB0" w:rsidRPr="007E70AF" w:rsidRDefault="00B52BB0" w:rsidP="003E074D">
            <w:pPr>
              <w:pStyle w:val="TableText"/>
            </w:pPr>
            <w:r w:rsidRPr="00E3344E">
              <w:t>No</w:t>
            </w:r>
          </w:p>
        </w:tc>
      </w:tr>
      <w:tr w:rsidR="00B52BB0" w:rsidRPr="007E70AF"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0486E">
              <w:rPr>
                <w:rFonts w:eastAsia="Cambria" w:cs="Melior-Italic"/>
                <w:i/>
                <w:iCs/>
                <w:sz w:val="18"/>
                <w:szCs w:val="18"/>
                <w:lang w:eastAsia="en-AU"/>
              </w:rPr>
              <w:t xml:space="preserve">Conopomorpha cramerella </w:t>
            </w:r>
            <w:r w:rsidRPr="004569F6">
              <w:rPr>
                <w:rFonts w:eastAsia="Cambria" w:cs="Melior-Italic"/>
                <w:sz w:val="18"/>
                <w:szCs w:val="18"/>
                <w:lang w:eastAsia="en-AU"/>
              </w:rPr>
              <w:t>Snellen, 1904</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569F6">
              <w:rPr>
                <w:rFonts w:eastAsia="Cambria" w:cs="Melior-Italic"/>
                <w:sz w:val="18"/>
                <w:szCs w:val="18"/>
                <w:lang w:eastAsia="en-AU"/>
              </w:rPr>
              <w:t>[Gracillariidae]</w:t>
            </w:r>
          </w:p>
          <w:p w:rsidR="00B52BB0" w:rsidRPr="007E70AF" w:rsidRDefault="00B52BB0" w:rsidP="003E074D">
            <w:pPr>
              <w:pStyle w:val="TableText"/>
              <w:rPr>
                <w:i/>
                <w:lang w:val="en-US"/>
              </w:rPr>
            </w:pPr>
            <w:r w:rsidRPr="004569F6">
              <w:rPr>
                <w:rFonts w:eastAsia="Cambria" w:cs="Melior-Italic"/>
                <w:szCs w:val="18"/>
                <w:lang w:eastAsia="en-AU"/>
              </w:rPr>
              <w:t>Cocoa pod borer</w:t>
            </w:r>
          </w:p>
        </w:tc>
        <w:tc>
          <w:tcPr>
            <w:tcW w:w="715" w:type="pct"/>
            <w:shd w:val="clear" w:color="auto" w:fill="auto"/>
          </w:tcPr>
          <w:p w:rsidR="00B52BB0" w:rsidRPr="007E70AF" w:rsidRDefault="00B52BB0" w:rsidP="003E074D">
            <w:pPr>
              <w:pStyle w:val="TableText"/>
              <w:rPr>
                <w:sz w:val="16"/>
              </w:rPr>
            </w:pPr>
            <w:r w:rsidRPr="00640599">
              <w:t xml:space="preserve">Yes </w:t>
            </w:r>
            <w:r>
              <w:rPr>
                <w:noProof/>
              </w:rPr>
              <w:t>(PPD 2017)</w:t>
            </w:r>
          </w:p>
        </w:tc>
        <w:tc>
          <w:tcPr>
            <w:tcW w:w="714" w:type="pct"/>
            <w:shd w:val="clear" w:color="auto" w:fill="auto"/>
          </w:tcPr>
          <w:p w:rsidR="00B52BB0" w:rsidRPr="007E70AF" w:rsidRDefault="00B52BB0" w:rsidP="003E074D">
            <w:pPr>
              <w:pStyle w:val="TableText"/>
              <w:rPr>
                <w:sz w:val="16"/>
              </w:rPr>
            </w:pPr>
            <w:r w:rsidRPr="00640599">
              <w:t xml:space="preserve">No. Successfully eradicated in 2014 </w:t>
            </w:r>
            <w:r>
              <w:rPr>
                <w:noProof/>
              </w:rPr>
              <w:t>(DAFF 2014)</w:t>
            </w:r>
          </w:p>
        </w:tc>
        <w:tc>
          <w:tcPr>
            <w:tcW w:w="714" w:type="pct"/>
            <w:shd w:val="clear" w:color="auto" w:fill="auto"/>
          </w:tcPr>
          <w:p w:rsidR="00B52BB0" w:rsidRPr="007E70AF" w:rsidRDefault="00B52BB0" w:rsidP="003E074D">
            <w:pPr>
              <w:pStyle w:val="TableText"/>
              <w:rPr>
                <w:sz w:val="16"/>
              </w:rPr>
            </w:pPr>
            <w:r w:rsidRPr="00640599">
              <w:t xml:space="preserve">No. Though there are some records of </w:t>
            </w:r>
            <w:r>
              <w:rPr>
                <w:i/>
                <w:iCs/>
              </w:rPr>
              <w:t>C. </w:t>
            </w:r>
            <w:r w:rsidRPr="00A03C7C">
              <w:rPr>
                <w:i/>
                <w:iCs/>
              </w:rPr>
              <w:t>cramerella</w:t>
            </w:r>
            <w:r w:rsidRPr="00640599">
              <w:t xml:space="preserve"> feeding on longan </w:t>
            </w:r>
            <w:r>
              <w:rPr>
                <w:noProof/>
              </w:rPr>
              <w:t>(Robinson et al. 2019)</w:t>
            </w:r>
            <w:r w:rsidRPr="00640599">
              <w:t xml:space="preserve"> it is morphologically similar to the longan-feeding </w:t>
            </w:r>
            <w:r>
              <w:rPr>
                <w:i/>
                <w:iCs/>
              </w:rPr>
              <w:t>C. </w:t>
            </w:r>
            <w:r w:rsidRPr="00A03C7C">
              <w:rPr>
                <w:i/>
                <w:iCs/>
              </w:rPr>
              <w:t>sinensis</w:t>
            </w:r>
            <w:r w:rsidRPr="00640599">
              <w:t xml:space="preserve"> and is easily misidentified as this species </w:t>
            </w:r>
            <w:r>
              <w:rPr>
                <w:noProof/>
              </w:rPr>
              <w:t>(Nguyen 2002)</w:t>
            </w:r>
            <w:r w:rsidRPr="00640599">
              <w:t xml:space="preserve">. Surveys confirm that </w:t>
            </w:r>
            <w:r>
              <w:rPr>
                <w:i/>
                <w:iCs/>
              </w:rPr>
              <w:t>C. </w:t>
            </w:r>
            <w:r w:rsidRPr="00A03C7C">
              <w:rPr>
                <w:i/>
                <w:iCs/>
              </w:rPr>
              <w:t>sinensis</w:t>
            </w:r>
            <w:r w:rsidRPr="00640599">
              <w:t xml:space="preserve"> is found on longan, not </w:t>
            </w:r>
            <w:r>
              <w:rPr>
                <w:i/>
                <w:iCs/>
              </w:rPr>
              <w:t>C. </w:t>
            </w:r>
            <w:r w:rsidRPr="00A03C7C">
              <w:rPr>
                <w:i/>
                <w:iCs/>
              </w:rPr>
              <w:t>cramerella</w:t>
            </w:r>
            <w:r w:rsidRPr="00640599">
              <w:t xml:space="preserve"> </w:t>
            </w:r>
            <w:r>
              <w:rPr>
                <w:noProof/>
              </w:rPr>
              <w:t>(PPD 2018; Waite &amp; Hwang 2002)</w:t>
            </w:r>
            <w:r w:rsidRPr="00640599">
              <w:t>.</w:t>
            </w:r>
          </w:p>
        </w:tc>
        <w:tc>
          <w:tcPr>
            <w:tcW w:w="714" w:type="pct"/>
            <w:shd w:val="clear" w:color="auto" w:fill="auto"/>
          </w:tcPr>
          <w:p w:rsidR="00B52BB0" w:rsidRPr="007E70AF" w:rsidRDefault="00B52BB0" w:rsidP="003E074D">
            <w:pPr>
              <w:pStyle w:val="TableText"/>
            </w:pPr>
            <w:r w:rsidRPr="00640599">
              <w:t>Assessment not required</w:t>
            </w:r>
          </w:p>
        </w:tc>
        <w:tc>
          <w:tcPr>
            <w:tcW w:w="714" w:type="pct"/>
            <w:shd w:val="clear" w:color="auto" w:fill="auto"/>
          </w:tcPr>
          <w:p w:rsidR="00B52BB0" w:rsidRPr="007E70AF" w:rsidRDefault="00B52BB0" w:rsidP="003E074D">
            <w:pPr>
              <w:pStyle w:val="TableText"/>
            </w:pPr>
            <w:r w:rsidRPr="00640599">
              <w:t>Assessment not required</w:t>
            </w:r>
          </w:p>
        </w:tc>
        <w:tc>
          <w:tcPr>
            <w:tcW w:w="714" w:type="pct"/>
            <w:shd w:val="clear" w:color="auto" w:fill="auto"/>
          </w:tcPr>
          <w:p w:rsidR="00B52BB0" w:rsidRPr="007E70AF" w:rsidRDefault="00B52BB0" w:rsidP="003E074D">
            <w:pPr>
              <w:pStyle w:val="TableText"/>
            </w:pPr>
            <w:r w:rsidRPr="00640599">
              <w:t>No</w:t>
            </w:r>
          </w:p>
        </w:tc>
      </w:tr>
      <w:tr w:rsidR="00B52BB0" w:rsidRPr="007E70AF" w:rsidTr="003E074D">
        <w:trPr>
          <w:cantSplit/>
          <w:trHeight w:val="75"/>
          <w:jc w:val="center"/>
        </w:trPr>
        <w:tc>
          <w:tcPr>
            <w:tcW w:w="715" w:type="pct"/>
            <w:shd w:val="clear" w:color="auto" w:fill="auto"/>
          </w:tcPr>
          <w:p w:rsidR="00B52BB0" w:rsidRPr="004569F6" w:rsidRDefault="00B52BB0" w:rsidP="003E074D">
            <w:pPr>
              <w:spacing w:before="60" w:after="60" w:line="240" w:lineRule="auto"/>
              <w:rPr>
                <w:rFonts w:eastAsia="Times New Roman" w:cs="Times New Roman"/>
                <w:iCs/>
                <w:sz w:val="18"/>
                <w:szCs w:val="18"/>
              </w:rPr>
            </w:pPr>
            <w:r w:rsidRPr="0040486E">
              <w:rPr>
                <w:rFonts w:eastAsia="Times New Roman" w:cs="Times New Roman"/>
                <w:i/>
                <w:sz w:val="18"/>
                <w:szCs w:val="18"/>
              </w:rPr>
              <w:t xml:space="preserve">Conopomorpha litchiella </w:t>
            </w:r>
            <w:r w:rsidRPr="004569F6">
              <w:rPr>
                <w:rFonts w:eastAsia="Times New Roman" w:cs="Times New Roman"/>
                <w:iCs/>
                <w:sz w:val="18"/>
                <w:szCs w:val="18"/>
              </w:rPr>
              <w:t>Bradley, 1986</w:t>
            </w:r>
          </w:p>
          <w:p w:rsidR="00B52BB0" w:rsidRPr="004569F6" w:rsidRDefault="00B52BB0" w:rsidP="003E074D">
            <w:pPr>
              <w:spacing w:before="60" w:after="60" w:line="240" w:lineRule="auto"/>
              <w:rPr>
                <w:rFonts w:eastAsia="Times New Roman" w:cs="Times New Roman"/>
                <w:iCs/>
                <w:sz w:val="18"/>
                <w:szCs w:val="18"/>
              </w:rPr>
            </w:pPr>
            <w:r w:rsidRPr="004569F6">
              <w:rPr>
                <w:rFonts w:eastAsia="Times New Roman" w:cs="Times New Roman"/>
                <w:iCs/>
                <w:sz w:val="18"/>
                <w:szCs w:val="18"/>
              </w:rPr>
              <w:t>[Gracillariidae]</w:t>
            </w:r>
          </w:p>
          <w:p w:rsidR="00B52BB0" w:rsidRPr="007E70AF" w:rsidRDefault="00B52BB0" w:rsidP="003E074D">
            <w:pPr>
              <w:pStyle w:val="TableText"/>
              <w:rPr>
                <w:i/>
                <w:lang w:val="pt-BR"/>
              </w:rPr>
            </w:pPr>
            <w:r w:rsidRPr="004569F6">
              <w:rPr>
                <w:rFonts w:eastAsia="Times New Roman" w:cs="Times New Roman"/>
                <w:iCs/>
                <w:szCs w:val="18"/>
              </w:rPr>
              <w:t>Litchi leaf miner</w:t>
            </w:r>
          </w:p>
        </w:tc>
        <w:tc>
          <w:tcPr>
            <w:tcW w:w="715" w:type="pct"/>
            <w:shd w:val="clear" w:color="auto" w:fill="auto"/>
          </w:tcPr>
          <w:p w:rsidR="00B52BB0" w:rsidRPr="007E70AF" w:rsidRDefault="00B52BB0" w:rsidP="003E074D">
            <w:pPr>
              <w:pStyle w:val="TableText"/>
              <w:rPr>
                <w:lang w:val="pt-BR"/>
              </w:rPr>
            </w:pPr>
            <w:r w:rsidRPr="000B171F">
              <w:t xml:space="preserve">Yes </w:t>
            </w:r>
            <w:r>
              <w:rPr>
                <w:noProof/>
              </w:rPr>
              <w:t>(PPD 2017)</w:t>
            </w:r>
          </w:p>
        </w:tc>
        <w:tc>
          <w:tcPr>
            <w:tcW w:w="714" w:type="pct"/>
            <w:shd w:val="clear" w:color="auto" w:fill="auto"/>
          </w:tcPr>
          <w:p w:rsidR="00B52BB0" w:rsidRPr="007E70AF" w:rsidRDefault="00B52BB0" w:rsidP="003E074D">
            <w:pPr>
              <w:pStyle w:val="TableText"/>
              <w:rPr>
                <w:szCs w:val="16"/>
              </w:rPr>
            </w:pPr>
            <w:r w:rsidRPr="000B171F">
              <w:t>No records found</w:t>
            </w:r>
          </w:p>
        </w:tc>
        <w:tc>
          <w:tcPr>
            <w:tcW w:w="714" w:type="pct"/>
            <w:shd w:val="clear" w:color="auto" w:fill="auto"/>
          </w:tcPr>
          <w:p w:rsidR="00B52BB0" w:rsidRPr="007E70AF" w:rsidRDefault="00B52BB0" w:rsidP="003E074D">
            <w:pPr>
              <w:pStyle w:val="TableText"/>
            </w:pPr>
            <w:r w:rsidRPr="000B171F">
              <w:t xml:space="preserve">No. </w:t>
            </w:r>
            <w:r>
              <w:t>This species f</w:t>
            </w:r>
            <w:r w:rsidRPr="000B171F">
              <w:t xml:space="preserve">eeds on leaves </w:t>
            </w:r>
            <w:r>
              <w:rPr>
                <w:noProof/>
              </w:rPr>
              <w:t>(Waite &amp; Hwang 2002; Wen &amp; Liou 2008)</w:t>
            </w:r>
            <w:r w:rsidRPr="000B171F">
              <w:t>.</w:t>
            </w:r>
          </w:p>
        </w:tc>
        <w:tc>
          <w:tcPr>
            <w:tcW w:w="714" w:type="pct"/>
            <w:shd w:val="clear" w:color="auto" w:fill="auto"/>
          </w:tcPr>
          <w:p w:rsidR="00B52BB0" w:rsidRPr="007E70AF" w:rsidRDefault="00B52BB0" w:rsidP="003E074D">
            <w:pPr>
              <w:pStyle w:val="TableText"/>
            </w:pPr>
            <w:r w:rsidRPr="000B171F">
              <w:t>Assessment not required</w:t>
            </w:r>
          </w:p>
        </w:tc>
        <w:tc>
          <w:tcPr>
            <w:tcW w:w="714" w:type="pct"/>
            <w:shd w:val="clear" w:color="auto" w:fill="auto"/>
          </w:tcPr>
          <w:p w:rsidR="00B52BB0" w:rsidRPr="007E70AF" w:rsidRDefault="00B52BB0" w:rsidP="003E074D">
            <w:pPr>
              <w:pStyle w:val="TableText"/>
            </w:pPr>
            <w:r w:rsidRPr="000B171F">
              <w:t>Assessment not required</w:t>
            </w:r>
          </w:p>
        </w:tc>
        <w:tc>
          <w:tcPr>
            <w:tcW w:w="714" w:type="pct"/>
            <w:shd w:val="clear" w:color="auto" w:fill="auto"/>
          </w:tcPr>
          <w:p w:rsidR="00B52BB0" w:rsidRPr="007E70AF" w:rsidRDefault="00B52BB0" w:rsidP="003E074D">
            <w:pPr>
              <w:pStyle w:val="TableText"/>
            </w:pPr>
            <w:r w:rsidRPr="000B171F">
              <w:t>No</w:t>
            </w:r>
          </w:p>
        </w:tc>
      </w:tr>
      <w:tr w:rsidR="00B52BB0" w:rsidRPr="007E70AF" w:rsidTr="003E074D">
        <w:trPr>
          <w:cantSplit/>
          <w:trHeight w:val="75"/>
          <w:jc w:val="center"/>
        </w:trPr>
        <w:tc>
          <w:tcPr>
            <w:tcW w:w="715" w:type="pct"/>
            <w:shd w:val="clear" w:color="auto" w:fill="auto"/>
          </w:tcPr>
          <w:p w:rsidR="00B52BB0" w:rsidRPr="004569F6" w:rsidRDefault="00B52BB0" w:rsidP="003E074D">
            <w:pPr>
              <w:spacing w:before="60" w:after="60" w:line="240" w:lineRule="auto"/>
              <w:rPr>
                <w:rFonts w:eastAsia="Times New Roman" w:cs="Times New Roman"/>
                <w:iCs/>
                <w:sz w:val="18"/>
                <w:szCs w:val="18"/>
              </w:rPr>
            </w:pPr>
            <w:r w:rsidRPr="0040486E">
              <w:rPr>
                <w:rFonts w:eastAsia="Times New Roman" w:cs="Times New Roman"/>
                <w:i/>
                <w:sz w:val="18"/>
                <w:szCs w:val="18"/>
              </w:rPr>
              <w:lastRenderedPageBreak/>
              <w:t xml:space="preserve">Conopomorpha sinensis </w:t>
            </w:r>
            <w:r w:rsidRPr="004569F6">
              <w:rPr>
                <w:rFonts w:eastAsia="Times New Roman" w:cs="Times New Roman"/>
                <w:iCs/>
                <w:sz w:val="18"/>
                <w:szCs w:val="18"/>
              </w:rPr>
              <w:t>Bradley, 1986</w:t>
            </w:r>
          </w:p>
          <w:p w:rsidR="00B52BB0" w:rsidRPr="004569F6" w:rsidRDefault="00B52BB0" w:rsidP="003E074D">
            <w:pPr>
              <w:spacing w:before="60" w:after="60" w:line="240" w:lineRule="auto"/>
              <w:rPr>
                <w:rFonts w:eastAsia="Times New Roman" w:cs="Times New Roman"/>
                <w:iCs/>
                <w:sz w:val="18"/>
                <w:szCs w:val="18"/>
              </w:rPr>
            </w:pPr>
            <w:r w:rsidRPr="004569F6">
              <w:rPr>
                <w:rFonts w:eastAsia="Times New Roman" w:cs="Times New Roman"/>
                <w:iCs/>
                <w:sz w:val="18"/>
                <w:szCs w:val="18"/>
              </w:rPr>
              <w:t>[Gracillariidae]</w:t>
            </w:r>
          </w:p>
          <w:p w:rsidR="00B52BB0" w:rsidRPr="007E70AF" w:rsidRDefault="00B52BB0" w:rsidP="003E074D">
            <w:pPr>
              <w:pStyle w:val="TableText"/>
              <w:rPr>
                <w:i/>
                <w:lang w:val="pt-BR"/>
              </w:rPr>
            </w:pPr>
            <w:r w:rsidRPr="004569F6">
              <w:rPr>
                <w:rFonts w:eastAsia="Times New Roman" w:cs="Times New Roman"/>
                <w:iCs/>
                <w:szCs w:val="18"/>
              </w:rPr>
              <w:t>Litchi fruit borer</w:t>
            </w:r>
          </w:p>
        </w:tc>
        <w:tc>
          <w:tcPr>
            <w:tcW w:w="715" w:type="pct"/>
            <w:shd w:val="clear" w:color="auto" w:fill="auto"/>
          </w:tcPr>
          <w:p w:rsidR="00B52BB0" w:rsidRPr="007E70AF" w:rsidRDefault="00B52BB0" w:rsidP="003E074D">
            <w:pPr>
              <w:pStyle w:val="TableText"/>
              <w:rPr>
                <w:lang w:val="pt-BR"/>
              </w:rPr>
            </w:pPr>
            <w:r w:rsidRPr="00C90A16">
              <w:t xml:space="preserve">Yes </w:t>
            </w:r>
            <w:r>
              <w:rPr>
                <w:noProof/>
              </w:rPr>
              <w:t>(Encyclopedia of Life 2019)</w:t>
            </w:r>
          </w:p>
        </w:tc>
        <w:tc>
          <w:tcPr>
            <w:tcW w:w="714" w:type="pct"/>
            <w:shd w:val="clear" w:color="auto" w:fill="auto"/>
          </w:tcPr>
          <w:p w:rsidR="00B52BB0" w:rsidRPr="007E70AF" w:rsidRDefault="00B52BB0" w:rsidP="003E074D">
            <w:pPr>
              <w:pStyle w:val="TableText"/>
              <w:rPr>
                <w:szCs w:val="16"/>
              </w:rPr>
            </w:pPr>
            <w:r w:rsidRPr="00C90A16">
              <w:t>No records found</w:t>
            </w:r>
          </w:p>
        </w:tc>
        <w:tc>
          <w:tcPr>
            <w:tcW w:w="714" w:type="pct"/>
            <w:shd w:val="clear" w:color="auto" w:fill="auto"/>
          </w:tcPr>
          <w:p w:rsidR="00B52BB0" w:rsidRPr="007E70AF" w:rsidRDefault="00B52BB0" w:rsidP="003E074D">
            <w:pPr>
              <w:pStyle w:val="TableText"/>
            </w:pPr>
            <w:r w:rsidRPr="00C90A16">
              <w:t>Yes. Larvae</w:t>
            </w:r>
            <w:r>
              <w:t xml:space="preserve"> of this species</w:t>
            </w:r>
            <w:r w:rsidRPr="00C90A16">
              <w:t xml:space="preserve"> feed on leaves and fruit </w:t>
            </w:r>
            <w:r>
              <w:rPr>
                <w:noProof/>
              </w:rPr>
              <w:t>(Wen &amp; Liou 2008)</w:t>
            </w:r>
            <w:r w:rsidRPr="00C90A16">
              <w:t xml:space="preserve">. Eggs are laid on the fruit </w:t>
            </w:r>
            <w:r>
              <w:rPr>
                <w:noProof/>
              </w:rPr>
              <w:t>(Waite &amp; Hwang 2002)</w:t>
            </w:r>
            <w:r w:rsidRPr="00C90A16">
              <w:t>.</w:t>
            </w:r>
          </w:p>
        </w:tc>
        <w:tc>
          <w:tcPr>
            <w:tcW w:w="714" w:type="pct"/>
            <w:shd w:val="clear" w:color="auto" w:fill="auto"/>
          </w:tcPr>
          <w:p w:rsidR="00B52BB0" w:rsidRPr="007E70AF" w:rsidRDefault="00B52BB0" w:rsidP="003E074D">
            <w:pPr>
              <w:pStyle w:val="TableText"/>
            </w:pPr>
            <w:r w:rsidRPr="00C90A16">
              <w:t xml:space="preserve">Yes. </w:t>
            </w:r>
            <w:r w:rsidRPr="00A03C7C">
              <w:rPr>
                <w:i/>
                <w:iCs/>
              </w:rPr>
              <w:t>Conopomorpha sinensis</w:t>
            </w:r>
            <w:r w:rsidRPr="00C90A16">
              <w:t xml:space="preserve"> feeds on longan and lychees. It has been reported from China, India, Thaila</w:t>
            </w:r>
            <w:r>
              <w:t xml:space="preserve">nd, Taiwan </w:t>
            </w:r>
            <w:r>
              <w:rPr>
                <w:noProof/>
              </w:rPr>
              <w:t>(Kuroko &amp; Lewvanich 1993; Waite &amp; Hwang 2002)</w:t>
            </w:r>
            <w:r w:rsidRPr="00C90A16">
              <w:t xml:space="preserve"> and Vietnam </w:t>
            </w:r>
            <w:r>
              <w:rPr>
                <w:noProof/>
              </w:rPr>
              <w:t>(Encyclopedia of Life 2019)</w:t>
            </w:r>
            <w:r w:rsidRPr="00C90A16">
              <w:t>. The host range and geographic distribution of this pest suggest that it is capable of establishing and spreading in Australia.</w:t>
            </w:r>
          </w:p>
        </w:tc>
        <w:tc>
          <w:tcPr>
            <w:tcW w:w="714" w:type="pct"/>
            <w:shd w:val="clear" w:color="auto" w:fill="auto"/>
          </w:tcPr>
          <w:p w:rsidR="00B52BB0" w:rsidRPr="007E70AF" w:rsidRDefault="00B52BB0" w:rsidP="003E074D">
            <w:pPr>
              <w:pStyle w:val="TableText"/>
            </w:pPr>
            <w:r w:rsidRPr="00C90A16">
              <w:t xml:space="preserve">Yes. </w:t>
            </w:r>
            <w:r w:rsidRPr="00A03C7C">
              <w:rPr>
                <w:i/>
                <w:iCs/>
              </w:rPr>
              <w:t>Conopomorpha sinensis</w:t>
            </w:r>
            <w:r w:rsidRPr="00C90A16">
              <w:t xml:space="preserve"> is a major economic pest of longan and lychees in mainland China, Taiwan and Thailand </w:t>
            </w:r>
            <w:r>
              <w:rPr>
                <w:noProof/>
              </w:rPr>
              <w:t>(Waite &amp; Hwang 2002)</w:t>
            </w:r>
            <w:r w:rsidRPr="00C90A16">
              <w:t>.</w:t>
            </w:r>
          </w:p>
        </w:tc>
        <w:tc>
          <w:tcPr>
            <w:tcW w:w="714" w:type="pct"/>
            <w:shd w:val="clear" w:color="auto" w:fill="auto"/>
          </w:tcPr>
          <w:p w:rsidR="00B52BB0" w:rsidRPr="007E70AF" w:rsidRDefault="00B52BB0" w:rsidP="003E074D">
            <w:pPr>
              <w:pStyle w:val="TableText"/>
            </w:pPr>
            <w:r w:rsidRPr="00C90A16">
              <w:t>Yes (EP)</w:t>
            </w:r>
          </w:p>
        </w:tc>
      </w:tr>
      <w:tr w:rsidR="00B52BB0" w:rsidRPr="007E70AF" w:rsidTr="003E074D">
        <w:trPr>
          <w:cantSplit/>
          <w:trHeight w:val="75"/>
          <w:jc w:val="center"/>
        </w:trPr>
        <w:tc>
          <w:tcPr>
            <w:tcW w:w="715" w:type="pct"/>
            <w:shd w:val="clear" w:color="auto" w:fill="auto"/>
          </w:tcPr>
          <w:p w:rsidR="00B52BB0" w:rsidRPr="004569F6" w:rsidRDefault="00B52BB0" w:rsidP="003E074D">
            <w:pPr>
              <w:spacing w:before="60" w:after="60" w:line="240" w:lineRule="auto"/>
              <w:rPr>
                <w:rFonts w:eastAsia="Times New Roman" w:cs="Times New Roman"/>
                <w:sz w:val="18"/>
                <w:szCs w:val="18"/>
              </w:rPr>
            </w:pPr>
            <w:r w:rsidRPr="0040486E">
              <w:rPr>
                <w:rFonts w:eastAsia="Times New Roman" w:cs="Times New Roman"/>
                <w:i/>
                <w:iCs/>
                <w:sz w:val="18"/>
                <w:szCs w:val="18"/>
              </w:rPr>
              <w:t xml:space="preserve">Cryptophlebia ombrodelta </w:t>
            </w:r>
            <w:r w:rsidRPr="004569F6">
              <w:rPr>
                <w:rFonts w:eastAsia="Times New Roman" w:cs="Times New Roman"/>
                <w:sz w:val="18"/>
                <w:szCs w:val="18"/>
              </w:rPr>
              <w:t>(Lower, 1898)</w:t>
            </w:r>
          </w:p>
          <w:p w:rsidR="00B52BB0" w:rsidRPr="004569F6" w:rsidRDefault="00B52BB0" w:rsidP="003E074D">
            <w:pPr>
              <w:spacing w:before="60" w:after="60" w:line="240" w:lineRule="auto"/>
              <w:rPr>
                <w:rFonts w:eastAsia="Times New Roman" w:cs="Times New Roman"/>
                <w:sz w:val="18"/>
                <w:szCs w:val="18"/>
              </w:rPr>
            </w:pPr>
            <w:r w:rsidRPr="004569F6">
              <w:rPr>
                <w:rFonts w:eastAsia="Times New Roman" w:cs="Times New Roman"/>
                <w:sz w:val="18"/>
                <w:szCs w:val="18"/>
              </w:rPr>
              <w:t>[Tortricidae]</w:t>
            </w:r>
          </w:p>
          <w:p w:rsidR="00B52BB0" w:rsidRPr="007E70AF" w:rsidRDefault="00B52BB0" w:rsidP="003E074D">
            <w:pPr>
              <w:pStyle w:val="TableText"/>
              <w:rPr>
                <w:i/>
                <w:lang w:val="en-US"/>
              </w:rPr>
            </w:pPr>
            <w:r w:rsidRPr="004569F6">
              <w:rPr>
                <w:rFonts w:eastAsia="Times New Roman" w:cs="Times New Roman"/>
                <w:szCs w:val="18"/>
              </w:rPr>
              <w:t>Macadamia nut</w:t>
            </w:r>
            <w:r>
              <w:rPr>
                <w:rFonts w:eastAsia="Times New Roman" w:cs="Times New Roman"/>
                <w:szCs w:val="18"/>
              </w:rPr>
              <w:t xml:space="preserve"> </w:t>
            </w:r>
            <w:r w:rsidRPr="004569F6">
              <w:rPr>
                <w:rFonts w:eastAsia="Times New Roman" w:cs="Times New Roman"/>
                <w:szCs w:val="18"/>
              </w:rPr>
              <w:t>borer</w:t>
            </w:r>
          </w:p>
        </w:tc>
        <w:tc>
          <w:tcPr>
            <w:tcW w:w="715" w:type="pct"/>
            <w:shd w:val="clear" w:color="auto" w:fill="auto"/>
          </w:tcPr>
          <w:p w:rsidR="00B52BB0" w:rsidRPr="007E70AF" w:rsidRDefault="00B52BB0" w:rsidP="003E074D">
            <w:pPr>
              <w:pStyle w:val="TableText"/>
              <w:rPr>
                <w:sz w:val="16"/>
              </w:rPr>
            </w:pPr>
            <w:r w:rsidRPr="009502E3">
              <w:t xml:space="preserve">Yes </w:t>
            </w:r>
            <w:r>
              <w:rPr>
                <w:noProof/>
              </w:rPr>
              <w:t>(CABI 2019)</w:t>
            </w:r>
          </w:p>
        </w:tc>
        <w:tc>
          <w:tcPr>
            <w:tcW w:w="714" w:type="pct"/>
            <w:shd w:val="clear" w:color="auto" w:fill="auto"/>
          </w:tcPr>
          <w:p w:rsidR="00B52BB0" w:rsidRPr="007E70AF" w:rsidRDefault="00B52BB0" w:rsidP="003E074D">
            <w:pPr>
              <w:pStyle w:val="TableText"/>
              <w:rPr>
                <w:sz w:val="16"/>
              </w:rPr>
            </w:pPr>
            <w:r w:rsidRPr="009502E3">
              <w:t xml:space="preserve">Yes. NSW, NT, Qld, WA </w:t>
            </w:r>
            <w:r>
              <w:rPr>
                <w:noProof/>
              </w:rPr>
              <w:t>(Plant Health Australia 2019)</w:t>
            </w:r>
          </w:p>
        </w:tc>
        <w:tc>
          <w:tcPr>
            <w:tcW w:w="714" w:type="pct"/>
            <w:shd w:val="clear" w:color="auto" w:fill="auto"/>
          </w:tcPr>
          <w:p w:rsidR="00B52BB0" w:rsidRPr="007E70AF" w:rsidRDefault="00B52BB0" w:rsidP="003E074D">
            <w:pPr>
              <w:pStyle w:val="TableText"/>
              <w:rPr>
                <w:sz w:val="16"/>
              </w:rPr>
            </w:pPr>
            <w:r w:rsidRPr="009502E3">
              <w:t>Assessment not required</w:t>
            </w:r>
          </w:p>
        </w:tc>
        <w:tc>
          <w:tcPr>
            <w:tcW w:w="714" w:type="pct"/>
            <w:shd w:val="clear" w:color="auto" w:fill="auto"/>
          </w:tcPr>
          <w:p w:rsidR="00B52BB0" w:rsidRPr="007E70AF" w:rsidRDefault="00B52BB0" w:rsidP="003E074D">
            <w:pPr>
              <w:pStyle w:val="TableText"/>
            </w:pPr>
            <w:r w:rsidRPr="009502E3">
              <w:t>Assessment not required</w:t>
            </w:r>
          </w:p>
        </w:tc>
        <w:tc>
          <w:tcPr>
            <w:tcW w:w="714" w:type="pct"/>
            <w:shd w:val="clear" w:color="auto" w:fill="auto"/>
          </w:tcPr>
          <w:p w:rsidR="00B52BB0" w:rsidRPr="007E70AF" w:rsidRDefault="00B52BB0" w:rsidP="003E074D">
            <w:pPr>
              <w:pStyle w:val="TableText"/>
            </w:pPr>
            <w:r w:rsidRPr="009502E3">
              <w:t>Assessment not required</w:t>
            </w:r>
          </w:p>
        </w:tc>
        <w:tc>
          <w:tcPr>
            <w:tcW w:w="714" w:type="pct"/>
            <w:shd w:val="clear" w:color="auto" w:fill="auto"/>
          </w:tcPr>
          <w:p w:rsidR="00B52BB0" w:rsidRPr="007E70AF" w:rsidRDefault="00B52BB0" w:rsidP="003E074D">
            <w:pPr>
              <w:pStyle w:val="TableText"/>
            </w:pPr>
            <w:r w:rsidRPr="009502E3">
              <w:t>No</w:t>
            </w:r>
          </w:p>
        </w:tc>
      </w:tr>
      <w:tr w:rsidR="00B52BB0" w:rsidRPr="007E70AF" w:rsidTr="003E074D">
        <w:trPr>
          <w:cantSplit/>
          <w:trHeight w:val="75"/>
          <w:jc w:val="center"/>
        </w:trPr>
        <w:tc>
          <w:tcPr>
            <w:tcW w:w="715" w:type="pct"/>
            <w:shd w:val="clear" w:color="auto" w:fill="auto"/>
          </w:tcPr>
          <w:p w:rsidR="00B52BB0" w:rsidRPr="004569F6" w:rsidRDefault="00B52BB0" w:rsidP="003E074D">
            <w:pPr>
              <w:spacing w:before="60" w:after="60" w:line="240" w:lineRule="auto"/>
              <w:rPr>
                <w:rFonts w:eastAsia="Times New Roman" w:cs="Times New Roman"/>
                <w:sz w:val="18"/>
                <w:szCs w:val="18"/>
              </w:rPr>
            </w:pPr>
            <w:r w:rsidRPr="0040486E">
              <w:rPr>
                <w:rFonts w:eastAsia="Times New Roman" w:cs="Times New Roman"/>
                <w:i/>
                <w:iCs/>
                <w:sz w:val="18"/>
                <w:szCs w:val="18"/>
              </w:rPr>
              <w:t xml:space="preserve">Dasychira mendosa </w:t>
            </w:r>
            <w:r w:rsidRPr="004569F6">
              <w:rPr>
                <w:rFonts w:eastAsia="Times New Roman" w:cs="Times New Roman"/>
                <w:sz w:val="18"/>
                <w:szCs w:val="18"/>
              </w:rPr>
              <w:t>(Hübner, 1809)</w:t>
            </w:r>
          </w:p>
          <w:p w:rsidR="00B52BB0" w:rsidRPr="0040486E" w:rsidRDefault="00B52BB0" w:rsidP="003E074D">
            <w:pPr>
              <w:spacing w:before="60" w:after="60" w:line="240" w:lineRule="auto"/>
              <w:rPr>
                <w:rFonts w:eastAsia="Times New Roman" w:cs="Times New Roman"/>
                <w:i/>
                <w:iCs/>
                <w:sz w:val="18"/>
                <w:szCs w:val="18"/>
              </w:rPr>
            </w:pPr>
            <w:r w:rsidRPr="004569F6">
              <w:rPr>
                <w:rFonts w:eastAsia="Times New Roman" w:cs="Times New Roman"/>
                <w:sz w:val="18"/>
                <w:szCs w:val="18"/>
              </w:rPr>
              <w:t xml:space="preserve">Synonym: </w:t>
            </w:r>
            <w:r w:rsidRPr="0040486E">
              <w:rPr>
                <w:rFonts w:eastAsia="Times New Roman" w:cs="Times New Roman"/>
                <w:i/>
                <w:iCs/>
                <w:sz w:val="18"/>
                <w:szCs w:val="18"/>
              </w:rPr>
              <w:t xml:space="preserve">Olene mendosa </w:t>
            </w:r>
            <w:r w:rsidRPr="004569F6">
              <w:rPr>
                <w:rFonts w:eastAsia="Times New Roman" w:cs="Times New Roman"/>
                <w:sz w:val="18"/>
                <w:szCs w:val="18"/>
              </w:rPr>
              <w:t>Hübner, 1809</w:t>
            </w:r>
          </w:p>
          <w:p w:rsidR="00B52BB0" w:rsidRPr="004569F6" w:rsidRDefault="00B52BB0" w:rsidP="003E074D">
            <w:pPr>
              <w:spacing w:before="60" w:after="60" w:line="240" w:lineRule="auto"/>
              <w:rPr>
                <w:rFonts w:eastAsia="Times New Roman" w:cs="Times New Roman"/>
                <w:sz w:val="18"/>
                <w:szCs w:val="18"/>
              </w:rPr>
            </w:pPr>
            <w:r w:rsidRPr="004569F6">
              <w:rPr>
                <w:rFonts w:eastAsia="Times New Roman" w:cs="Times New Roman"/>
                <w:sz w:val="18"/>
                <w:szCs w:val="18"/>
              </w:rPr>
              <w:t>[Lymantriidae]</w:t>
            </w:r>
          </w:p>
          <w:p w:rsidR="00B52BB0" w:rsidRPr="007E70AF" w:rsidRDefault="00B52BB0" w:rsidP="003E074D">
            <w:pPr>
              <w:pStyle w:val="TableText"/>
              <w:rPr>
                <w:i/>
                <w:lang w:val="pt-BR"/>
              </w:rPr>
            </w:pPr>
            <w:r w:rsidRPr="004569F6">
              <w:rPr>
                <w:rFonts w:eastAsia="Times New Roman" w:cs="Times New Roman"/>
                <w:szCs w:val="18"/>
              </w:rPr>
              <w:t>Tussock caterpillar</w:t>
            </w:r>
          </w:p>
        </w:tc>
        <w:tc>
          <w:tcPr>
            <w:tcW w:w="715" w:type="pct"/>
            <w:shd w:val="clear" w:color="auto" w:fill="auto"/>
          </w:tcPr>
          <w:p w:rsidR="00B52BB0" w:rsidRPr="007E70AF" w:rsidRDefault="00B52BB0" w:rsidP="003E074D">
            <w:pPr>
              <w:pStyle w:val="TableText"/>
              <w:rPr>
                <w:lang w:val="pt-BR"/>
              </w:rPr>
            </w:pPr>
            <w:r w:rsidRPr="00622E08">
              <w:t xml:space="preserve">Yes </w:t>
            </w:r>
            <w:r>
              <w:rPr>
                <w:noProof/>
              </w:rPr>
              <w:t>(Robinson et al. 2019)</w:t>
            </w:r>
          </w:p>
        </w:tc>
        <w:tc>
          <w:tcPr>
            <w:tcW w:w="714" w:type="pct"/>
            <w:shd w:val="clear" w:color="auto" w:fill="auto"/>
          </w:tcPr>
          <w:p w:rsidR="00B52BB0" w:rsidRDefault="00B52BB0" w:rsidP="003E074D">
            <w:pPr>
              <w:pStyle w:val="TableText"/>
            </w:pPr>
            <w:r w:rsidRPr="00622E08">
              <w:t xml:space="preserve">Yes. NT, Qld </w:t>
            </w:r>
            <w:r>
              <w:rPr>
                <w:noProof/>
              </w:rPr>
              <w:t>(Plant Health Australia 2019)</w:t>
            </w:r>
          </w:p>
          <w:p w:rsidR="00B52BB0" w:rsidRPr="007E70AF" w:rsidRDefault="00B52BB0" w:rsidP="003E074D">
            <w:pPr>
              <w:pStyle w:val="TableText"/>
              <w:rPr>
                <w:szCs w:val="16"/>
              </w:rPr>
            </w:pPr>
            <w:r w:rsidRPr="00622E08">
              <w:t>Regulated as a Declared Organism (Prohibited (s</w:t>
            </w:r>
            <w:r>
              <w:t>. </w:t>
            </w:r>
            <w:r w:rsidRPr="00622E08">
              <w:t xml:space="preserve">12)) </w:t>
            </w:r>
            <w:r>
              <w:t>by</w:t>
            </w:r>
            <w:r w:rsidRPr="00622E08">
              <w:t xml:space="preserve"> WA </w:t>
            </w:r>
            <w:r>
              <w:t xml:space="preserve">under the </w:t>
            </w:r>
            <w:r w:rsidRPr="00FB7746">
              <w:rPr>
                <w:i/>
              </w:rPr>
              <w:t>Biosecurity and Agriculture Management Act 2007</w:t>
            </w:r>
            <w:r w:rsidRPr="00622E08">
              <w:t xml:space="preserve"> </w:t>
            </w:r>
            <w:r>
              <w:rPr>
                <w:noProof/>
              </w:rPr>
              <w:t>(Government of Western Australia 2018)</w:t>
            </w:r>
            <w:r w:rsidRPr="00622E08">
              <w:t>.</w:t>
            </w:r>
          </w:p>
        </w:tc>
        <w:tc>
          <w:tcPr>
            <w:tcW w:w="714" w:type="pct"/>
            <w:shd w:val="clear" w:color="auto" w:fill="auto"/>
          </w:tcPr>
          <w:p w:rsidR="00B52BB0" w:rsidRPr="007E70AF" w:rsidRDefault="00B52BB0" w:rsidP="003E074D">
            <w:pPr>
              <w:pStyle w:val="TableText"/>
            </w:pPr>
            <w:r w:rsidRPr="00622E08">
              <w:t xml:space="preserve">No. </w:t>
            </w:r>
            <w:r>
              <w:t>This species f</w:t>
            </w:r>
            <w:r w:rsidRPr="00622E08">
              <w:t xml:space="preserve">eeds on leaves </w:t>
            </w:r>
            <w:r>
              <w:rPr>
                <w:noProof/>
              </w:rPr>
              <w:t>(Lok et al. 2012; Waterhouse 1993)</w:t>
            </w:r>
            <w:r w:rsidRPr="00622E08">
              <w:t>.</w:t>
            </w:r>
          </w:p>
        </w:tc>
        <w:tc>
          <w:tcPr>
            <w:tcW w:w="714" w:type="pct"/>
            <w:shd w:val="clear" w:color="auto" w:fill="auto"/>
          </w:tcPr>
          <w:p w:rsidR="00B52BB0" w:rsidRPr="007E70AF" w:rsidRDefault="00B52BB0" w:rsidP="003E074D">
            <w:pPr>
              <w:pStyle w:val="TableText"/>
            </w:pPr>
            <w:r w:rsidRPr="00622E08">
              <w:t xml:space="preserve">Assessment not required </w:t>
            </w:r>
          </w:p>
        </w:tc>
        <w:tc>
          <w:tcPr>
            <w:tcW w:w="714" w:type="pct"/>
            <w:shd w:val="clear" w:color="auto" w:fill="auto"/>
          </w:tcPr>
          <w:p w:rsidR="00B52BB0" w:rsidRPr="007E70AF" w:rsidRDefault="00B52BB0" w:rsidP="003E074D">
            <w:pPr>
              <w:pStyle w:val="TableText"/>
            </w:pPr>
            <w:r w:rsidRPr="00622E08">
              <w:t xml:space="preserve">Assessment not required </w:t>
            </w:r>
          </w:p>
        </w:tc>
        <w:tc>
          <w:tcPr>
            <w:tcW w:w="714" w:type="pct"/>
            <w:shd w:val="clear" w:color="auto" w:fill="auto"/>
          </w:tcPr>
          <w:p w:rsidR="00B52BB0" w:rsidRPr="007E70AF" w:rsidRDefault="00B52BB0" w:rsidP="003E074D">
            <w:pPr>
              <w:pStyle w:val="TableText"/>
            </w:pPr>
            <w:r w:rsidRPr="00622E08">
              <w:t>No</w:t>
            </w:r>
          </w:p>
        </w:tc>
      </w:tr>
      <w:tr w:rsidR="00B52BB0" w:rsidRPr="007E70AF"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0486E">
              <w:rPr>
                <w:rFonts w:eastAsia="Cambria" w:cs="Melior-Italic"/>
                <w:i/>
                <w:iCs/>
                <w:sz w:val="18"/>
                <w:szCs w:val="18"/>
                <w:lang w:eastAsia="en-AU"/>
              </w:rPr>
              <w:lastRenderedPageBreak/>
              <w:t xml:space="preserve">Dudusa synopla </w:t>
            </w:r>
            <w:r w:rsidRPr="004569F6">
              <w:rPr>
                <w:rFonts w:eastAsia="Cambria" w:cs="Melior-Italic"/>
                <w:sz w:val="18"/>
                <w:szCs w:val="18"/>
                <w:lang w:eastAsia="en-AU"/>
              </w:rPr>
              <w:t>Swinhoe, 1907</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569F6">
              <w:rPr>
                <w:rFonts w:eastAsia="Cambria" w:cs="Melior-Italic"/>
                <w:sz w:val="18"/>
                <w:szCs w:val="18"/>
                <w:lang w:eastAsia="en-AU"/>
              </w:rPr>
              <w:t>[Notodontidae]</w:t>
            </w:r>
          </w:p>
          <w:p w:rsidR="00B52BB0" w:rsidRPr="007E70AF" w:rsidRDefault="00B52BB0" w:rsidP="003E074D">
            <w:pPr>
              <w:pStyle w:val="TableText"/>
              <w:rPr>
                <w:i/>
                <w:lang w:val="en-US"/>
              </w:rPr>
            </w:pPr>
            <w:r w:rsidRPr="004569F6">
              <w:rPr>
                <w:rFonts w:eastAsia="Cambria" w:cs="Melior-Italic"/>
                <w:szCs w:val="18"/>
                <w:lang w:eastAsia="en-AU"/>
              </w:rPr>
              <w:t>Leaf-eating caterpillar</w:t>
            </w:r>
          </w:p>
        </w:tc>
        <w:tc>
          <w:tcPr>
            <w:tcW w:w="715" w:type="pct"/>
            <w:shd w:val="clear" w:color="auto" w:fill="auto"/>
          </w:tcPr>
          <w:p w:rsidR="00B52BB0" w:rsidRPr="007E70AF" w:rsidRDefault="00B52BB0" w:rsidP="003E074D">
            <w:pPr>
              <w:pStyle w:val="TableText"/>
              <w:rPr>
                <w:sz w:val="16"/>
              </w:rPr>
            </w:pPr>
            <w:r w:rsidRPr="009B6CD6">
              <w:t xml:space="preserve">Yes </w:t>
            </w:r>
            <w:r>
              <w:rPr>
                <w:noProof/>
              </w:rPr>
              <w:t>(Schintlmeister 2008)</w:t>
            </w:r>
          </w:p>
        </w:tc>
        <w:tc>
          <w:tcPr>
            <w:tcW w:w="714" w:type="pct"/>
            <w:shd w:val="clear" w:color="auto" w:fill="auto"/>
          </w:tcPr>
          <w:p w:rsidR="00B52BB0" w:rsidRPr="007E70AF" w:rsidRDefault="00B52BB0" w:rsidP="003E074D">
            <w:pPr>
              <w:pStyle w:val="TableText"/>
              <w:rPr>
                <w:sz w:val="16"/>
              </w:rPr>
            </w:pPr>
            <w:r w:rsidRPr="009B6CD6">
              <w:t>No records found</w:t>
            </w:r>
          </w:p>
        </w:tc>
        <w:tc>
          <w:tcPr>
            <w:tcW w:w="714" w:type="pct"/>
            <w:shd w:val="clear" w:color="auto" w:fill="auto"/>
          </w:tcPr>
          <w:p w:rsidR="00B52BB0" w:rsidRPr="007E70AF" w:rsidRDefault="00B52BB0" w:rsidP="003E074D">
            <w:pPr>
              <w:pStyle w:val="TableText"/>
              <w:rPr>
                <w:sz w:val="16"/>
              </w:rPr>
            </w:pPr>
            <w:r w:rsidRPr="009B6CD6">
              <w:t xml:space="preserve">No. </w:t>
            </w:r>
            <w:r>
              <w:t>This species f</w:t>
            </w:r>
            <w:r w:rsidRPr="009B6CD6">
              <w:t xml:space="preserve">eeds on leaves </w:t>
            </w:r>
            <w:r>
              <w:rPr>
                <w:noProof/>
              </w:rPr>
              <w:t>(Hoskins 2012; Kuroko &amp; Lewvanich 1993; Waterhouse 1993)</w:t>
            </w:r>
            <w:r w:rsidRPr="009B6CD6">
              <w:t>.</w:t>
            </w:r>
          </w:p>
        </w:tc>
        <w:tc>
          <w:tcPr>
            <w:tcW w:w="714" w:type="pct"/>
            <w:shd w:val="clear" w:color="auto" w:fill="auto"/>
          </w:tcPr>
          <w:p w:rsidR="00B52BB0" w:rsidRPr="007E70AF" w:rsidRDefault="00B52BB0" w:rsidP="003E074D">
            <w:pPr>
              <w:pStyle w:val="TableText"/>
            </w:pPr>
            <w:r w:rsidRPr="009B6CD6">
              <w:t>Assessment not required</w:t>
            </w:r>
          </w:p>
        </w:tc>
        <w:tc>
          <w:tcPr>
            <w:tcW w:w="714" w:type="pct"/>
            <w:shd w:val="clear" w:color="auto" w:fill="auto"/>
          </w:tcPr>
          <w:p w:rsidR="00B52BB0" w:rsidRPr="007E70AF" w:rsidRDefault="00B52BB0" w:rsidP="003E074D">
            <w:pPr>
              <w:pStyle w:val="TableText"/>
            </w:pPr>
            <w:r w:rsidRPr="009B6CD6">
              <w:t>Assessment not required</w:t>
            </w:r>
          </w:p>
        </w:tc>
        <w:tc>
          <w:tcPr>
            <w:tcW w:w="714" w:type="pct"/>
            <w:shd w:val="clear" w:color="auto" w:fill="auto"/>
          </w:tcPr>
          <w:p w:rsidR="00B52BB0" w:rsidRPr="007E70AF" w:rsidRDefault="00B52BB0" w:rsidP="003E074D">
            <w:pPr>
              <w:pStyle w:val="TableText"/>
            </w:pPr>
            <w:r w:rsidRPr="009B6CD6">
              <w:t>No</w:t>
            </w:r>
          </w:p>
        </w:tc>
      </w:tr>
      <w:tr w:rsidR="00B52BB0" w:rsidRPr="007E70AF"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0486E">
              <w:rPr>
                <w:rFonts w:eastAsia="Cambria" w:cs="Melior-Italic"/>
                <w:i/>
                <w:iCs/>
                <w:sz w:val="18"/>
                <w:szCs w:val="18"/>
                <w:lang w:eastAsia="en-AU"/>
              </w:rPr>
              <w:t xml:space="preserve">Eudocima fullonia </w:t>
            </w:r>
            <w:r w:rsidRPr="004569F6">
              <w:rPr>
                <w:rFonts w:eastAsia="Cambria" w:cs="Melior-Italic"/>
                <w:sz w:val="18"/>
                <w:szCs w:val="18"/>
                <w:lang w:eastAsia="en-AU"/>
              </w:rPr>
              <w:t>(Clerck, 1764)</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569F6">
              <w:rPr>
                <w:rFonts w:eastAsia="Cambria" w:cs="Melior-Italic"/>
                <w:sz w:val="18"/>
                <w:szCs w:val="18"/>
                <w:lang w:eastAsia="en-AU"/>
              </w:rPr>
              <w:t>Synonym:</w:t>
            </w:r>
            <w:r w:rsidRPr="0040486E">
              <w:rPr>
                <w:rFonts w:eastAsia="Cambria" w:cs="Melior-Italic"/>
                <w:i/>
                <w:iCs/>
                <w:sz w:val="18"/>
                <w:szCs w:val="18"/>
                <w:lang w:eastAsia="en-AU"/>
              </w:rPr>
              <w:t xml:space="preserve"> Othreis fullonia </w:t>
            </w:r>
            <w:r w:rsidRPr="004569F6">
              <w:rPr>
                <w:rFonts w:eastAsia="Cambria" w:cs="Melior-Italic"/>
                <w:sz w:val="18"/>
                <w:szCs w:val="18"/>
                <w:lang w:eastAsia="en-AU"/>
              </w:rPr>
              <w:t>Clerck, 1764</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569F6">
              <w:rPr>
                <w:rFonts w:eastAsia="Cambria" w:cs="Melior-Italic"/>
                <w:sz w:val="18"/>
                <w:szCs w:val="18"/>
                <w:lang w:eastAsia="en-AU"/>
              </w:rPr>
              <w:t>[Noctuidae]</w:t>
            </w:r>
          </w:p>
          <w:p w:rsidR="00B52BB0" w:rsidRPr="007E70AF" w:rsidRDefault="00B52BB0" w:rsidP="003E074D">
            <w:pPr>
              <w:pStyle w:val="TableText"/>
              <w:rPr>
                <w:i/>
                <w:lang w:val="pt-BR"/>
              </w:rPr>
            </w:pPr>
            <w:r w:rsidRPr="004569F6">
              <w:rPr>
                <w:rFonts w:eastAsia="Cambria" w:cs="Melior-Italic"/>
                <w:szCs w:val="18"/>
                <w:lang w:eastAsia="en-AU"/>
              </w:rPr>
              <w:t>Fruit-piercing moth</w:t>
            </w:r>
          </w:p>
        </w:tc>
        <w:tc>
          <w:tcPr>
            <w:tcW w:w="715" w:type="pct"/>
            <w:shd w:val="clear" w:color="auto" w:fill="auto"/>
          </w:tcPr>
          <w:p w:rsidR="00B52BB0" w:rsidRPr="007E70AF" w:rsidRDefault="00B52BB0" w:rsidP="003E074D">
            <w:pPr>
              <w:pStyle w:val="TableText"/>
              <w:rPr>
                <w:lang w:val="pt-BR"/>
              </w:rPr>
            </w:pPr>
            <w:r w:rsidRPr="00200969">
              <w:t xml:space="preserve">Yes </w:t>
            </w:r>
            <w:r>
              <w:rPr>
                <w:noProof/>
              </w:rPr>
              <w:t>(PPD 2017)</w:t>
            </w:r>
          </w:p>
        </w:tc>
        <w:tc>
          <w:tcPr>
            <w:tcW w:w="714" w:type="pct"/>
            <w:shd w:val="clear" w:color="auto" w:fill="auto"/>
          </w:tcPr>
          <w:p w:rsidR="00B52BB0" w:rsidRPr="007E70AF" w:rsidRDefault="00B52BB0" w:rsidP="003E074D">
            <w:pPr>
              <w:pStyle w:val="TableText"/>
              <w:rPr>
                <w:szCs w:val="16"/>
              </w:rPr>
            </w:pPr>
            <w:r w:rsidRPr="00200969">
              <w:t xml:space="preserve">Yes. NSW, NT, Qld, WA </w:t>
            </w:r>
            <w:r>
              <w:rPr>
                <w:noProof/>
              </w:rPr>
              <w:t>(Plant Health Australia 2019)</w:t>
            </w:r>
          </w:p>
        </w:tc>
        <w:tc>
          <w:tcPr>
            <w:tcW w:w="714" w:type="pct"/>
            <w:shd w:val="clear" w:color="auto" w:fill="auto"/>
          </w:tcPr>
          <w:p w:rsidR="00B52BB0" w:rsidRPr="007E70AF" w:rsidRDefault="00B52BB0" w:rsidP="003E074D">
            <w:pPr>
              <w:pStyle w:val="TableText"/>
            </w:pPr>
            <w:r w:rsidRPr="00200969">
              <w:t>Assessment not required</w:t>
            </w:r>
          </w:p>
        </w:tc>
        <w:tc>
          <w:tcPr>
            <w:tcW w:w="714" w:type="pct"/>
            <w:shd w:val="clear" w:color="auto" w:fill="auto"/>
          </w:tcPr>
          <w:p w:rsidR="00B52BB0" w:rsidRPr="007E70AF" w:rsidRDefault="00B52BB0" w:rsidP="003E074D">
            <w:pPr>
              <w:pStyle w:val="TableText"/>
            </w:pPr>
            <w:r w:rsidRPr="00200969">
              <w:t>Assessment not required</w:t>
            </w:r>
          </w:p>
        </w:tc>
        <w:tc>
          <w:tcPr>
            <w:tcW w:w="714" w:type="pct"/>
            <w:shd w:val="clear" w:color="auto" w:fill="auto"/>
          </w:tcPr>
          <w:p w:rsidR="00B52BB0" w:rsidRPr="007E70AF" w:rsidRDefault="00B52BB0" w:rsidP="003E074D">
            <w:pPr>
              <w:pStyle w:val="TableText"/>
            </w:pPr>
            <w:r w:rsidRPr="00200969">
              <w:t>Assessment not required</w:t>
            </w:r>
          </w:p>
        </w:tc>
        <w:tc>
          <w:tcPr>
            <w:tcW w:w="714" w:type="pct"/>
            <w:shd w:val="clear" w:color="auto" w:fill="auto"/>
          </w:tcPr>
          <w:p w:rsidR="00B52BB0" w:rsidRPr="007E70AF" w:rsidRDefault="00B52BB0" w:rsidP="003E074D">
            <w:pPr>
              <w:pStyle w:val="TableText"/>
            </w:pPr>
            <w:r w:rsidRPr="00200969">
              <w:t>No</w:t>
            </w:r>
          </w:p>
        </w:tc>
      </w:tr>
      <w:tr w:rsidR="00B52BB0" w:rsidRPr="007E70AF"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0486E">
              <w:rPr>
                <w:rFonts w:eastAsia="Cambria" w:cs="Melior-Italic"/>
                <w:i/>
                <w:iCs/>
                <w:sz w:val="18"/>
                <w:szCs w:val="18"/>
                <w:lang w:eastAsia="en-AU"/>
              </w:rPr>
              <w:t xml:space="preserve">Eudocima salaminia </w:t>
            </w:r>
            <w:r w:rsidRPr="004569F6">
              <w:rPr>
                <w:rFonts w:eastAsia="Cambria" w:cs="Melior-Italic"/>
                <w:sz w:val="18"/>
                <w:szCs w:val="18"/>
                <w:lang w:eastAsia="en-AU"/>
              </w:rPr>
              <w:t>Cramer, 1777</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569F6">
              <w:rPr>
                <w:rFonts w:eastAsia="Cambria" w:cs="Melior-Italic"/>
                <w:sz w:val="18"/>
                <w:szCs w:val="18"/>
                <w:lang w:eastAsia="en-AU"/>
              </w:rPr>
              <w:t>[Noctuidae]</w:t>
            </w:r>
          </w:p>
          <w:p w:rsidR="00B52BB0" w:rsidRPr="007E70AF" w:rsidRDefault="00B52BB0" w:rsidP="003E074D">
            <w:pPr>
              <w:pStyle w:val="TableText"/>
              <w:rPr>
                <w:i/>
                <w:lang w:val="pt-BR"/>
              </w:rPr>
            </w:pPr>
            <w:r w:rsidRPr="004569F6">
              <w:rPr>
                <w:rFonts w:eastAsia="Cambria" w:cs="Melior-Italic"/>
                <w:szCs w:val="18"/>
                <w:lang w:eastAsia="en-AU"/>
              </w:rPr>
              <w:t>Fruit-piercing moth</w:t>
            </w:r>
          </w:p>
        </w:tc>
        <w:tc>
          <w:tcPr>
            <w:tcW w:w="715" w:type="pct"/>
            <w:shd w:val="clear" w:color="auto" w:fill="auto"/>
          </w:tcPr>
          <w:p w:rsidR="00B52BB0" w:rsidRPr="007E70AF" w:rsidRDefault="00B52BB0" w:rsidP="003E074D">
            <w:pPr>
              <w:pStyle w:val="TableText"/>
              <w:rPr>
                <w:lang w:val="pt-BR"/>
              </w:rPr>
            </w:pPr>
            <w:r w:rsidRPr="00CF2E58">
              <w:t xml:space="preserve">Yes </w:t>
            </w:r>
            <w:r>
              <w:rPr>
                <w:noProof/>
              </w:rPr>
              <w:t>(Kuroko &amp; Lewvanich 1993; PPD 2017)</w:t>
            </w:r>
          </w:p>
        </w:tc>
        <w:tc>
          <w:tcPr>
            <w:tcW w:w="714" w:type="pct"/>
            <w:shd w:val="clear" w:color="auto" w:fill="auto"/>
          </w:tcPr>
          <w:p w:rsidR="00B52BB0" w:rsidRDefault="00B52BB0" w:rsidP="003E074D">
            <w:pPr>
              <w:pStyle w:val="TableText"/>
            </w:pPr>
            <w:r w:rsidRPr="00CF2E58">
              <w:t xml:space="preserve">Yes. NSW, NT, Qld </w:t>
            </w:r>
            <w:r>
              <w:rPr>
                <w:noProof/>
              </w:rPr>
              <w:t>(Plant Health Australia 2019)</w:t>
            </w:r>
          </w:p>
          <w:p w:rsidR="00B52BB0" w:rsidRPr="007E70AF" w:rsidRDefault="00B52BB0" w:rsidP="003E074D">
            <w:pPr>
              <w:pStyle w:val="TableText"/>
              <w:rPr>
                <w:szCs w:val="16"/>
              </w:rPr>
            </w:pPr>
            <w:r w:rsidRPr="00CF2E58">
              <w:t>Regulated as a Declared Organism (Prohibited (s</w:t>
            </w:r>
            <w:r>
              <w:t>. </w:t>
            </w:r>
            <w:r w:rsidRPr="00CF2E58">
              <w:t xml:space="preserve">12)) </w:t>
            </w:r>
            <w:r>
              <w:t>by</w:t>
            </w:r>
            <w:r w:rsidRPr="00CF2E58">
              <w:t xml:space="preserve"> WA </w:t>
            </w:r>
            <w:r>
              <w:t xml:space="preserve">under the </w:t>
            </w:r>
            <w:r w:rsidRPr="00FB7746">
              <w:rPr>
                <w:i/>
              </w:rPr>
              <w:t>Biosecurity and Agriculture Management Act 2007</w:t>
            </w:r>
            <w:r w:rsidRPr="00CF2E58">
              <w:t xml:space="preserve"> </w:t>
            </w:r>
            <w:r>
              <w:rPr>
                <w:noProof/>
              </w:rPr>
              <w:t>(Government of Western Australia 2018)</w:t>
            </w:r>
            <w:r w:rsidRPr="00CF2E58">
              <w:t>.</w:t>
            </w:r>
          </w:p>
        </w:tc>
        <w:tc>
          <w:tcPr>
            <w:tcW w:w="714" w:type="pct"/>
            <w:shd w:val="clear" w:color="auto" w:fill="auto"/>
          </w:tcPr>
          <w:p w:rsidR="00B52BB0" w:rsidRPr="007E70AF" w:rsidRDefault="00B52BB0" w:rsidP="003E074D">
            <w:pPr>
              <w:pStyle w:val="TableText"/>
            </w:pPr>
            <w:r w:rsidRPr="00CF2E58">
              <w:t>No. Adults</w:t>
            </w:r>
            <w:r>
              <w:t xml:space="preserve"> of this species</w:t>
            </w:r>
            <w:r w:rsidRPr="00CF2E58">
              <w:t xml:space="preserve"> feed externally on fruit at night but egg laying and larval feeding occur on leaves on unrelated hosts </w:t>
            </w:r>
            <w:r>
              <w:rPr>
                <w:noProof/>
              </w:rPr>
              <w:t>(QDAF 2012b)</w:t>
            </w:r>
            <w:r w:rsidRPr="00CF2E58">
              <w:t>.</w:t>
            </w:r>
          </w:p>
        </w:tc>
        <w:tc>
          <w:tcPr>
            <w:tcW w:w="714" w:type="pct"/>
            <w:shd w:val="clear" w:color="auto" w:fill="auto"/>
          </w:tcPr>
          <w:p w:rsidR="00B52BB0" w:rsidRPr="007E70AF" w:rsidRDefault="00B52BB0" w:rsidP="003E074D">
            <w:pPr>
              <w:pStyle w:val="TableText"/>
            </w:pPr>
            <w:r w:rsidRPr="00CF2E58">
              <w:t>Assessment not required</w:t>
            </w:r>
          </w:p>
        </w:tc>
        <w:tc>
          <w:tcPr>
            <w:tcW w:w="714" w:type="pct"/>
            <w:shd w:val="clear" w:color="auto" w:fill="auto"/>
          </w:tcPr>
          <w:p w:rsidR="00B52BB0" w:rsidRPr="007E70AF" w:rsidRDefault="00B52BB0" w:rsidP="003E074D">
            <w:pPr>
              <w:pStyle w:val="TableText"/>
            </w:pPr>
            <w:r w:rsidRPr="00CF2E58">
              <w:t>Assessment not required</w:t>
            </w:r>
          </w:p>
        </w:tc>
        <w:tc>
          <w:tcPr>
            <w:tcW w:w="714" w:type="pct"/>
            <w:shd w:val="clear" w:color="auto" w:fill="auto"/>
          </w:tcPr>
          <w:p w:rsidR="00B52BB0" w:rsidRPr="007E70AF" w:rsidRDefault="00B52BB0" w:rsidP="003E074D">
            <w:pPr>
              <w:pStyle w:val="TableText"/>
            </w:pPr>
            <w:r w:rsidRPr="00CF2E58">
              <w:t>No</w:t>
            </w:r>
          </w:p>
        </w:tc>
      </w:tr>
      <w:tr w:rsidR="00B52BB0" w:rsidRPr="007E70AF"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0486E">
              <w:rPr>
                <w:rFonts w:eastAsia="Cambria" w:cs="Melior-Italic"/>
                <w:i/>
                <w:iCs/>
                <w:sz w:val="18"/>
                <w:szCs w:val="18"/>
                <w:lang w:eastAsia="en-AU"/>
              </w:rPr>
              <w:t xml:space="preserve">Euproctis fraterna </w:t>
            </w:r>
            <w:r w:rsidRPr="004569F6">
              <w:rPr>
                <w:rFonts w:eastAsia="Cambria" w:cs="Melior-Italic"/>
                <w:sz w:val="18"/>
                <w:szCs w:val="18"/>
                <w:lang w:eastAsia="en-AU"/>
              </w:rPr>
              <w:t>Moore, 1883</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569F6">
              <w:rPr>
                <w:rFonts w:eastAsia="Cambria" w:cs="Melior-Italic"/>
                <w:sz w:val="18"/>
                <w:szCs w:val="18"/>
                <w:lang w:eastAsia="en-AU"/>
              </w:rPr>
              <w:t>[Lymantriidae]</w:t>
            </w:r>
          </w:p>
          <w:p w:rsidR="00B52BB0" w:rsidRPr="007E70AF" w:rsidRDefault="00B52BB0" w:rsidP="003E074D">
            <w:pPr>
              <w:pStyle w:val="TableText"/>
              <w:rPr>
                <w:i/>
                <w:lang w:val="pt-BR"/>
              </w:rPr>
            </w:pPr>
            <w:r w:rsidRPr="004569F6">
              <w:rPr>
                <w:rFonts w:eastAsia="Cambria" w:cs="Melior-Italic"/>
                <w:szCs w:val="18"/>
                <w:lang w:eastAsia="en-AU"/>
              </w:rPr>
              <w:t>Coffee hairy caterpillar</w:t>
            </w:r>
          </w:p>
        </w:tc>
        <w:tc>
          <w:tcPr>
            <w:tcW w:w="715" w:type="pct"/>
            <w:shd w:val="clear" w:color="auto" w:fill="auto"/>
          </w:tcPr>
          <w:p w:rsidR="00B52BB0" w:rsidRPr="007E70AF" w:rsidRDefault="00B52BB0" w:rsidP="003E074D">
            <w:pPr>
              <w:pStyle w:val="TableText"/>
              <w:rPr>
                <w:lang w:val="pt-BR"/>
              </w:rPr>
            </w:pPr>
            <w:r w:rsidRPr="00525B17">
              <w:t xml:space="preserve">Yes </w:t>
            </w:r>
            <w:r>
              <w:rPr>
                <w:noProof/>
              </w:rPr>
              <w:t>(Robinson et al. 2019)</w:t>
            </w:r>
          </w:p>
        </w:tc>
        <w:tc>
          <w:tcPr>
            <w:tcW w:w="714" w:type="pct"/>
            <w:shd w:val="clear" w:color="auto" w:fill="auto"/>
          </w:tcPr>
          <w:p w:rsidR="00B52BB0" w:rsidRPr="007E70AF" w:rsidRDefault="00B52BB0" w:rsidP="003E074D">
            <w:pPr>
              <w:pStyle w:val="TableText"/>
              <w:rPr>
                <w:szCs w:val="16"/>
              </w:rPr>
            </w:pPr>
            <w:r w:rsidRPr="00525B17">
              <w:t>No records found</w:t>
            </w:r>
          </w:p>
        </w:tc>
        <w:tc>
          <w:tcPr>
            <w:tcW w:w="714" w:type="pct"/>
            <w:shd w:val="clear" w:color="auto" w:fill="auto"/>
          </w:tcPr>
          <w:p w:rsidR="00B52BB0" w:rsidRPr="007E70AF" w:rsidRDefault="00B52BB0" w:rsidP="003E074D">
            <w:pPr>
              <w:pStyle w:val="TableText"/>
            </w:pPr>
            <w:r w:rsidRPr="00525B17">
              <w:t xml:space="preserve">No. </w:t>
            </w:r>
            <w:r>
              <w:t>This species f</w:t>
            </w:r>
            <w:r w:rsidRPr="00525B17">
              <w:t xml:space="preserve">eeds on leaves </w:t>
            </w:r>
            <w:r>
              <w:rPr>
                <w:noProof/>
              </w:rPr>
              <w:t>(Kuroko &amp; Lewvanich 1993; Waterhouse 1993)</w:t>
            </w:r>
            <w:r w:rsidRPr="00525B17">
              <w:t>.</w:t>
            </w:r>
          </w:p>
        </w:tc>
        <w:tc>
          <w:tcPr>
            <w:tcW w:w="714" w:type="pct"/>
            <w:shd w:val="clear" w:color="auto" w:fill="auto"/>
          </w:tcPr>
          <w:p w:rsidR="00B52BB0" w:rsidRPr="007E70AF" w:rsidRDefault="00B52BB0" w:rsidP="003E074D">
            <w:pPr>
              <w:pStyle w:val="TableText"/>
            </w:pPr>
            <w:r w:rsidRPr="00525B17">
              <w:t>Assessment not required</w:t>
            </w:r>
          </w:p>
        </w:tc>
        <w:tc>
          <w:tcPr>
            <w:tcW w:w="714" w:type="pct"/>
            <w:shd w:val="clear" w:color="auto" w:fill="auto"/>
          </w:tcPr>
          <w:p w:rsidR="00B52BB0" w:rsidRPr="007E70AF" w:rsidRDefault="00B52BB0" w:rsidP="003E074D">
            <w:pPr>
              <w:pStyle w:val="TableText"/>
            </w:pPr>
            <w:r w:rsidRPr="00525B17">
              <w:t>Assessment not required</w:t>
            </w:r>
          </w:p>
        </w:tc>
        <w:tc>
          <w:tcPr>
            <w:tcW w:w="714" w:type="pct"/>
            <w:shd w:val="clear" w:color="auto" w:fill="auto"/>
          </w:tcPr>
          <w:p w:rsidR="00B52BB0" w:rsidRPr="007E70AF" w:rsidRDefault="00B52BB0" w:rsidP="003E074D">
            <w:pPr>
              <w:pStyle w:val="TableText"/>
            </w:pPr>
            <w:r w:rsidRPr="00525B17">
              <w:t>No</w:t>
            </w:r>
          </w:p>
        </w:tc>
      </w:tr>
      <w:tr w:rsidR="00B52BB0" w:rsidRPr="007E70AF"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0486E">
              <w:rPr>
                <w:rFonts w:eastAsia="Cambria" w:cs="Melior-Italic"/>
                <w:i/>
                <w:iCs/>
                <w:sz w:val="18"/>
                <w:szCs w:val="18"/>
                <w:lang w:eastAsia="en-AU"/>
              </w:rPr>
              <w:t xml:space="preserve">Gatesclarkeana idia </w:t>
            </w:r>
            <w:r w:rsidRPr="004569F6">
              <w:rPr>
                <w:rFonts w:eastAsia="Cambria" w:cs="Melior-Italic"/>
                <w:sz w:val="18"/>
                <w:szCs w:val="18"/>
                <w:lang w:eastAsia="en-AU"/>
              </w:rPr>
              <w:t>Diakonoff, 1973</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569F6">
              <w:rPr>
                <w:rFonts w:eastAsia="Cambria" w:cs="Melior-Italic"/>
                <w:sz w:val="18"/>
                <w:szCs w:val="18"/>
                <w:lang w:eastAsia="en-AU"/>
              </w:rPr>
              <w:t>[Tortricidae]</w:t>
            </w:r>
          </w:p>
          <w:p w:rsidR="00B52BB0" w:rsidRPr="007E70AF" w:rsidRDefault="00B52BB0" w:rsidP="003E074D">
            <w:pPr>
              <w:pStyle w:val="TableText"/>
              <w:rPr>
                <w:i/>
                <w:lang w:val="pt-BR"/>
              </w:rPr>
            </w:pPr>
          </w:p>
        </w:tc>
        <w:tc>
          <w:tcPr>
            <w:tcW w:w="715" w:type="pct"/>
            <w:shd w:val="clear" w:color="auto" w:fill="auto"/>
          </w:tcPr>
          <w:p w:rsidR="00B52BB0" w:rsidRPr="007E70AF" w:rsidRDefault="00B52BB0" w:rsidP="003E074D">
            <w:pPr>
              <w:pStyle w:val="TableText"/>
              <w:rPr>
                <w:lang w:val="pt-BR"/>
              </w:rPr>
            </w:pPr>
            <w:r w:rsidRPr="009449A6">
              <w:t xml:space="preserve">Yes </w:t>
            </w:r>
            <w:r>
              <w:rPr>
                <w:noProof/>
              </w:rPr>
              <w:t>(Encyclopedia of Life 2019)</w:t>
            </w:r>
          </w:p>
        </w:tc>
        <w:tc>
          <w:tcPr>
            <w:tcW w:w="714" w:type="pct"/>
            <w:shd w:val="clear" w:color="auto" w:fill="auto"/>
          </w:tcPr>
          <w:p w:rsidR="00B52BB0" w:rsidRPr="007E70AF" w:rsidRDefault="00B52BB0" w:rsidP="003E074D">
            <w:pPr>
              <w:pStyle w:val="TableText"/>
              <w:rPr>
                <w:szCs w:val="16"/>
              </w:rPr>
            </w:pPr>
            <w:r w:rsidRPr="009449A6">
              <w:t>No records found</w:t>
            </w:r>
          </w:p>
        </w:tc>
        <w:tc>
          <w:tcPr>
            <w:tcW w:w="714" w:type="pct"/>
            <w:shd w:val="clear" w:color="auto" w:fill="auto"/>
          </w:tcPr>
          <w:p w:rsidR="00B52BB0" w:rsidRPr="007E70AF" w:rsidRDefault="00B52BB0" w:rsidP="003E074D">
            <w:pPr>
              <w:pStyle w:val="TableText"/>
            </w:pPr>
            <w:r w:rsidRPr="009449A6">
              <w:t xml:space="preserve">No. </w:t>
            </w:r>
            <w:r>
              <w:t>This species f</w:t>
            </w:r>
            <w:r w:rsidRPr="009449A6">
              <w:t xml:space="preserve">eeds on flowers </w:t>
            </w:r>
            <w:r>
              <w:rPr>
                <w:noProof/>
              </w:rPr>
              <w:t>(Kuroko &amp; Lewvanich 1993)</w:t>
            </w:r>
            <w:r w:rsidRPr="009449A6">
              <w:t>.</w:t>
            </w:r>
          </w:p>
        </w:tc>
        <w:tc>
          <w:tcPr>
            <w:tcW w:w="714" w:type="pct"/>
            <w:shd w:val="clear" w:color="auto" w:fill="auto"/>
          </w:tcPr>
          <w:p w:rsidR="00B52BB0" w:rsidRPr="007E70AF" w:rsidRDefault="00B52BB0" w:rsidP="003E074D">
            <w:pPr>
              <w:pStyle w:val="TableText"/>
            </w:pPr>
            <w:r w:rsidRPr="009449A6">
              <w:t>Assessment not required</w:t>
            </w:r>
          </w:p>
        </w:tc>
        <w:tc>
          <w:tcPr>
            <w:tcW w:w="714" w:type="pct"/>
            <w:shd w:val="clear" w:color="auto" w:fill="auto"/>
          </w:tcPr>
          <w:p w:rsidR="00B52BB0" w:rsidRPr="007E70AF" w:rsidRDefault="00B52BB0" w:rsidP="003E074D">
            <w:pPr>
              <w:pStyle w:val="TableText"/>
            </w:pPr>
            <w:r w:rsidRPr="009449A6">
              <w:t>Assessment not required</w:t>
            </w:r>
          </w:p>
        </w:tc>
        <w:tc>
          <w:tcPr>
            <w:tcW w:w="714" w:type="pct"/>
            <w:shd w:val="clear" w:color="auto" w:fill="auto"/>
          </w:tcPr>
          <w:p w:rsidR="00B52BB0" w:rsidRPr="007E70AF" w:rsidRDefault="00B52BB0" w:rsidP="003E074D">
            <w:pPr>
              <w:pStyle w:val="TableText"/>
            </w:pPr>
            <w:r w:rsidRPr="009449A6">
              <w:t>No</w:t>
            </w:r>
          </w:p>
        </w:tc>
      </w:tr>
      <w:tr w:rsidR="00B52BB0" w:rsidRPr="007E70AF"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0486E">
              <w:rPr>
                <w:rFonts w:eastAsia="Cambria" w:cs="Melior-Italic"/>
                <w:i/>
                <w:iCs/>
                <w:sz w:val="18"/>
                <w:szCs w:val="18"/>
                <w:lang w:eastAsia="en-AU"/>
              </w:rPr>
              <w:lastRenderedPageBreak/>
              <w:t xml:space="preserve">Homona coffearia </w:t>
            </w:r>
            <w:r w:rsidRPr="004569F6">
              <w:rPr>
                <w:rFonts w:eastAsia="Cambria" w:cs="Melior-Italic"/>
                <w:sz w:val="18"/>
                <w:szCs w:val="18"/>
                <w:lang w:eastAsia="en-AU"/>
              </w:rPr>
              <w:t>(Nietner, 1861)</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569F6">
              <w:rPr>
                <w:rFonts w:eastAsia="Cambria" w:cs="Melior-Italic"/>
                <w:sz w:val="18"/>
                <w:szCs w:val="18"/>
                <w:lang w:eastAsia="en-AU"/>
              </w:rPr>
              <w:t>[Tortricidae]</w:t>
            </w:r>
          </w:p>
          <w:p w:rsidR="00B52BB0" w:rsidRPr="007E70AF" w:rsidRDefault="00B52BB0" w:rsidP="003E074D">
            <w:pPr>
              <w:pStyle w:val="TableText"/>
              <w:rPr>
                <w:i/>
                <w:lang w:val="en-US"/>
              </w:rPr>
            </w:pPr>
            <w:r w:rsidRPr="004569F6">
              <w:rPr>
                <w:rFonts w:eastAsia="Cambria" w:cs="Melior-Italic"/>
                <w:szCs w:val="18"/>
                <w:lang w:eastAsia="en-AU"/>
              </w:rPr>
              <w:t>Coffee tortrix</w:t>
            </w:r>
          </w:p>
        </w:tc>
        <w:tc>
          <w:tcPr>
            <w:tcW w:w="715" w:type="pct"/>
            <w:shd w:val="clear" w:color="auto" w:fill="auto"/>
          </w:tcPr>
          <w:p w:rsidR="00B52BB0" w:rsidRPr="007E70AF" w:rsidRDefault="00B52BB0" w:rsidP="003E074D">
            <w:pPr>
              <w:pStyle w:val="TableText"/>
              <w:rPr>
                <w:sz w:val="16"/>
              </w:rPr>
            </w:pPr>
            <w:r w:rsidRPr="00FF1D14">
              <w:t xml:space="preserve">Yes </w:t>
            </w:r>
            <w:r>
              <w:rPr>
                <w:noProof/>
              </w:rPr>
              <w:t>(PPD 2010b)</w:t>
            </w:r>
          </w:p>
        </w:tc>
        <w:tc>
          <w:tcPr>
            <w:tcW w:w="714" w:type="pct"/>
            <w:shd w:val="clear" w:color="auto" w:fill="auto"/>
          </w:tcPr>
          <w:p w:rsidR="00B52BB0" w:rsidRPr="007E70AF" w:rsidRDefault="00B52BB0" w:rsidP="003E074D">
            <w:pPr>
              <w:pStyle w:val="TableText"/>
              <w:rPr>
                <w:sz w:val="16"/>
              </w:rPr>
            </w:pPr>
            <w:r w:rsidRPr="00FF1D14">
              <w:t xml:space="preserve">No. </w:t>
            </w:r>
            <w:r w:rsidRPr="00A03C7C">
              <w:rPr>
                <w:i/>
                <w:iCs/>
              </w:rPr>
              <w:t>Homona coffearia</w:t>
            </w:r>
            <w:r w:rsidRPr="00FF1D14">
              <w:t xml:space="preserve"> does not occur in Australia and Australian records under this name should be referred to as </w:t>
            </w:r>
            <w:r w:rsidRPr="00130667">
              <w:rPr>
                <w:i/>
              </w:rPr>
              <w:t>Homona spargotis</w:t>
            </w:r>
            <w:r w:rsidRPr="00FF1D14">
              <w:t xml:space="preserve"> </w:t>
            </w:r>
            <w:r>
              <w:rPr>
                <w:noProof/>
              </w:rPr>
              <w:t>(Whittle et al. 1987)</w:t>
            </w:r>
            <w:r w:rsidRPr="00FF1D14">
              <w:t>.</w:t>
            </w:r>
          </w:p>
        </w:tc>
        <w:tc>
          <w:tcPr>
            <w:tcW w:w="714" w:type="pct"/>
            <w:shd w:val="clear" w:color="auto" w:fill="auto"/>
          </w:tcPr>
          <w:p w:rsidR="00B52BB0" w:rsidRPr="007E70AF" w:rsidRDefault="00B52BB0" w:rsidP="003E074D">
            <w:pPr>
              <w:pStyle w:val="TableText"/>
              <w:rPr>
                <w:sz w:val="16"/>
              </w:rPr>
            </w:pPr>
            <w:r w:rsidRPr="00FF1D14">
              <w:t xml:space="preserve">No. </w:t>
            </w:r>
            <w:r>
              <w:t>This species f</w:t>
            </w:r>
            <w:r w:rsidRPr="00FF1D14">
              <w:t xml:space="preserve">eeds on leaves </w:t>
            </w:r>
            <w:r>
              <w:rPr>
                <w:noProof/>
              </w:rPr>
              <w:t>(Kuroko &amp; Lewvanich 1993; Waterhouse 1993)</w:t>
            </w:r>
            <w:r w:rsidRPr="00FF1D14">
              <w:t>.</w:t>
            </w:r>
          </w:p>
        </w:tc>
        <w:tc>
          <w:tcPr>
            <w:tcW w:w="714" w:type="pct"/>
            <w:shd w:val="clear" w:color="auto" w:fill="auto"/>
          </w:tcPr>
          <w:p w:rsidR="00B52BB0" w:rsidRPr="007E70AF" w:rsidRDefault="00B52BB0" w:rsidP="003E074D">
            <w:pPr>
              <w:pStyle w:val="TableText"/>
            </w:pPr>
            <w:r w:rsidRPr="00FF1D14">
              <w:t>Assessment not required</w:t>
            </w:r>
          </w:p>
        </w:tc>
        <w:tc>
          <w:tcPr>
            <w:tcW w:w="714" w:type="pct"/>
            <w:shd w:val="clear" w:color="auto" w:fill="auto"/>
          </w:tcPr>
          <w:p w:rsidR="00B52BB0" w:rsidRPr="007E70AF" w:rsidRDefault="00B52BB0" w:rsidP="003E074D">
            <w:pPr>
              <w:pStyle w:val="TableText"/>
            </w:pPr>
            <w:r w:rsidRPr="00FF1D14">
              <w:t>Assessment not required</w:t>
            </w:r>
          </w:p>
        </w:tc>
        <w:tc>
          <w:tcPr>
            <w:tcW w:w="714" w:type="pct"/>
            <w:shd w:val="clear" w:color="auto" w:fill="auto"/>
          </w:tcPr>
          <w:p w:rsidR="00B52BB0" w:rsidRPr="007E70AF" w:rsidRDefault="00B52BB0" w:rsidP="003E074D">
            <w:pPr>
              <w:pStyle w:val="TableText"/>
            </w:pPr>
            <w:r w:rsidRPr="00FF1D14">
              <w:t>No</w:t>
            </w:r>
          </w:p>
        </w:tc>
      </w:tr>
      <w:tr w:rsidR="00B52BB0" w:rsidRPr="007E70AF"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0486E">
              <w:rPr>
                <w:rFonts w:eastAsia="Cambria" w:cs="Melior-Italic"/>
                <w:i/>
                <w:iCs/>
                <w:sz w:val="18"/>
                <w:szCs w:val="18"/>
                <w:lang w:eastAsia="en-AU"/>
              </w:rPr>
              <w:t xml:space="preserve">Hypolycaena erylus </w:t>
            </w:r>
            <w:r>
              <w:rPr>
                <w:rFonts w:eastAsia="Cambria" w:cs="Melior-Italic"/>
                <w:sz w:val="18"/>
                <w:szCs w:val="18"/>
                <w:lang w:eastAsia="en-AU"/>
              </w:rPr>
              <w:t>(God</w:t>
            </w:r>
            <w:r w:rsidRPr="004569F6">
              <w:rPr>
                <w:rFonts w:eastAsia="Cambria" w:cs="Melior-Italic"/>
                <w:sz w:val="18"/>
                <w:szCs w:val="18"/>
                <w:lang w:eastAsia="en-AU"/>
              </w:rPr>
              <w:t>a</w:t>
            </w:r>
            <w:r>
              <w:rPr>
                <w:rFonts w:eastAsia="Cambria" w:cs="Melior-Italic"/>
                <w:sz w:val="18"/>
                <w:szCs w:val="18"/>
                <w:lang w:eastAsia="en-AU"/>
              </w:rPr>
              <w:t>r</w:t>
            </w:r>
            <w:r w:rsidRPr="004569F6">
              <w:rPr>
                <w:rFonts w:eastAsia="Cambria" w:cs="Melior-Italic"/>
                <w:sz w:val="18"/>
                <w:szCs w:val="18"/>
                <w:lang w:eastAsia="en-AU"/>
              </w:rPr>
              <w:t>t, 1823)</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569F6">
              <w:rPr>
                <w:rFonts w:eastAsia="Cambria" w:cs="Melior-Italic"/>
                <w:sz w:val="18"/>
                <w:szCs w:val="18"/>
                <w:lang w:eastAsia="en-AU"/>
              </w:rPr>
              <w:t>[Lymantriidae]</w:t>
            </w:r>
          </w:p>
          <w:p w:rsidR="00B52BB0" w:rsidRPr="007E70AF" w:rsidRDefault="00B52BB0" w:rsidP="003E074D">
            <w:pPr>
              <w:pStyle w:val="TableText"/>
              <w:rPr>
                <w:i/>
                <w:lang w:val="pt-BR"/>
              </w:rPr>
            </w:pPr>
            <w:r w:rsidRPr="004569F6">
              <w:rPr>
                <w:rFonts w:eastAsia="Cambria" w:cs="Melior-Italic"/>
                <w:szCs w:val="18"/>
                <w:lang w:eastAsia="en-AU"/>
              </w:rPr>
              <w:t>Common tit</w:t>
            </w:r>
          </w:p>
        </w:tc>
        <w:tc>
          <w:tcPr>
            <w:tcW w:w="715" w:type="pct"/>
            <w:shd w:val="clear" w:color="auto" w:fill="auto"/>
          </w:tcPr>
          <w:p w:rsidR="00B52BB0" w:rsidRPr="007E70AF" w:rsidRDefault="00B52BB0" w:rsidP="003E074D">
            <w:pPr>
              <w:pStyle w:val="TableText"/>
              <w:rPr>
                <w:lang w:val="pt-BR"/>
              </w:rPr>
            </w:pPr>
            <w:r w:rsidRPr="00B655B7">
              <w:t xml:space="preserve">Yes </w:t>
            </w:r>
            <w:r>
              <w:rPr>
                <w:noProof/>
              </w:rPr>
              <w:t>(Spitzer &amp; Jaroš 2008)</w:t>
            </w:r>
          </w:p>
        </w:tc>
        <w:tc>
          <w:tcPr>
            <w:tcW w:w="714" w:type="pct"/>
            <w:shd w:val="clear" w:color="auto" w:fill="auto"/>
          </w:tcPr>
          <w:p w:rsidR="00B52BB0" w:rsidRPr="007E70AF" w:rsidRDefault="00B52BB0" w:rsidP="003E074D">
            <w:pPr>
              <w:pStyle w:val="TableText"/>
              <w:rPr>
                <w:szCs w:val="16"/>
              </w:rPr>
            </w:pPr>
            <w:r w:rsidRPr="00B655B7">
              <w:t>No records found</w:t>
            </w:r>
          </w:p>
        </w:tc>
        <w:tc>
          <w:tcPr>
            <w:tcW w:w="714" w:type="pct"/>
            <w:shd w:val="clear" w:color="auto" w:fill="auto"/>
          </w:tcPr>
          <w:p w:rsidR="00B52BB0" w:rsidRPr="007E70AF" w:rsidRDefault="00B52BB0" w:rsidP="003E074D">
            <w:pPr>
              <w:pStyle w:val="TableText"/>
            </w:pPr>
            <w:r w:rsidRPr="00B655B7">
              <w:t>No.</w:t>
            </w:r>
            <w:r>
              <w:t xml:space="preserve"> This species f</w:t>
            </w:r>
            <w:r w:rsidRPr="00B655B7">
              <w:t xml:space="preserve">eeds on leaves and flowers </w:t>
            </w:r>
            <w:r>
              <w:rPr>
                <w:noProof/>
              </w:rPr>
              <w:t>(Hawkeswood, Dunn &amp; Sommung 2016)</w:t>
            </w:r>
            <w:r w:rsidRPr="00B655B7">
              <w:t>.</w:t>
            </w:r>
          </w:p>
        </w:tc>
        <w:tc>
          <w:tcPr>
            <w:tcW w:w="714" w:type="pct"/>
            <w:shd w:val="clear" w:color="auto" w:fill="auto"/>
          </w:tcPr>
          <w:p w:rsidR="00B52BB0" w:rsidRPr="007E70AF" w:rsidRDefault="00B52BB0" w:rsidP="003E074D">
            <w:pPr>
              <w:pStyle w:val="TableText"/>
            </w:pPr>
            <w:r w:rsidRPr="00B655B7">
              <w:t>Assessment not required</w:t>
            </w:r>
          </w:p>
        </w:tc>
        <w:tc>
          <w:tcPr>
            <w:tcW w:w="714" w:type="pct"/>
            <w:shd w:val="clear" w:color="auto" w:fill="auto"/>
          </w:tcPr>
          <w:p w:rsidR="00B52BB0" w:rsidRPr="007E70AF" w:rsidRDefault="00B52BB0" w:rsidP="003E074D">
            <w:pPr>
              <w:pStyle w:val="TableText"/>
            </w:pPr>
            <w:r w:rsidRPr="00B655B7">
              <w:t>Assessment not required</w:t>
            </w:r>
          </w:p>
        </w:tc>
        <w:tc>
          <w:tcPr>
            <w:tcW w:w="714" w:type="pct"/>
            <w:shd w:val="clear" w:color="auto" w:fill="auto"/>
          </w:tcPr>
          <w:p w:rsidR="00B52BB0" w:rsidRPr="007E70AF" w:rsidRDefault="00B52BB0" w:rsidP="003E074D">
            <w:pPr>
              <w:pStyle w:val="TableText"/>
            </w:pPr>
            <w:r w:rsidRPr="00B655B7">
              <w:t>No</w:t>
            </w:r>
          </w:p>
        </w:tc>
      </w:tr>
      <w:tr w:rsidR="00B52BB0" w:rsidRPr="007E70AF"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0486E">
              <w:rPr>
                <w:rFonts w:eastAsia="Cambria" w:cs="Melior-Italic"/>
                <w:i/>
                <w:iCs/>
                <w:sz w:val="18"/>
                <w:szCs w:val="18"/>
                <w:lang w:eastAsia="en-AU"/>
              </w:rPr>
              <w:t xml:space="preserve">Hyposidra talaca </w:t>
            </w:r>
            <w:r w:rsidRPr="004569F6">
              <w:rPr>
                <w:rFonts w:eastAsia="Cambria" w:cs="Melior-Italic"/>
                <w:sz w:val="18"/>
                <w:szCs w:val="18"/>
                <w:lang w:eastAsia="en-AU"/>
              </w:rPr>
              <w:t>Walker, 1860</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569F6">
              <w:rPr>
                <w:rFonts w:eastAsia="Cambria" w:cs="Melior-Italic"/>
                <w:sz w:val="18"/>
                <w:szCs w:val="18"/>
                <w:lang w:eastAsia="en-AU"/>
              </w:rPr>
              <w:t>[Geometridae]</w:t>
            </w:r>
          </w:p>
          <w:p w:rsidR="00B52BB0" w:rsidRPr="007E70AF" w:rsidRDefault="00B52BB0" w:rsidP="003E074D">
            <w:pPr>
              <w:pStyle w:val="TableText"/>
              <w:rPr>
                <w:i/>
                <w:lang w:val="pt-BR"/>
              </w:rPr>
            </w:pPr>
            <w:r w:rsidRPr="004569F6">
              <w:rPr>
                <w:rFonts w:eastAsia="Cambria" w:cs="Melior-Italic"/>
                <w:szCs w:val="18"/>
                <w:lang w:eastAsia="en-AU"/>
              </w:rPr>
              <w:t>Black looper</w:t>
            </w:r>
          </w:p>
        </w:tc>
        <w:tc>
          <w:tcPr>
            <w:tcW w:w="715" w:type="pct"/>
            <w:shd w:val="clear" w:color="auto" w:fill="auto"/>
          </w:tcPr>
          <w:p w:rsidR="00B52BB0" w:rsidRPr="007E70AF" w:rsidRDefault="00B52BB0" w:rsidP="003E074D">
            <w:pPr>
              <w:pStyle w:val="TableText"/>
              <w:rPr>
                <w:lang w:val="pt-BR"/>
              </w:rPr>
            </w:pPr>
            <w:r w:rsidRPr="002D1665">
              <w:t xml:space="preserve">Yes </w:t>
            </w:r>
            <w:r>
              <w:rPr>
                <w:noProof/>
              </w:rPr>
              <w:t>(Robinson et al. 2019)</w:t>
            </w:r>
          </w:p>
        </w:tc>
        <w:tc>
          <w:tcPr>
            <w:tcW w:w="714" w:type="pct"/>
            <w:shd w:val="clear" w:color="auto" w:fill="auto"/>
          </w:tcPr>
          <w:p w:rsidR="00B52BB0" w:rsidRPr="007E70AF" w:rsidRDefault="00B52BB0" w:rsidP="003E074D">
            <w:pPr>
              <w:pStyle w:val="TableText"/>
              <w:rPr>
                <w:szCs w:val="16"/>
              </w:rPr>
            </w:pPr>
            <w:r w:rsidRPr="002D1665">
              <w:t xml:space="preserve">Yes. Qld, WA </w:t>
            </w:r>
            <w:r>
              <w:rPr>
                <w:noProof/>
              </w:rPr>
              <w:t>(Herbison-Evans &amp; Crossley 2019)</w:t>
            </w:r>
          </w:p>
        </w:tc>
        <w:tc>
          <w:tcPr>
            <w:tcW w:w="714" w:type="pct"/>
            <w:shd w:val="clear" w:color="auto" w:fill="auto"/>
          </w:tcPr>
          <w:p w:rsidR="00B52BB0" w:rsidRPr="007E70AF" w:rsidRDefault="00B52BB0" w:rsidP="003E074D">
            <w:pPr>
              <w:pStyle w:val="TableText"/>
            </w:pPr>
            <w:r w:rsidRPr="002D1665">
              <w:t>Assessment not required</w:t>
            </w:r>
          </w:p>
        </w:tc>
        <w:tc>
          <w:tcPr>
            <w:tcW w:w="714" w:type="pct"/>
            <w:shd w:val="clear" w:color="auto" w:fill="auto"/>
          </w:tcPr>
          <w:p w:rsidR="00B52BB0" w:rsidRPr="007E70AF" w:rsidRDefault="00B52BB0" w:rsidP="003E074D">
            <w:pPr>
              <w:pStyle w:val="TableText"/>
            </w:pPr>
            <w:r w:rsidRPr="002D1665">
              <w:t>Assessment not required</w:t>
            </w:r>
          </w:p>
        </w:tc>
        <w:tc>
          <w:tcPr>
            <w:tcW w:w="714" w:type="pct"/>
            <w:shd w:val="clear" w:color="auto" w:fill="auto"/>
          </w:tcPr>
          <w:p w:rsidR="00B52BB0" w:rsidRPr="007E70AF" w:rsidRDefault="00B52BB0" w:rsidP="003E074D">
            <w:pPr>
              <w:pStyle w:val="TableText"/>
            </w:pPr>
            <w:r w:rsidRPr="002D1665">
              <w:t>Assessment not required</w:t>
            </w:r>
          </w:p>
        </w:tc>
        <w:tc>
          <w:tcPr>
            <w:tcW w:w="714" w:type="pct"/>
            <w:shd w:val="clear" w:color="auto" w:fill="auto"/>
          </w:tcPr>
          <w:p w:rsidR="00B52BB0" w:rsidRPr="007E70AF" w:rsidRDefault="00B52BB0" w:rsidP="003E074D">
            <w:pPr>
              <w:pStyle w:val="TableText"/>
            </w:pPr>
            <w:r w:rsidRPr="002D1665">
              <w:t>No</w:t>
            </w:r>
          </w:p>
        </w:tc>
      </w:tr>
      <w:tr w:rsidR="00B52BB0" w:rsidRPr="007E70AF"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0486E">
              <w:rPr>
                <w:rFonts w:eastAsia="Cambria" w:cs="Melior-Italic"/>
                <w:i/>
                <w:iCs/>
                <w:sz w:val="18"/>
                <w:szCs w:val="18"/>
                <w:lang w:eastAsia="en-AU"/>
              </w:rPr>
              <w:t xml:space="preserve">Indarbela dea </w:t>
            </w:r>
            <w:r w:rsidRPr="004569F6">
              <w:rPr>
                <w:rFonts w:eastAsia="Cambria" w:cs="Melior-Italic"/>
                <w:sz w:val="18"/>
                <w:szCs w:val="18"/>
                <w:lang w:eastAsia="en-AU"/>
              </w:rPr>
              <w:t>(Swinhoe, 1890)</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569F6">
              <w:rPr>
                <w:rFonts w:eastAsia="Cambria" w:cs="Melior-Italic"/>
                <w:sz w:val="18"/>
                <w:szCs w:val="18"/>
                <w:lang w:eastAsia="en-AU"/>
              </w:rPr>
              <w:t>[Cossidae]</w:t>
            </w:r>
          </w:p>
          <w:p w:rsidR="00B52BB0" w:rsidRPr="0040486E" w:rsidRDefault="00B52BB0" w:rsidP="003E074D">
            <w:pPr>
              <w:autoSpaceDE w:val="0"/>
              <w:autoSpaceDN w:val="0"/>
              <w:adjustRightInd w:val="0"/>
              <w:spacing w:before="60" w:after="60" w:line="240" w:lineRule="auto"/>
              <w:rPr>
                <w:rFonts w:eastAsia="Cambria" w:cs="Melior-Italic"/>
                <w:i/>
                <w:iCs/>
                <w:sz w:val="18"/>
                <w:szCs w:val="18"/>
                <w:lang w:eastAsia="en-AU"/>
              </w:rPr>
            </w:pPr>
            <w:r w:rsidRPr="004569F6">
              <w:rPr>
                <w:rFonts w:eastAsia="Cambria" w:cs="Melior-Italic"/>
                <w:sz w:val="18"/>
                <w:szCs w:val="18"/>
                <w:lang w:eastAsia="en-AU"/>
              </w:rPr>
              <w:t>Bark borer</w:t>
            </w:r>
          </w:p>
        </w:tc>
        <w:tc>
          <w:tcPr>
            <w:tcW w:w="715" w:type="pct"/>
            <w:shd w:val="clear" w:color="auto" w:fill="auto"/>
          </w:tcPr>
          <w:p w:rsidR="00B52BB0" w:rsidRPr="002D1665" w:rsidRDefault="00B52BB0" w:rsidP="003E074D">
            <w:pPr>
              <w:pStyle w:val="TableText"/>
            </w:pPr>
            <w:r w:rsidRPr="00F919DF">
              <w:t xml:space="preserve">Yes </w:t>
            </w:r>
            <w:r>
              <w:rPr>
                <w:noProof/>
              </w:rPr>
              <w:t>(PPD 2010b)</w:t>
            </w:r>
          </w:p>
        </w:tc>
        <w:tc>
          <w:tcPr>
            <w:tcW w:w="714" w:type="pct"/>
            <w:shd w:val="clear" w:color="auto" w:fill="auto"/>
          </w:tcPr>
          <w:p w:rsidR="00B52BB0" w:rsidRPr="002D1665" w:rsidRDefault="00B52BB0" w:rsidP="003E074D">
            <w:pPr>
              <w:pStyle w:val="TableText"/>
            </w:pPr>
            <w:r w:rsidRPr="00F919DF">
              <w:t>No records found</w:t>
            </w:r>
          </w:p>
        </w:tc>
        <w:tc>
          <w:tcPr>
            <w:tcW w:w="714" w:type="pct"/>
            <w:shd w:val="clear" w:color="auto" w:fill="auto"/>
          </w:tcPr>
          <w:p w:rsidR="00B52BB0" w:rsidRPr="002D1665" w:rsidRDefault="00B52BB0" w:rsidP="003E074D">
            <w:pPr>
              <w:pStyle w:val="TableText"/>
            </w:pPr>
            <w:r w:rsidRPr="00F919DF">
              <w:t>No. Larvae</w:t>
            </w:r>
            <w:r>
              <w:t xml:space="preserve"> of this species</w:t>
            </w:r>
            <w:r w:rsidRPr="00F919DF">
              <w:t xml:space="preserve"> feed on the bark of stems and branches </w:t>
            </w:r>
            <w:r>
              <w:rPr>
                <w:noProof/>
              </w:rPr>
              <w:t>(CABI 2019; PPD 2010b)</w:t>
            </w:r>
            <w:r w:rsidRPr="00F919DF">
              <w:t>.</w:t>
            </w:r>
          </w:p>
        </w:tc>
        <w:tc>
          <w:tcPr>
            <w:tcW w:w="714" w:type="pct"/>
            <w:shd w:val="clear" w:color="auto" w:fill="auto"/>
          </w:tcPr>
          <w:p w:rsidR="00B52BB0" w:rsidRPr="002D1665" w:rsidRDefault="00B52BB0" w:rsidP="003E074D">
            <w:pPr>
              <w:pStyle w:val="TableText"/>
            </w:pPr>
            <w:r w:rsidRPr="00F919DF">
              <w:t>Assessment not required</w:t>
            </w:r>
          </w:p>
        </w:tc>
        <w:tc>
          <w:tcPr>
            <w:tcW w:w="714" w:type="pct"/>
            <w:shd w:val="clear" w:color="auto" w:fill="auto"/>
          </w:tcPr>
          <w:p w:rsidR="00B52BB0" w:rsidRPr="002D1665" w:rsidRDefault="00B52BB0" w:rsidP="003E074D">
            <w:pPr>
              <w:pStyle w:val="TableText"/>
            </w:pPr>
            <w:r w:rsidRPr="00F919DF">
              <w:t>Assessment not required</w:t>
            </w:r>
          </w:p>
        </w:tc>
        <w:tc>
          <w:tcPr>
            <w:tcW w:w="714" w:type="pct"/>
            <w:shd w:val="clear" w:color="auto" w:fill="auto"/>
          </w:tcPr>
          <w:p w:rsidR="00B52BB0" w:rsidRPr="002D1665" w:rsidRDefault="00B52BB0" w:rsidP="003E074D">
            <w:pPr>
              <w:pStyle w:val="TableText"/>
            </w:pPr>
            <w:r w:rsidRPr="00F919DF">
              <w:t>No</w:t>
            </w:r>
          </w:p>
        </w:tc>
      </w:tr>
      <w:tr w:rsidR="00B52BB0" w:rsidRPr="007E70AF"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0486E">
              <w:rPr>
                <w:rFonts w:eastAsia="Cambria" w:cs="Melior-Italic"/>
                <w:i/>
                <w:iCs/>
                <w:sz w:val="18"/>
                <w:szCs w:val="18"/>
                <w:lang w:eastAsia="en-AU"/>
              </w:rPr>
              <w:t xml:space="preserve">Neostauropus alternus </w:t>
            </w:r>
            <w:r w:rsidRPr="004569F6">
              <w:rPr>
                <w:rFonts w:eastAsia="Cambria" w:cs="Melior-Italic"/>
                <w:sz w:val="18"/>
                <w:szCs w:val="18"/>
                <w:lang w:eastAsia="en-AU"/>
              </w:rPr>
              <w:t>(Walker, 1855)</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569F6">
              <w:rPr>
                <w:rFonts w:eastAsia="Cambria" w:cs="Melior-Italic"/>
                <w:sz w:val="18"/>
                <w:szCs w:val="18"/>
                <w:lang w:eastAsia="en-AU"/>
              </w:rPr>
              <w:t xml:space="preserve">Synonym: </w:t>
            </w:r>
            <w:r w:rsidRPr="0040486E">
              <w:rPr>
                <w:rFonts w:eastAsia="Cambria" w:cs="Melior-Italic"/>
                <w:i/>
                <w:iCs/>
                <w:sz w:val="18"/>
                <w:szCs w:val="18"/>
                <w:lang w:eastAsia="en-AU"/>
              </w:rPr>
              <w:t xml:space="preserve">Stauropus alternus </w:t>
            </w:r>
            <w:r w:rsidRPr="004569F6">
              <w:rPr>
                <w:rFonts w:eastAsia="Cambria" w:cs="Melior-Italic"/>
                <w:sz w:val="18"/>
                <w:szCs w:val="18"/>
                <w:lang w:eastAsia="en-AU"/>
              </w:rPr>
              <w:t>Walker, 1855</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569F6">
              <w:rPr>
                <w:rFonts w:eastAsia="Cambria" w:cs="Melior-Italic"/>
                <w:sz w:val="18"/>
                <w:szCs w:val="18"/>
                <w:lang w:eastAsia="en-AU"/>
              </w:rPr>
              <w:t>[Notodontidae]</w:t>
            </w:r>
          </w:p>
          <w:p w:rsidR="00B52BB0" w:rsidRPr="007E70AF" w:rsidRDefault="00B52BB0" w:rsidP="003E074D">
            <w:pPr>
              <w:pStyle w:val="TableText"/>
              <w:rPr>
                <w:i/>
                <w:lang w:val="en-US"/>
              </w:rPr>
            </w:pPr>
            <w:r w:rsidRPr="004569F6">
              <w:rPr>
                <w:rFonts w:eastAsia="Cambria" w:cs="Melior-Italic"/>
                <w:szCs w:val="18"/>
                <w:lang w:eastAsia="en-AU"/>
              </w:rPr>
              <w:t>Lobster caterpillar</w:t>
            </w:r>
          </w:p>
        </w:tc>
        <w:tc>
          <w:tcPr>
            <w:tcW w:w="715" w:type="pct"/>
            <w:shd w:val="clear" w:color="auto" w:fill="auto"/>
          </w:tcPr>
          <w:p w:rsidR="00B52BB0" w:rsidRPr="007E70AF" w:rsidRDefault="00B52BB0" w:rsidP="003E074D">
            <w:pPr>
              <w:pStyle w:val="TableText"/>
              <w:rPr>
                <w:sz w:val="16"/>
              </w:rPr>
            </w:pPr>
            <w:r w:rsidRPr="003F7C34">
              <w:t xml:space="preserve">Yes </w:t>
            </w:r>
            <w:r>
              <w:rPr>
                <w:noProof/>
              </w:rPr>
              <w:t>(CABI 2019)</w:t>
            </w:r>
          </w:p>
        </w:tc>
        <w:tc>
          <w:tcPr>
            <w:tcW w:w="714" w:type="pct"/>
            <w:shd w:val="clear" w:color="auto" w:fill="auto"/>
          </w:tcPr>
          <w:p w:rsidR="00B52BB0" w:rsidRPr="007E70AF" w:rsidRDefault="00B52BB0" w:rsidP="003E074D">
            <w:pPr>
              <w:pStyle w:val="TableText"/>
              <w:rPr>
                <w:sz w:val="16"/>
              </w:rPr>
            </w:pPr>
            <w:r w:rsidRPr="003F7C34">
              <w:t>No records found</w:t>
            </w:r>
          </w:p>
        </w:tc>
        <w:tc>
          <w:tcPr>
            <w:tcW w:w="714" w:type="pct"/>
            <w:shd w:val="clear" w:color="auto" w:fill="auto"/>
          </w:tcPr>
          <w:p w:rsidR="00B52BB0" w:rsidRPr="007E70AF" w:rsidRDefault="00B52BB0" w:rsidP="003E074D">
            <w:pPr>
              <w:pStyle w:val="TableText"/>
              <w:rPr>
                <w:sz w:val="16"/>
              </w:rPr>
            </w:pPr>
            <w:r w:rsidRPr="003F7C34">
              <w:t xml:space="preserve">No. Larvae </w:t>
            </w:r>
            <w:r>
              <w:t xml:space="preserve">of this species </w:t>
            </w:r>
            <w:r w:rsidRPr="003F7C34">
              <w:t xml:space="preserve">feed on leaves </w:t>
            </w:r>
            <w:r>
              <w:rPr>
                <w:noProof/>
              </w:rPr>
              <w:t>(Kuroko &amp; Lewvanich 1993)</w:t>
            </w:r>
            <w:r w:rsidRPr="003F7C34">
              <w:t>.</w:t>
            </w:r>
          </w:p>
        </w:tc>
        <w:tc>
          <w:tcPr>
            <w:tcW w:w="714" w:type="pct"/>
            <w:shd w:val="clear" w:color="auto" w:fill="auto"/>
          </w:tcPr>
          <w:p w:rsidR="00B52BB0" w:rsidRPr="007E70AF" w:rsidRDefault="00B52BB0" w:rsidP="003E074D">
            <w:pPr>
              <w:pStyle w:val="TableText"/>
            </w:pPr>
            <w:r w:rsidRPr="003F7C34">
              <w:t>Assessment not required</w:t>
            </w:r>
          </w:p>
        </w:tc>
        <w:tc>
          <w:tcPr>
            <w:tcW w:w="714" w:type="pct"/>
            <w:shd w:val="clear" w:color="auto" w:fill="auto"/>
          </w:tcPr>
          <w:p w:rsidR="00B52BB0" w:rsidRPr="007E70AF" w:rsidRDefault="00B52BB0" w:rsidP="003E074D">
            <w:pPr>
              <w:pStyle w:val="TableText"/>
            </w:pPr>
            <w:r w:rsidRPr="003F7C34">
              <w:t>Assessment not required</w:t>
            </w:r>
          </w:p>
        </w:tc>
        <w:tc>
          <w:tcPr>
            <w:tcW w:w="714" w:type="pct"/>
            <w:shd w:val="clear" w:color="auto" w:fill="auto"/>
          </w:tcPr>
          <w:p w:rsidR="00B52BB0" w:rsidRPr="007E70AF" w:rsidRDefault="00B52BB0" w:rsidP="003E074D">
            <w:pPr>
              <w:pStyle w:val="TableText"/>
            </w:pPr>
            <w:r w:rsidRPr="003F7C34">
              <w:t>No</w:t>
            </w:r>
          </w:p>
        </w:tc>
      </w:tr>
      <w:tr w:rsidR="00B52BB0" w:rsidRPr="007E70AF"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Arial"/>
                <w:sz w:val="18"/>
                <w:szCs w:val="18"/>
                <w:lang w:eastAsia="en-AU"/>
              </w:rPr>
            </w:pPr>
            <w:r w:rsidRPr="0040486E">
              <w:rPr>
                <w:rFonts w:eastAsia="Cambria" w:cs="Arial"/>
                <w:i/>
                <w:iCs/>
                <w:sz w:val="18"/>
                <w:szCs w:val="18"/>
                <w:lang w:eastAsia="en-AU"/>
              </w:rPr>
              <w:t xml:space="preserve">Ophiusa coronata </w:t>
            </w:r>
            <w:r w:rsidRPr="004569F6">
              <w:rPr>
                <w:rFonts w:eastAsia="Cambria" w:cs="Arial"/>
                <w:sz w:val="18"/>
                <w:szCs w:val="18"/>
                <w:lang w:eastAsia="en-AU"/>
              </w:rPr>
              <w:t>(Fabricius, 1875)</w:t>
            </w:r>
          </w:p>
          <w:p w:rsidR="00B52BB0" w:rsidRPr="004569F6" w:rsidRDefault="00B52BB0" w:rsidP="003E074D">
            <w:pPr>
              <w:autoSpaceDE w:val="0"/>
              <w:autoSpaceDN w:val="0"/>
              <w:adjustRightInd w:val="0"/>
              <w:spacing w:before="60" w:after="60" w:line="240" w:lineRule="auto"/>
              <w:rPr>
                <w:rFonts w:eastAsia="Cambria" w:cs="Arial"/>
                <w:sz w:val="18"/>
                <w:szCs w:val="18"/>
                <w:lang w:eastAsia="en-AU"/>
              </w:rPr>
            </w:pPr>
            <w:r w:rsidRPr="004569F6">
              <w:rPr>
                <w:rFonts w:eastAsia="Cambria" w:cs="Arial"/>
                <w:sz w:val="18"/>
                <w:szCs w:val="18"/>
                <w:lang w:eastAsia="en-AU"/>
              </w:rPr>
              <w:t>[Noctuidae]</w:t>
            </w:r>
          </w:p>
          <w:p w:rsidR="00B52BB0" w:rsidRPr="007E70AF" w:rsidRDefault="00B52BB0" w:rsidP="003E074D">
            <w:pPr>
              <w:pStyle w:val="TableText"/>
              <w:rPr>
                <w:i/>
                <w:lang w:val="en-US"/>
              </w:rPr>
            </w:pPr>
            <w:r w:rsidRPr="004569F6">
              <w:rPr>
                <w:rFonts w:eastAsia="Cambria" w:cs="Arial"/>
                <w:szCs w:val="18"/>
                <w:lang w:eastAsia="en-AU"/>
              </w:rPr>
              <w:t>Fruit piercing moth</w:t>
            </w:r>
          </w:p>
        </w:tc>
        <w:tc>
          <w:tcPr>
            <w:tcW w:w="715" w:type="pct"/>
            <w:shd w:val="clear" w:color="auto" w:fill="auto"/>
          </w:tcPr>
          <w:p w:rsidR="00B52BB0" w:rsidRPr="007E70AF" w:rsidRDefault="00B52BB0" w:rsidP="003E074D">
            <w:pPr>
              <w:pStyle w:val="TableText"/>
              <w:rPr>
                <w:sz w:val="16"/>
              </w:rPr>
            </w:pPr>
            <w:r w:rsidRPr="0007134F">
              <w:t xml:space="preserve">Yes </w:t>
            </w:r>
            <w:r>
              <w:rPr>
                <w:noProof/>
              </w:rPr>
              <w:t>(PPD 2017)</w:t>
            </w:r>
          </w:p>
        </w:tc>
        <w:tc>
          <w:tcPr>
            <w:tcW w:w="714" w:type="pct"/>
            <w:shd w:val="clear" w:color="auto" w:fill="auto"/>
          </w:tcPr>
          <w:p w:rsidR="00B52BB0" w:rsidRPr="007E70AF" w:rsidRDefault="00B52BB0" w:rsidP="003E074D">
            <w:pPr>
              <w:pStyle w:val="TableText"/>
              <w:rPr>
                <w:sz w:val="16"/>
              </w:rPr>
            </w:pPr>
            <w:r w:rsidRPr="0007134F">
              <w:t xml:space="preserve">Yes. </w:t>
            </w:r>
            <w:r>
              <w:t xml:space="preserve">NSW, </w:t>
            </w:r>
            <w:r w:rsidRPr="0007134F">
              <w:t xml:space="preserve">NT, Qld, WA </w:t>
            </w:r>
            <w:r>
              <w:rPr>
                <w:noProof/>
              </w:rPr>
              <w:t>(Plant Health Australia 2019)</w:t>
            </w:r>
          </w:p>
        </w:tc>
        <w:tc>
          <w:tcPr>
            <w:tcW w:w="714" w:type="pct"/>
            <w:shd w:val="clear" w:color="auto" w:fill="auto"/>
          </w:tcPr>
          <w:p w:rsidR="00B52BB0" w:rsidRPr="007E70AF" w:rsidRDefault="00B52BB0" w:rsidP="003E074D">
            <w:pPr>
              <w:pStyle w:val="TableText"/>
              <w:rPr>
                <w:sz w:val="16"/>
              </w:rPr>
            </w:pPr>
            <w:r w:rsidRPr="0007134F">
              <w:t>Assessment not required</w:t>
            </w:r>
          </w:p>
        </w:tc>
        <w:tc>
          <w:tcPr>
            <w:tcW w:w="714" w:type="pct"/>
            <w:shd w:val="clear" w:color="auto" w:fill="auto"/>
          </w:tcPr>
          <w:p w:rsidR="00B52BB0" w:rsidRPr="007E70AF" w:rsidRDefault="00B52BB0" w:rsidP="003E074D">
            <w:pPr>
              <w:pStyle w:val="TableText"/>
            </w:pPr>
            <w:r w:rsidRPr="0007134F">
              <w:t>Assessment not required</w:t>
            </w:r>
          </w:p>
        </w:tc>
        <w:tc>
          <w:tcPr>
            <w:tcW w:w="714" w:type="pct"/>
            <w:shd w:val="clear" w:color="auto" w:fill="auto"/>
          </w:tcPr>
          <w:p w:rsidR="00B52BB0" w:rsidRPr="007E70AF" w:rsidRDefault="00B52BB0" w:rsidP="003E074D">
            <w:pPr>
              <w:pStyle w:val="TableText"/>
            </w:pPr>
            <w:r w:rsidRPr="0007134F">
              <w:t>Assessment not required</w:t>
            </w:r>
          </w:p>
        </w:tc>
        <w:tc>
          <w:tcPr>
            <w:tcW w:w="714" w:type="pct"/>
            <w:shd w:val="clear" w:color="auto" w:fill="auto"/>
          </w:tcPr>
          <w:p w:rsidR="00B52BB0" w:rsidRPr="007E70AF" w:rsidRDefault="00B52BB0" w:rsidP="003E074D">
            <w:pPr>
              <w:pStyle w:val="TableText"/>
            </w:pPr>
            <w:r w:rsidRPr="0007134F">
              <w:t>No</w:t>
            </w:r>
          </w:p>
        </w:tc>
      </w:tr>
      <w:tr w:rsidR="00B52BB0" w:rsidRPr="007E70AF"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Arial"/>
                <w:sz w:val="18"/>
                <w:szCs w:val="18"/>
                <w:lang w:eastAsia="en-AU"/>
              </w:rPr>
            </w:pPr>
            <w:r w:rsidRPr="0040486E">
              <w:rPr>
                <w:rFonts w:eastAsia="Cambria" w:cs="Arial"/>
                <w:i/>
                <w:iCs/>
                <w:sz w:val="18"/>
                <w:szCs w:val="18"/>
                <w:lang w:eastAsia="en-AU"/>
              </w:rPr>
              <w:lastRenderedPageBreak/>
              <w:t xml:space="preserve">Ophiusa tirhaca </w:t>
            </w:r>
            <w:r w:rsidRPr="004569F6">
              <w:rPr>
                <w:rFonts w:eastAsia="Cambria" w:cs="Arial"/>
                <w:sz w:val="18"/>
                <w:szCs w:val="18"/>
                <w:lang w:eastAsia="en-AU"/>
              </w:rPr>
              <w:t>Cramer, 1780</w:t>
            </w:r>
          </w:p>
          <w:p w:rsidR="00B52BB0" w:rsidRPr="004569F6" w:rsidRDefault="00B52BB0" w:rsidP="003E074D">
            <w:pPr>
              <w:autoSpaceDE w:val="0"/>
              <w:autoSpaceDN w:val="0"/>
              <w:adjustRightInd w:val="0"/>
              <w:spacing w:before="60" w:after="60" w:line="240" w:lineRule="auto"/>
              <w:rPr>
                <w:rFonts w:eastAsia="Cambria" w:cs="Arial"/>
                <w:sz w:val="18"/>
                <w:szCs w:val="18"/>
                <w:lang w:eastAsia="en-AU"/>
              </w:rPr>
            </w:pPr>
            <w:r w:rsidRPr="004569F6">
              <w:rPr>
                <w:rFonts w:eastAsia="Cambria" w:cs="Arial"/>
                <w:sz w:val="18"/>
                <w:szCs w:val="18"/>
                <w:lang w:eastAsia="en-AU"/>
              </w:rPr>
              <w:t>[Noctuidae]</w:t>
            </w:r>
          </w:p>
          <w:p w:rsidR="00B52BB0" w:rsidRPr="007E70AF" w:rsidRDefault="00B52BB0" w:rsidP="003E074D">
            <w:pPr>
              <w:pStyle w:val="TableText"/>
              <w:rPr>
                <w:i/>
                <w:lang w:val="pt-BR"/>
              </w:rPr>
            </w:pPr>
            <w:r w:rsidRPr="004569F6">
              <w:rPr>
                <w:rFonts w:eastAsia="Cambria" w:cs="Arial"/>
                <w:szCs w:val="18"/>
                <w:lang w:eastAsia="en-AU"/>
              </w:rPr>
              <w:t>Fruit piercing moth</w:t>
            </w:r>
          </w:p>
        </w:tc>
        <w:tc>
          <w:tcPr>
            <w:tcW w:w="715" w:type="pct"/>
            <w:shd w:val="clear" w:color="auto" w:fill="auto"/>
          </w:tcPr>
          <w:p w:rsidR="00B52BB0" w:rsidRPr="007E70AF" w:rsidRDefault="00B52BB0" w:rsidP="003E074D">
            <w:pPr>
              <w:pStyle w:val="TableText"/>
              <w:rPr>
                <w:lang w:val="pt-BR"/>
              </w:rPr>
            </w:pPr>
            <w:r w:rsidRPr="0088728B">
              <w:t xml:space="preserve">Yes </w:t>
            </w:r>
            <w:r>
              <w:rPr>
                <w:noProof/>
              </w:rPr>
              <w:t>(PPD 2017)</w:t>
            </w:r>
          </w:p>
        </w:tc>
        <w:tc>
          <w:tcPr>
            <w:tcW w:w="714" w:type="pct"/>
            <w:shd w:val="clear" w:color="auto" w:fill="auto"/>
          </w:tcPr>
          <w:p w:rsidR="00B52BB0" w:rsidRPr="007E70AF" w:rsidRDefault="00B52BB0" w:rsidP="003E074D">
            <w:pPr>
              <w:pStyle w:val="TableText"/>
              <w:rPr>
                <w:szCs w:val="16"/>
              </w:rPr>
            </w:pPr>
            <w:r w:rsidRPr="0088728B">
              <w:t xml:space="preserve">Yes. NSW, </w:t>
            </w:r>
            <w:r w:rsidRPr="001C7DA9">
              <w:t>NT</w:t>
            </w:r>
            <w:r w:rsidRPr="0088728B">
              <w:t xml:space="preserve">, Qld, WA </w:t>
            </w:r>
            <w:r>
              <w:rPr>
                <w:noProof/>
              </w:rPr>
              <w:t>(Discover Life 2019; Plant Health Australia 2019)</w:t>
            </w:r>
          </w:p>
        </w:tc>
        <w:tc>
          <w:tcPr>
            <w:tcW w:w="714" w:type="pct"/>
            <w:shd w:val="clear" w:color="auto" w:fill="auto"/>
          </w:tcPr>
          <w:p w:rsidR="00B52BB0" w:rsidRPr="007E70AF" w:rsidRDefault="00B52BB0" w:rsidP="003E074D">
            <w:pPr>
              <w:pStyle w:val="TableText"/>
            </w:pPr>
            <w:r w:rsidRPr="0088728B">
              <w:t>Assessment not required</w:t>
            </w:r>
          </w:p>
        </w:tc>
        <w:tc>
          <w:tcPr>
            <w:tcW w:w="714" w:type="pct"/>
            <w:shd w:val="clear" w:color="auto" w:fill="auto"/>
          </w:tcPr>
          <w:p w:rsidR="00B52BB0" w:rsidRPr="007E70AF" w:rsidRDefault="00B52BB0" w:rsidP="003E074D">
            <w:pPr>
              <w:pStyle w:val="TableText"/>
            </w:pPr>
            <w:r w:rsidRPr="0088728B">
              <w:t>Assessment not required</w:t>
            </w:r>
          </w:p>
        </w:tc>
        <w:tc>
          <w:tcPr>
            <w:tcW w:w="714" w:type="pct"/>
            <w:shd w:val="clear" w:color="auto" w:fill="auto"/>
          </w:tcPr>
          <w:p w:rsidR="00B52BB0" w:rsidRPr="007E70AF" w:rsidRDefault="00B52BB0" w:rsidP="003E074D">
            <w:pPr>
              <w:pStyle w:val="TableText"/>
            </w:pPr>
            <w:r w:rsidRPr="0088728B">
              <w:t>Assessment not required</w:t>
            </w:r>
          </w:p>
        </w:tc>
        <w:tc>
          <w:tcPr>
            <w:tcW w:w="714" w:type="pct"/>
            <w:shd w:val="clear" w:color="auto" w:fill="auto"/>
          </w:tcPr>
          <w:p w:rsidR="00B52BB0" w:rsidRPr="007E70AF" w:rsidRDefault="00B52BB0" w:rsidP="003E074D">
            <w:pPr>
              <w:pStyle w:val="TableText"/>
            </w:pPr>
            <w:r w:rsidRPr="0088728B">
              <w:t>No</w:t>
            </w:r>
          </w:p>
        </w:tc>
      </w:tr>
      <w:tr w:rsidR="00B52BB0" w:rsidRPr="007E70AF"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0486E">
              <w:rPr>
                <w:rFonts w:eastAsia="Cambria" w:cs="Melior-Italic"/>
                <w:i/>
                <w:iCs/>
                <w:sz w:val="18"/>
                <w:szCs w:val="18"/>
                <w:lang w:eastAsia="en-AU"/>
              </w:rPr>
              <w:t xml:space="preserve">Orgyia postica </w:t>
            </w:r>
            <w:r w:rsidRPr="004569F6">
              <w:rPr>
                <w:rFonts w:eastAsia="Cambria" w:cs="Melior-Italic"/>
                <w:sz w:val="18"/>
                <w:szCs w:val="18"/>
                <w:lang w:eastAsia="en-AU"/>
              </w:rPr>
              <w:t>(Walker, 1855)</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569F6">
              <w:rPr>
                <w:rFonts w:eastAsia="Cambria" w:cs="Melior-Italic"/>
                <w:sz w:val="18"/>
                <w:szCs w:val="18"/>
                <w:lang w:eastAsia="en-AU"/>
              </w:rPr>
              <w:t xml:space="preserve">Synonym: </w:t>
            </w:r>
            <w:r w:rsidRPr="0040486E">
              <w:rPr>
                <w:rFonts w:eastAsia="Cambria" w:cs="Melior-Italic"/>
                <w:i/>
                <w:iCs/>
                <w:sz w:val="18"/>
                <w:szCs w:val="18"/>
                <w:lang w:eastAsia="en-AU"/>
              </w:rPr>
              <w:t xml:space="preserve">Notolophus australis posticus </w:t>
            </w:r>
            <w:r w:rsidRPr="004569F6">
              <w:rPr>
                <w:rFonts w:eastAsia="Cambria" w:cs="Melior-Italic"/>
                <w:sz w:val="18"/>
                <w:szCs w:val="18"/>
                <w:lang w:eastAsia="en-AU"/>
              </w:rPr>
              <w:t>(Walker, 1855)</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569F6">
              <w:rPr>
                <w:rFonts w:eastAsia="Cambria" w:cs="Melior-Italic"/>
                <w:sz w:val="18"/>
                <w:szCs w:val="18"/>
                <w:lang w:eastAsia="en-AU"/>
              </w:rPr>
              <w:t>[Lymantriidae]</w:t>
            </w:r>
          </w:p>
          <w:p w:rsidR="00B52BB0" w:rsidRPr="007E70AF" w:rsidRDefault="00B52BB0" w:rsidP="003E074D">
            <w:pPr>
              <w:pStyle w:val="TableText"/>
              <w:rPr>
                <w:i/>
                <w:lang w:val="pt-BR"/>
              </w:rPr>
            </w:pPr>
            <w:r w:rsidRPr="004569F6">
              <w:rPr>
                <w:rFonts w:eastAsia="Cambria" w:cs="Melior-Italic"/>
                <w:szCs w:val="18"/>
                <w:lang w:eastAsia="en-AU"/>
              </w:rPr>
              <w:t>Cocoa tussock moth</w:t>
            </w:r>
          </w:p>
        </w:tc>
        <w:tc>
          <w:tcPr>
            <w:tcW w:w="715" w:type="pct"/>
            <w:shd w:val="clear" w:color="auto" w:fill="auto"/>
          </w:tcPr>
          <w:p w:rsidR="00B52BB0" w:rsidRPr="007E70AF" w:rsidRDefault="00B52BB0" w:rsidP="003E074D">
            <w:pPr>
              <w:pStyle w:val="TableText"/>
              <w:rPr>
                <w:lang w:val="pt-BR"/>
              </w:rPr>
            </w:pPr>
            <w:r w:rsidRPr="009669C8">
              <w:t xml:space="preserve">Yes </w:t>
            </w:r>
            <w:r>
              <w:rPr>
                <w:noProof/>
              </w:rPr>
              <w:t>(PPD 2017)</w:t>
            </w:r>
          </w:p>
        </w:tc>
        <w:tc>
          <w:tcPr>
            <w:tcW w:w="714" w:type="pct"/>
            <w:shd w:val="clear" w:color="auto" w:fill="auto"/>
          </w:tcPr>
          <w:p w:rsidR="00B52BB0" w:rsidRPr="007E70AF" w:rsidRDefault="00B52BB0" w:rsidP="003E074D">
            <w:pPr>
              <w:pStyle w:val="TableText"/>
              <w:rPr>
                <w:szCs w:val="16"/>
              </w:rPr>
            </w:pPr>
            <w:r w:rsidRPr="009669C8">
              <w:t xml:space="preserve">No records found. </w:t>
            </w:r>
          </w:p>
        </w:tc>
        <w:tc>
          <w:tcPr>
            <w:tcW w:w="714" w:type="pct"/>
            <w:shd w:val="clear" w:color="auto" w:fill="auto"/>
          </w:tcPr>
          <w:p w:rsidR="00B52BB0" w:rsidRPr="007E70AF" w:rsidRDefault="00B52BB0" w:rsidP="003E074D">
            <w:pPr>
              <w:pStyle w:val="TableText"/>
            </w:pPr>
            <w:r w:rsidRPr="009669C8">
              <w:t xml:space="preserve">No. Larvae </w:t>
            </w:r>
            <w:r>
              <w:t xml:space="preserve">of this species </w:t>
            </w:r>
            <w:r w:rsidRPr="009669C8">
              <w:t xml:space="preserve">feed on leaves </w:t>
            </w:r>
            <w:r>
              <w:rPr>
                <w:noProof/>
              </w:rPr>
              <w:t>(Kuroko &amp; Lewvanich 1993)</w:t>
            </w:r>
            <w:r w:rsidRPr="009669C8">
              <w:t xml:space="preserve">. While this species has been recorded attacking fruit on mango trees, this feeding </w:t>
            </w:r>
            <w:r>
              <w:t xml:space="preserve">causes visible </w:t>
            </w:r>
            <w:r w:rsidRPr="009669C8">
              <w:t xml:space="preserve">damage to the fruit and causes it to drop from the tree prematurely </w:t>
            </w:r>
            <w:r>
              <w:rPr>
                <w:noProof/>
              </w:rPr>
              <w:t>(Gupta &amp; Singh 1986)</w:t>
            </w:r>
            <w:r w:rsidRPr="009669C8">
              <w:t>. Therefore this species will not be associated with harvested fruit.</w:t>
            </w:r>
          </w:p>
        </w:tc>
        <w:tc>
          <w:tcPr>
            <w:tcW w:w="714" w:type="pct"/>
            <w:shd w:val="clear" w:color="auto" w:fill="auto"/>
          </w:tcPr>
          <w:p w:rsidR="00B52BB0" w:rsidRPr="007E70AF" w:rsidRDefault="00B52BB0" w:rsidP="003E074D">
            <w:pPr>
              <w:pStyle w:val="TableText"/>
            </w:pPr>
            <w:r w:rsidRPr="009669C8">
              <w:t>Assessment not required</w:t>
            </w:r>
          </w:p>
        </w:tc>
        <w:tc>
          <w:tcPr>
            <w:tcW w:w="714" w:type="pct"/>
            <w:shd w:val="clear" w:color="auto" w:fill="auto"/>
          </w:tcPr>
          <w:p w:rsidR="00B52BB0" w:rsidRPr="007E70AF" w:rsidRDefault="00B52BB0" w:rsidP="003E074D">
            <w:pPr>
              <w:pStyle w:val="TableText"/>
            </w:pPr>
            <w:r w:rsidRPr="009669C8">
              <w:t>Assessment not required</w:t>
            </w:r>
          </w:p>
        </w:tc>
        <w:tc>
          <w:tcPr>
            <w:tcW w:w="714" w:type="pct"/>
            <w:shd w:val="clear" w:color="auto" w:fill="auto"/>
          </w:tcPr>
          <w:p w:rsidR="00B52BB0" w:rsidRPr="007E70AF" w:rsidRDefault="00B52BB0" w:rsidP="003E074D">
            <w:pPr>
              <w:pStyle w:val="TableText"/>
            </w:pPr>
            <w:r w:rsidRPr="009669C8">
              <w:t>No</w:t>
            </w:r>
          </w:p>
        </w:tc>
      </w:tr>
      <w:tr w:rsidR="00B52BB0" w:rsidRPr="007E70AF"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C11078">
              <w:rPr>
                <w:rFonts w:eastAsia="Cambria" w:cs="Melior-Italic"/>
                <w:i/>
                <w:iCs/>
                <w:sz w:val="18"/>
                <w:szCs w:val="18"/>
                <w:lang w:eastAsia="en-AU"/>
              </w:rPr>
              <w:t xml:space="preserve">Orgyia turbata </w:t>
            </w:r>
            <w:r w:rsidRPr="004569F6">
              <w:rPr>
                <w:rFonts w:eastAsia="Cambria" w:cs="Melior-Italic"/>
                <w:sz w:val="18"/>
                <w:szCs w:val="18"/>
                <w:lang w:eastAsia="en-AU"/>
              </w:rPr>
              <w:t>Butler, 1879</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569F6">
              <w:rPr>
                <w:rFonts w:eastAsia="Cambria" w:cs="Melior-Italic"/>
                <w:sz w:val="18"/>
                <w:szCs w:val="18"/>
                <w:lang w:eastAsia="en-AU"/>
              </w:rPr>
              <w:t>[Lymantriidae]</w:t>
            </w:r>
          </w:p>
          <w:p w:rsidR="00B52BB0" w:rsidRPr="007E70AF" w:rsidRDefault="00B52BB0" w:rsidP="003E074D">
            <w:pPr>
              <w:pStyle w:val="TableText"/>
              <w:rPr>
                <w:i/>
                <w:lang w:val="en-US"/>
              </w:rPr>
            </w:pPr>
            <w:r w:rsidRPr="004569F6">
              <w:rPr>
                <w:rFonts w:eastAsia="Cambria" w:cs="Melior-Italic"/>
                <w:szCs w:val="18"/>
                <w:lang w:eastAsia="en-AU"/>
              </w:rPr>
              <w:t>Tussock moth</w:t>
            </w:r>
          </w:p>
        </w:tc>
        <w:tc>
          <w:tcPr>
            <w:tcW w:w="715" w:type="pct"/>
            <w:shd w:val="clear" w:color="auto" w:fill="auto"/>
          </w:tcPr>
          <w:p w:rsidR="00B52BB0" w:rsidRPr="007E70AF" w:rsidRDefault="00B52BB0" w:rsidP="003E074D">
            <w:pPr>
              <w:pStyle w:val="TableText"/>
              <w:rPr>
                <w:sz w:val="16"/>
              </w:rPr>
            </w:pPr>
            <w:r w:rsidRPr="00B1276D">
              <w:t xml:space="preserve">Yes </w:t>
            </w:r>
            <w:r>
              <w:rPr>
                <w:noProof/>
              </w:rPr>
              <w:t>(CABI 2019)</w:t>
            </w:r>
          </w:p>
        </w:tc>
        <w:tc>
          <w:tcPr>
            <w:tcW w:w="714" w:type="pct"/>
            <w:shd w:val="clear" w:color="auto" w:fill="auto"/>
          </w:tcPr>
          <w:p w:rsidR="00B52BB0" w:rsidRPr="007E70AF" w:rsidRDefault="00B52BB0" w:rsidP="003E074D">
            <w:pPr>
              <w:pStyle w:val="TableText"/>
              <w:rPr>
                <w:sz w:val="16"/>
              </w:rPr>
            </w:pPr>
            <w:r w:rsidRPr="00B1276D">
              <w:t xml:space="preserve">No records found </w:t>
            </w:r>
          </w:p>
        </w:tc>
        <w:tc>
          <w:tcPr>
            <w:tcW w:w="714" w:type="pct"/>
            <w:shd w:val="clear" w:color="auto" w:fill="auto"/>
          </w:tcPr>
          <w:p w:rsidR="00B52BB0" w:rsidRPr="007E70AF" w:rsidRDefault="00B52BB0" w:rsidP="003E074D">
            <w:pPr>
              <w:pStyle w:val="TableText"/>
              <w:rPr>
                <w:sz w:val="16"/>
              </w:rPr>
            </w:pPr>
            <w:r w:rsidRPr="00B1276D">
              <w:t xml:space="preserve">No. Larvae </w:t>
            </w:r>
            <w:r>
              <w:t xml:space="preserve">of this species </w:t>
            </w:r>
            <w:r w:rsidRPr="00B1276D">
              <w:t xml:space="preserve">feed on leaves </w:t>
            </w:r>
            <w:r>
              <w:rPr>
                <w:noProof/>
              </w:rPr>
              <w:t>(Tan, Wei &amp; Lan 1998)</w:t>
            </w:r>
            <w:r w:rsidRPr="00B1276D">
              <w:t>.</w:t>
            </w:r>
          </w:p>
        </w:tc>
        <w:tc>
          <w:tcPr>
            <w:tcW w:w="714" w:type="pct"/>
            <w:shd w:val="clear" w:color="auto" w:fill="auto"/>
          </w:tcPr>
          <w:p w:rsidR="00B52BB0" w:rsidRPr="007E70AF" w:rsidRDefault="00B52BB0" w:rsidP="003E074D">
            <w:pPr>
              <w:pStyle w:val="TableText"/>
            </w:pPr>
            <w:r w:rsidRPr="00B1276D">
              <w:t>Assessment not required</w:t>
            </w:r>
          </w:p>
        </w:tc>
        <w:tc>
          <w:tcPr>
            <w:tcW w:w="714" w:type="pct"/>
            <w:shd w:val="clear" w:color="auto" w:fill="auto"/>
          </w:tcPr>
          <w:p w:rsidR="00B52BB0" w:rsidRPr="007E70AF" w:rsidRDefault="00B52BB0" w:rsidP="003E074D">
            <w:pPr>
              <w:pStyle w:val="TableText"/>
            </w:pPr>
            <w:r w:rsidRPr="00B1276D">
              <w:t>Assessment not required</w:t>
            </w:r>
          </w:p>
        </w:tc>
        <w:tc>
          <w:tcPr>
            <w:tcW w:w="714" w:type="pct"/>
            <w:shd w:val="clear" w:color="auto" w:fill="auto"/>
          </w:tcPr>
          <w:p w:rsidR="00B52BB0" w:rsidRPr="007E70AF" w:rsidRDefault="00B52BB0" w:rsidP="003E074D">
            <w:pPr>
              <w:pStyle w:val="TableText"/>
            </w:pPr>
            <w:r w:rsidRPr="00B1276D">
              <w:t>No</w:t>
            </w:r>
          </w:p>
        </w:tc>
      </w:tr>
      <w:tr w:rsidR="00B52BB0" w:rsidRPr="007E70AF"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C11078">
              <w:rPr>
                <w:rFonts w:eastAsia="Cambria" w:cs="Melior-Italic"/>
                <w:i/>
                <w:iCs/>
                <w:sz w:val="18"/>
                <w:szCs w:val="18"/>
                <w:lang w:eastAsia="en-AU"/>
              </w:rPr>
              <w:t xml:space="preserve">Parasa lepida </w:t>
            </w:r>
            <w:r w:rsidRPr="004569F6">
              <w:rPr>
                <w:rFonts w:eastAsia="Cambria" w:cs="Melior-Italic"/>
                <w:sz w:val="18"/>
                <w:szCs w:val="18"/>
                <w:lang w:eastAsia="en-AU"/>
              </w:rPr>
              <w:t>Cramer, 1779</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569F6">
              <w:rPr>
                <w:rFonts w:eastAsia="Cambria" w:cs="Melior-Italic"/>
                <w:sz w:val="18"/>
                <w:szCs w:val="18"/>
                <w:lang w:eastAsia="en-AU"/>
              </w:rPr>
              <w:t>[Limacodidae]</w:t>
            </w:r>
          </w:p>
          <w:p w:rsidR="00B52BB0" w:rsidRPr="007E70AF" w:rsidRDefault="00B52BB0" w:rsidP="003E074D">
            <w:pPr>
              <w:pStyle w:val="TableText"/>
              <w:rPr>
                <w:i/>
                <w:lang w:val="pt-BR"/>
              </w:rPr>
            </w:pPr>
            <w:r w:rsidRPr="004569F6">
              <w:rPr>
                <w:rFonts w:eastAsia="Cambria" w:cs="Melior-Italic"/>
                <w:szCs w:val="18"/>
                <w:lang w:eastAsia="en-AU"/>
              </w:rPr>
              <w:t>Nettle caterpillar</w:t>
            </w:r>
          </w:p>
        </w:tc>
        <w:tc>
          <w:tcPr>
            <w:tcW w:w="715" w:type="pct"/>
            <w:shd w:val="clear" w:color="auto" w:fill="auto"/>
          </w:tcPr>
          <w:p w:rsidR="00B52BB0" w:rsidRPr="007E70AF" w:rsidRDefault="00B52BB0" w:rsidP="003E074D">
            <w:pPr>
              <w:pStyle w:val="TableText"/>
              <w:rPr>
                <w:lang w:val="pt-BR"/>
              </w:rPr>
            </w:pPr>
            <w:r w:rsidRPr="009D1F0A">
              <w:t xml:space="preserve">Yes </w:t>
            </w:r>
            <w:r>
              <w:rPr>
                <w:noProof/>
              </w:rPr>
              <w:t>(CABI 2019)</w:t>
            </w:r>
          </w:p>
        </w:tc>
        <w:tc>
          <w:tcPr>
            <w:tcW w:w="714" w:type="pct"/>
            <w:shd w:val="clear" w:color="auto" w:fill="auto"/>
          </w:tcPr>
          <w:p w:rsidR="00B52BB0" w:rsidRPr="007E70AF" w:rsidRDefault="00B52BB0" w:rsidP="003E074D">
            <w:pPr>
              <w:pStyle w:val="TableText"/>
              <w:rPr>
                <w:szCs w:val="16"/>
              </w:rPr>
            </w:pPr>
            <w:r w:rsidRPr="009D1F0A">
              <w:t>No records found</w:t>
            </w:r>
          </w:p>
        </w:tc>
        <w:tc>
          <w:tcPr>
            <w:tcW w:w="714" w:type="pct"/>
            <w:shd w:val="clear" w:color="auto" w:fill="auto"/>
          </w:tcPr>
          <w:p w:rsidR="00B52BB0" w:rsidRPr="007E70AF" w:rsidRDefault="00B52BB0" w:rsidP="003E074D">
            <w:pPr>
              <w:pStyle w:val="TableText"/>
            </w:pPr>
            <w:r w:rsidRPr="009D1F0A">
              <w:t xml:space="preserve">No. Larvae </w:t>
            </w:r>
            <w:r>
              <w:t xml:space="preserve">of this species </w:t>
            </w:r>
            <w:r w:rsidRPr="009D1F0A">
              <w:t xml:space="preserve">feed on leaves </w:t>
            </w:r>
            <w:r>
              <w:rPr>
                <w:noProof/>
              </w:rPr>
              <w:t>(Kuroko &amp; Lewvanich 1993)</w:t>
            </w:r>
            <w:r w:rsidRPr="009D1F0A">
              <w:t>.</w:t>
            </w:r>
          </w:p>
        </w:tc>
        <w:tc>
          <w:tcPr>
            <w:tcW w:w="714" w:type="pct"/>
            <w:shd w:val="clear" w:color="auto" w:fill="auto"/>
          </w:tcPr>
          <w:p w:rsidR="00B52BB0" w:rsidRPr="007E70AF" w:rsidRDefault="00B52BB0" w:rsidP="003E074D">
            <w:pPr>
              <w:pStyle w:val="TableText"/>
            </w:pPr>
            <w:r w:rsidRPr="009D1F0A">
              <w:t>Assessment not required</w:t>
            </w:r>
          </w:p>
        </w:tc>
        <w:tc>
          <w:tcPr>
            <w:tcW w:w="714" w:type="pct"/>
            <w:shd w:val="clear" w:color="auto" w:fill="auto"/>
          </w:tcPr>
          <w:p w:rsidR="00B52BB0" w:rsidRPr="007E70AF" w:rsidRDefault="00B52BB0" w:rsidP="003E074D">
            <w:pPr>
              <w:pStyle w:val="TableText"/>
            </w:pPr>
            <w:r w:rsidRPr="009D1F0A">
              <w:t>Assessment not required</w:t>
            </w:r>
          </w:p>
        </w:tc>
        <w:tc>
          <w:tcPr>
            <w:tcW w:w="714" w:type="pct"/>
            <w:shd w:val="clear" w:color="auto" w:fill="auto"/>
          </w:tcPr>
          <w:p w:rsidR="00B52BB0" w:rsidRPr="007E70AF" w:rsidRDefault="00B52BB0" w:rsidP="003E074D">
            <w:pPr>
              <w:pStyle w:val="TableText"/>
            </w:pPr>
            <w:r w:rsidRPr="009D1F0A">
              <w:t>No</w:t>
            </w:r>
          </w:p>
        </w:tc>
      </w:tr>
      <w:tr w:rsidR="00B52BB0" w:rsidRPr="007E70AF"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C11078">
              <w:rPr>
                <w:rFonts w:eastAsia="Cambria" w:cs="Melior-Italic"/>
                <w:i/>
                <w:iCs/>
                <w:sz w:val="18"/>
                <w:szCs w:val="18"/>
                <w:lang w:eastAsia="en-AU"/>
              </w:rPr>
              <w:t xml:space="preserve">Pseudonirmides cyanopasta </w:t>
            </w:r>
            <w:r w:rsidRPr="004569F6">
              <w:rPr>
                <w:rFonts w:eastAsia="Cambria" w:cs="Melior-Italic"/>
                <w:sz w:val="18"/>
                <w:szCs w:val="18"/>
                <w:lang w:eastAsia="en-AU"/>
              </w:rPr>
              <w:t>(Hampson, 1910)</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569F6">
              <w:rPr>
                <w:rFonts w:eastAsia="Cambria" w:cs="Melior-Italic"/>
                <w:sz w:val="18"/>
                <w:szCs w:val="18"/>
                <w:lang w:eastAsia="en-AU"/>
              </w:rPr>
              <w:t>[Limacodidae]</w:t>
            </w:r>
          </w:p>
          <w:p w:rsidR="00B52BB0" w:rsidRPr="007E70AF" w:rsidRDefault="00B52BB0" w:rsidP="003E074D">
            <w:pPr>
              <w:pStyle w:val="TableText"/>
              <w:rPr>
                <w:i/>
                <w:lang w:val="pt-BR"/>
              </w:rPr>
            </w:pPr>
            <w:r w:rsidRPr="004569F6">
              <w:rPr>
                <w:rFonts w:eastAsia="Cambria" w:cs="Melior-Italic"/>
                <w:szCs w:val="18"/>
                <w:lang w:eastAsia="en-AU"/>
              </w:rPr>
              <w:t>Leaf-eating caterpillar</w:t>
            </w:r>
          </w:p>
        </w:tc>
        <w:tc>
          <w:tcPr>
            <w:tcW w:w="715" w:type="pct"/>
            <w:shd w:val="clear" w:color="auto" w:fill="auto"/>
          </w:tcPr>
          <w:p w:rsidR="00B52BB0" w:rsidRPr="007E70AF" w:rsidRDefault="00B52BB0" w:rsidP="003E074D">
            <w:pPr>
              <w:pStyle w:val="TableText"/>
              <w:rPr>
                <w:lang w:val="pt-BR"/>
              </w:rPr>
            </w:pPr>
            <w:r w:rsidRPr="00880E98">
              <w:t xml:space="preserve">Yes </w:t>
            </w:r>
            <w:r>
              <w:rPr>
                <w:noProof/>
              </w:rPr>
              <w:t>(Solovyev &amp; Witt 2009)</w:t>
            </w:r>
          </w:p>
        </w:tc>
        <w:tc>
          <w:tcPr>
            <w:tcW w:w="714" w:type="pct"/>
            <w:shd w:val="clear" w:color="auto" w:fill="auto"/>
          </w:tcPr>
          <w:p w:rsidR="00B52BB0" w:rsidRPr="007E70AF" w:rsidRDefault="00B52BB0" w:rsidP="003E074D">
            <w:pPr>
              <w:pStyle w:val="TableText"/>
              <w:rPr>
                <w:szCs w:val="16"/>
              </w:rPr>
            </w:pPr>
            <w:r w:rsidRPr="00880E98">
              <w:t>No record found</w:t>
            </w:r>
          </w:p>
        </w:tc>
        <w:tc>
          <w:tcPr>
            <w:tcW w:w="714" w:type="pct"/>
            <w:shd w:val="clear" w:color="auto" w:fill="auto"/>
          </w:tcPr>
          <w:p w:rsidR="00B52BB0" w:rsidRPr="007E70AF" w:rsidRDefault="00B52BB0" w:rsidP="003E074D">
            <w:pPr>
              <w:pStyle w:val="TableText"/>
            </w:pPr>
            <w:r w:rsidRPr="00880E98">
              <w:t>No. Larvae</w:t>
            </w:r>
            <w:r>
              <w:t xml:space="preserve"> of this species</w:t>
            </w:r>
            <w:r w:rsidRPr="00880E98">
              <w:t xml:space="preserve"> feed on leaves </w:t>
            </w:r>
            <w:r>
              <w:rPr>
                <w:noProof/>
              </w:rPr>
              <w:t>(Kuroko &amp; Lewvanich 1993)</w:t>
            </w:r>
            <w:r w:rsidRPr="00880E98">
              <w:t>.</w:t>
            </w:r>
          </w:p>
        </w:tc>
        <w:tc>
          <w:tcPr>
            <w:tcW w:w="714" w:type="pct"/>
            <w:shd w:val="clear" w:color="auto" w:fill="auto"/>
          </w:tcPr>
          <w:p w:rsidR="00B52BB0" w:rsidRPr="007E70AF" w:rsidRDefault="00B52BB0" w:rsidP="003E074D">
            <w:pPr>
              <w:pStyle w:val="TableText"/>
            </w:pPr>
            <w:r w:rsidRPr="00880E98">
              <w:t>Assessment not required</w:t>
            </w:r>
          </w:p>
        </w:tc>
        <w:tc>
          <w:tcPr>
            <w:tcW w:w="714" w:type="pct"/>
            <w:shd w:val="clear" w:color="auto" w:fill="auto"/>
          </w:tcPr>
          <w:p w:rsidR="00B52BB0" w:rsidRPr="007E70AF" w:rsidRDefault="00B52BB0" w:rsidP="003E074D">
            <w:pPr>
              <w:pStyle w:val="TableText"/>
            </w:pPr>
            <w:r w:rsidRPr="00880E98">
              <w:t>Assessment not required</w:t>
            </w:r>
          </w:p>
        </w:tc>
        <w:tc>
          <w:tcPr>
            <w:tcW w:w="714" w:type="pct"/>
            <w:shd w:val="clear" w:color="auto" w:fill="auto"/>
          </w:tcPr>
          <w:p w:rsidR="00B52BB0" w:rsidRPr="007E70AF" w:rsidRDefault="00B52BB0" w:rsidP="003E074D">
            <w:pPr>
              <w:pStyle w:val="TableText"/>
            </w:pPr>
            <w:r w:rsidRPr="00880E98">
              <w:t>No</w:t>
            </w:r>
          </w:p>
        </w:tc>
      </w:tr>
      <w:tr w:rsidR="00B52BB0" w:rsidRPr="007E70AF"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C11078">
              <w:rPr>
                <w:rFonts w:eastAsia="Cambria" w:cs="Melior-Italic"/>
                <w:i/>
                <w:iCs/>
                <w:sz w:val="18"/>
                <w:szCs w:val="18"/>
                <w:lang w:eastAsia="en-AU"/>
              </w:rPr>
              <w:lastRenderedPageBreak/>
              <w:t xml:space="preserve">Rapala pheretima </w:t>
            </w:r>
            <w:r w:rsidRPr="004569F6">
              <w:rPr>
                <w:rFonts w:eastAsia="Cambria" w:cs="Melior-Italic"/>
                <w:sz w:val="18"/>
                <w:szCs w:val="18"/>
                <w:lang w:eastAsia="en-AU"/>
              </w:rPr>
              <w:t>subsp</w:t>
            </w:r>
            <w:r w:rsidRPr="00C11078">
              <w:rPr>
                <w:rFonts w:eastAsia="Cambria" w:cs="Melior-Italic"/>
                <w:i/>
                <w:iCs/>
                <w:sz w:val="18"/>
                <w:szCs w:val="18"/>
                <w:lang w:eastAsia="en-AU"/>
              </w:rPr>
              <w:t xml:space="preserve">. petosiris </w:t>
            </w:r>
            <w:r w:rsidRPr="004569F6">
              <w:rPr>
                <w:rFonts w:eastAsia="Cambria" w:cs="Melior-Italic"/>
                <w:sz w:val="18"/>
                <w:szCs w:val="18"/>
                <w:lang w:eastAsia="en-AU"/>
              </w:rPr>
              <w:t>Hewitson, 1863</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569F6">
              <w:rPr>
                <w:rFonts w:eastAsia="Cambria" w:cs="Melior-Italic"/>
                <w:sz w:val="18"/>
                <w:szCs w:val="18"/>
                <w:lang w:eastAsia="en-AU"/>
              </w:rPr>
              <w:t>[Lycaenidae]</w:t>
            </w:r>
          </w:p>
          <w:p w:rsidR="00B52BB0" w:rsidRPr="007E70AF" w:rsidRDefault="00B52BB0" w:rsidP="003E074D">
            <w:pPr>
              <w:pStyle w:val="TableText"/>
              <w:rPr>
                <w:i/>
                <w:lang w:val="en-US"/>
              </w:rPr>
            </w:pPr>
            <w:r w:rsidRPr="004569F6">
              <w:rPr>
                <w:rFonts w:eastAsia="Cambria" w:cs="Melior-Italic"/>
                <w:szCs w:val="18"/>
                <w:lang w:eastAsia="en-AU"/>
              </w:rPr>
              <w:t>Copper flash butterfly</w:t>
            </w:r>
          </w:p>
        </w:tc>
        <w:tc>
          <w:tcPr>
            <w:tcW w:w="715" w:type="pct"/>
            <w:shd w:val="clear" w:color="auto" w:fill="auto"/>
          </w:tcPr>
          <w:p w:rsidR="00B52BB0" w:rsidRPr="007E70AF" w:rsidRDefault="00B52BB0" w:rsidP="003E074D">
            <w:pPr>
              <w:pStyle w:val="TableText"/>
              <w:rPr>
                <w:sz w:val="16"/>
              </w:rPr>
            </w:pPr>
            <w:r w:rsidRPr="00A3700D">
              <w:t xml:space="preserve">Yes </w:t>
            </w:r>
            <w:r>
              <w:rPr>
                <w:noProof/>
              </w:rPr>
              <w:t>(Inayoshi 2011)</w:t>
            </w:r>
          </w:p>
        </w:tc>
        <w:tc>
          <w:tcPr>
            <w:tcW w:w="714" w:type="pct"/>
            <w:shd w:val="clear" w:color="auto" w:fill="auto"/>
          </w:tcPr>
          <w:p w:rsidR="00B52BB0" w:rsidRPr="007E70AF" w:rsidRDefault="00B52BB0" w:rsidP="003E074D">
            <w:pPr>
              <w:pStyle w:val="TableText"/>
              <w:rPr>
                <w:sz w:val="16"/>
              </w:rPr>
            </w:pPr>
            <w:r w:rsidRPr="00A3700D">
              <w:t>No records found</w:t>
            </w:r>
          </w:p>
        </w:tc>
        <w:tc>
          <w:tcPr>
            <w:tcW w:w="714" w:type="pct"/>
            <w:shd w:val="clear" w:color="auto" w:fill="auto"/>
          </w:tcPr>
          <w:p w:rsidR="00B52BB0" w:rsidRPr="007E70AF" w:rsidRDefault="00B52BB0" w:rsidP="003E074D">
            <w:pPr>
              <w:pStyle w:val="TableText"/>
              <w:rPr>
                <w:sz w:val="16"/>
              </w:rPr>
            </w:pPr>
            <w:r w:rsidRPr="00A3700D">
              <w:t>No. Larvae</w:t>
            </w:r>
            <w:r>
              <w:t xml:space="preserve"> of this species</w:t>
            </w:r>
            <w:r w:rsidRPr="00A3700D">
              <w:t xml:space="preserve"> feed on flowers </w:t>
            </w:r>
            <w:r>
              <w:rPr>
                <w:noProof/>
              </w:rPr>
              <w:t>(Kuroko &amp; Lewvanich 1993)</w:t>
            </w:r>
            <w:r w:rsidRPr="00A3700D">
              <w:t>.</w:t>
            </w:r>
          </w:p>
        </w:tc>
        <w:tc>
          <w:tcPr>
            <w:tcW w:w="714" w:type="pct"/>
            <w:shd w:val="clear" w:color="auto" w:fill="auto"/>
          </w:tcPr>
          <w:p w:rsidR="00B52BB0" w:rsidRPr="007E70AF" w:rsidRDefault="00B52BB0" w:rsidP="003E074D">
            <w:pPr>
              <w:pStyle w:val="TableText"/>
            </w:pPr>
            <w:r w:rsidRPr="00A3700D">
              <w:t>Assessment not required</w:t>
            </w:r>
          </w:p>
        </w:tc>
        <w:tc>
          <w:tcPr>
            <w:tcW w:w="714" w:type="pct"/>
            <w:shd w:val="clear" w:color="auto" w:fill="auto"/>
          </w:tcPr>
          <w:p w:rsidR="00B52BB0" w:rsidRPr="007E70AF" w:rsidRDefault="00B52BB0" w:rsidP="003E074D">
            <w:pPr>
              <w:pStyle w:val="TableText"/>
            </w:pPr>
            <w:r w:rsidRPr="00A3700D">
              <w:t>Assessment not required</w:t>
            </w:r>
          </w:p>
        </w:tc>
        <w:tc>
          <w:tcPr>
            <w:tcW w:w="714" w:type="pct"/>
            <w:shd w:val="clear" w:color="auto" w:fill="auto"/>
          </w:tcPr>
          <w:p w:rsidR="00B52BB0" w:rsidRPr="007E70AF" w:rsidRDefault="00B52BB0" w:rsidP="003E074D">
            <w:pPr>
              <w:pStyle w:val="TableText"/>
            </w:pPr>
            <w:r w:rsidRPr="00A3700D">
              <w:t>No</w:t>
            </w:r>
          </w:p>
        </w:tc>
      </w:tr>
      <w:tr w:rsidR="00B52BB0" w:rsidRPr="007E70AF"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C11078">
              <w:rPr>
                <w:rFonts w:eastAsia="Cambria" w:cs="Melior-Italic"/>
                <w:i/>
                <w:iCs/>
                <w:sz w:val="18"/>
                <w:szCs w:val="18"/>
                <w:lang w:eastAsia="en-AU"/>
              </w:rPr>
              <w:t xml:space="preserve">Somena scintillans </w:t>
            </w:r>
            <w:r w:rsidRPr="004569F6">
              <w:rPr>
                <w:rFonts w:eastAsia="Cambria" w:cs="Melior-Italic"/>
                <w:sz w:val="18"/>
                <w:szCs w:val="18"/>
                <w:lang w:eastAsia="en-AU"/>
              </w:rPr>
              <w:t>(Walker, 1856)</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569F6">
              <w:rPr>
                <w:rFonts w:eastAsia="Cambria" w:cs="Melior-Italic"/>
                <w:sz w:val="18"/>
                <w:szCs w:val="18"/>
                <w:lang w:eastAsia="en-AU"/>
              </w:rPr>
              <w:t xml:space="preserve">Synonym: </w:t>
            </w:r>
            <w:r w:rsidRPr="00C11078">
              <w:rPr>
                <w:rFonts w:eastAsia="Cambria" w:cs="Melior-Italic"/>
                <w:i/>
                <w:iCs/>
                <w:sz w:val="18"/>
                <w:szCs w:val="18"/>
                <w:lang w:eastAsia="en-AU"/>
              </w:rPr>
              <w:t xml:space="preserve">Euproctis scintillans </w:t>
            </w:r>
            <w:r w:rsidRPr="004569F6">
              <w:rPr>
                <w:rFonts w:eastAsia="Cambria" w:cs="Melior-Italic"/>
                <w:sz w:val="18"/>
                <w:szCs w:val="18"/>
                <w:lang w:eastAsia="en-AU"/>
              </w:rPr>
              <w:t>(Walker, 1856)</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569F6">
              <w:rPr>
                <w:rFonts w:eastAsia="Cambria" w:cs="Melior-Italic"/>
                <w:sz w:val="18"/>
                <w:szCs w:val="18"/>
                <w:lang w:eastAsia="en-AU"/>
              </w:rPr>
              <w:t>[Lymantriidae]</w:t>
            </w:r>
          </w:p>
          <w:p w:rsidR="00B52BB0" w:rsidRPr="007E70AF" w:rsidRDefault="00B52BB0" w:rsidP="003E074D">
            <w:pPr>
              <w:pStyle w:val="TableText"/>
              <w:rPr>
                <w:i/>
                <w:lang w:val="en-US"/>
              </w:rPr>
            </w:pPr>
            <w:r w:rsidRPr="004569F6">
              <w:rPr>
                <w:rFonts w:eastAsia="Cambria" w:cs="Melior-Italic"/>
                <w:szCs w:val="18"/>
                <w:lang w:eastAsia="en-AU"/>
              </w:rPr>
              <w:t>Hairy tussock caterpillar</w:t>
            </w:r>
          </w:p>
        </w:tc>
        <w:tc>
          <w:tcPr>
            <w:tcW w:w="715" w:type="pct"/>
            <w:shd w:val="clear" w:color="auto" w:fill="auto"/>
          </w:tcPr>
          <w:p w:rsidR="00B52BB0" w:rsidRPr="007E70AF" w:rsidRDefault="00B52BB0" w:rsidP="003E074D">
            <w:pPr>
              <w:pStyle w:val="TableText"/>
              <w:rPr>
                <w:sz w:val="16"/>
              </w:rPr>
            </w:pPr>
            <w:r w:rsidRPr="008E0BD1">
              <w:t xml:space="preserve">Yes </w:t>
            </w:r>
            <w:r>
              <w:rPr>
                <w:noProof/>
              </w:rPr>
              <w:t>(CABI 2019; Waterhouse 1993)</w:t>
            </w:r>
          </w:p>
        </w:tc>
        <w:tc>
          <w:tcPr>
            <w:tcW w:w="714" w:type="pct"/>
            <w:shd w:val="clear" w:color="auto" w:fill="auto"/>
          </w:tcPr>
          <w:p w:rsidR="00B52BB0" w:rsidRPr="007E70AF" w:rsidRDefault="00B52BB0" w:rsidP="003E074D">
            <w:pPr>
              <w:pStyle w:val="TableText"/>
              <w:rPr>
                <w:sz w:val="16"/>
              </w:rPr>
            </w:pPr>
            <w:r w:rsidRPr="008E0BD1">
              <w:t>No records found</w:t>
            </w:r>
          </w:p>
        </w:tc>
        <w:tc>
          <w:tcPr>
            <w:tcW w:w="714" w:type="pct"/>
            <w:shd w:val="clear" w:color="auto" w:fill="auto"/>
          </w:tcPr>
          <w:p w:rsidR="00B52BB0" w:rsidRPr="007E70AF" w:rsidRDefault="00B52BB0" w:rsidP="003E074D">
            <w:pPr>
              <w:pStyle w:val="TableText"/>
              <w:rPr>
                <w:sz w:val="16"/>
              </w:rPr>
            </w:pPr>
            <w:r w:rsidRPr="008E0BD1">
              <w:t xml:space="preserve">No </w:t>
            </w:r>
            <w:r>
              <w:t>Larvae of this species feed</w:t>
            </w:r>
            <w:r w:rsidRPr="008E0BD1">
              <w:t xml:space="preserve"> on leaves </w:t>
            </w:r>
            <w:r>
              <w:rPr>
                <w:noProof/>
              </w:rPr>
              <w:t>(Kuroko &amp; Lewvanich 1993; Waterhouse 1993)</w:t>
            </w:r>
            <w:r w:rsidRPr="008E0BD1">
              <w:t>.</w:t>
            </w:r>
          </w:p>
        </w:tc>
        <w:tc>
          <w:tcPr>
            <w:tcW w:w="714" w:type="pct"/>
            <w:shd w:val="clear" w:color="auto" w:fill="auto"/>
          </w:tcPr>
          <w:p w:rsidR="00B52BB0" w:rsidRPr="007E70AF" w:rsidRDefault="00B52BB0" w:rsidP="003E074D">
            <w:pPr>
              <w:pStyle w:val="TableText"/>
            </w:pPr>
            <w:r w:rsidRPr="008E0BD1">
              <w:t>Assessment not required</w:t>
            </w:r>
          </w:p>
        </w:tc>
        <w:tc>
          <w:tcPr>
            <w:tcW w:w="714" w:type="pct"/>
            <w:shd w:val="clear" w:color="auto" w:fill="auto"/>
          </w:tcPr>
          <w:p w:rsidR="00B52BB0" w:rsidRPr="007E70AF" w:rsidRDefault="00B52BB0" w:rsidP="003E074D">
            <w:pPr>
              <w:pStyle w:val="TableText"/>
            </w:pPr>
            <w:r w:rsidRPr="008E0BD1">
              <w:t>Assessment not required</w:t>
            </w:r>
          </w:p>
        </w:tc>
        <w:tc>
          <w:tcPr>
            <w:tcW w:w="714" w:type="pct"/>
            <w:shd w:val="clear" w:color="auto" w:fill="auto"/>
          </w:tcPr>
          <w:p w:rsidR="00B52BB0" w:rsidRPr="007E70AF" w:rsidRDefault="00B52BB0" w:rsidP="003E074D">
            <w:pPr>
              <w:pStyle w:val="TableText"/>
            </w:pPr>
            <w:r w:rsidRPr="008E0BD1">
              <w:t>No</w:t>
            </w:r>
          </w:p>
        </w:tc>
      </w:tr>
      <w:tr w:rsidR="00B52BB0" w:rsidRPr="007E70AF"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C11078">
              <w:rPr>
                <w:rFonts w:eastAsia="Cambria" w:cs="Melior-Italic"/>
                <w:i/>
                <w:iCs/>
                <w:sz w:val="18"/>
                <w:szCs w:val="18"/>
                <w:lang w:eastAsia="en-AU"/>
              </w:rPr>
              <w:t xml:space="preserve">Statherotis discana </w:t>
            </w:r>
            <w:r w:rsidRPr="004569F6">
              <w:rPr>
                <w:rFonts w:eastAsia="Cambria" w:cs="Melior-Italic"/>
                <w:sz w:val="18"/>
                <w:szCs w:val="18"/>
                <w:lang w:eastAsia="en-AU"/>
              </w:rPr>
              <w:t>Felder &amp; Rogenhofer, 1874</w:t>
            </w:r>
          </w:p>
          <w:p w:rsidR="00B52BB0" w:rsidRPr="004569F6" w:rsidRDefault="00B52BB0" w:rsidP="003E074D">
            <w:pPr>
              <w:autoSpaceDE w:val="0"/>
              <w:autoSpaceDN w:val="0"/>
              <w:adjustRightInd w:val="0"/>
              <w:spacing w:before="60" w:after="60" w:line="240" w:lineRule="auto"/>
              <w:rPr>
                <w:rFonts w:eastAsia="Cambria" w:cs="Melior-Italic"/>
                <w:sz w:val="18"/>
                <w:szCs w:val="18"/>
                <w:lang w:eastAsia="en-AU"/>
              </w:rPr>
            </w:pPr>
            <w:r w:rsidRPr="004569F6">
              <w:rPr>
                <w:rFonts w:eastAsia="Cambria" w:cs="Melior-Italic"/>
                <w:sz w:val="18"/>
                <w:szCs w:val="18"/>
                <w:lang w:eastAsia="en-AU"/>
              </w:rPr>
              <w:t>[Tortricidae]</w:t>
            </w:r>
          </w:p>
          <w:p w:rsidR="00B52BB0" w:rsidRPr="007E70AF" w:rsidRDefault="00B52BB0" w:rsidP="003E074D">
            <w:pPr>
              <w:pStyle w:val="TableText"/>
              <w:rPr>
                <w:i/>
                <w:lang w:val="pt-BR"/>
              </w:rPr>
            </w:pPr>
            <w:r w:rsidRPr="004569F6">
              <w:rPr>
                <w:rFonts w:eastAsia="Cambria" w:cs="Melior-Italic"/>
                <w:szCs w:val="18"/>
                <w:lang w:eastAsia="en-AU"/>
              </w:rPr>
              <w:t>Litchi leaf roller</w:t>
            </w:r>
          </w:p>
        </w:tc>
        <w:tc>
          <w:tcPr>
            <w:tcW w:w="715" w:type="pct"/>
            <w:shd w:val="clear" w:color="auto" w:fill="auto"/>
          </w:tcPr>
          <w:p w:rsidR="00B52BB0" w:rsidRPr="007E70AF" w:rsidRDefault="00B52BB0" w:rsidP="003E074D">
            <w:pPr>
              <w:pStyle w:val="TableText"/>
              <w:rPr>
                <w:lang w:val="pt-BR"/>
              </w:rPr>
            </w:pPr>
            <w:r w:rsidRPr="00021232">
              <w:t xml:space="preserve">Yes </w:t>
            </w:r>
            <w:r>
              <w:rPr>
                <w:noProof/>
              </w:rPr>
              <w:t>(CABI 2019)</w:t>
            </w:r>
          </w:p>
        </w:tc>
        <w:tc>
          <w:tcPr>
            <w:tcW w:w="714" w:type="pct"/>
            <w:shd w:val="clear" w:color="auto" w:fill="auto"/>
          </w:tcPr>
          <w:p w:rsidR="00B52BB0" w:rsidRPr="007E70AF" w:rsidRDefault="00B52BB0" w:rsidP="003E074D">
            <w:pPr>
              <w:pStyle w:val="TableText"/>
              <w:rPr>
                <w:szCs w:val="16"/>
              </w:rPr>
            </w:pPr>
            <w:r w:rsidRPr="00021232">
              <w:t>No records found</w:t>
            </w:r>
          </w:p>
        </w:tc>
        <w:tc>
          <w:tcPr>
            <w:tcW w:w="714" w:type="pct"/>
            <w:shd w:val="clear" w:color="auto" w:fill="auto"/>
          </w:tcPr>
          <w:p w:rsidR="00B52BB0" w:rsidRPr="007E70AF" w:rsidRDefault="00B52BB0" w:rsidP="003E074D">
            <w:pPr>
              <w:pStyle w:val="TableText"/>
            </w:pPr>
            <w:r w:rsidRPr="00021232">
              <w:t xml:space="preserve">No. Larvae </w:t>
            </w:r>
            <w:r>
              <w:t xml:space="preserve">of this species </w:t>
            </w:r>
            <w:r w:rsidRPr="00021232">
              <w:t xml:space="preserve">feed on leaves </w:t>
            </w:r>
            <w:r>
              <w:rPr>
                <w:noProof/>
              </w:rPr>
              <w:t>(Kuroko &amp; Lewvanich 1993)</w:t>
            </w:r>
            <w:r w:rsidRPr="00021232">
              <w:t>.</w:t>
            </w:r>
          </w:p>
        </w:tc>
        <w:tc>
          <w:tcPr>
            <w:tcW w:w="714" w:type="pct"/>
            <w:shd w:val="clear" w:color="auto" w:fill="auto"/>
          </w:tcPr>
          <w:p w:rsidR="00B52BB0" w:rsidRPr="007E70AF" w:rsidRDefault="00B52BB0" w:rsidP="003E074D">
            <w:pPr>
              <w:pStyle w:val="TableText"/>
            </w:pPr>
            <w:r w:rsidRPr="00021232">
              <w:t>Assessment not required</w:t>
            </w:r>
          </w:p>
        </w:tc>
        <w:tc>
          <w:tcPr>
            <w:tcW w:w="714" w:type="pct"/>
            <w:shd w:val="clear" w:color="auto" w:fill="auto"/>
          </w:tcPr>
          <w:p w:rsidR="00B52BB0" w:rsidRPr="007E70AF" w:rsidRDefault="00B52BB0" w:rsidP="003E074D">
            <w:pPr>
              <w:pStyle w:val="TableText"/>
            </w:pPr>
            <w:r w:rsidRPr="00021232">
              <w:t>Assessment not required</w:t>
            </w:r>
          </w:p>
        </w:tc>
        <w:tc>
          <w:tcPr>
            <w:tcW w:w="714" w:type="pct"/>
            <w:shd w:val="clear" w:color="auto" w:fill="auto"/>
          </w:tcPr>
          <w:p w:rsidR="00B52BB0" w:rsidRPr="007E70AF" w:rsidRDefault="00B52BB0" w:rsidP="003E074D">
            <w:pPr>
              <w:pStyle w:val="TableText"/>
            </w:pPr>
            <w:r w:rsidRPr="00021232">
              <w:t>No</w:t>
            </w:r>
          </w:p>
        </w:tc>
      </w:tr>
      <w:tr w:rsidR="00B52BB0" w:rsidRPr="007E70AF"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Arial,Italic"/>
                <w:sz w:val="18"/>
                <w:szCs w:val="18"/>
                <w:lang w:eastAsia="en-AU"/>
              </w:rPr>
            </w:pPr>
            <w:r w:rsidRPr="00C11078">
              <w:rPr>
                <w:rFonts w:eastAsia="Cambria" w:cs="Arial,Italic"/>
                <w:i/>
                <w:iCs/>
                <w:sz w:val="18"/>
                <w:szCs w:val="18"/>
                <w:lang w:eastAsia="en-AU"/>
              </w:rPr>
              <w:t xml:space="preserve">Zeuzera coffeae </w:t>
            </w:r>
            <w:r w:rsidRPr="004569F6">
              <w:rPr>
                <w:rFonts w:eastAsia="Cambria" w:cs="Arial,Italic"/>
                <w:sz w:val="18"/>
                <w:szCs w:val="18"/>
                <w:lang w:eastAsia="en-AU"/>
              </w:rPr>
              <w:t>Nietner, 1861</w:t>
            </w:r>
          </w:p>
          <w:p w:rsidR="00B52BB0" w:rsidRPr="004569F6" w:rsidRDefault="00B52BB0" w:rsidP="003E074D">
            <w:pPr>
              <w:autoSpaceDE w:val="0"/>
              <w:autoSpaceDN w:val="0"/>
              <w:adjustRightInd w:val="0"/>
              <w:spacing w:before="60" w:after="60" w:line="240" w:lineRule="auto"/>
              <w:rPr>
                <w:rFonts w:eastAsia="Cambria" w:cs="Arial,Italic"/>
                <w:sz w:val="18"/>
                <w:szCs w:val="18"/>
                <w:lang w:eastAsia="en-AU"/>
              </w:rPr>
            </w:pPr>
            <w:r w:rsidRPr="004569F6">
              <w:rPr>
                <w:rFonts w:eastAsia="Cambria" w:cs="Arial,Italic"/>
                <w:sz w:val="18"/>
                <w:szCs w:val="18"/>
                <w:lang w:eastAsia="en-AU"/>
              </w:rPr>
              <w:t>[Cossidae]</w:t>
            </w:r>
          </w:p>
          <w:p w:rsidR="00B52BB0" w:rsidRPr="007E70AF" w:rsidRDefault="00B52BB0" w:rsidP="003E074D">
            <w:pPr>
              <w:pStyle w:val="TableText"/>
              <w:rPr>
                <w:i/>
                <w:lang w:val="pt-BR"/>
              </w:rPr>
            </w:pPr>
            <w:r w:rsidRPr="004569F6">
              <w:rPr>
                <w:rFonts w:eastAsia="Cambria" w:cs="Arial,Italic"/>
                <w:szCs w:val="18"/>
                <w:lang w:eastAsia="en-AU"/>
              </w:rPr>
              <w:t>Coffee carpenter</w:t>
            </w:r>
          </w:p>
        </w:tc>
        <w:tc>
          <w:tcPr>
            <w:tcW w:w="715" w:type="pct"/>
            <w:shd w:val="clear" w:color="auto" w:fill="auto"/>
          </w:tcPr>
          <w:p w:rsidR="00B52BB0" w:rsidRPr="007E70AF" w:rsidRDefault="00B52BB0" w:rsidP="003E074D">
            <w:pPr>
              <w:pStyle w:val="TableText"/>
              <w:rPr>
                <w:lang w:val="pt-BR"/>
              </w:rPr>
            </w:pPr>
            <w:r w:rsidRPr="00CD2DF1">
              <w:t xml:space="preserve">Yes </w:t>
            </w:r>
            <w:r>
              <w:rPr>
                <w:noProof/>
              </w:rPr>
              <w:t>(PPD 2017)</w:t>
            </w:r>
          </w:p>
        </w:tc>
        <w:tc>
          <w:tcPr>
            <w:tcW w:w="714" w:type="pct"/>
            <w:shd w:val="clear" w:color="auto" w:fill="auto"/>
          </w:tcPr>
          <w:p w:rsidR="00B52BB0" w:rsidRPr="007E70AF" w:rsidRDefault="00B52BB0" w:rsidP="003E074D">
            <w:pPr>
              <w:pStyle w:val="TableText"/>
              <w:rPr>
                <w:szCs w:val="16"/>
              </w:rPr>
            </w:pPr>
            <w:r w:rsidRPr="00CD2DF1">
              <w:t>No records found</w:t>
            </w:r>
          </w:p>
        </w:tc>
        <w:tc>
          <w:tcPr>
            <w:tcW w:w="714" w:type="pct"/>
            <w:shd w:val="clear" w:color="auto" w:fill="auto"/>
          </w:tcPr>
          <w:p w:rsidR="00B52BB0" w:rsidRPr="007E70AF" w:rsidRDefault="00B52BB0" w:rsidP="003E074D">
            <w:pPr>
              <w:pStyle w:val="TableText"/>
            </w:pPr>
            <w:r w:rsidRPr="00CD2DF1">
              <w:t xml:space="preserve">No. </w:t>
            </w:r>
            <w:r>
              <w:t>This species f</w:t>
            </w:r>
            <w:r w:rsidRPr="00CD2DF1">
              <w:t xml:space="preserve">eeds on leaves and stems </w:t>
            </w:r>
            <w:r>
              <w:rPr>
                <w:noProof/>
              </w:rPr>
              <w:t>(Tan, Wei &amp; Lan 1998)</w:t>
            </w:r>
            <w:r w:rsidRPr="00CD2DF1">
              <w:t>.</w:t>
            </w:r>
          </w:p>
        </w:tc>
        <w:tc>
          <w:tcPr>
            <w:tcW w:w="714" w:type="pct"/>
            <w:shd w:val="clear" w:color="auto" w:fill="auto"/>
          </w:tcPr>
          <w:p w:rsidR="00B52BB0" w:rsidRPr="007E70AF" w:rsidRDefault="00B52BB0" w:rsidP="003E074D">
            <w:pPr>
              <w:pStyle w:val="TableText"/>
            </w:pPr>
            <w:r w:rsidRPr="00CD2DF1">
              <w:t>Assessment not required</w:t>
            </w:r>
          </w:p>
        </w:tc>
        <w:tc>
          <w:tcPr>
            <w:tcW w:w="714" w:type="pct"/>
            <w:shd w:val="clear" w:color="auto" w:fill="auto"/>
          </w:tcPr>
          <w:p w:rsidR="00B52BB0" w:rsidRPr="007E70AF" w:rsidRDefault="00B52BB0" w:rsidP="003E074D">
            <w:pPr>
              <w:pStyle w:val="TableText"/>
            </w:pPr>
            <w:r w:rsidRPr="00CD2DF1">
              <w:t>Assessment not required</w:t>
            </w:r>
          </w:p>
        </w:tc>
        <w:tc>
          <w:tcPr>
            <w:tcW w:w="714" w:type="pct"/>
            <w:shd w:val="clear" w:color="auto" w:fill="auto"/>
          </w:tcPr>
          <w:p w:rsidR="00B52BB0" w:rsidRPr="007E70AF" w:rsidRDefault="00B52BB0" w:rsidP="003E074D">
            <w:pPr>
              <w:pStyle w:val="TableText"/>
            </w:pPr>
            <w:r w:rsidRPr="00CD2DF1">
              <w:t>No</w:t>
            </w:r>
          </w:p>
        </w:tc>
      </w:tr>
      <w:tr w:rsidR="00B52BB0" w:rsidRPr="007E70AF" w:rsidTr="003E074D">
        <w:trPr>
          <w:cantSplit/>
          <w:trHeight w:val="75"/>
          <w:jc w:val="center"/>
        </w:trPr>
        <w:tc>
          <w:tcPr>
            <w:tcW w:w="5000" w:type="pct"/>
            <w:gridSpan w:val="7"/>
            <w:shd w:val="clear" w:color="auto" w:fill="auto"/>
          </w:tcPr>
          <w:p w:rsidR="00B52BB0" w:rsidRPr="007E70AF" w:rsidRDefault="00B52BB0" w:rsidP="003E074D">
            <w:pPr>
              <w:pStyle w:val="TableText"/>
              <w:keepNext/>
            </w:pPr>
            <w:r>
              <w:lastRenderedPageBreak/>
              <w:t>Thysanoptera</w:t>
            </w:r>
          </w:p>
        </w:tc>
      </w:tr>
      <w:tr w:rsidR="00B52BB0" w:rsidRPr="007E70AF" w:rsidTr="003E074D">
        <w:trPr>
          <w:cantSplit/>
          <w:trHeight w:val="75"/>
          <w:jc w:val="center"/>
        </w:trPr>
        <w:tc>
          <w:tcPr>
            <w:tcW w:w="715" w:type="pct"/>
            <w:shd w:val="clear" w:color="auto" w:fill="auto"/>
          </w:tcPr>
          <w:p w:rsidR="00B52BB0" w:rsidRPr="004569F6" w:rsidRDefault="00B52BB0" w:rsidP="003E074D">
            <w:pPr>
              <w:spacing w:before="60" w:after="60" w:line="240" w:lineRule="auto"/>
              <w:rPr>
                <w:rFonts w:cs="Arial"/>
                <w:iCs/>
                <w:sz w:val="18"/>
                <w:szCs w:val="18"/>
              </w:rPr>
            </w:pPr>
            <w:r w:rsidRPr="00C11078">
              <w:rPr>
                <w:rFonts w:cs="Arial"/>
                <w:i/>
                <w:sz w:val="18"/>
                <w:szCs w:val="18"/>
              </w:rPr>
              <w:t xml:space="preserve">Scirtothrips dorsalis </w:t>
            </w:r>
            <w:r w:rsidRPr="004569F6">
              <w:rPr>
                <w:rFonts w:cs="Arial"/>
                <w:iCs/>
                <w:sz w:val="18"/>
                <w:szCs w:val="18"/>
              </w:rPr>
              <w:t>Shull, 1909</w:t>
            </w:r>
          </w:p>
          <w:p w:rsidR="00B52BB0" w:rsidRPr="004569F6" w:rsidRDefault="00B52BB0" w:rsidP="003E074D">
            <w:pPr>
              <w:spacing w:before="60" w:after="60" w:line="240" w:lineRule="auto"/>
              <w:rPr>
                <w:rFonts w:cs="Arial"/>
                <w:iCs/>
                <w:sz w:val="18"/>
                <w:szCs w:val="18"/>
              </w:rPr>
            </w:pPr>
            <w:r w:rsidRPr="004569F6">
              <w:rPr>
                <w:rFonts w:cs="Arial"/>
                <w:iCs/>
                <w:sz w:val="18"/>
                <w:szCs w:val="18"/>
              </w:rPr>
              <w:t>[Thripidae]</w:t>
            </w:r>
          </w:p>
          <w:p w:rsidR="00B52BB0" w:rsidRPr="007E70AF" w:rsidRDefault="00B52BB0" w:rsidP="003E074D">
            <w:pPr>
              <w:pStyle w:val="TableText"/>
              <w:rPr>
                <w:i/>
                <w:lang w:val="en-US"/>
              </w:rPr>
            </w:pPr>
            <w:r w:rsidRPr="004569F6">
              <w:rPr>
                <w:rFonts w:cs="Arial"/>
                <w:iCs/>
                <w:szCs w:val="18"/>
              </w:rPr>
              <w:t>Chilli thrips</w:t>
            </w:r>
          </w:p>
        </w:tc>
        <w:tc>
          <w:tcPr>
            <w:tcW w:w="715" w:type="pct"/>
            <w:shd w:val="clear" w:color="auto" w:fill="auto"/>
          </w:tcPr>
          <w:p w:rsidR="00B52BB0" w:rsidRPr="007E70AF" w:rsidRDefault="00B52BB0" w:rsidP="003E074D">
            <w:pPr>
              <w:pStyle w:val="TableText"/>
              <w:rPr>
                <w:sz w:val="16"/>
              </w:rPr>
            </w:pPr>
            <w:r w:rsidRPr="00937E38">
              <w:t xml:space="preserve">Yes </w:t>
            </w:r>
            <w:r>
              <w:rPr>
                <w:noProof/>
              </w:rPr>
              <w:t>(PPD 2017)</w:t>
            </w:r>
          </w:p>
        </w:tc>
        <w:tc>
          <w:tcPr>
            <w:tcW w:w="714" w:type="pct"/>
            <w:shd w:val="clear" w:color="auto" w:fill="auto"/>
          </w:tcPr>
          <w:p w:rsidR="00B52BB0" w:rsidRPr="007E70AF" w:rsidRDefault="00B52BB0" w:rsidP="003E074D">
            <w:pPr>
              <w:pStyle w:val="TableText"/>
              <w:rPr>
                <w:sz w:val="16"/>
              </w:rPr>
            </w:pPr>
            <w:r w:rsidRPr="00937E38">
              <w:t xml:space="preserve">Yes. Widespread in Northern Australia </w:t>
            </w:r>
            <w:r>
              <w:rPr>
                <w:noProof/>
              </w:rPr>
              <w:t>(Australian Government Department of Agriculture and Water Resources 2017)</w:t>
            </w:r>
            <w:r w:rsidRPr="00937E38">
              <w:t xml:space="preserve">. However, assessed as a vector of emerging quarantine orthotospoviruses </w:t>
            </w:r>
            <w:r>
              <w:rPr>
                <w:noProof/>
              </w:rPr>
              <w:t>(Australian Government Department of Agriculture and Water Resources 2017)</w:t>
            </w:r>
            <w:r w:rsidRPr="00937E38">
              <w:t>.</w:t>
            </w:r>
          </w:p>
        </w:tc>
        <w:tc>
          <w:tcPr>
            <w:tcW w:w="714" w:type="pct"/>
            <w:shd w:val="clear" w:color="auto" w:fill="auto"/>
          </w:tcPr>
          <w:p w:rsidR="00B52BB0" w:rsidRPr="007E70AF" w:rsidRDefault="00B52BB0" w:rsidP="003E074D">
            <w:pPr>
              <w:pStyle w:val="TableText"/>
              <w:rPr>
                <w:sz w:val="16"/>
              </w:rPr>
            </w:pPr>
            <w:r w:rsidRPr="00937E38">
              <w:t xml:space="preserve">Yes. This species is known to be associated with longan </w:t>
            </w:r>
            <w:r>
              <w:rPr>
                <w:noProof/>
              </w:rPr>
              <w:t>(PPD 2017; Talekar 1991)</w:t>
            </w:r>
            <w:r w:rsidRPr="00937E38">
              <w:t xml:space="preserve"> and has been intercepted on commercial consignments of other types of fresh fruit imported into Australia despite its feeding and breeding preference for young leaves.</w:t>
            </w:r>
          </w:p>
        </w:tc>
        <w:tc>
          <w:tcPr>
            <w:tcW w:w="714" w:type="pct"/>
            <w:shd w:val="clear" w:color="auto" w:fill="auto"/>
          </w:tcPr>
          <w:p w:rsidR="00B52BB0" w:rsidRPr="007E70AF" w:rsidRDefault="00B52BB0" w:rsidP="003E074D">
            <w:pPr>
              <w:pStyle w:val="TableText"/>
            </w:pPr>
            <w:r w:rsidRPr="00937E38">
              <w:t xml:space="preserve">Not applicable to </w:t>
            </w:r>
            <w:r>
              <w:rPr>
                <w:iCs/>
              </w:rPr>
              <w:t>vector</w:t>
            </w:r>
            <w:r w:rsidRPr="00937E38">
              <w:t xml:space="preserve">. However, the emerging quarantine orthotospoviruses vectored by this thrips have potential for establishment and spread </w:t>
            </w:r>
            <w:r>
              <w:rPr>
                <w:noProof/>
              </w:rPr>
              <w:t>(Australian Government Department of Agriculture and Water Resources 2017)</w:t>
            </w:r>
            <w:r w:rsidRPr="00937E38">
              <w:t>.</w:t>
            </w:r>
          </w:p>
        </w:tc>
        <w:tc>
          <w:tcPr>
            <w:tcW w:w="714" w:type="pct"/>
            <w:shd w:val="clear" w:color="auto" w:fill="auto"/>
          </w:tcPr>
          <w:p w:rsidR="00B52BB0" w:rsidRPr="007E70AF" w:rsidRDefault="00B52BB0" w:rsidP="003E074D">
            <w:pPr>
              <w:pStyle w:val="TableText"/>
            </w:pPr>
            <w:r w:rsidRPr="00937E38">
              <w:t xml:space="preserve">Not applicable to </w:t>
            </w:r>
            <w:r>
              <w:rPr>
                <w:iCs/>
              </w:rPr>
              <w:t>vector</w:t>
            </w:r>
            <w:r w:rsidRPr="00937E38">
              <w:t xml:space="preserve">. However, the emerging quarantine orthotospoviruses vectored by this thrips have potential for consequences </w:t>
            </w:r>
            <w:r>
              <w:rPr>
                <w:noProof/>
              </w:rPr>
              <w:t>(Australian Government Department of Agriculture and Water Resources 2017)</w:t>
            </w:r>
            <w:r w:rsidRPr="00937E38">
              <w:t>.</w:t>
            </w:r>
          </w:p>
        </w:tc>
        <w:tc>
          <w:tcPr>
            <w:tcW w:w="714" w:type="pct"/>
            <w:shd w:val="clear" w:color="auto" w:fill="auto"/>
          </w:tcPr>
          <w:p w:rsidR="00B52BB0" w:rsidRPr="007E70AF" w:rsidRDefault="00B52BB0" w:rsidP="003E074D">
            <w:pPr>
              <w:pStyle w:val="TableText"/>
            </w:pPr>
            <w:r w:rsidRPr="00937E38">
              <w:t xml:space="preserve">Thrips group PRA applied </w:t>
            </w:r>
            <w:r>
              <w:rPr>
                <w:noProof/>
              </w:rPr>
              <w:t>(Australian Government Department of Agriculture and Water Resources 2017)</w:t>
            </w:r>
            <w:r w:rsidRPr="00937E38">
              <w:t>.</w:t>
            </w:r>
          </w:p>
        </w:tc>
      </w:tr>
      <w:tr w:rsidR="00B52BB0" w:rsidRPr="007E70AF" w:rsidTr="003E074D">
        <w:trPr>
          <w:cantSplit/>
          <w:trHeight w:val="75"/>
          <w:jc w:val="center"/>
        </w:trPr>
        <w:tc>
          <w:tcPr>
            <w:tcW w:w="715" w:type="pct"/>
            <w:shd w:val="clear" w:color="auto" w:fill="auto"/>
          </w:tcPr>
          <w:p w:rsidR="00B52BB0" w:rsidRPr="004569F6" w:rsidRDefault="00B52BB0" w:rsidP="003E074D">
            <w:pPr>
              <w:spacing w:before="60" w:after="60" w:line="240" w:lineRule="auto"/>
              <w:rPr>
                <w:rFonts w:cs="Arial"/>
                <w:iCs/>
                <w:sz w:val="18"/>
                <w:szCs w:val="18"/>
              </w:rPr>
            </w:pPr>
            <w:r w:rsidRPr="00C11078">
              <w:rPr>
                <w:rFonts w:cs="Arial"/>
                <w:i/>
                <w:sz w:val="18"/>
                <w:szCs w:val="18"/>
              </w:rPr>
              <w:t xml:space="preserve">Thrips tabaci </w:t>
            </w:r>
            <w:r w:rsidRPr="004569F6">
              <w:rPr>
                <w:rFonts w:cs="Arial"/>
                <w:iCs/>
                <w:sz w:val="18"/>
                <w:szCs w:val="18"/>
              </w:rPr>
              <w:t>Lindemann 1889</w:t>
            </w:r>
          </w:p>
          <w:p w:rsidR="00B52BB0" w:rsidRPr="004569F6" w:rsidRDefault="00B52BB0" w:rsidP="003E074D">
            <w:pPr>
              <w:spacing w:before="60" w:after="60" w:line="240" w:lineRule="auto"/>
              <w:rPr>
                <w:rFonts w:cs="Arial"/>
                <w:iCs/>
                <w:sz w:val="18"/>
                <w:szCs w:val="18"/>
              </w:rPr>
            </w:pPr>
            <w:r w:rsidRPr="004569F6">
              <w:rPr>
                <w:rFonts w:cs="Arial"/>
                <w:iCs/>
                <w:sz w:val="18"/>
                <w:szCs w:val="18"/>
              </w:rPr>
              <w:t>[Thripidae]</w:t>
            </w:r>
          </w:p>
          <w:p w:rsidR="00B52BB0" w:rsidRPr="007E70AF" w:rsidRDefault="00B52BB0" w:rsidP="003E074D">
            <w:pPr>
              <w:pStyle w:val="TableText"/>
              <w:rPr>
                <w:i/>
                <w:lang w:val="en-US"/>
              </w:rPr>
            </w:pPr>
            <w:r w:rsidRPr="004569F6">
              <w:rPr>
                <w:rFonts w:cs="Arial"/>
                <w:iCs/>
                <w:szCs w:val="18"/>
              </w:rPr>
              <w:t>Onion thrips</w:t>
            </w:r>
          </w:p>
        </w:tc>
        <w:tc>
          <w:tcPr>
            <w:tcW w:w="715" w:type="pct"/>
            <w:shd w:val="clear" w:color="auto" w:fill="auto"/>
          </w:tcPr>
          <w:p w:rsidR="00B52BB0" w:rsidRPr="007E70AF" w:rsidRDefault="00B52BB0" w:rsidP="003E074D">
            <w:pPr>
              <w:pStyle w:val="TableText"/>
              <w:rPr>
                <w:sz w:val="16"/>
              </w:rPr>
            </w:pPr>
            <w:r w:rsidRPr="000E0F74">
              <w:t xml:space="preserve">Yes. </w:t>
            </w:r>
            <w:r>
              <w:rPr>
                <w:noProof/>
              </w:rPr>
              <w:t>(PPD 2017)</w:t>
            </w:r>
          </w:p>
        </w:tc>
        <w:tc>
          <w:tcPr>
            <w:tcW w:w="714" w:type="pct"/>
            <w:shd w:val="clear" w:color="auto" w:fill="auto"/>
          </w:tcPr>
          <w:p w:rsidR="00B52BB0" w:rsidRPr="007E70AF" w:rsidRDefault="00B52BB0" w:rsidP="003E074D">
            <w:pPr>
              <w:pStyle w:val="TableText"/>
              <w:rPr>
                <w:sz w:val="16"/>
              </w:rPr>
            </w:pPr>
            <w:r w:rsidRPr="000E0F74">
              <w:t xml:space="preserve">Yes. Widespread </w:t>
            </w:r>
            <w:r>
              <w:rPr>
                <w:noProof/>
              </w:rPr>
              <w:t>(Australian Government Department of Agriculture and Water Resources 2017)</w:t>
            </w:r>
            <w:r w:rsidRPr="000E0F74">
              <w:t xml:space="preserve">. However, assessed as a vector of emerging quarantine orthotospoviruses </w:t>
            </w:r>
            <w:r>
              <w:rPr>
                <w:noProof/>
              </w:rPr>
              <w:t>(Australian Government Department of Agriculture and Water Resources 2017)</w:t>
            </w:r>
            <w:r w:rsidRPr="000E0F74">
              <w:t>.</w:t>
            </w:r>
          </w:p>
        </w:tc>
        <w:tc>
          <w:tcPr>
            <w:tcW w:w="714" w:type="pct"/>
            <w:shd w:val="clear" w:color="auto" w:fill="auto"/>
          </w:tcPr>
          <w:p w:rsidR="00B52BB0" w:rsidRPr="007E70AF" w:rsidRDefault="00B52BB0" w:rsidP="003E074D">
            <w:pPr>
              <w:pStyle w:val="TableText"/>
              <w:rPr>
                <w:sz w:val="16"/>
              </w:rPr>
            </w:pPr>
            <w:r w:rsidRPr="000E0F74">
              <w:t xml:space="preserve">Yes. This species is known to be associated with longan </w:t>
            </w:r>
            <w:r>
              <w:rPr>
                <w:noProof/>
              </w:rPr>
              <w:t>(PPD 2017)</w:t>
            </w:r>
            <w:r w:rsidRPr="000E0F74">
              <w:t xml:space="preserve"> and has been intercepted on commercial consignments of other types of fresh fruit imported into Australia despite its feeding and breeding preference for young leaves.</w:t>
            </w:r>
          </w:p>
        </w:tc>
        <w:tc>
          <w:tcPr>
            <w:tcW w:w="714" w:type="pct"/>
            <w:shd w:val="clear" w:color="auto" w:fill="auto"/>
          </w:tcPr>
          <w:p w:rsidR="00B52BB0" w:rsidRPr="007E70AF" w:rsidRDefault="00B52BB0" w:rsidP="003E074D">
            <w:pPr>
              <w:pStyle w:val="TableText"/>
            </w:pPr>
            <w:r w:rsidRPr="000E0F74">
              <w:t xml:space="preserve">Not applicable to </w:t>
            </w:r>
            <w:r>
              <w:t>vector</w:t>
            </w:r>
            <w:r w:rsidRPr="000E0F74">
              <w:t xml:space="preserve">. However, the emerging quarantine orthotospoviruses vectored by this thrips have potential for establishment and spread </w:t>
            </w:r>
            <w:r>
              <w:rPr>
                <w:noProof/>
              </w:rPr>
              <w:t>(Australian Government Department of Agriculture and Water Resources 2017)</w:t>
            </w:r>
            <w:r w:rsidRPr="000E0F74">
              <w:t>.</w:t>
            </w:r>
          </w:p>
        </w:tc>
        <w:tc>
          <w:tcPr>
            <w:tcW w:w="714" w:type="pct"/>
            <w:shd w:val="clear" w:color="auto" w:fill="auto"/>
          </w:tcPr>
          <w:p w:rsidR="00B52BB0" w:rsidRPr="007E70AF" w:rsidRDefault="00B52BB0" w:rsidP="003E074D">
            <w:pPr>
              <w:pStyle w:val="TableText"/>
            </w:pPr>
            <w:r w:rsidRPr="000E0F74">
              <w:t xml:space="preserve">Not applicable to </w:t>
            </w:r>
            <w:r>
              <w:t>vector</w:t>
            </w:r>
            <w:r w:rsidRPr="000E0F74">
              <w:t xml:space="preserve">. However, the emerging quarantine orthotospoviruses vectored by this thrips have potential for consequences </w:t>
            </w:r>
            <w:r>
              <w:rPr>
                <w:noProof/>
              </w:rPr>
              <w:t>(Australian Government Department of Agriculture and Water Resources 2017)</w:t>
            </w:r>
            <w:r w:rsidRPr="000E0F74">
              <w:t>.</w:t>
            </w:r>
          </w:p>
        </w:tc>
        <w:tc>
          <w:tcPr>
            <w:tcW w:w="714" w:type="pct"/>
            <w:shd w:val="clear" w:color="auto" w:fill="auto"/>
          </w:tcPr>
          <w:p w:rsidR="00B52BB0" w:rsidRPr="007E70AF" w:rsidRDefault="00B52BB0" w:rsidP="003E074D">
            <w:pPr>
              <w:pStyle w:val="TableText"/>
            </w:pPr>
            <w:r w:rsidRPr="000E0F74">
              <w:t xml:space="preserve">Thrips group PRA applied </w:t>
            </w:r>
            <w:r>
              <w:rPr>
                <w:noProof/>
              </w:rPr>
              <w:t>(Australian Government Department of Agriculture and Water Resources 2017)</w:t>
            </w:r>
            <w:r w:rsidRPr="000E0F74">
              <w:t>.</w:t>
            </w:r>
          </w:p>
        </w:tc>
      </w:tr>
      <w:tr w:rsidR="00B52BB0" w:rsidRPr="007E70AF" w:rsidTr="003E074D">
        <w:trPr>
          <w:cantSplit/>
          <w:trHeight w:val="75"/>
          <w:jc w:val="center"/>
        </w:trPr>
        <w:tc>
          <w:tcPr>
            <w:tcW w:w="5000" w:type="pct"/>
            <w:gridSpan w:val="7"/>
            <w:shd w:val="clear" w:color="auto" w:fill="auto"/>
          </w:tcPr>
          <w:p w:rsidR="00B52BB0" w:rsidRPr="007E70AF" w:rsidRDefault="00B52BB0" w:rsidP="003E074D">
            <w:pPr>
              <w:pStyle w:val="TableText"/>
              <w:keepNext/>
            </w:pPr>
            <w:r>
              <w:lastRenderedPageBreak/>
              <w:t>Trombidiformes</w:t>
            </w:r>
          </w:p>
        </w:tc>
      </w:tr>
      <w:tr w:rsidR="00B52BB0" w:rsidRPr="007E70AF" w:rsidTr="003E074D">
        <w:trPr>
          <w:cantSplit/>
          <w:trHeight w:val="75"/>
          <w:jc w:val="center"/>
        </w:trPr>
        <w:tc>
          <w:tcPr>
            <w:tcW w:w="715" w:type="pct"/>
            <w:shd w:val="clear" w:color="auto" w:fill="auto"/>
          </w:tcPr>
          <w:p w:rsidR="00B52BB0" w:rsidRPr="004569F6" w:rsidRDefault="00B52BB0" w:rsidP="003E074D">
            <w:pPr>
              <w:spacing w:before="60" w:after="60" w:line="240" w:lineRule="auto"/>
              <w:rPr>
                <w:rFonts w:cs="Arial"/>
                <w:iCs/>
                <w:sz w:val="18"/>
                <w:szCs w:val="18"/>
              </w:rPr>
            </w:pPr>
            <w:r w:rsidRPr="00C11078">
              <w:rPr>
                <w:rFonts w:cs="Arial"/>
                <w:i/>
                <w:sz w:val="18"/>
                <w:szCs w:val="18"/>
              </w:rPr>
              <w:t xml:space="preserve">Aceria litchii </w:t>
            </w:r>
            <w:r w:rsidRPr="004569F6">
              <w:rPr>
                <w:rFonts w:cs="Arial"/>
                <w:iCs/>
                <w:sz w:val="18"/>
                <w:szCs w:val="18"/>
              </w:rPr>
              <w:t>(Keifer, 1943)</w:t>
            </w:r>
          </w:p>
          <w:p w:rsidR="00B52BB0" w:rsidRPr="004569F6" w:rsidRDefault="00B52BB0" w:rsidP="003E074D">
            <w:pPr>
              <w:spacing w:before="60" w:after="60" w:line="240" w:lineRule="auto"/>
              <w:rPr>
                <w:rFonts w:cs="Arial"/>
                <w:iCs/>
                <w:sz w:val="18"/>
                <w:szCs w:val="18"/>
              </w:rPr>
            </w:pPr>
            <w:r w:rsidRPr="004569F6">
              <w:rPr>
                <w:rFonts w:cs="Arial"/>
                <w:iCs/>
                <w:sz w:val="18"/>
                <w:szCs w:val="18"/>
              </w:rPr>
              <w:t xml:space="preserve">Synonym: </w:t>
            </w:r>
            <w:r w:rsidRPr="00C11078">
              <w:rPr>
                <w:rFonts w:cs="Arial"/>
                <w:i/>
                <w:sz w:val="18"/>
                <w:szCs w:val="18"/>
              </w:rPr>
              <w:t xml:space="preserve">Eriophyes litchii </w:t>
            </w:r>
            <w:r w:rsidRPr="004569F6">
              <w:rPr>
                <w:rFonts w:cs="Arial"/>
                <w:iCs/>
                <w:sz w:val="18"/>
                <w:szCs w:val="18"/>
              </w:rPr>
              <w:t>Keifer, 1943</w:t>
            </w:r>
          </w:p>
          <w:p w:rsidR="00B52BB0" w:rsidRPr="004569F6" w:rsidRDefault="00B52BB0" w:rsidP="003E074D">
            <w:pPr>
              <w:spacing w:before="60" w:after="60" w:line="240" w:lineRule="auto"/>
              <w:rPr>
                <w:rFonts w:cs="Arial"/>
                <w:iCs/>
                <w:sz w:val="18"/>
                <w:szCs w:val="18"/>
              </w:rPr>
            </w:pPr>
            <w:r w:rsidRPr="004569F6">
              <w:rPr>
                <w:rFonts w:cs="Arial"/>
                <w:iCs/>
                <w:sz w:val="18"/>
                <w:szCs w:val="18"/>
              </w:rPr>
              <w:t>[Eriophyidae]</w:t>
            </w:r>
          </w:p>
          <w:p w:rsidR="00B52BB0" w:rsidRPr="007E70AF" w:rsidRDefault="00B52BB0" w:rsidP="003E074D">
            <w:pPr>
              <w:pStyle w:val="TableText"/>
              <w:rPr>
                <w:i/>
                <w:lang w:val="pt-BR"/>
              </w:rPr>
            </w:pPr>
            <w:r w:rsidRPr="004569F6">
              <w:rPr>
                <w:rFonts w:cs="Arial"/>
                <w:iCs/>
                <w:szCs w:val="18"/>
              </w:rPr>
              <w:t>Litchi gall mite</w:t>
            </w:r>
          </w:p>
        </w:tc>
        <w:tc>
          <w:tcPr>
            <w:tcW w:w="715" w:type="pct"/>
            <w:shd w:val="clear" w:color="auto" w:fill="auto"/>
          </w:tcPr>
          <w:p w:rsidR="00B52BB0" w:rsidRPr="007E70AF" w:rsidRDefault="00B52BB0" w:rsidP="003E074D">
            <w:pPr>
              <w:pStyle w:val="TableText"/>
              <w:rPr>
                <w:lang w:val="pt-BR"/>
              </w:rPr>
            </w:pPr>
            <w:r w:rsidRPr="00E27502">
              <w:t xml:space="preserve">Yes </w:t>
            </w:r>
            <w:r>
              <w:rPr>
                <w:noProof/>
              </w:rPr>
              <w:t>(PPD 2017)</w:t>
            </w:r>
          </w:p>
        </w:tc>
        <w:tc>
          <w:tcPr>
            <w:tcW w:w="714" w:type="pct"/>
            <w:shd w:val="clear" w:color="auto" w:fill="auto"/>
          </w:tcPr>
          <w:p w:rsidR="00B52BB0" w:rsidRPr="007E70AF" w:rsidRDefault="00B52BB0" w:rsidP="003E074D">
            <w:pPr>
              <w:pStyle w:val="TableText"/>
              <w:rPr>
                <w:szCs w:val="16"/>
              </w:rPr>
            </w:pPr>
            <w:r w:rsidRPr="00E27502">
              <w:t xml:space="preserve">Yes. NSW, NT, Qld </w:t>
            </w:r>
            <w:r>
              <w:rPr>
                <w:noProof/>
              </w:rPr>
              <w:t>(Plant Health Australia 2019; Waite 1999)</w:t>
            </w:r>
          </w:p>
        </w:tc>
        <w:tc>
          <w:tcPr>
            <w:tcW w:w="714" w:type="pct"/>
            <w:shd w:val="clear" w:color="auto" w:fill="auto"/>
          </w:tcPr>
          <w:p w:rsidR="00B52BB0" w:rsidRPr="007E70AF" w:rsidRDefault="00B52BB0" w:rsidP="003E074D">
            <w:pPr>
              <w:pStyle w:val="TableText"/>
            </w:pPr>
            <w:r w:rsidRPr="00E27502">
              <w:t>Assessment not required</w:t>
            </w:r>
          </w:p>
        </w:tc>
        <w:tc>
          <w:tcPr>
            <w:tcW w:w="714" w:type="pct"/>
            <w:shd w:val="clear" w:color="auto" w:fill="auto"/>
          </w:tcPr>
          <w:p w:rsidR="00B52BB0" w:rsidRPr="007E70AF" w:rsidRDefault="00B52BB0" w:rsidP="003E074D">
            <w:pPr>
              <w:pStyle w:val="TableText"/>
            </w:pPr>
            <w:r w:rsidRPr="00E27502">
              <w:t>Assessment not required</w:t>
            </w:r>
          </w:p>
        </w:tc>
        <w:tc>
          <w:tcPr>
            <w:tcW w:w="714" w:type="pct"/>
            <w:shd w:val="clear" w:color="auto" w:fill="auto"/>
          </w:tcPr>
          <w:p w:rsidR="00B52BB0" w:rsidRPr="007E70AF" w:rsidRDefault="00B52BB0" w:rsidP="003E074D">
            <w:pPr>
              <w:pStyle w:val="TableText"/>
            </w:pPr>
            <w:r w:rsidRPr="00E27502">
              <w:t>Assessment not required</w:t>
            </w:r>
          </w:p>
        </w:tc>
        <w:tc>
          <w:tcPr>
            <w:tcW w:w="714" w:type="pct"/>
            <w:shd w:val="clear" w:color="auto" w:fill="auto"/>
          </w:tcPr>
          <w:p w:rsidR="00B52BB0" w:rsidRPr="007E70AF" w:rsidRDefault="00B52BB0" w:rsidP="003E074D">
            <w:pPr>
              <w:pStyle w:val="TableText"/>
            </w:pPr>
            <w:r w:rsidRPr="00E27502">
              <w:t>No</w:t>
            </w:r>
          </w:p>
        </w:tc>
      </w:tr>
      <w:tr w:rsidR="00B52BB0" w:rsidRPr="007E70AF" w:rsidTr="003E074D">
        <w:trPr>
          <w:cantSplit/>
          <w:trHeight w:val="75"/>
          <w:jc w:val="center"/>
        </w:trPr>
        <w:tc>
          <w:tcPr>
            <w:tcW w:w="715" w:type="pct"/>
            <w:shd w:val="clear" w:color="auto" w:fill="auto"/>
          </w:tcPr>
          <w:p w:rsidR="00B52BB0" w:rsidRPr="004569F6" w:rsidRDefault="00B52BB0" w:rsidP="003E074D">
            <w:pPr>
              <w:pStyle w:val="TableText"/>
              <w:rPr>
                <w:rFonts w:cs="Arial"/>
                <w:szCs w:val="18"/>
                <w:lang w:val="en"/>
              </w:rPr>
            </w:pPr>
            <w:r w:rsidRPr="00C11078">
              <w:rPr>
                <w:rFonts w:cs="Arial"/>
                <w:i/>
                <w:iCs/>
                <w:szCs w:val="18"/>
                <w:lang w:val="en"/>
              </w:rPr>
              <w:t xml:space="preserve">Eriophyes dimocarpi </w:t>
            </w:r>
            <w:r w:rsidRPr="004569F6">
              <w:rPr>
                <w:rFonts w:cs="Arial"/>
                <w:szCs w:val="18"/>
                <w:lang w:val="en"/>
              </w:rPr>
              <w:t>Kuang, 1997</w:t>
            </w:r>
          </w:p>
          <w:p w:rsidR="00B52BB0" w:rsidRPr="004569F6" w:rsidRDefault="00B52BB0" w:rsidP="003E074D">
            <w:pPr>
              <w:pStyle w:val="TableText"/>
              <w:rPr>
                <w:rFonts w:cs="Arial"/>
                <w:szCs w:val="18"/>
                <w:lang w:val="en"/>
              </w:rPr>
            </w:pPr>
            <w:r w:rsidRPr="004569F6">
              <w:rPr>
                <w:rFonts w:cs="Arial"/>
                <w:szCs w:val="18"/>
                <w:lang w:val="en"/>
              </w:rPr>
              <w:t>[Eriophyidae]</w:t>
            </w:r>
          </w:p>
          <w:p w:rsidR="00B52BB0" w:rsidRPr="007E70AF" w:rsidRDefault="00B52BB0" w:rsidP="003E074D">
            <w:pPr>
              <w:pStyle w:val="TableText"/>
              <w:rPr>
                <w:i/>
                <w:lang w:val="pt-BR"/>
              </w:rPr>
            </w:pPr>
            <w:r w:rsidRPr="004569F6">
              <w:rPr>
                <w:rFonts w:cs="Arial"/>
                <w:szCs w:val="18"/>
                <w:lang w:val="en"/>
              </w:rPr>
              <w:t>Longan gall mite</w:t>
            </w:r>
          </w:p>
        </w:tc>
        <w:tc>
          <w:tcPr>
            <w:tcW w:w="715" w:type="pct"/>
            <w:shd w:val="clear" w:color="auto" w:fill="auto"/>
          </w:tcPr>
          <w:p w:rsidR="00B52BB0" w:rsidRPr="007E70AF" w:rsidRDefault="00B52BB0" w:rsidP="003E074D">
            <w:pPr>
              <w:pStyle w:val="TableText"/>
              <w:rPr>
                <w:lang w:val="pt-BR"/>
              </w:rPr>
            </w:pPr>
            <w:r w:rsidRPr="001F4BD3">
              <w:t xml:space="preserve">Yes </w:t>
            </w:r>
            <w:r>
              <w:rPr>
                <w:noProof/>
              </w:rPr>
              <w:t>(Mo et al. 2017)</w:t>
            </w:r>
          </w:p>
        </w:tc>
        <w:tc>
          <w:tcPr>
            <w:tcW w:w="714" w:type="pct"/>
            <w:shd w:val="clear" w:color="auto" w:fill="auto"/>
          </w:tcPr>
          <w:p w:rsidR="00B52BB0" w:rsidRPr="007E70AF" w:rsidRDefault="00B52BB0" w:rsidP="003E074D">
            <w:pPr>
              <w:pStyle w:val="TableText"/>
              <w:rPr>
                <w:szCs w:val="16"/>
              </w:rPr>
            </w:pPr>
            <w:r w:rsidRPr="001F4BD3">
              <w:t>No records found</w:t>
            </w:r>
          </w:p>
        </w:tc>
        <w:tc>
          <w:tcPr>
            <w:tcW w:w="714" w:type="pct"/>
            <w:shd w:val="clear" w:color="auto" w:fill="auto"/>
          </w:tcPr>
          <w:p w:rsidR="00B52BB0" w:rsidRPr="007E70AF" w:rsidRDefault="00B52BB0" w:rsidP="003E074D">
            <w:pPr>
              <w:pStyle w:val="TableText"/>
            </w:pPr>
            <w:r w:rsidRPr="001F4BD3">
              <w:t xml:space="preserve">No. </w:t>
            </w:r>
            <w:r w:rsidRPr="00264375">
              <w:rPr>
                <w:i/>
                <w:iCs/>
              </w:rPr>
              <w:t>Eriophyes dimocarpi</w:t>
            </w:r>
            <w:r w:rsidRPr="001F4BD3">
              <w:t xml:space="preserve"> feeds on leaves and is not associated with the longan fruit export pathway </w:t>
            </w:r>
            <w:r>
              <w:rPr>
                <w:noProof/>
              </w:rPr>
              <w:t>(USDA-APHIS 2007)</w:t>
            </w:r>
            <w:r w:rsidRPr="001F4BD3">
              <w:t>.</w:t>
            </w:r>
          </w:p>
        </w:tc>
        <w:tc>
          <w:tcPr>
            <w:tcW w:w="714" w:type="pct"/>
            <w:shd w:val="clear" w:color="auto" w:fill="auto"/>
          </w:tcPr>
          <w:p w:rsidR="00B52BB0" w:rsidRPr="007E70AF" w:rsidRDefault="00B52BB0" w:rsidP="003E074D">
            <w:pPr>
              <w:pStyle w:val="TableText"/>
            </w:pPr>
            <w:r w:rsidRPr="001F4BD3">
              <w:t xml:space="preserve">Assessment not required </w:t>
            </w:r>
          </w:p>
        </w:tc>
        <w:tc>
          <w:tcPr>
            <w:tcW w:w="714" w:type="pct"/>
            <w:shd w:val="clear" w:color="auto" w:fill="auto"/>
          </w:tcPr>
          <w:p w:rsidR="00B52BB0" w:rsidRPr="007E70AF" w:rsidRDefault="00B52BB0" w:rsidP="003E074D">
            <w:pPr>
              <w:pStyle w:val="TableText"/>
            </w:pPr>
            <w:r w:rsidRPr="001F4BD3">
              <w:t>Assessment not required</w:t>
            </w:r>
          </w:p>
        </w:tc>
        <w:tc>
          <w:tcPr>
            <w:tcW w:w="714" w:type="pct"/>
            <w:shd w:val="clear" w:color="auto" w:fill="auto"/>
          </w:tcPr>
          <w:p w:rsidR="00B52BB0" w:rsidRPr="007E70AF" w:rsidRDefault="00B52BB0" w:rsidP="003E074D">
            <w:pPr>
              <w:pStyle w:val="TableText"/>
            </w:pPr>
            <w:r w:rsidRPr="001F4BD3">
              <w:t>No</w:t>
            </w:r>
          </w:p>
        </w:tc>
      </w:tr>
      <w:tr w:rsidR="00B52BB0" w:rsidRPr="007E70AF"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Arial,Italic"/>
                <w:sz w:val="18"/>
                <w:szCs w:val="18"/>
                <w:lang w:eastAsia="en-AU"/>
              </w:rPr>
            </w:pPr>
            <w:r w:rsidRPr="00C11078">
              <w:rPr>
                <w:rFonts w:eastAsia="Cambria" w:cs="Arial,Italic"/>
                <w:i/>
                <w:iCs/>
                <w:sz w:val="18"/>
                <w:szCs w:val="18"/>
                <w:lang w:eastAsia="en-AU"/>
              </w:rPr>
              <w:t xml:space="preserve">Oligonychus biharensis </w:t>
            </w:r>
            <w:r w:rsidRPr="004569F6">
              <w:rPr>
                <w:rFonts w:eastAsia="Cambria" w:cs="Arial,Italic"/>
                <w:sz w:val="18"/>
                <w:szCs w:val="18"/>
                <w:lang w:eastAsia="en-AU"/>
              </w:rPr>
              <w:t>(Hirst, 1924)</w:t>
            </w:r>
          </w:p>
          <w:p w:rsidR="00B52BB0" w:rsidRPr="004569F6" w:rsidRDefault="00B52BB0" w:rsidP="003E074D">
            <w:pPr>
              <w:autoSpaceDE w:val="0"/>
              <w:autoSpaceDN w:val="0"/>
              <w:adjustRightInd w:val="0"/>
              <w:spacing w:before="60" w:after="60" w:line="240" w:lineRule="auto"/>
              <w:rPr>
                <w:rFonts w:eastAsia="Cambria" w:cs="Arial,Italic"/>
                <w:sz w:val="18"/>
                <w:szCs w:val="18"/>
                <w:lang w:eastAsia="en-AU"/>
              </w:rPr>
            </w:pPr>
            <w:r w:rsidRPr="004569F6">
              <w:rPr>
                <w:rFonts w:eastAsia="Cambria" w:cs="Arial,Italic"/>
                <w:sz w:val="18"/>
                <w:szCs w:val="18"/>
                <w:lang w:eastAsia="en-AU"/>
              </w:rPr>
              <w:t xml:space="preserve">Synonym: </w:t>
            </w:r>
            <w:r w:rsidRPr="00C11078">
              <w:rPr>
                <w:rFonts w:eastAsia="Cambria" w:cs="Arial,Italic"/>
                <w:i/>
                <w:iCs/>
                <w:sz w:val="18"/>
                <w:szCs w:val="18"/>
                <w:lang w:eastAsia="en-AU"/>
              </w:rPr>
              <w:t xml:space="preserve">Paratetranychus biharensis </w:t>
            </w:r>
            <w:r w:rsidRPr="004569F6">
              <w:rPr>
                <w:rFonts w:eastAsia="Cambria" w:cs="Arial,Italic"/>
                <w:sz w:val="18"/>
                <w:szCs w:val="18"/>
                <w:lang w:eastAsia="en-AU"/>
              </w:rPr>
              <w:t>Hirst, 1924</w:t>
            </w:r>
          </w:p>
          <w:p w:rsidR="00B52BB0" w:rsidRPr="004569F6" w:rsidRDefault="00B52BB0" w:rsidP="003E074D">
            <w:pPr>
              <w:autoSpaceDE w:val="0"/>
              <w:autoSpaceDN w:val="0"/>
              <w:adjustRightInd w:val="0"/>
              <w:spacing w:before="60" w:after="60" w:line="240" w:lineRule="auto"/>
              <w:rPr>
                <w:rFonts w:eastAsia="Cambria" w:cs="Arial,Italic"/>
                <w:sz w:val="18"/>
                <w:szCs w:val="18"/>
                <w:lang w:eastAsia="en-AU"/>
              </w:rPr>
            </w:pPr>
            <w:r w:rsidRPr="004569F6">
              <w:rPr>
                <w:rFonts w:eastAsia="Cambria" w:cs="Arial,Italic"/>
                <w:sz w:val="18"/>
                <w:szCs w:val="18"/>
                <w:lang w:eastAsia="en-AU"/>
              </w:rPr>
              <w:t>[Tetranychidae]</w:t>
            </w:r>
          </w:p>
          <w:p w:rsidR="00B52BB0" w:rsidRPr="007E70AF" w:rsidRDefault="00B52BB0" w:rsidP="003E074D">
            <w:pPr>
              <w:pStyle w:val="TableText"/>
              <w:rPr>
                <w:i/>
                <w:lang w:val="en-US"/>
              </w:rPr>
            </w:pPr>
            <w:r w:rsidRPr="004569F6">
              <w:rPr>
                <w:rFonts w:eastAsia="Cambria" w:cs="Arial,Italic"/>
                <w:szCs w:val="18"/>
                <w:lang w:eastAsia="en-AU"/>
              </w:rPr>
              <w:t>Cassava red mite</w:t>
            </w:r>
          </w:p>
        </w:tc>
        <w:tc>
          <w:tcPr>
            <w:tcW w:w="715" w:type="pct"/>
            <w:shd w:val="clear" w:color="auto" w:fill="auto"/>
          </w:tcPr>
          <w:p w:rsidR="00B52BB0" w:rsidRPr="007E70AF" w:rsidRDefault="00B52BB0" w:rsidP="003E074D">
            <w:pPr>
              <w:pStyle w:val="TableText"/>
              <w:rPr>
                <w:sz w:val="16"/>
              </w:rPr>
            </w:pPr>
            <w:r w:rsidRPr="0000362C">
              <w:t xml:space="preserve">Yes </w:t>
            </w:r>
            <w:r>
              <w:rPr>
                <w:noProof/>
              </w:rPr>
              <w:t>(Vacante 2016)</w:t>
            </w:r>
          </w:p>
        </w:tc>
        <w:tc>
          <w:tcPr>
            <w:tcW w:w="714" w:type="pct"/>
            <w:shd w:val="clear" w:color="auto" w:fill="auto"/>
          </w:tcPr>
          <w:p w:rsidR="00B52BB0" w:rsidRDefault="00B52BB0" w:rsidP="003E074D">
            <w:pPr>
              <w:pStyle w:val="TableText"/>
            </w:pPr>
            <w:r w:rsidRPr="0000362C">
              <w:t xml:space="preserve">Yes. Qld </w:t>
            </w:r>
            <w:r>
              <w:rPr>
                <w:noProof/>
              </w:rPr>
              <w:t>(Halliday 2000)</w:t>
            </w:r>
            <w:r w:rsidRPr="0000362C">
              <w:t>.</w:t>
            </w:r>
          </w:p>
          <w:p w:rsidR="00B52BB0" w:rsidRPr="007E70AF" w:rsidRDefault="00B52BB0" w:rsidP="003E074D">
            <w:pPr>
              <w:pStyle w:val="TableText"/>
              <w:rPr>
                <w:sz w:val="16"/>
              </w:rPr>
            </w:pPr>
            <w:r w:rsidRPr="0000362C">
              <w:t>Regulated as a Declared Organism (Prohibited (s</w:t>
            </w:r>
            <w:r>
              <w:t>. </w:t>
            </w:r>
            <w:r w:rsidRPr="0000362C">
              <w:t xml:space="preserve">12)) </w:t>
            </w:r>
            <w:r>
              <w:t>by</w:t>
            </w:r>
            <w:r w:rsidRPr="0000362C">
              <w:t xml:space="preserve"> WA </w:t>
            </w:r>
            <w:r>
              <w:t xml:space="preserve">under the </w:t>
            </w:r>
            <w:r w:rsidRPr="00FB7746">
              <w:rPr>
                <w:i/>
              </w:rPr>
              <w:t>Biosecurity and Agriculture Management Act 2007</w:t>
            </w:r>
            <w:r w:rsidRPr="0000362C">
              <w:t xml:space="preserve"> </w:t>
            </w:r>
            <w:r>
              <w:rPr>
                <w:noProof/>
              </w:rPr>
              <w:t>(Government of Western Australia 2018)</w:t>
            </w:r>
            <w:r w:rsidRPr="0000362C">
              <w:t>.</w:t>
            </w:r>
          </w:p>
        </w:tc>
        <w:tc>
          <w:tcPr>
            <w:tcW w:w="714" w:type="pct"/>
            <w:shd w:val="clear" w:color="auto" w:fill="auto"/>
          </w:tcPr>
          <w:p w:rsidR="00B52BB0" w:rsidRPr="007E70AF" w:rsidRDefault="00B52BB0" w:rsidP="003E074D">
            <w:pPr>
              <w:pStyle w:val="TableText"/>
              <w:rPr>
                <w:sz w:val="16"/>
              </w:rPr>
            </w:pPr>
            <w:r w:rsidRPr="0000362C">
              <w:t xml:space="preserve">No. This mite feeds on leaves and rarely leaves the shelter of webs spun on the leaves of its host </w:t>
            </w:r>
            <w:r>
              <w:rPr>
                <w:noProof/>
              </w:rPr>
              <w:t>(Vacante 2016)</w:t>
            </w:r>
            <w:r w:rsidRPr="0000362C">
              <w:t>.</w:t>
            </w:r>
          </w:p>
        </w:tc>
        <w:tc>
          <w:tcPr>
            <w:tcW w:w="714" w:type="pct"/>
            <w:shd w:val="clear" w:color="auto" w:fill="auto"/>
          </w:tcPr>
          <w:p w:rsidR="00B52BB0" w:rsidRPr="007E70AF" w:rsidRDefault="00B52BB0" w:rsidP="003E074D">
            <w:pPr>
              <w:pStyle w:val="TableText"/>
            </w:pPr>
            <w:r w:rsidRPr="0000362C">
              <w:t>Assessment not required</w:t>
            </w:r>
          </w:p>
        </w:tc>
        <w:tc>
          <w:tcPr>
            <w:tcW w:w="714" w:type="pct"/>
            <w:shd w:val="clear" w:color="auto" w:fill="auto"/>
          </w:tcPr>
          <w:p w:rsidR="00B52BB0" w:rsidRPr="007E70AF" w:rsidRDefault="00B52BB0" w:rsidP="003E074D">
            <w:pPr>
              <w:pStyle w:val="TableText"/>
            </w:pPr>
            <w:r w:rsidRPr="0000362C">
              <w:t>Assessment not required</w:t>
            </w:r>
          </w:p>
        </w:tc>
        <w:tc>
          <w:tcPr>
            <w:tcW w:w="714" w:type="pct"/>
            <w:shd w:val="clear" w:color="auto" w:fill="auto"/>
          </w:tcPr>
          <w:p w:rsidR="00B52BB0" w:rsidRPr="007E70AF" w:rsidRDefault="00B52BB0" w:rsidP="003E074D">
            <w:pPr>
              <w:pStyle w:val="TableText"/>
            </w:pPr>
            <w:r w:rsidRPr="0000362C">
              <w:t>No</w:t>
            </w:r>
          </w:p>
        </w:tc>
      </w:tr>
      <w:tr w:rsidR="00B52BB0" w:rsidRPr="007E70AF" w:rsidTr="003E074D">
        <w:trPr>
          <w:cantSplit/>
          <w:trHeight w:val="75"/>
          <w:jc w:val="center"/>
        </w:trPr>
        <w:tc>
          <w:tcPr>
            <w:tcW w:w="715" w:type="pct"/>
            <w:shd w:val="clear" w:color="auto" w:fill="auto"/>
          </w:tcPr>
          <w:p w:rsidR="00B52BB0" w:rsidRPr="004569F6" w:rsidRDefault="00B52BB0" w:rsidP="003E074D">
            <w:pPr>
              <w:autoSpaceDE w:val="0"/>
              <w:autoSpaceDN w:val="0"/>
              <w:adjustRightInd w:val="0"/>
              <w:spacing w:before="60" w:after="60" w:line="240" w:lineRule="auto"/>
              <w:rPr>
                <w:rFonts w:eastAsia="Cambria" w:cs="Arial"/>
                <w:sz w:val="18"/>
                <w:szCs w:val="18"/>
                <w:lang w:eastAsia="en-AU"/>
              </w:rPr>
            </w:pPr>
            <w:r w:rsidRPr="00C11078">
              <w:rPr>
                <w:rFonts w:eastAsia="Cambria" w:cs="Arial"/>
                <w:i/>
                <w:iCs/>
                <w:sz w:val="18"/>
                <w:szCs w:val="18"/>
                <w:lang w:eastAsia="en-AU"/>
              </w:rPr>
              <w:lastRenderedPageBreak/>
              <w:t xml:space="preserve">Oligonychus coffeae </w:t>
            </w:r>
            <w:r w:rsidRPr="004569F6">
              <w:rPr>
                <w:rFonts w:eastAsia="Cambria" w:cs="Arial"/>
                <w:sz w:val="18"/>
                <w:szCs w:val="18"/>
                <w:lang w:eastAsia="en-AU"/>
              </w:rPr>
              <w:t>(Nietner, 1861)</w:t>
            </w:r>
          </w:p>
          <w:p w:rsidR="00B52BB0" w:rsidRPr="004569F6" w:rsidRDefault="00B52BB0" w:rsidP="003E074D">
            <w:pPr>
              <w:autoSpaceDE w:val="0"/>
              <w:autoSpaceDN w:val="0"/>
              <w:adjustRightInd w:val="0"/>
              <w:spacing w:before="60" w:after="60" w:line="240" w:lineRule="auto"/>
              <w:rPr>
                <w:rFonts w:eastAsia="Cambria" w:cs="Arial"/>
                <w:sz w:val="18"/>
                <w:szCs w:val="18"/>
                <w:lang w:eastAsia="en-AU"/>
              </w:rPr>
            </w:pPr>
            <w:r w:rsidRPr="004569F6">
              <w:rPr>
                <w:rFonts w:eastAsia="Cambria" w:cs="Arial"/>
                <w:sz w:val="18"/>
                <w:szCs w:val="18"/>
                <w:lang w:eastAsia="en-AU"/>
              </w:rPr>
              <w:t>[Tetranychidae]</w:t>
            </w:r>
          </w:p>
          <w:p w:rsidR="00B52BB0" w:rsidRPr="007E70AF" w:rsidRDefault="00B52BB0" w:rsidP="003E074D">
            <w:pPr>
              <w:pStyle w:val="TableText"/>
              <w:rPr>
                <w:i/>
                <w:lang w:val="pt-BR"/>
              </w:rPr>
            </w:pPr>
            <w:r w:rsidRPr="004569F6">
              <w:rPr>
                <w:rFonts w:eastAsia="Cambria" w:cs="Arial"/>
                <w:szCs w:val="18"/>
                <w:lang w:eastAsia="en-AU"/>
              </w:rPr>
              <w:t>Tea red spider mite</w:t>
            </w:r>
          </w:p>
        </w:tc>
        <w:tc>
          <w:tcPr>
            <w:tcW w:w="715" w:type="pct"/>
            <w:shd w:val="clear" w:color="auto" w:fill="auto"/>
          </w:tcPr>
          <w:p w:rsidR="00B52BB0" w:rsidRPr="007E70AF" w:rsidRDefault="00B52BB0" w:rsidP="003E074D">
            <w:pPr>
              <w:pStyle w:val="TableText"/>
              <w:rPr>
                <w:lang w:val="pt-BR"/>
              </w:rPr>
            </w:pPr>
            <w:r w:rsidRPr="00495BFE">
              <w:t xml:space="preserve">Yes </w:t>
            </w:r>
            <w:r>
              <w:rPr>
                <w:noProof/>
              </w:rPr>
              <w:t>(Vacante 2016)</w:t>
            </w:r>
          </w:p>
        </w:tc>
        <w:tc>
          <w:tcPr>
            <w:tcW w:w="714" w:type="pct"/>
            <w:shd w:val="clear" w:color="auto" w:fill="auto"/>
          </w:tcPr>
          <w:p w:rsidR="00B52BB0" w:rsidRDefault="00B52BB0" w:rsidP="003E074D">
            <w:pPr>
              <w:pStyle w:val="TableText"/>
            </w:pPr>
            <w:r w:rsidRPr="00495BFE">
              <w:t xml:space="preserve">Yes. NSW, NT, Qld </w:t>
            </w:r>
            <w:r>
              <w:rPr>
                <w:noProof/>
              </w:rPr>
              <w:t>(Plant Health Australia 2019)</w:t>
            </w:r>
          </w:p>
          <w:p w:rsidR="00B52BB0" w:rsidRPr="007E70AF" w:rsidRDefault="00B52BB0" w:rsidP="003E074D">
            <w:pPr>
              <w:pStyle w:val="TableText"/>
              <w:rPr>
                <w:szCs w:val="16"/>
              </w:rPr>
            </w:pPr>
            <w:r w:rsidRPr="00495BFE">
              <w:t xml:space="preserve">Permitted </w:t>
            </w:r>
            <w:r>
              <w:t>(</w:t>
            </w:r>
            <w:r w:rsidRPr="00495BFE">
              <w:t>s</w:t>
            </w:r>
            <w:r>
              <w:t>. </w:t>
            </w:r>
            <w:r w:rsidRPr="00495BFE">
              <w:t>11</w:t>
            </w:r>
            <w:r>
              <w:t>) by</w:t>
            </w:r>
            <w:r w:rsidRPr="00495BFE">
              <w:t xml:space="preserve"> WA</w:t>
            </w:r>
            <w:r>
              <w:t xml:space="preserve"> under the</w:t>
            </w:r>
            <w:r w:rsidRPr="00495BFE">
              <w:t xml:space="preserve"> </w:t>
            </w:r>
            <w:r w:rsidRPr="00FB7746">
              <w:rPr>
                <w:i/>
              </w:rPr>
              <w:t>Biosecurity and Agriculture Management Act 2007</w:t>
            </w:r>
            <w:r w:rsidRPr="00495BFE">
              <w:t xml:space="preserve"> </w:t>
            </w:r>
            <w:r>
              <w:rPr>
                <w:noProof/>
              </w:rPr>
              <w:t>(Government of Western Australia 2018)</w:t>
            </w:r>
            <w:r w:rsidRPr="00495BFE">
              <w:t>.</w:t>
            </w:r>
          </w:p>
        </w:tc>
        <w:tc>
          <w:tcPr>
            <w:tcW w:w="714" w:type="pct"/>
            <w:shd w:val="clear" w:color="auto" w:fill="auto"/>
          </w:tcPr>
          <w:p w:rsidR="00B52BB0" w:rsidRPr="007E70AF" w:rsidRDefault="00B52BB0" w:rsidP="003E074D">
            <w:pPr>
              <w:pStyle w:val="TableText"/>
            </w:pPr>
            <w:r w:rsidRPr="00495BFE">
              <w:t>Assessment not required</w:t>
            </w:r>
          </w:p>
        </w:tc>
        <w:tc>
          <w:tcPr>
            <w:tcW w:w="714" w:type="pct"/>
            <w:shd w:val="clear" w:color="auto" w:fill="auto"/>
          </w:tcPr>
          <w:p w:rsidR="00B52BB0" w:rsidRPr="007E70AF" w:rsidRDefault="00B52BB0" w:rsidP="003E074D">
            <w:pPr>
              <w:pStyle w:val="TableText"/>
            </w:pPr>
            <w:r w:rsidRPr="00495BFE">
              <w:t>Assessment not required</w:t>
            </w:r>
          </w:p>
        </w:tc>
        <w:tc>
          <w:tcPr>
            <w:tcW w:w="714" w:type="pct"/>
            <w:shd w:val="clear" w:color="auto" w:fill="auto"/>
          </w:tcPr>
          <w:p w:rsidR="00B52BB0" w:rsidRPr="007E70AF" w:rsidRDefault="00B52BB0" w:rsidP="003E074D">
            <w:pPr>
              <w:pStyle w:val="TableText"/>
            </w:pPr>
            <w:r w:rsidRPr="00495BFE">
              <w:t>Assessment not required</w:t>
            </w:r>
          </w:p>
        </w:tc>
        <w:tc>
          <w:tcPr>
            <w:tcW w:w="714" w:type="pct"/>
            <w:shd w:val="clear" w:color="auto" w:fill="auto"/>
          </w:tcPr>
          <w:p w:rsidR="00B52BB0" w:rsidRPr="007E70AF" w:rsidRDefault="00B52BB0" w:rsidP="003E074D">
            <w:pPr>
              <w:pStyle w:val="TableText"/>
            </w:pPr>
            <w:r w:rsidRPr="00495BFE">
              <w:t>No</w:t>
            </w:r>
          </w:p>
        </w:tc>
      </w:tr>
      <w:tr w:rsidR="00B52BB0" w:rsidRPr="007E70AF" w:rsidTr="003E074D">
        <w:trPr>
          <w:cantSplit/>
          <w:trHeight w:val="75"/>
          <w:jc w:val="center"/>
        </w:trPr>
        <w:tc>
          <w:tcPr>
            <w:tcW w:w="715" w:type="pct"/>
            <w:shd w:val="clear" w:color="auto" w:fill="auto"/>
          </w:tcPr>
          <w:p w:rsidR="00B52BB0" w:rsidRPr="004569F6" w:rsidRDefault="00B52BB0" w:rsidP="003E074D">
            <w:pPr>
              <w:spacing w:before="60" w:after="60" w:line="240" w:lineRule="auto"/>
              <w:rPr>
                <w:rFonts w:cs="Arial"/>
                <w:sz w:val="18"/>
                <w:szCs w:val="18"/>
                <w:lang w:val="en"/>
              </w:rPr>
            </w:pPr>
            <w:r w:rsidRPr="00C11078">
              <w:rPr>
                <w:rFonts w:cs="Arial"/>
                <w:i/>
                <w:iCs/>
                <w:sz w:val="18"/>
                <w:szCs w:val="18"/>
                <w:lang w:val="en"/>
              </w:rPr>
              <w:t xml:space="preserve">Shevtchenkella longitubercula </w:t>
            </w:r>
            <w:r>
              <w:rPr>
                <w:rFonts w:cs="Arial"/>
                <w:sz w:val="18"/>
                <w:szCs w:val="18"/>
                <w:lang w:val="en"/>
              </w:rPr>
              <w:t>sp. nov</w:t>
            </w:r>
            <w:r w:rsidR="003E074D">
              <w:rPr>
                <w:rFonts w:cs="Arial"/>
                <w:sz w:val="18"/>
                <w:szCs w:val="18"/>
                <w:lang w:val="en"/>
              </w:rPr>
              <w:t>.</w:t>
            </w:r>
            <w:r>
              <w:rPr>
                <w:rFonts w:cs="Arial"/>
                <w:sz w:val="18"/>
                <w:szCs w:val="18"/>
                <w:lang w:val="en"/>
              </w:rPr>
              <w:t xml:space="preserve"> Mo, Tan &amp; Wang, 2017</w:t>
            </w:r>
          </w:p>
          <w:p w:rsidR="00B52BB0" w:rsidRDefault="00B52BB0" w:rsidP="003E074D">
            <w:pPr>
              <w:spacing w:before="60" w:after="60" w:line="240" w:lineRule="auto"/>
              <w:rPr>
                <w:rFonts w:cs="Arial"/>
                <w:sz w:val="18"/>
                <w:szCs w:val="18"/>
                <w:lang w:val="en"/>
              </w:rPr>
            </w:pPr>
            <w:r w:rsidRPr="004569F6">
              <w:rPr>
                <w:rFonts w:cs="Arial"/>
                <w:sz w:val="18"/>
                <w:szCs w:val="18"/>
                <w:lang w:val="en"/>
              </w:rPr>
              <w:t>[Eriophyidae]</w:t>
            </w:r>
          </w:p>
          <w:p w:rsidR="00B52BB0" w:rsidRPr="00C11078" w:rsidRDefault="00B52BB0" w:rsidP="003E074D">
            <w:pPr>
              <w:spacing w:before="60" w:after="60" w:line="240" w:lineRule="auto"/>
              <w:rPr>
                <w:rFonts w:cs="Arial"/>
                <w:i/>
                <w:iCs/>
                <w:sz w:val="18"/>
                <w:szCs w:val="18"/>
                <w:lang w:val="en"/>
              </w:rPr>
            </w:pPr>
          </w:p>
        </w:tc>
        <w:tc>
          <w:tcPr>
            <w:tcW w:w="715" w:type="pct"/>
            <w:shd w:val="clear" w:color="auto" w:fill="auto"/>
          </w:tcPr>
          <w:p w:rsidR="00B52BB0" w:rsidRPr="00E67CED" w:rsidRDefault="00B52BB0" w:rsidP="003E074D">
            <w:pPr>
              <w:pStyle w:val="TableText"/>
            </w:pPr>
            <w:r w:rsidRPr="00A66FB1">
              <w:t xml:space="preserve">Yes </w:t>
            </w:r>
            <w:r>
              <w:rPr>
                <w:noProof/>
              </w:rPr>
              <w:t>(Mo et al. 2017)</w:t>
            </w:r>
            <w:r w:rsidRPr="00A66FB1">
              <w:t>.</w:t>
            </w:r>
          </w:p>
        </w:tc>
        <w:tc>
          <w:tcPr>
            <w:tcW w:w="714" w:type="pct"/>
            <w:shd w:val="clear" w:color="auto" w:fill="auto"/>
          </w:tcPr>
          <w:p w:rsidR="00B52BB0" w:rsidRPr="00E67CED" w:rsidRDefault="00B52BB0" w:rsidP="003E074D">
            <w:pPr>
              <w:pStyle w:val="TableText"/>
            </w:pPr>
            <w:r w:rsidRPr="00A66FB1">
              <w:t>No records found</w:t>
            </w:r>
          </w:p>
        </w:tc>
        <w:tc>
          <w:tcPr>
            <w:tcW w:w="714" w:type="pct"/>
            <w:shd w:val="clear" w:color="auto" w:fill="auto"/>
          </w:tcPr>
          <w:p w:rsidR="00B52BB0" w:rsidRPr="00E67CED" w:rsidRDefault="00B52BB0" w:rsidP="003E074D">
            <w:pPr>
              <w:pStyle w:val="TableText"/>
            </w:pPr>
            <w:r w:rsidRPr="00A66FB1">
              <w:t xml:space="preserve">No. This species is only associated with the underside of longan leaves </w:t>
            </w:r>
            <w:r>
              <w:rPr>
                <w:noProof/>
              </w:rPr>
              <w:t>(Mo et al. 2017)</w:t>
            </w:r>
            <w:r w:rsidRPr="00A66FB1">
              <w:t>.</w:t>
            </w:r>
          </w:p>
        </w:tc>
        <w:tc>
          <w:tcPr>
            <w:tcW w:w="714" w:type="pct"/>
            <w:shd w:val="clear" w:color="auto" w:fill="auto"/>
          </w:tcPr>
          <w:p w:rsidR="00B52BB0" w:rsidRPr="00E67CED" w:rsidRDefault="00B52BB0" w:rsidP="003E074D">
            <w:pPr>
              <w:pStyle w:val="TableText"/>
            </w:pPr>
            <w:r w:rsidRPr="00A66FB1">
              <w:t>Assessment not required</w:t>
            </w:r>
          </w:p>
        </w:tc>
        <w:tc>
          <w:tcPr>
            <w:tcW w:w="714" w:type="pct"/>
            <w:shd w:val="clear" w:color="auto" w:fill="auto"/>
          </w:tcPr>
          <w:p w:rsidR="00B52BB0" w:rsidRPr="00E67CED" w:rsidRDefault="00B52BB0" w:rsidP="003E074D">
            <w:pPr>
              <w:pStyle w:val="TableText"/>
            </w:pPr>
            <w:r w:rsidRPr="00A66FB1">
              <w:t>Assessment not required</w:t>
            </w:r>
          </w:p>
        </w:tc>
        <w:tc>
          <w:tcPr>
            <w:tcW w:w="714" w:type="pct"/>
            <w:shd w:val="clear" w:color="auto" w:fill="auto"/>
          </w:tcPr>
          <w:p w:rsidR="00B52BB0" w:rsidRPr="00E67CED" w:rsidRDefault="00B52BB0" w:rsidP="003E074D">
            <w:pPr>
              <w:pStyle w:val="TableText"/>
            </w:pPr>
            <w:r w:rsidRPr="00A66FB1">
              <w:t>No</w:t>
            </w:r>
          </w:p>
        </w:tc>
      </w:tr>
      <w:tr w:rsidR="00B52BB0" w:rsidRPr="007E70AF" w:rsidTr="003E074D">
        <w:trPr>
          <w:cantSplit/>
          <w:trHeight w:val="75"/>
          <w:jc w:val="center"/>
        </w:trPr>
        <w:tc>
          <w:tcPr>
            <w:tcW w:w="715" w:type="pct"/>
            <w:shd w:val="clear" w:color="auto" w:fill="auto"/>
          </w:tcPr>
          <w:p w:rsidR="00B52BB0" w:rsidRPr="004569F6" w:rsidRDefault="00B52BB0" w:rsidP="003E074D">
            <w:pPr>
              <w:spacing w:before="60" w:after="60" w:line="240" w:lineRule="auto"/>
              <w:rPr>
                <w:rFonts w:cs="Arial"/>
                <w:sz w:val="18"/>
                <w:szCs w:val="18"/>
                <w:lang w:val="en"/>
              </w:rPr>
            </w:pPr>
            <w:r w:rsidRPr="00C11078">
              <w:rPr>
                <w:rFonts w:cs="Arial"/>
                <w:i/>
                <w:iCs/>
                <w:sz w:val="18"/>
                <w:szCs w:val="18"/>
                <w:lang w:val="en"/>
              </w:rPr>
              <w:t xml:space="preserve">Tetranychus urticae </w:t>
            </w:r>
            <w:r w:rsidRPr="004569F6">
              <w:rPr>
                <w:rFonts w:cs="Arial"/>
                <w:sz w:val="18"/>
                <w:szCs w:val="18"/>
                <w:lang w:val="en"/>
              </w:rPr>
              <w:t>Koch, 1836</w:t>
            </w:r>
          </w:p>
          <w:p w:rsidR="00B52BB0" w:rsidRPr="004569F6" w:rsidRDefault="00B52BB0" w:rsidP="003E074D">
            <w:pPr>
              <w:spacing w:before="60" w:after="60" w:line="240" w:lineRule="auto"/>
              <w:rPr>
                <w:rFonts w:cs="Arial"/>
                <w:sz w:val="18"/>
                <w:szCs w:val="18"/>
                <w:lang w:val="en"/>
              </w:rPr>
            </w:pPr>
            <w:r w:rsidRPr="004569F6">
              <w:rPr>
                <w:rFonts w:cs="Arial"/>
                <w:sz w:val="18"/>
                <w:szCs w:val="18"/>
                <w:lang w:val="en"/>
              </w:rPr>
              <w:t>[Tetranychidae]</w:t>
            </w:r>
          </w:p>
          <w:p w:rsidR="00B52BB0" w:rsidRPr="007E70AF" w:rsidRDefault="00B52BB0" w:rsidP="003E074D">
            <w:pPr>
              <w:pStyle w:val="TableText"/>
              <w:rPr>
                <w:i/>
                <w:lang w:val="en-US"/>
              </w:rPr>
            </w:pPr>
            <w:r w:rsidRPr="004569F6">
              <w:rPr>
                <w:rFonts w:cs="Arial"/>
                <w:szCs w:val="18"/>
                <w:lang w:val="en"/>
              </w:rPr>
              <w:t>Two-spotted spider mite</w:t>
            </w:r>
          </w:p>
        </w:tc>
        <w:tc>
          <w:tcPr>
            <w:tcW w:w="715" w:type="pct"/>
            <w:shd w:val="clear" w:color="auto" w:fill="auto"/>
          </w:tcPr>
          <w:p w:rsidR="00B52BB0" w:rsidRPr="007E70AF" w:rsidRDefault="00B52BB0" w:rsidP="003E074D">
            <w:pPr>
              <w:pStyle w:val="TableText"/>
              <w:rPr>
                <w:sz w:val="16"/>
              </w:rPr>
            </w:pPr>
            <w:r w:rsidRPr="00E67CED">
              <w:t xml:space="preserve">Yes </w:t>
            </w:r>
            <w:r>
              <w:rPr>
                <w:noProof/>
              </w:rPr>
              <w:t>(PPD 2017)</w:t>
            </w:r>
          </w:p>
        </w:tc>
        <w:tc>
          <w:tcPr>
            <w:tcW w:w="714" w:type="pct"/>
            <w:shd w:val="clear" w:color="auto" w:fill="auto"/>
          </w:tcPr>
          <w:p w:rsidR="00B52BB0" w:rsidRPr="007E70AF" w:rsidRDefault="00B52BB0" w:rsidP="003E074D">
            <w:pPr>
              <w:pStyle w:val="TableText"/>
              <w:rPr>
                <w:sz w:val="16"/>
              </w:rPr>
            </w:pPr>
            <w:r w:rsidRPr="00E67CED">
              <w:t xml:space="preserve">Yes. NSW, NT, Qld, SA, Vic., WA </w:t>
            </w:r>
            <w:r>
              <w:rPr>
                <w:noProof/>
              </w:rPr>
              <w:t>(Plant Health Australia 2019)</w:t>
            </w:r>
          </w:p>
        </w:tc>
        <w:tc>
          <w:tcPr>
            <w:tcW w:w="714" w:type="pct"/>
            <w:shd w:val="clear" w:color="auto" w:fill="auto"/>
          </w:tcPr>
          <w:p w:rsidR="00B52BB0" w:rsidRPr="007E70AF" w:rsidRDefault="00B52BB0" w:rsidP="003E074D">
            <w:pPr>
              <w:pStyle w:val="TableText"/>
              <w:rPr>
                <w:sz w:val="16"/>
              </w:rPr>
            </w:pPr>
            <w:r w:rsidRPr="00E67CED">
              <w:t>Assessment not required</w:t>
            </w:r>
          </w:p>
        </w:tc>
        <w:tc>
          <w:tcPr>
            <w:tcW w:w="714" w:type="pct"/>
            <w:shd w:val="clear" w:color="auto" w:fill="auto"/>
          </w:tcPr>
          <w:p w:rsidR="00B52BB0" w:rsidRPr="007E70AF" w:rsidRDefault="00B52BB0" w:rsidP="003E074D">
            <w:pPr>
              <w:pStyle w:val="TableText"/>
            </w:pPr>
            <w:r w:rsidRPr="00E67CED">
              <w:t>Assessment not required</w:t>
            </w:r>
          </w:p>
        </w:tc>
        <w:tc>
          <w:tcPr>
            <w:tcW w:w="714" w:type="pct"/>
            <w:shd w:val="clear" w:color="auto" w:fill="auto"/>
          </w:tcPr>
          <w:p w:rsidR="00B52BB0" w:rsidRPr="007E70AF" w:rsidRDefault="00B52BB0" w:rsidP="003E074D">
            <w:pPr>
              <w:pStyle w:val="TableText"/>
            </w:pPr>
            <w:r w:rsidRPr="00E67CED">
              <w:t>Assessment not required</w:t>
            </w:r>
          </w:p>
        </w:tc>
        <w:tc>
          <w:tcPr>
            <w:tcW w:w="714" w:type="pct"/>
            <w:shd w:val="clear" w:color="auto" w:fill="auto"/>
          </w:tcPr>
          <w:p w:rsidR="00B52BB0" w:rsidRPr="007E70AF" w:rsidRDefault="00B52BB0" w:rsidP="003E074D">
            <w:pPr>
              <w:pStyle w:val="TableText"/>
            </w:pPr>
            <w:r w:rsidRPr="00E67CED">
              <w:t>No</w:t>
            </w:r>
          </w:p>
        </w:tc>
      </w:tr>
      <w:tr w:rsidR="00B52BB0" w:rsidTr="003E074D">
        <w:trPr>
          <w:cantSplit/>
          <w:jc w:val="center"/>
        </w:trPr>
        <w:tc>
          <w:tcPr>
            <w:tcW w:w="5000" w:type="pct"/>
            <w:gridSpan w:val="7"/>
            <w:shd w:val="clear" w:color="auto" w:fill="auto"/>
          </w:tcPr>
          <w:p w:rsidR="00B52BB0" w:rsidRPr="0056567F" w:rsidRDefault="00B52BB0" w:rsidP="003E074D">
            <w:pPr>
              <w:pStyle w:val="TableText"/>
              <w:keepNext/>
              <w:rPr>
                <w:b/>
              </w:rPr>
            </w:pPr>
            <w:r>
              <w:rPr>
                <w:b/>
              </w:rPr>
              <w:t>ALGAE</w:t>
            </w:r>
          </w:p>
        </w:tc>
      </w:tr>
      <w:tr w:rsidR="00B52BB0" w:rsidRPr="007E70AF" w:rsidTr="003E074D">
        <w:trPr>
          <w:cantSplit/>
          <w:trHeight w:val="75"/>
          <w:jc w:val="center"/>
        </w:trPr>
        <w:tc>
          <w:tcPr>
            <w:tcW w:w="715" w:type="pct"/>
            <w:shd w:val="clear" w:color="auto" w:fill="auto"/>
          </w:tcPr>
          <w:p w:rsidR="00B52BB0" w:rsidRPr="004569F6" w:rsidRDefault="00B52BB0" w:rsidP="003E074D">
            <w:pPr>
              <w:pStyle w:val="TableText"/>
              <w:rPr>
                <w:szCs w:val="18"/>
              </w:rPr>
            </w:pPr>
            <w:r w:rsidRPr="00C11078">
              <w:rPr>
                <w:i/>
                <w:iCs/>
                <w:szCs w:val="18"/>
              </w:rPr>
              <w:t xml:space="preserve">Cephaleuros virescens </w:t>
            </w:r>
            <w:r w:rsidRPr="004569F6">
              <w:rPr>
                <w:szCs w:val="18"/>
              </w:rPr>
              <w:t>Kunze ex EM Fries 1832</w:t>
            </w:r>
          </w:p>
          <w:p w:rsidR="00B52BB0" w:rsidRPr="004569F6" w:rsidRDefault="00B52BB0" w:rsidP="003E074D">
            <w:pPr>
              <w:pStyle w:val="TableText"/>
              <w:rPr>
                <w:szCs w:val="18"/>
              </w:rPr>
            </w:pPr>
            <w:r w:rsidRPr="004569F6">
              <w:rPr>
                <w:szCs w:val="18"/>
              </w:rPr>
              <w:t>[Trentepohliales: Trentepohliaceae]</w:t>
            </w:r>
          </w:p>
          <w:p w:rsidR="00B52BB0" w:rsidRPr="007E70AF" w:rsidRDefault="00B52BB0" w:rsidP="003E074D">
            <w:pPr>
              <w:pStyle w:val="TableText"/>
              <w:rPr>
                <w:i/>
                <w:lang w:val="en-US"/>
              </w:rPr>
            </w:pPr>
            <w:r w:rsidRPr="004569F6">
              <w:rPr>
                <w:szCs w:val="18"/>
              </w:rPr>
              <w:t>Algal leaf spot, green scurf</w:t>
            </w:r>
          </w:p>
        </w:tc>
        <w:tc>
          <w:tcPr>
            <w:tcW w:w="715" w:type="pct"/>
            <w:shd w:val="clear" w:color="auto" w:fill="auto"/>
          </w:tcPr>
          <w:p w:rsidR="00B52BB0" w:rsidRPr="007E70AF" w:rsidRDefault="00B52BB0" w:rsidP="003E074D">
            <w:pPr>
              <w:pStyle w:val="TableText"/>
              <w:rPr>
                <w:sz w:val="16"/>
              </w:rPr>
            </w:pPr>
            <w:r w:rsidRPr="00300B8C">
              <w:t xml:space="preserve">Yes </w:t>
            </w:r>
            <w:r>
              <w:rPr>
                <w:noProof/>
              </w:rPr>
              <w:t>(PPD 2010b)</w:t>
            </w:r>
          </w:p>
        </w:tc>
        <w:tc>
          <w:tcPr>
            <w:tcW w:w="714" w:type="pct"/>
            <w:shd w:val="clear" w:color="auto" w:fill="auto"/>
          </w:tcPr>
          <w:p w:rsidR="00B52BB0" w:rsidRDefault="00B52BB0" w:rsidP="003E074D">
            <w:pPr>
              <w:pStyle w:val="TableText"/>
            </w:pPr>
            <w:r w:rsidRPr="00300B8C">
              <w:t xml:space="preserve">Yes. NSW, NT, Qld, Vic. </w:t>
            </w:r>
            <w:r>
              <w:rPr>
                <w:noProof/>
              </w:rPr>
              <w:t>(Plant Health Australia 2019)</w:t>
            </w:r>
          </w:p>
          <w:p w:rsidR="00B52BB0" w:rsidRPr="007E70AF" w:rsidRDefault="00B52BB0" w:rsidP="003E074D">
            <w:pPr>
              <w:pStyle w:val="TableText"/>
              <w:rPr>
                <w:sz w:val="16"/>
              </w:rPr>
            </w:pPr>
            <w:r w:rsidRPr="00300B8C">
              <w:t xml:space="preserve">Permitted </w:t>
            </w:r>
            <w:r>
              <w:t>(</w:t>
            </w:r>
            <w:r w:rsidRPr="00300B8C">
              <w:t>s</w:t>
            </w:r>
            <w:r>
              <w:t>. </w:t>
            </w:r>
            <w:r w:rsidRPr="00300B8C">
              <w:t>11</w:t>
            </w:r>
            <w:r>
              <w:t>)</w:t>
            </w:r>
            <w:r w:rsidRPr="00300B8C">
              <w:t xml:space="preserve"> </w:t>
            </w:r>
            <w:r>
              <w:t>by</w:t>
            </w:r>
            <w:r w:rsidRPr="00300B8C">
              <w:t xml:space="preserve"> WA</w:t>
            </w:r>
            <w:r>
              <w:t xml:space="preserve"> under the</w:t>
            </w:r>
            <w:r w:rsidRPr="00300B8C">
              <w:t xml:space="preserve"> </w:t>
            </w:r>
            <w:r w:rsidRPr="00AF0E07">
              <w:rPr>
                <w:i/>
              </w:rPr>
              <w:t>Biosecurity and Agriculture Management Act 2007</w:t>
            </w:r>
            <w:r w:rsidRPr="00300B8C">
              <w:t xml:space="preserve"> </w:t>
            </w:r>
            <w:r>
              <w:rPr>
                <w:noProof/>
              </w:rPr>
              <w:t>(Government of Western Australia 2018)</w:t>
            </w:r>
            <w:r w:rsidRPr="00300B8C">
              <w:t>.</w:t>
            </w:r>
          </w:p>
        </w:tc>
        <w:tc>
          <w:tcPr>
            <w:tcW w:w="714" w:type="pct"/>
            <w:shd w:val="clear" w:color="auto" w:fill="auto"/>
          </w:tcPr>
          <w:p w:rsidR="00B52BB0" w:rsidRPr="007E70AF" w:rsidRDefault="00B52BB0" w:rsidP="003E074D">
            <w:pPr>
              <w:pStyle w:val="TableText"/>
              <w:rPr>
                <w:sz w:val="16"/>
              </w:rPr>
            </w:pPr>
            <w:r w:rsidRPr="00300B8C">
              <w:t>Assessment not required</w:t>
            </w:r>
          </w:p>
        </w:tc>
        <w:tc>
          <w:tcPr>
            <w:tcW w:w="714" w:type="pct"/>
            <w:shd w:val="clear" w:color="auto" w:fill="auto"/>
          </w:tcPr>
          <w:p w:rsidR="00B52BB0" w:rsidRPr="007E70AF" w:rsidRDefault="00B52BB0" w:rsidP="003E074D">
            <w:pPr>
              <w:pStyle w:val="TableText"/>
            </w:pPr>
            <w:r w:rsidRPr="00300B8C">
              <w:t>Assessment not required</w:t>
            </w:r>
          </w:p>
        </w:tc>
        <w:tc>
          <w:tcPr>
            <w:tcW w:w="714" w:type="pct"/>
            <w:shd w:val="clear" w:color="auto" w:fill="auto"/>
          </w:tcPr>
          <w:p w:rsidR="00B52BB0" w:rsidRPr="007E70AF" w:rsidRDefault="00B52BB0" w:rsidP="003E074D">
            <w:pPr>
              <w:pStyle w:val="TableText"/>
            </w:pPr>
            <w:r w:rsidRPr="00300B8C">
              <w:t>Assessment not required</w:t>
            </w:r>
          </w:p>
        </w:tc>
        <w:tc>
          <w:tcPr>
            <w:tcW w:w="714" w:type="pct"/>
            <w:shd w:val="clear" w:color="auto" w:fill="auto"/>
          </w:tcPr>
          <w:p w:rsidR="00B52BB0" w:rsidRPr="007E70AF" w:rsidRDefault="00B52BB0" w:rsidP="003E074D">
            <w:pPr>
              <w:pStyle w:val="TableText"/>
            </w:pPr>
            <w:r w:rsidRPr="00300B8C">
              <w:t>No</w:t>
            </w:r>
          </w:p>
        </w:tc>
      </w:tr>
      <w:tr w:rsidR="00B52BB0" w:rsidTr="003E074D">
        <w:trPr>
          <w:cantSplit/>
          <w:jc w:val="center"/>
        </w:trPr>
        <w:tc>
          <w:tcPr>
            <w:tcW w:w="5000" w:type="pct"/>
            <w:gridSpan w:val="7"/>
            <w:shd w:val="clear" w:color="auto" w:fill="auto"/>
          </w:tcPr>
          <w:p w:rsidR="00B52BB0" w:rsidRPr="0056567F" w:rsidRDefault="00B52BB0" w:rsidP="003E074D">
            <w:pPr>
              <w:pStyle w:val="TableText"/>
              <w:keepNext/>
              <w:rPr>
                <w:b/>
              </w:rPr>
            </w:pPr>
            <w:r w:rsidRPr="0056567F">
              <w:rPr>
                <w:b/>
              </w:rPr>
              <w:lastRenderedPageBreak/>
              <w:t>BACTERIA</w:t>
            </w:r>
          </w:p>
        </w:tc>
      </w:tr>
      <w:tr w:rsidR="00B52BB0" w:rsidRPr="0032643B" w:rsidTr="003E074D">
        <w:trPr>
          <w:cantSplit/>
          <w:jc w:val="center"/>
        </w:trPr>
        <w:tc>
          <w:tcPr>
            <w:tcW w:w="715" w:type="pct"/>
            <w:shd w:val="clear" w:color="auto" w:fill="auto"/>
          </w:tcPr>
          <w:p w:rsidR="00B52BB0" w:rsidRPr="004569F6" w:rsidRDefault="00B52BB0" w:rsidP="003E074D">
            <w:pPr>
              <w:pStyle w:val="TableText"/>
              <w:rPr>
                <w:szCs w:val="18"/>
              </w:rPr>
            </w:pPr>
            <w:r w:rsidRPr="00C11078">
              <w:rPr>
                <w:i/>
                <w:iCs/>
                <w:szCs w:val="18"/>
              </w:rPr>
              <w:t xml:space="preserve">Xanthomonas campestris </w:t>
            </w:r>
            <w:r w:rsidRPr="004569F6">
              <w:rPr>
                <w:szCs w:val="18"/>
              </w:rPr>
              <w:t>pv</w:t>
            </w:r>
            <w:r w:rsidRPr="00C11078">
              <w:rPr>
                <w:i/>
                <w:iCs/>
                <w:szCs w:val="18"/>
              </w:rPr>
              <w:t xml:space="preserve">. mangiferaeindicae </w:t>
            </w:r>
            <w:r w:rsidRPr="004569F6">
              <w:rPr>
                <w:szCs w:val="18"/>
              </w:rPr>
              <w:t>(Patel, Moniz and Kulkarni 1948) Robbs, Ribiero and Kimura 1974</w:t>
            </w:r>
          </w:p>
          <w:p w:rsidR="00B52BB0" w:rsidRPr="004569F6" w:rsidRDefault="00B52BB0" w:rsidP="003E074D">
            <w:pPr>
              <w:pStyle w:val="TableText"/>
              <w:rPr>
                <w:szCs w:val="18"/>
              </w:rPr>
            </w:pPr>
            <w:r w:rsidRPr="004569F6">
              <w:rPr>
                <w:szCs w:val="18"/>
              </w:rPr>
              <w:t>[Xanthomonadales: Xanthomonadaceae]</w:t>
            </w:r>
          </w:p>
          <w:p w:rsidR="00B52BB0" w:rsidRPr="0032643B" w:rsidRDefault="00B52BB0" w:rsidP="003E074D">
            <w:pPr>
              <w:pStyle w:val="TableText"/>
            </w:pPr>
            <w:r w:rsidRPr="004569F6">
              <w:rPr>
                <w:szCs w:val="18"/>
              </w:rPr>
              <w:t>Bacterial black spot of mango</w:t>
            </w:r>
          </w:p>
        </w:tc>
        <w:tc>
          <w:tcPr>
            <w:tcW w:w="715" w:type="pct"/>
            <w:shd w:val="clear" w:color="auto" w:fill="auto"/>
          </w:tcPr>
          <w:p w:rsidR="00B52BB0" w:rsidRPr="0032643B" w:rsidRDefault="00B52BB0" w:rsidP="003E074D">
            <w:pPr>
              <w:pStyle w:val="TableText"/>
            </w:pPr>
            <w:r w:rsidRPr="00A9407A">
              <w:t xml:space="preserve">Yes </w:t>
            </w:r>
            <w:r>
              <w:rPr>
                <w:noProof/>
              </w:rPr>
              <w:t>(PPD 2009)</w:t>
            </w:r>
          </w:p>
        </w:tc>
        <w:tc>
          <w:tcPr>
            <w:tcW w:w="714" w:type="pct"/>
            <w:shd w:val="clear" w:color="auto" w:fill="auto"/>
          </w:tcPr>
          <w:p w:rsidR="00B52BB0" w:rsidRPr="0032643B" w:rsidRDefault="00B52BB0" w:rsidP="003E074D">
            <w:pPr>
              <w:pStyle w:val="TableText"/>
            </w:pPr>
            <w:r w:rsidRPr="00A9407A">
              <w:t xml:space="preserve">Yes. NT, WA </w:t>
            </w:r>
            <w:r>
              <w:rPr>
                <w:noProof/>
              </w:rPr>
              <w:t>(Plant Health Australia 2019)</w:t>
            </w:r>
          </w:p>
        </w:tc>
        <w:tc>
          <w:tcPr>
            <w:tcW w:w="714" w:type="pct"/>
            <w:shd w:val="clear" w:color="auto" w:fill="auto"/>
          </w:tcPr>
          <w:p w:rsidR="00B52BB0" w:rsidRPr="0032643B" w:rsidRDefault="00B52BB0" w:rsidP="003E074D">
            <w:pPr>
              <w:pStyle w:val="TableText"/>
            </w:pPr>
            <w:r w:rsidRPr="00A9407A">
              <w:t>Assessment not required</w:t>
            </w:r>
          </w:p>
        </w:tc>
        <w:tc>
          <w:tcPr>
            <w:tcW w:w="714" w:type="pct"/>
            <w:shd w:val="clear" w:color="auto" w:fill="auto"/>
          </w:tcPr>
          <w:p w:rsidR="00B52BB0" w:rsidRPr="0032643B" w:rsidRDefault="00B52BB0" w:rsidP="003E074D">
            <w:pPr>
              <w:pStyle w:val="TableText"/>
            </w:pPr>
            <w:r w:rsidRPr="00A9407A">
              <w:t>Assessment not required</w:t>
            </w:r>
          </w:p>
        </w:tc>
        <w:tc>
          <w:tcPr>
            <w:tcW w:w="714" w:type="pct"/>
            <w:shd w:val="clear" w:color="auto" w:fill="auto"/>
          </w:tcPr>
          <w:p w:rsidR="00B52BB0" w:rsidRPr="0032643B" w:rsidRDefault="00B52BB0" w:rsidP="003E074D">
            <w:pPr>
              <w:pStyle w:val="TableText"/>
            </w:pPr>
            <w:r w:rsidRPr="00A9407A">
              <w:t>Assessment not required</w:t>
            </w:r>
          </w:p>
        </w:tc>
        <w:tc>
          <w:tcPr>
            <w:tcW w:w="714" w:type="pct"/>
            <w:shd w:val="clear" w:color="auto" w:fill="auto"/>
          </w:tcPr>
          <w:p w:rsidR="00B52BB0" w:rsidRPr="0032643B" w:rsidRDefault="00B52BB0" w:rsidP="003E074D">
            <w:pPr>
              <w:pStyle w:val="TableText"/>
            </w:pPr>
            <w:r w:rsidRPr="00A9407A">
              <w:t>No</w:t>
            </w:r>
          </w:p>
        </w:tc>
      </w:tr>
      <w:tr w:rsidR="00B52BB0" w:rsidTr="003E074D">
        <w:trPr>
          <w:cantSplit/>
          <w:jc w:val="center"/>
        </w:trPr>
        <w:tc>
          <w:tcPr>
            <w:tcW w:w="5000" w:type="pct"/>
            <w:gridSpan w:val="7"/>
            <w:shd w:val="clear" w:color="auto" w:fill="auto"/>
          </w:tcPr>
          <w:p w:rsidR="00B52BB0" w:rsidRPr="0056567F" w:rsidRDefault="00B52BB0" w:rsidP="003E074D">
            <w:pPr>
              <w:pStyle w:val="TableText"/>
              <w:keepNext/>
              <w:rPr>
                <w:b/>
                <w:highlight w:val="yellow"/>
              </w:rPr>
            </w:pPr>
            <w:r w:rsidRPr="0056567F">
              <w:rPr>
                <w:b/>
              </w:rPr>
              <w:t>CHROMALVEOLATA</w:t>
            </w:r>
          </w:p>
        </w:tc>
      </w:tr>
      <w:tr w:rsidR="00B52BB0" w:rsidRPr="0032643B" w:rsidTr="003E074D">
        <w:trPr>
          <w:cantSplit/>
          <w:jc w:val="center"/>
        </w:trPr>
        <w:tc>
          <w:tcPr>
            <w:tcW w:w="715" w:type="pct"/>
            <w:shd w:val="clear" w:color="auto" w:fill="auto"/>
          </w:tcPr>
          <w:p w:rsidR="00B52BB0" w:rsidRPr="004569F6" w:rsidRDefault="00B52BB0" w:rsidP="003E074D">
            <w:pPr>
              <w:pStyle w:val="TableText"/>
              <w:rPr>
                <w:iCs/>
                <w:szCs w:val="18"/>
                <w:lang w:val="pt-BR"/>
              </w:rPr>
            </w:pPr>
            <w:r w:rsidRPr="00C11078">
              <w:rPr>
                <w:i/>
                <w:szCs w:val="18"/>
                <w:lang w:val="pt-BR"/>
              </w:rPr>
              <w:t xml:space="preserve">Phytophthora litchii </w:t>
            </w:r>
            <w:r w:rsidRPr="004569F6">
              <w:rPr>
                <w:iCs/>
                <w:szCs w:val="18"/>
                <w:lang w:val="pt-BR"/>
              </w:rPr>
              <w:t>(C.C. Chen ex W.H. Ko, H.S. Chang, H.J. Su, C.C. Chen &amp; L.S. Leu) Voglmayr, Göker, Riethm. &amp; Oberw.</w:t>
            </w:r>
          </w:p>
          <w:p w:rsidR="00B52BB0" w:rsidRPr="004569F6" w:rsidRDefault="00B52BB0" w:rsidP="003E074D">
            <w:pPr>
              <w:pStyle w:val="TableText"/>
              <w:rPr>
                <w:iCs/>
                <w:szCs w:val="18"/>
                <w:lang w:val="pt-BR"/>
              </w:rPr>
            </w:pPr>
            <w:r w:rsidRPr="004569F6">
              <w:rPr>
                <w:iCs/>
                <w:szCs w:val="18"/>
                <w:lang w:val="pt-BR"/>
              </w:rPr>
              <w:t>Synonyms:</w:t>
            </w:r>
            <w:r w:rsidRPr="00C11078">
              <w:rPr>
                <w:i/>
                <w:szCs w:val="18"/>
                <w:lang w:val="pt-BR"/>
              </w:rPr>
              <w:t xml:space="preserve"> Peronophythora litchii </w:t>
            </w:r>
            <w:r w:rsidRPr="004569F6">
              <w:rPr>
                <w:iCs/>
                <w:szCs w:val="18"/>
                <w:lang w:val="pt-BR"/>
              </w:rPr>
              <w:t>C.C. Chen ex W.H. Ko, H.S. Chang, H.J. Su, C.C. Chen &amp; L.S. Leu</w:t>
            </w:r>
          </w:p>
          <w:p w:rsidR="00B52BB0" w:rsidRPr="004569F6" w:rsidRDefault="00B52BB0" w:rsidP="003E074D">
            <w:pPr>
              <w:pStyle w:val="TableText"/>
              <w:rPr>
                <w:iCs/>
                <w:szCs w:val="18"/>
                <w:lang w:val="pt-BR"/>
              </w:rPr>
            </w:pPr>
            <w:r w:rsidRPr="004569F6">
              <w:rPr>
                <w:iCs/>
                <w:szCs w:val="18"/>
                <w:lang w:val="pt-BR"/>
              </w:rPr>
              <w:t>[Pythiales: Pythiaceae]</w:t>
            </w:r>
          </w:p>
          <w:p w:rsidR="00B52BB0" w:rsidRPr="0032643B" w:rsidRDefault="00B52BB0" w:rsidP="003E074D">
            <w:pPr>
              <w:pStyle w:val="TableText"/>
              <w:rPr>
                <w:i/>
                <w:lang w:val="pt-BR"/>
              </w:rPr>
            </w:pPr>
            <w:r w:rsidRPr="004569F6">
              <w:rPr>
                <w:iCs/>
                <w:szCs w:val="18"/>
                <w:lang w:val="pt-BR"/>
              </w:rPr>
              <w:t>Brown blight</w:t>
            </w:r>
          </w:p>
        </w:tc>
        <w:tc>
          <w:tcPr>
            <w:tcW w:w="715" w:type="pct"/>
            <w:shd w:val="clear" w:color="auto" w:fill="auto"/>
          </w:tcPr>
          <w:p w:rsidR="00B52BB0" w:rsidRPr="0032643B" w:rsidRDefault="00B52BB0" w:rsidP="003E074D">
            <w:pPr>
              <w:pStyle w:val="TableText"/>
              <w:rPr>
                <w:lang w:val="pt-BR"/>
              </w:rPr>
            </w:pPr>
            <w:r w:rsidRPr="00487E01">
              <w:t xml:space="preserve">Yes </w:t>
            </w:r>
            <w:r>
              <w:rPr>
                <w:noProof/>
              </w:rPr>
              <w:t>(Vien et al. 2001)</w:t>
            </w:r>
          </w:p>
        </w:tc>
        <w:tc>
          <w:tcPr>
            <w:tcW w:w="714" w:type="pct"/>
            <w:shd w:val="clear" w:color="auto" w:fill="auto"/>
          </w:tcPr>
          <w:p w:rsidR="00B52BB0" w:rsidRPr="0032643B" w:rsidRDefault="00B52BB0" w:rsidP="003E074D">
            <w:pPr>
              <w:pStyle w:val="TableText"/>
              <w:rPr>
                <w:szCs w:val="16"/>
              </w:rPr>
            </w:pPr>
            <w:r w:rsidRPr="00487E01">
              <w:t xml:space="preserve">No. </w:t>
            </w:r>
            <w:r>
              <w:rPr>
                <w:noProof/>
              </w:rPr>
              <w:t>Burgess et al. (2017)</w:t>
            </w:r>
            <w:r w:rsidRPr="00487E01">
              <w:t xml:space="preserve"> collected genetic material consistent with </w:t>
            </w:r>
            <w:r w:rsidRPr="00264375">
              <w:rPr>
                <w:i/>
                <w:iCs/>
              </w:rPr>
              <w:t>P</w:t>
            </w:r>
            <w:r>
              <w:rPr>
                <w:i/>
                <w:iCs/>
              </w:rPr>
              <w:t>hytophthora</w:t>
            </w:r>
            <w:r w:rsidRPr="00264375">
              <w:rPr>
                <w:i/>
                <w:iCs/>
              </w:rPr>
              <w:t xml:space="preserve"> litchii</w:t>
            </w:r>
            <w:r w:rsidRPr="00487E01">
              <w:t xml:space="preserve"> from the general environment in Qld. However, the department has considered this evidence and assessed it as insufficient to define presence in Australia.</w:t>
            </w:r>
          </w:p>
        </w:tc>
        <w:tc>
          <w:tcPr>
            <w:tcW w:w="714" w:type="pct"/>
            <w:shd w:val="clear" w:color="auto" w:fill="auto"/>
          </w:tcPr>
          <w:p w:rsidR="00B52BB0" w:rsidRPr="0032643B" w:rsidRDefault="00B52BB0" w:rsidP="003E074D">
            <w:pPr>
              <w:pStyle w:val="TableText"/>
            </w:pPr>
            <w:r w:rsidRPr="00487E01">
              <w:t xml:space="preserve">Yes. This species is found to cause leaf and stem rot of longan seedlings in Taiwan </w:t>
            </w:r>
            <w:r>
              <w:rPr>
                <w:noProof/>
              </w:rPr>
              <w:t>(Ann, Tsai &amp; Yang 2012)</w:t>
            </w:r>
            <w:r w:rsidRPr="00487E01">
              <w:t xml:space="preserve">. Found on lychee fruit in Vietnam </w:t>
            </w:r>
            <w:r>
              <w:rPr>
                <w:noProof/>
              </w:rPr>
              <w:t>(Vien et al. 2001)</w:t>
            </w:r>
            <w:r w:rsidRPr="00487E01">
              <w:t xml:space="preserve">. </w:t>
            </w:r>
            <w:r w:rsidRPr="00264375">
              <w:rPr>
                <w:i/>
                <w:iCs/>
              </w:rPr>
              <w:t>Phytophthora</w:t>
            </w:r>
            <w:r w:rsidRPr="00487E01">
              <w:t xml:space="preserve"> spp. have been recorded on longan, causing fruit rot and leaf blight </w:t>
            </w:r>
            <w:r>
              <w:rPr>
                <w:noProof/>
              </w:rPr>
              <w:t>(Anupunt &amp; Sukhvibul 2005; PPD 2017)</w:t>
            </w:r>
            <w:r w:rsidRPr="00487E01">
              <w:t>.</w:t>
            </w:r>
          </w:p>
        </w:tc>
        <w:tc>
          <w:tcPr>
            <w:tcW w:w="714" w:type="pct"/>
            <w:shd w:val="clear" w:color="auto" w:fill="auto"/>
          </w:tcPr>
          <w:p w:rsidR="00B52BB0" w:rsidRPr="0032643B" w:rsidRDefault="00B52BB0" w:rsidP="003E074D">
            <w:pPr>
              <w:pStyle w:val="TableText"/>
            </w:pPr>
            <w:r w:rsidRPr="00487E01">
              <w:t xml:space="preserve">Yes. The pathogen can disperse through rain splash as flagellate zoospores or sporangia. The pathogen is polycyclic allowing sporangia and zoospores to be produced repetitively and over a wide area </w:t>
            </w:r>
            <w:r>
              <w:rPr>
                <w:noProof/>
              </w:rPr>
              <w:t>(Sun et al. 2017)</w:t>
            </w:r>
            <w:r w:rsidRPr="00487E01">
              <w:t xml:space="preserve">. The pathogen can overwinter as mycelia and oospores on the remnants of leaves </w:t>
            </w:r>
            <w:r>
              <w:rPr>
                <w:noProof/>
              </w:rPr>
              <w:t>(Wang et al. 2009)</w:t>
            </w:r>
            <w:r w:rsidRPr="00487E01">
              <w:t>.</w:t>
            </w:r>
          </w:p>
        </w:tc>
        <w:tc>
          <w:tcPr>
            <w:tcW w:w="714" w:type="pct"/>
            <w:shd w:val="clear" w:color="auto" w:fill="auto"/>
          </w:tcPr>
          <w:p w:rsidR="00B52BB0" w:rsidRPr="0032643B" w:rsidRDefault="00B52BB0" w:rsidP="003E074D">
            <w:pPr>
              <w:pStyle w:val="TableText"/>
            </w:pPr>
            <w:r w:rsidRPr="00487E01">
              <w:t>Yes. Phyt</w:t>
            </w:r>
            <w:r w:rsidRPr="00264375">
              <w:rPr>
                <w:i/>
                <w:iCs/>
              </w:rPr>
              <w:t>ophthora litchii</w:t>
            </w:r>
            <w:r w:rsidRPr="00487E01">
              <w:t xml:space="preserve"> is a serious pathogen of lychee in China </w:t>
            </w:r>
            <w:r>
              <w:rPr>
                <w:noProof/>
              </w:rPr>
              <w:t>(Wang et al. 2009)</w:t>
            </w:r>
            <w:r w:rsidRPr="00487E01">
              <w:t xml:space="preserve">, and Australia’s lychee and longan production is located in areas with similar climates. Spread of other </w:t>
            </w:r>
            <w:r w:rsidRPr="00130667">
              <w:rPr>
                <w:i/>
              </w:rPr>
              <w:t>Phytophthora</w:t>
            </w:r>
            <w:r w:rsidRPr="00487E01">
              <w:t xml:space="preserve"> spp. in Australia has caused serious environmental damage to forest tree species </w:t>
            </w:r>
            <w:r>
              <w:rPr>
                <w:noProof/>
              </w:rPr>
              <w:t>(O'Gara, Huberli &amp; Hardy 2005)</w:t>
            </w:r>
            <w:r w:rsidRPr="00487E01">
              <w:t xml:space="preserve"> </w:t>
            </w:r>
          </w:p>
        </w:tc>
        <w:tc>
          <w:tcPr>
            <w:tcW w:w="714" w:type="pct"/>
            <w:shd w:val="clear" w:color="auto" w:fill="auto"/>
          </w:tcPr>
          <w:p w:rsidR="00B52BB0" w:rsidRPr="0032643B" w:rsidRDefault="00B52BB0" w:rsidP="003E074D">
            <w:pPr>
              <w:pStyle w:val="TableText"/>
            </w:pPr>
            <w:r w:rsidRPr="00487E01">
              <w:t>Yes (EP)</w:t>
            </w:r>
          </w:p>
        </w:tc>
      </w:tr>
      <w:tr w:rsidR="00B52BB0" w:rsidRPr="0032643B" w:rsidTr="003E074D">
        <w:trPr>
          <w:jc w:val="center"/>
        </w:trPr>
        <w:tc>
          <w:tcPr>
            <w:tcW w:w="715" w:type="pct"/>
            <w:shd w:val="clear" w:color="auto" w:fill="auto"/>
          </w:tcPr>
          <w:p w:rsidR="00B52BB0" w:rsidRPr="004569F6" w:rsidRDefault="00B52BB0" w:rsidP="003E074D">
            <w:pPr>
              <w:pStyle w:val="TableText"/>
              <w:rPr>
                <w:iCs/>
                <w:szCs w:val="18"/>
                <w:lang w:val="pt-BR"/>
              </w:rPr>
            </w:pPr>
            <w:r w:rsidRPr="00C11078">
              <w:rPr>
                <w:i/>
                <w:szCs w:val="18"/>
                <w:lang w:val="pt-BR"/>
              </w:rPr>
              <w:t xml:space="preserve">Phytophthora palmivora </w:t>
            </w:r>
            <w:r w:rsidRPr="004569F6">
              <w:rPr>
                <w:iCs/>
                <w:szCs w:val="18"/>
                <w:lang w:val="pt-BR"/>
              </w:rPr>
              <w:t>(E.J. Butler) E.J. Butler</w:t>
            </w:r>
          </w:p>
          <w:p w:rsidR="00B52BB0" w:rsidRPr="004569F6" w:rsidRDefault="00B52BB0" w:rsidP="003E074D">
            <w:pPr>
              <w:pStyle w:val="TableText"/>
              <w:rPr>
                <w:iCs/>
                <w:szCs w:val="18"/>
                <w:lang w:val="pt-BR"/>
              </w:rPr>
            </w:pPr>
            <w:r w:rsidRPr="004569F6">
              <w:rPr>
                <w:iCs/>
                <w:szCs w:val="18"/>
                <w:lang w:val="pt-BR"/>
              </w:rPr>
              <w:t>[Pythiales: Pythiaceae]</w:t>
            </w:r>
          </w:p>
          <w:p w:rsidR="00B52BB0" w:rsidRPr="0032643B" w:rsidRDefault="00B52BB0" w:rsidP="003E074D">
            <w:pPr>
              <w:pStyle w:val="TableText"/>
              <w:rPr>
                <w:i/>
              </w:rPr>
            </w:pPr>
            <w:r w:rsidRPr="004569F6">
              <w:rPr>
                <w:iCs/>
                <w:szCs w:val="18"/>
                <w:lang w:val="pt-BR"/>
              </w:rPr>
              <w:t>Coconut budrot</w:t>
            </w:r>
          </w:p>
        </w:tc>
        <w:tc>
          <w:tcPr>
            <w:tcW w:w="715" w:type="pct"/>
            <w:shd w:val="clear" w:color="auto" w:fill="auto"/>
          </w:tcPr>
          <w:p w:rsidR="00B52BB0" w:rsidRPr="0032643B" w:rsidRDefault="00B52BB0" w:rsidP="003E074D">
            <w:pPr>
              <w:pStyle w:val="TableText"/>
            </w:pPr>
            <w:r w:rsidRPr="00167C1F">
              <w:t xml:space="preserve">Yes </w:t>
            </w:r>
            <w:r>
              <w:rPr>
                <w:noProof/>
              </w:rPr>
              <w:t>(Dau et al. 2008)</w:t>
            </w:r>
          </w:p>
        </w:tc>
        <w:tc>
          <w:tcPr>
            <w:tcW w:w="714" w:type="pct"/>
            <w:shd w:val="clear" w:color="auto" w:fill="auto"/>
          </w:tcPr>
          <w:p w:rsidR="00B52BB0" w:rsidRDefault="00B52BB0" w:rsidP="003E074D">
            <w:pPr>
              <w:pStyle w:val="TableText"/>
            </w:pPr>
            <w:r w:rsidRPr="00167C1F">
              <w:t xml:space="preserve">Yes. NSW, NT, Qld, Vic. </w:t>
            </w:r>
            <w:r>
              <w:rPr>
                <w:noProof/>
              </w:rPr>
              <w:t>(Plant Health Australia 2019)</w:t>
            </w:r>
          </w:p>
          <w:p w:rsidR="00B52BB0" w:rsidRDefault="00B52BB0" w:rsidP="003E074D">
            <w:pPr>
              <w:pStyle w:val="TableText"/>
            </w:pPr>
            <w:r w:rsidRPr="00167C1F">
              <w:t>Regulated as a Declared Organism (Prohibited (s</w:t>
            </w:r>
            <w:r>
              <w:t>. </w:t>
            </w:r>
            <w:r w:rsidRPr="00167C1F">
              <w:t xml:space="preserve">12)) </w:t>
            </w:r>
            <w:r>
              <w:t>by</w:t>
            </w:r>
            <w:r w:rsidRPr="00167C1F">
              <w:t xml:space="preserve"> </w:t>
            </w:r>
            <w:r w:rsidRPr="00167C1F">
              <w:lastRenderedPageBreak/>
              <w:t xml:space="preserve">WA </w:t>
            </w:r>
            <w:r>
              <w:t xml:space="preserve">under the </w:t>
            </w:r>
            <w:r w:rsidRPr="00AF0E07">
              <w:rPr>
                <w:i/>
              </w:rPr>
              <w:t>Biosecurity and Agriculture Management Act 2007</w:t>
            </w:r>
            <w:r w:rsidRPr="00167C1F">
              <w:t xml:space="preserve"> </w:t>
            </w:r>
            <w:r>
              <w:rPr>
                <w:noProof/>
              </w:rPr>
              <w:t>(Government of Western Australia 2018)</w:t>
            </w:r>
            <w:r w:rsidRPr="00167C1F">
              <w:t>.</w:t>
            </w:r>
          </w:p>
          <w:p w:rsidR="00B52BB0" w:rsidRPr="0032643B" w:rsidRDefault="00B52BB0" w:rsidP="003E074D">
            <w:pPr>
              <w:pStyle w:val="TableText"/>
            </w:pPr>
            <w:r w:rsidRPr="006E77C9">
              <w:t>This species has not been assessed further as, although interstate quarantine regulations are in place to prevent the introduction of this species into WA, routine visual inspection is not considered to be an adequate measure to verify freedom from this species, as budrot- affected longan fruit may not display external symptoms at the time of import. Additionally, there are no specific measures or treatment requirements in place to manage its entry into WA for similar or higher risk hosts or pathways from NSW, NT, Qld or Vic., where the species is present</w:t>
            </w:r>
            <w:r w:rsidRPr="00737198">
              <w:t xml:space="preserve"> </w:t>
            </w:r>
            <w:r>
              <w:rPr>
                <w:noProof/>
              </w:rPr>
              <w:t>(DAFWA 2019)</w:t>
            </w:r>
            <w:r w:rsidRPr="00737198">
              <w:t>.</w:t>
            </w:r>
          </w:p>
        </w:tc>
        <w:tc>
          <w:tcPr>
            <w:tcW w:w="714" w:type="pct"/>
            <w:shd w:val="clear" w:color="auto" w:fill="auto"/>
          </w:tcPr>
          <w:p w:rsidR="00B52BB0" w:rsidRPr="0032643B" w:rsidRDefault="00B52BB0" w:rsidP="003E074D">
            <w:pPr>
              <w:pStyle w:val="TableText"/>
            </w:pPr>
            <w:r w:rsidRPr="00222AD8">
              <w:lastRenderedPageBreak/>
              <w:t>Assessment not required</w:t>
            </w:r>
          </w:p>
        </w:tc>
        <w:tc>
          <w:tcPr>
            <w:tcW w:w="714" w:type="pct"/>
            <w:shd w:val="clear" w:color="auto" w:fill="auto"/>
          </w:tcPr>
          <w:p w:rsidR="00B52BB0" w:rsidRPr="0032643B" w:rsidRDefault="00B52BB0" w:rsidP="003E074D">
            <w:pPr>
              <w:pStyle w:val="TableText"/>
            </w:pPr>
            <w:r w:rsidRPr="00222AD8">
              <w:t>Assessment not required</w:t>
            </w:r>
          </w:p>
        </w:tc>
        <w:tc>
          <w:tcPr>
            <w:tcW w:w="714" w:type="pct"/>
            <w:shd w:val="clear" w:color="auto" w:fill="auto"/>
          </w:tcPr>
          <w:p w:rsidR="00B52BB0" w:rsidRPr="0032643B" w:rsidRDefault="00B52BB0" w:rsidP="003E074D">
            <w:pPr>
              <w:pStyle w:val="TableText"/>
            </w:pPr>
            <w:r w:rsidRPr="00222AD8">
              <w:t>Assessment not required</w:t>
            </w:r>
          </w:p>
        </w:tc>
        <w:tc>
          <w:tcPr>
            <w:tcW w:w="714" w:type="pct"/>
            <w:shd w:val="clear" w:color="auto" w:fill="auto"/>
          </w:tcPr>
          <w:p w:rsidR="00B52BB0" w:rsidRPr="0032643B" w:rsidRDefault="00B52BB0" w:rsidP="003E074D">
            <w:pPr>
              <w:pStyle w:val="TableText"/>
            </w:pPr>
            <w:r>
              <w:t>No</w:t>
            </w:r>
          </w:p>
        </w:tc>
      </w:tr>
      <w:tr w:rsidR="00B52BB0" w:rsidTr="003E074D">
        <w:trPr>
          <w:cantSplit/>
          <w:trHeight w:val="75"/>
          <w:jc w:val="center"/>
        </w:trPr>
        <w:tc>
          <w:tcPr>
            <w:tcW w:w="5000" w:type="pct"/>
            <w:gridSpan w:val="7"/>
            <w:shd w:val="clear" w:color="auto" w:fill="auto"/>
          </w:tcPr>
          <w:p w:rsidR="00B52BB0" w:rsidRPr="0056567F" w:rsidRDefault="00B52BB0" w:rsidP="003E074D">
            <w:pPr>
              <w:pStyle w:val="TableText"/>
              <w:keepNext/>
              <w:rPr>
                <w:b/>
              </w:rPr>
            </w:pPr>
            <w:r w:rsidRPr="0056567F">
              <w:rPr>
                <w:b/>
              </w:rPr>
              <w:lastRenderedPageBreak/>
              <w:t xml:space="preserve">FUNGI </w:t>
            </w:r>
          </w:p>
        </w:tc>
      </w:tr>
      <w:tr w:rsidR="00B52BB0" w:rsidRPr="00C7613C" w:rsidTr="003E074D">
        <w:trPr>
          <w:cantSplit/>
          <w:jc w:val="center"/>
        </w:trPr>
        <w:tc>
          <w:tcPr>
            <w:tcW w:w="715" w:type="pct"/>
            <w:shd w:val="clear" w:color="auto" w:fill="auto"/>
          </w:tcPr>
          <w:p w:rsidR="00B52BB0" w:rsidRPr="004569F6" w:rsidRDefault="00B52BB0" w:rsidP="003E074D">
            <w:pPr>
              <w:pStyle w:val="TableText"/>
              <w:rPr>
                <w:iCs/>
                <w:lang w:val="pt-BR"/>
              </w:rPr>
            </w:pPr>
            <w:r w:rsidRPr="00C11078">
              <w:rPr>
                <w:i/>
                <w:lang w:val="pt-BR"/>
              </w:rPr>
              <w:t xml:space="preserve">Albonectria rigidiuscula </w:t>
            </w:r>
            <w:r w:rsidRPr="004569F6">
              <w:rPr>
                <w:iCs/>
                <w:lang w:val="pt-BR"/>
              </w:rPr>
              <w:t>(Berk. &amp; Broome) Rossman &amp; Samuels</w:t>
            </w:r>
          </w:p>
          <w:p w:rsidR="00B52BB0" w:rsidRPr="00C11078" w:rsidRDefault="00B52BB0" w:rsidP="003E074D">
            <w:pPr>
              <w:pStyle w:val="TableText"/>
              <w:rPr>
                <w:i/>
                <w:lang w:val="pt-BR"/>
              </w:rPr>
            </w:pPr>
            <w:r w:rsidRPr="004569F6">
              <w:rPr>
                <w:iCs/>
                <w:lang w:val="pt-BR"/>
              </w:rPr>
              <w:t>Synonyms:</w:t>
            </w:r>
            <w:r w:rsidRPr="00C11078">
              <w:rPr>
                <w:i/>
                <w:lang w:val="pt-BR"/>
              </w:rPr>
              <w:t xml:space="preserve"> Calonectria rigidiuscula </w:t>
            </w:r>
            <w:r w:rsidRPr="004569F6">
              <w:rPr>
                <w:iCs/>
                <w:lang w:val="pt-BR"/>
              </w:rPr>
              <w:t>(Berk. &amp; Broome) Sacc., Michelia</w:t>
            </w:r>
          </w:p>
          <w:p w:rsidR="00B52BB0" w:rsidRPr="004569F6" w:rsidRDefault="00B52BB0" w:rsidP="003E074D">
            <w:pPr>
              <w:pStyle w:val="TableText"/>
              <w:rPr>
                <w:iCs/>
                <w:lang w:val="pt-BR"/>
              </w:rPr>
            </w:pPr>
            <w:r w:rsidRPr="00C11078">
              <w:rPr>
                <w:i/>
                <w:lang w:val="pt-BR"/>
              </w:rPr>
              <w:t xml:space="preserve">Fusarium decemcellulare </w:t>
            </w:r>
            <w:r w:rsidRPr="004569F6">
              <w:rPr>
                <w:iCs/>
                <w:lang w:val="pt-BR"/>
              </w:rPr>
              <w:t>C. Brick</w:t>
            </w:r>
          </w:p>
          <w:p w:rsidR="00B52BB0" w:rsidRPr="004569F6" w:rsidRDefault="00B52BB0" w:rsidP="003E074D">
            <w:pPr>
              <w:pStyle w:val="TableText"/>
              <w:rPr>
                <w:iCs/>
                <w:lang w:val="pt-BR"/>
              </w:rPr>
            </w:pPr>
            <w:r w:rsidRPr="004569F6">
              <w:rPr>
                <w:iCs/>
                <w:lang w:val="pt-BR"/>
              </w:rPr>
              <w:t>[Hypocreales: Nectriaceae]</w:t>
            </w:r>
          </w:p>
          <w:p w:rsidR="00B52BB0" w:rsidRPr="00C7613C" w:rsidRDefault="00B52BB0" w:rsidP="003E074D">
            <w:pPr>
              <w:pStyle w:val="TableText"/>
              <w:rPr>
                <w:i/>
              </w:rPr>
            </w:pPr>
            <w:r w:rsidRPr="004569F6">
              <w:rPr>
                <w:iCs/>
                <w:lang w:val="pt-BR"/>
              </w:rPr>
              <w:t>Green point gall</w:t>
            </w:r>
          </w:p>
        </w:tc>
        <w:tc>
          <w:tcPr>
            <w:tcW w:w="715" w:type="pct"/>
            <w:shd w:val="clear" w:color="auto" w:fill="auto"/>
          </w:tcPr>
          <w:p w:rsidR="00B52BB0" w:rsidRPr="00C7613C" w:rsidRDefault="00B52BB0" w:rsidP="003E074D">
            <w:pPr>
              <w:pStyle w:val="TableText"/>
            </w:pPr>
            <w:r w:rsidRPr="00222AD8">
              <w:t xml:space="preserve">Yes </w:t>
            </w:r>
            <w:r>
              <w:rPr>
                <w:noProof/>
              </w:rPr>
              <w:t>(Burgess &amp; Burgess 2009)</w:t>
            </w:r>
          </w:p>
        </w:tc>
        <w:tc>
          <w:tcPr>
            <w:tcW w:w="714" w:type="pct"/>
            <w:shd w:val="clear" w:color="auto" w:fill="auto"/>
          </w:tcPr>
          <w:p w:rsidR="00B52BB0" w:rsidRDefault="00B52BB0" w:rsidP="003E074D">
            <w:pPr>
              <w:pStyle w:val="TableText"/>
            </w:pPr>
            <w:r w:rsidRPr="00222AD8">
              <w:t xml:space="preserve">Yes. NSW, Qld </w:t>
            </w:r>
            <w:r>
              <w:rPr>
                <w:noProof/>
              </w:rPr>
              <w:t>(Plant Health Australia 2019)</w:t>
            </w:r>
          </w:p>
          <w:p w:rsidR="00B52BB0" w:rsidRPr="00C7613C" w:rsidRDefault="00B52BB0" w:rsidP="003E074D">
            <w:pPr>
              <w:pStyle w:val="TableText"/>
            </w:pPr>
            <w:r>
              <w:t>Regulated as an Unlisted Organism (s. 14) by</w:t>
            </w:r>
            <w:r w:rsidRPr="00167C1F">
              <w:t xml:space="preserve"> WA </w:t>
            </w:r>
            <w:r>
              <w:t xml:space="preserve">under the </w:t>
            </w:r>
            <w:r w:rsidRPr="00AF0E07">
              <w:rPr>
                <w:i/>
              </w:rPr>
              <w:t>Biosecurity and Agriculture Management Act 2007</w:t>
            </w:r>
            <w:r>
              <w:t xml:space="preserve"> </w:t>
            </w:r>
            <w:r>
              <w:rPr>
                <w:noProof/>
              </w:rPr>
              <w:t>(Government of Western Australia 2018)</w:t>
            </w:r>
            <w:r w:rsidRPr="00167C1F">
              <w:t>.</w:t>
            </w:r>
          </w:p>
        </w:tc>
        <w:tc>
          <w:tcPr>
            <w:tcW w:w="714" w:type="pct"/>
            <w:shd w:val="clear" w:color="auto" w:fill="auto"/>
          </w:tcPr>
          <w:p w:rsidR="00B52BB0" w:rsidRPr="00C7613C" w:rsidRDefault="00B52BB0" w:rsidP="003E074D">
            <w:pPr>
              <w:pStyle w:val="TableText"/>
            </w:pPr>
            <w:r w:rsidRPr="00F9508A">
              <w:t xml:space="preserve">No. This species infects the </w:t>
            </w:r>
            <w:r>
              <w:t>twigs and branches</w:t>
            </w:r>
            <w:r w:rsidRPr="00F9508A">
              <w:t xml:space="preserve"> of </w:t>
            </w:r>
            <w:r>
              <w:t xml:space="preserve">weakened </w:t>
            </w:r>
            <w:r w:rsidRPr="00F9508A">
              <w:t xml:space="preserve">hosts through wounds </w:t>
            </w:r>
            <w:r>
              <w:t>or galls formed by other pests</w:t>
            </w:r>
            <w:r w:rsidRPr="00F9508A">
              <w:t xml:space="preserve"> </w:t>
            </w:r>
            <w:r>
              <w:rPr>
                <w:noProof/>
              </w:rPr>
              <w:t>(Booth &amp; Waterston 1964; Singh &amp; Singh 1978)</w:t>
            </w:r>
            <w:r>
              <w:t>. N</w:t>
            </w:r>
            <w:r w:rsidRPr="001F4BD3">
              <w:t>ot associated with the longan fruit export pathway</w:t>
            </w:r>
            <w:r>
              <w:t>.</w:t>
            </w:r>
          </w:p>
        </w:tc>
        <w:tc>
          <w:tcPr>
            <w:tcW w:w="714" w:type="pct"/>
            <w:shd w:val="clear" w:color="auto" w:fill="auto"/>
          </w:tcPr>
          <w:p w:rsidR="00B52BB0" w:rsidRPr="00C7613C" w:rsidRDefault="00B52BB0" w:rsidP="003E074D">
            <w:pPr>
              <w:pStyle w:val="TableText"/>
            </w:pPr>
            <w:r w:rsidRPr="00222AD8">
              <w:t>Assessment not required</w:t>
            </w:r>
          </w:p>
        </w:tc>
        <w:tc>
          <w:tcPr>
            <w:tcW w:w="714" w:type="pct"/>
            <w:shd w:val="clear" w:color="auto" w:fill="auto"/>
          </w:tcPr>
          <w:p w:rsidR="00B52BB0" w:rsidRPr="00C7613C" w:rsidRDefault="00B52BB0" w:rsidP="003E074D">
            <w:pPr>
              <w:pStyle w:val="TableText"/>
            </w:pPr>
            <w:r w:rsidRPr="00222AD8">
              <w:t>Assessment not required</w:t>
            </w:r>
          </w:p>
        </w:tc>
        <w:tc>
          <w:tcPr>
            <w:tcW w:w="714" w:type="pct"/>
            <w:shd w:val="clear" w:color="auto" w:fill="auto"/>
          </w:tcPr>
          <w:p w:rsidR="00B52BB0" w:rsidRPr="00C7613C" w:rsidRDefault="00B52BB0" w:rsidP="003E074D">
            <w:pPr>
              <w:pStyle w:val="TableText"/>
            </w:pPr>
            <w:r w:rsidRPr="00222AD8">
              <w:t>No</w:t>
            </w:r>
          </w:p>
        </w:tc>
      </w:tr>
      <w:tr w:rsidR="00B52BB0" w:rsidRPr="00C7613C" w:rsidTr="003E074D">
        <w:trPr>
          <w:cantSplit/>
          <w:jc w:val="center"/>
        </w:trPr>
        <w:tc>
          <w:tcPr>
            <w:tcW w:w="715" w:type="pct"/>
            <w:shd w:val="clear" w:color="auto" w:fill="auto"/>
          </w:tcPr>
          <w:p w:rsidR="00B52BB0" w:rsidRPr="004569F6" w:rsidRDefault="00B52BB0" w:rsidP="003E074D">
            <w:pPr>
              <w:pStyle w:val="TableText"/>
              <w:rPr>
                <w:iCs/>
                <w:lang w:val="pt-BR"/>
              </w:rPr>
            </w:pPr>
            <w:r w:rsidRPr="00C11078">
              <w:rPr>
                <w:i/>
                <w:lang w:val="pt-BR"/>
              </w:rPr>
              <w:lastRenderedPageBreak/>
              <w:t xml:space="preserve">Capnodium ramosum </w:t>
            </w:r>
            <w:r w:rsidRPr="004569F6">
              <w:rPr>
                <w:iCs/>
                <w:lang w:val="pt-BR"/>
              </w:rPr>
              <w:t>Cooke</w:t>
            </w:r>
          </w:p>
          <w:p w:rsidR="00B52BB0" w:rsidRPr="004569F6" w:rsidRDefault="00B52BB0" w:rsidP="003E074D">
            <w:pPr>
              <w:pStyle w:val="TableText"/>
              <w:rPr>
                <w:iCs/>
                <w:lang w:val="pt-BR"/>
              </w:rPr>
            </w:pPr>
            <w:r w:rsidRPr="004569F6">
              <w:rPr>
                <w:iCs/>
                <w:lang w:val="pt-BR"/>
              </w:rPr>
              <w:t>[Capnodiales: Capnodiaceae]</w:t>
            </w:r>
          </w:p>
          <w:p w:rsidR="00B52BB0" w:rsidRPr="00C7613C" w:rsidRDefault="00B52BB0" w:rsidP="003E074D">
            <w:pPr>
              <w:pStyle w:val="TableText"/>
              <w:rPr>
                <w:i/>
              </w:rPr>
            </w:pPr>
            <w:r w:rsidRPr="004569F6">
              <w:rPr>
                <w:iCs/>
                <w:lang w:val="pt-BR"/>
              </w:rPr>
              <w:t>Sooty mould of mango</w:t>
            </w:r>
          </w:p>
        </w:tc>
        <w:tc>
          <w:tcPr>
            <w:tcW w:w="715" w:type="pct"/>
            <w:shd w:val="clear" w:color="auto" w:fill="auto"/>
          </w:tcPr>
          <w:p w:rsidR="00B52BB0" w:rsidRPr="00C7613C" w:rsidRDefault="00B52BB0" w:rsidP="003E074D">
            <w:pPr>
              <w:pStyle w:val="TableText"/>
            </w:pPr>
            <w:r w:rsidRPr="00DE2B93">
              <w:t xml:space="preserve">Yes </w:t>
            </w:r>
            <w:r>
              <w:rPr>
                <w:noProof/>
              </w:rPr>
              <w:t>(PPD 2017)</w:t>
            </w:r>
          </w:p>
        </w:tc>
        <w:tc>
          <w:tcPr>
            <w:tcW w:w="714" w:type="pct"/>
            <w:shd w:val="clear" w:color="auto" w:fill="auto"/>
          </w:tcPr>
          <w:p w:rsidR="00B52BB0" w:rsidRPr="00C7613C" w:rsidRDefault="00B52BB0" w:rsidP="003E074D">
            <w:pPr>
              <w:pStyle w:val="TableText"/>
            </w:pPr>
            <w:r w:rsidRPr="00DE2B93">
              <w:t xml:space="preserve">No records found </w:t>
            </w:r>
          </w:p>
        </w:tc>
        <w:tc>
          <w:tcPr>
            <w:tcW w:w="714" w:type="pct"/>
            <w:shd w:val="clear" w:color="auto" w:fill="auto"/>
          </w:tcPr>
          <w:p w:rsidR="00B52BB0" w:rsidRPr="00C7613C" w:rsidRDefault="00B52BB0" w:rsidP="003E074D">
            <w:pPr>
              <w:pStyle w:val="TableText"/>
            </w:pPr>
            <w:r w:rsidRPr="00DE2B93">
              <w:t xml:space="preserve">No. </w:t>
            </w:r>
            <w:r w:rsidRPr="00264375">
              <w:rPr>
                <w:i/>
                <w:iCs/>
              </w:rPr>
              <w:t>Capnodium ramosum</w:t>
            </w:r>
            <w:r w:rsidRPr="00DE2B93">
              <w:t xml:space="preserve"> grows superficially</w:t>
            </w:r>
            <w:r>
              <w:t>, as a sooty mould,</w:t>
            </w:r>
            <w:r w:rsidRPr="00DE2B93">
              <w:t xml:space="preserve"> on fruit, stems and leaves </w:t>
            </w:r>
            <w:r>
              <w:rPr>
                <w:noProof/>
              </w:rPr>
              <w:t>(Devasahayam &amp; Christdhas Henry 2009)</w:t>
            </w:r>
            <w:r w:rsidRPr="00DE2B93">
              <w:t xml:space="preserve">. Mycelia grow on the fruit surface and are easily removed through postharvest washing and brushing </w:t>
            </w:r>
            <w:r>
              <w:rPr>
                <w:noProof/>
              </w:rPr>
              <w:t>(Cooke, Persley &amp; House 2009)</w:t>
            </w:r>
            <w:r w:rsidRPr="00DE2B93">
              <w:t xml:space="preserve">. The fungus does not penetrate the host tissues, only growing on the surface when there are sugary residues present as a result of feeding activity by sap-sucking insects </w:t>
            </w:r>
            <w:r>
              <w:rPr>
                <w:noProof/>
              </w:rPr>
              <w:t>(Devasahayam &amp; Christdhas Henry 2009)</w:t>
            </w:r>
            <w:r w:rsidRPr="00DE2B93">
              <w:t>.</w:t>
            </w:r>
          </w:p>
        </w:tc>
        <w:tc>
          <w:tcPr>
            <w:tcW w:w="714" w:type="pct"/>
            <w:shd w:val="clear" w:color="auto" w:fill="auto"/>
          </w:tcPr>
          <w:p w:rsidR="00B52BB0" w:rsidRPr="00C7613C" w:rsidRDefault="00B52BB0" w:rsidP="003E074D">
            <w:pPr>
              <w:pStyle w:val="TableText"/>
            </w:pPr>
            <w:r w:rsidRPr="00DE2B93">
              <w:t>Assessment not required</w:t>
            </w:r>
          </w:p>
        </w:tc>
        <w:tc>
          <w:tcPr>
            <w:tcW w:w="714" w:type="pct"/>
            <w:shd w:val="clear" w:color="auto" w:fill="auto"/>
          </w:tcPr>
          <w:p w:rsidR="00B52BB0" w:rsidRPr="00C7613C" w:rsidRDefault="00B52BB0" w:rsidP="003E074D">
            <w:pPr>
              <w:pStyle w:val="TableText"/>
            </w:pPr>
            <w:r w:rsidRPr="00DE2B93">
              <w:t>Assessment not required</w:t>
            </w:r>
          </w:p>
        </w:tc>
        <w:tc>
          <w:tcPr>
            <w:tcW w:w="714" w:type="pct"/>
            <w:shd w:val="clear" w:color="auto" w:fill="auto"/>
          </w:tcPr>
          <w:p w:rsidR="00B52BB0" w:rsidRPr="00C7613C" w:rsidRDefault="00B52BB0" w:rsidP="003E074D">
            <w:pPr>
              <w:pStyle w:val="TableText"/>
            </w:pPr>
            <w:r w:rsidRPr="00DE2B93">
              <w:t>No</w:t>
            </w:r>
          </w:p>
        </w:tc>
      </w:tr>
      <w:tr w:rsidR="00B52BB0" w:rsidRPr="00C7613C" w:rsidTr="003E074D">
        <w:trPr>
          <w:cantSplit/>
          <w:jc w:val="center"/>
        </w:trPr>
        <w:tc>
          <w:tcPr>
            <w:tcW w:w="715" w:type="pct"/>
            <w:shd w:val="clear" w:color="auto" w:fill="auto"/>
          </w:tcPr>
          <w:p w:rsidR="00B52BB0" w:rsidRPr="004569F6" w:rsidRDefault="00B52BB0" w:rsidP="003E074D">
            <w:pPr>
              <w:pStyle w:val="TableText"/>
              <w:rPr>
                <w:iCs/>
                <w:lang w:val="pt-BR"/>
              </w:rPr>
            </w:pPr>
            <w:r w:rsidRPr="00C11078">
              <w:rPr>
                <w:i/>
                <w:lang w:val="pt-BR"/>
              </w:rPr>
              <w:t xml:space="preserve">Cochliobolus lunatus </w:t>
            </w:r>
            <w:r w:rsidRPr="004569F6">
              <w:rPr>
                <w:iCs/>
                <w:lang w:val="pt-BR"/>
              </w:rPr>
              <w:t>Nelson &amp; Haasis</w:t>
            </w:r>
          </w:p>
          <w:p w:rsidR="00B52BB0" w:rsidRPr="004569F6" w:rsidRDefault="00B52BB0" w:rsidP="003E074D">
            <w:pPr>
              <w:pStyle w:val="TableText"/>
              <w:rPr>
                <w:iCs/>
                <w:lang w:val="pt-BR"/>
              </w:rPr>
            </w:pPr>
            <w:r w:rsidRPr="004569F6">
              <w:rPr>
                <w:iCs/>
                <w:lang w:val="pt-BR"/>
              </w:rPr>
              <w:t>Synonym:</w:t>
            </w:r>
          </w:p>
          <w:p w:rsidR="00B52BB0" w:rsidRPr="004569F6" w:rsidRDefault="00B52BB0" w:rsidP="003E074D">
            <w:pPr>
              <w:pStyle w:val="TableText"/>
              <w:rPr>
                <w:iCs/>
                <w:lang w:val="pt-BR"/>
              </w:rPr>
            </w:pPr>
            <w:r w:rsidRPr="00C11078">
              <w:rPr>
                <w:i/>
                <w:lang w:val="pt-BR"/>
              </w:rPr>
              <w:t xml:space="preserve">Curvularia lunata </w:t>
            </w:r>
            <w:r w:rsidRPr="004569F6">
              <w:rPr>
                <w:iCs/>
                <w:lang w:val="pt-BR"/>
              </w:rPr>
              <w:t>(Wakker) Boedjin</w:t>
            </w:r>
          </w:p>
          <w:p w:rsidR="00B52BB0" w:rsidRPr="004569F6" w:rsidRDefault="00B52BB0" w:rsidP="003E074D">
            <w:pPr>
              <w:pStyle w:val="TableText"/>
              <w:rPr>
                <w:iCs/>
                <w:lang w:val="pt-BR"/>
              </w:rPr>
            </w:pPr>
            <w:r w:rsidRPr="004569F6">
              <w:rPr>
                <w:iCs/>
                <w:lang w:val="pt-BR"/>
              </w:rPr>
              <w:t>[Pleosporales: Pleosporaceae]</w:t>
            </w:r>
          </w:p>
          <w:p w:rsidR="00B52BB0" w:rsidRPr="00C7613C" w:rsidRDefault="00B52BB0" w:rsidP="003E074D">
            <w:pPr>
              <w:pStyle w:val="TableText"/>
              <w:rPr>
                <w:i/>
              </w:rPr>
            </w:pPr>
            <w:r w:rsidRPr="004569F6">
              <w:rPr>
                <w:iCs/>
                <w:lang w:val="pt-BR"/>
              </w:rPr>
              <w:t>Head mould of grasses, rice and sorghum</w:t>
            </w:r>
          </w:p>
        </w:tc>
        <w:tc>
          <w:tcPr>
            <w:tcW w:w="715" w:type="pct"/>
            <w:shd w:val="clear" w:color="auto" w:fill="auto"/>
          </w:tcPr>
          <w:p w:rsidR="00B52BB0" w:rsidRPr="00C7613C" w:rsidRDefault="00B52BB0" w:rsidP="003E074D">
            <w:pPr>
              <w:pStyle w:val="TableText"/>
            </w:pPr>
            <w:r w:rsidRPr="00683E67">
              <w:t xml:space="preserve">Yes </w:t>
            </w:r>
            <w:r>
              <w:rPr>
                <w:noProof/>
              </w:rPr>
              <w:t>(CABI 2019; Pham, Nguyen &amp; Hoang 1991)</w:t>
            </w:r>
          </w:p>
        </w:tc>
        <w:tc>
          <w:tcPr>
            <w:tcW w:w="714" w:type="pct"/>
            <w:shd w:val="clear" w:color="auto" w:fill="auto"/>
          </w:tcPr>
          <w:p w:rsidR="00B52BB0" w:rsidRPr="00C7613C" w:rsidRDefault="00B52BB0" w:rsidP="003E074D">
            <w:pPr>
              <w:pStyle w:val="TableText"/>
            </w:pPr>
            <w:r w:rsidRPr="00683E67">
              <w:t xml:space="preserve">Yes NSW, Qld, Vic., WA </w:t>
            </w:r>
            <w:r>
              <w:rPr>
                <w:noProof/>
              </w:rPr>
              <w:t>(Plant Health Australia 2019)</w:t>
            </w:r>
          </w:p>
        </w:tc>
        <w:tc>
          <w:tcPr>
            <w:tcW w:w="714" w:type="pct"/>
            <w:shd w:val="clear" w:color="auto" w:fill="auto"/>
          </w:tcPr>
          <w:p w:rsidR="00B52BB0" w:rsidRPr="00C7613C" w:rsidRDefault="00B52BB0" w:rsidP="003E074D">
            <w:pPr>
              <w:pStyle w:val="TableText"/>
            </w:pPr>
            <w:r w:rsidRPr="00683E67">
              <w:t>Assessment not required</w:t>
            </w:r>
          </w:p>
        </w:tc>
        <w:tc>
          <w:tcPr>
            <w:tcW w:w="714" w:type="pct"/>
            <w:shd w:val="clear" w:color="auto" w:fill="auto"/>
          </w:tcPr>
          <w:p w:rsidR="00B52BB0" w:rsidRPr="00C7613C" w:rsidRDefault="00B52BB0" w:rsidP="003E074D">
            <w:pPr>
              <w:pStyle w:val="TableText"/>
            </w:pPr>
            <w:r w:rsidRPr="00683E67">
              <w:t>Assessment not required</w:t>
            </w:r>
          </w:p>
        </w:tc>
        <w:tc>
          <w:tcPr>
            <w:tcW w:w="714" w:type="pct"/>
            <w:shd w:val="clear" w:color="auto" w:fill="auto"/>
          </w:tcPr>
          <w:p w:rsidR="00B52BB0" w:rsidRPr="00C7613C" w:rsidRDefault="00B52BB0" w:rsidP="003E074D">
            <w:pPr>
              <w:pStyle w:val="TableText"/>
            </w:pPr>
            <w:r w:rsidRPr="00683E67">
              <w:t>Assessment not required</w:t>
            </w:r>
          </w:p>
        </w:tc>
        <w:tc>
          <w:tcPr>
            <w:tcW w:w="714" w:type="pct"/>
            <w:shd w:val="clear" w:color="auto" w:fill="auto"/>
          </w:tcPr>
          <w:p w:rsidR="00B52BB0" w:rsidRPr="00C7613C" w:rsidRDefault="00B52BB0" w:rsidP="003E074D">
            <w:pPr>
              <w:pStyle w:val="TableText"/>
            </w:pPr>
            <w:r w:rsidRPr="00683E67">
              <w:t>No</w:t>
            </w:r>
          </w:p>
        </w:tc>
      </w:tr>
      <w:tr w:rsidR="00B52BB0" w:rsidRPr="00C7613C" w:rsidTr="003E074D">
        <w:trPr>
          <w:cantSplit/>
          <w:jc w:val="center"/>
        </w:trPr>
        <w:tc>
          <w:tcPr>
            <w:tcW w:w="715" w:type="pct"/>
            <w:shd w:val="clear" w:color="auto" w:fill="auto"/>
          </w:tcPr>
          <w:p w:rsidR="00B52BB0" w:rsidRPr="004569F6" w:rsidRDefault="00B52BB0" w:rsidP="003E074D">
            <w:pPr>
              <w:pStyle w:val="TableText"/>
              <w:rPr>
                <w:iCs/>
                <w:lang w:val="pt-BR"/>
              </w:rPr>
            </w:pPr>
            <w:r w:rsidRPr="00C11078">
              <w:rPr>
                <w:i/>
                <w:lang w:val="pt-BR"/>
              </w:rPr>
              <w:lastRenderedPageBreak/>
              <w:t xml:space="preserve">Colletotrichum gloeosporioides </w:t>
            </w:r>
            <w:r>
              <w:rPr>
                <w:iCs/>
                <w:lang w:val="pt-BR"/>
              </w:rPr>
              <w:t>(Penz.) Penz. &amp; Sacc.</w:t>
            </w:r>
          </w:p>
          <w:p w:rsidR="00B52BB0" w:rsidRPr="00C11078" w:rsidRDefault="00B52BB0" w:rsidP="003E074D">
            <w:pPr>
              <w:pStyle w:val="TableText"/>
              <w:rPr>
                <w:i/>
                <w:lang w:val="pt-BR"/>
              </w:rPr>
            </w:pPr>
            <w:r w:rsidRPr="004569F6">
              <w:rPr>
                <w:iCs/>
                <w:lang w:val="pt-BR"/>
              </w:rPr>
              <w:t xml:space="preserve">Synonym: </w:t>
            </w:r>
            <w:r w:rsidRPr="00C11078">
              <w:rPr>
                <w:i/>
                <w:lang w:val="pt-BR"/>
              </w:rPr>
              <w:t>Glomerella cingulata</w:t>
            </w:r>
          </w:p>
          <w:p w:rsidR="00B52BB0" w:rsidRPr="004569F6" w:rsidRDefault="00B52BB0" w:rsidP="003E074D">
            <w:pPr>
              <w:pStyle w:val="TableText"/>
              <w:rPr>
                <w:iCs/>
                <w:lang w:val="pt-BR"/>
              </w:rPr>
            </w:pPr>
            <w:r w:rsidRPr="004569F6">
              <w:rPr>
                <w:iCs/>
                <w:lang w:val="pt-BR"/>
              </w:rPr>
              <w:t>[Glomerellales: Glomerellaceae]</w:t>
            </w:r>
          </w:p>
          <w:p w:rsidR="00B52BB0" w:rsidRPr="00C7613C" w:rsidRDefault="00B52BB0" w:rsidP="003E074D">
            <w:pPr>
              <w:pStyle w:val="TableText"/>
              <w:rPr>
                <w:i/>
              </w:rPr>
            </w:pPr>
            <w:r w:rsidRPr="004569F6">
              <w:rPr>
                <w:iCs/>
                <w:lang w:val="pt-BR"/>
              </w:rPr>
              <w:t>Anthracnose</w:t>
            </w:r>
          </w:p>
        </w:tc>
        <w:tc>
          <w:tcPr>
            <w:tcW w:w="715" w:type="pct"/>
            <w:shd w:val="clear" w:color="auto" w:fill="auto"/>
          </w:tcPr>
          <w:p w:rsidR="00B52BB0" w:rsidRPr="00C7613C" w:rsidRDefault="00B52BB0" w:rsidP="003E074D">
            <w:pPr>
              <w:pStyle w:val="TableText"/>
            </w:pPr>
            <w:r w:rsidRPr="007118D1">
              <w:t xml:space="preserve">Yes </w:t>
            </w:r>
            <w:r>
              <w:rPr>
                <w:noProof/>
              </w:rPr>
              <w:t>(Nguyen et al. 2010)</w:t>
            </w:r>
          </w:p>
        </w:tc>
        <w:tc>
          <w:tcPr>
            <w:tcW w:w="714" w:type="pct"/>
            <w:shd w:val="clear" w:color="auto" w:fill="auto"/>
          </w:tcPr>
          <w:p w:rsidR="00B52BB0" w:rsidRPr="00C7613C" w:rsidRDefault="00B52BB0" w:rsidP="003E074D">
            <w:pPr>
              <w:pStyle w:val="TableText"/>
            </w:pPr>
            <w:r w:rsidRPr="007118D1">
              <w:t xml:space="preserve">Yes. NSW, NT, Qld, Vic., WA </w:t>
            </w:r>
            <w:r>
              <w:rPr>
                <w:noProof/>
              </w:rPr>
              <w:t>(Plant Health Australia 2019)</w:t>
            </w:r>
          </w:p>
        </w:tc>
        <w:tc>
          <w:tcPr>
            <w:tcW w:w="714" w:type="pct"/>
            <w:shd w:val="clear" w:color="auto" w:fill="auto"/>
          </w:tcPr>
          <w:p w:rsidR="00B52BB0" w:rsidRPr="00C7613C" w:rsidRDefault="00B52BB0" w:rsidP="003E074D">
            <w:pPr>
              <w:pStyle w:val="TableText"/>
            </w:pPr>
            <w:r w:rsidRPr="007118D1">
              <w:t>Assessment not required</w:t>
            </w:r>
          </w:p>
        </w:tc>
        <w:tc>
          <w:tcPr>
            <w:tcW w:w="714" w:type="pct"/>
            <w:shd w:val="clear" w:color="auto" w:fill="auto"/>
          </w:tcPr>
          <w:p w:rsidR="00B52BB0" w:rsidRPr="00C7613C" w:rsidRDefault="00B52BB0" w:rsidP="003E074D">
            <w:pPr>
              <w:pStyle w:val="TableText"/>
            </w:pPr>
            <w:r w:rsidRPr="007118D1">
              <w:t>Assessment not required</w:t>
            </w:r>
          </w:p>
        </w:tc>
        <w:tc>
          <w:tcPr>
            <w:tcW w:w="714" w:type="pct"/>
            <w:shd w:val="clear" w:color="auto" w:fill="auto"/>
          </w:tcPr>
          <w:p w:rsidR="00B52BB0" w:rsidRPr="00C7613C" w:rsidRDefault="00B52BB0" w:rsidP="003E074D">
            <w:pPr>
              <w:pStyle w:val="TableText"/>
            </w:pPr>
            <w:r w:rsidRPr="007118D1">
              <w:t>Assessment not required</w:t>
            </w:r>
          </w:p>
        </w:tc>
        <w:tc>
          <w:tcPr>
            <w:tcW w:w="714" w:type="pct"/>
            <w:shd w:val="clear" w:color="auto" w:fill="auto"/>
          </w:tcPr>
          <w:p w:rsidR="00B52BB0" w:rsidRPr="00C7613C" w:rsidRDefault="00B52BB0" w:rsidP="003E074D">
            <w:pPr>
              <w:pStyle w:val="TableText"/>
            </w:pPr>
            <w:r w:rsidRPr="007118D1">
              <w:t>No</w:t>
            </w:r>
          </w:p>
        </w:tc>
      </w:tr>
      <w:tr w:rsidR="00B52BB0" w:rsidRPr="00C7613C" w:rsidTr="003E074D">
        <w:trPr>
          <w:cantSplit/>
          <w:jc w:val="center"/>
        </w:trPr>
        <w:tc>
          <w:tcPr>
            <w:tcW w:w="715" w:type="pct"/>
            <w:shd w:val="clear" w:color="auto" w:fill="auto"/>
          </w:tcPr>
          <w:p w:rsidR="00B52BB0" w:rsidRPr="004569F6" w:rsidRDefault="00B52BB0" w:rsidP="003E074D">
            <w:pPr>
              <w:pStyle w:val="TableText"/>
              <w:rPr>
                <w:iCs/>
                <w:lang w:val="pt-BR"/>
              </w:rPr>
            </w:pPr>
            <w:r w:rsidRPr="00C11078">
              <w:rPr>
                <w:i/>
                <w:lang w:val="pt-BR"/>
              </w:rPr>
              <w:t xml:space="preserve">Geotrichum candidum </w:t>
            </w:r>
            <w:r w:rsidRPr="004569F6">
              <w:rPr>
                <w:iCs/>
                <w:lang w:val="pt-BR"/>
              </w:rPr>
              <w:t>Link.</w:t>
            </w:r>
          </w:p>
          <w:p w:rsidR="00B52BB0" w:rsidRPr="004569F6" w:rsidRDefault="00B52BB0" w:rsidP="003E074D">
            <w:pPr>
              <w:pStyle w:val="TableText"/>
              <w:rPr>
                <w:iCs/>
                <w:lang w:val="pt-BR"/>
              </w:rPr>
            </w:pPr>
            <w:r w:rsidRPr="004569F6">
              <w:rPr>
                <w:iCs/>
                <w:lang w:val="pt-BR"/>
              </w:rPr>
              <w:t>[Saccharomycotina: Ascomycota]</w:t>
            </w:r>
          </w:p>
          <w:p w:rsidR="00B52BB0" w:rsidRPr="00C7613C" w:rsidRDefault="00B52BB0" w:rsidP="003E074D">
            <w:pPr>
              <w:pStyle w:val="TableText"/>
              <w:rPr>
                <w:i/>
              </w:rPr>
            </w:pPr>
          </w:p>
        </w:tc>
        <w:tc>
          <w:tcPr>
            <w:tcW w:w="715" w:type="pct"/>
            <w:shd w:val="clear" w:color="auto" w:fill="auto"/>
          </w:tcPr>
          <w:p w:rsidR="00B52BB0" w:rsidRPr="00C7613C" w:rsidRDefault="00B52BB0" w:rsidP="003E074D">
            <w:pPr>
              <w:pStyle w:val="TableText"/>
            </w:pPr>
            <w:r w:rsidRPr="00C94A5E">
              <w:t xml:space="preserve">Yes </w:t>
            </w:r>
            <w:r>
              <w:rPr>
                <w:noProof/>
              </w:rPr>
              <w:t>(Hong-Thao et al. 2016)</w:t>
            </w:r>
          </w:p>
        </w:tc>
        <w:tc>
          <w:tcPr>
            <w:tcW w:w="714" w:type="pct"/>
            <w:shd w:val="clear" w:color="auto" w:fill="auto"/>
          </w:tcPr>
          <w:p w:rsidR="00B52BB0" w:rsidRPr="00C7613C" w:rsidRDefault="00B52BB0" w:rsidP="003E074D">
            <w:pPr>
              <w:pStyle w:val="TableText"/>
            </w:pPr>
            <w:r w:rsidRPr="00C94A5E">
              <w:t xml:space="preserve">Yes. NSW, Qld, Tas., Vic., WA </w:t>
            </w:r>
            <w:r>
              <w:rPr>
                <w:noProof/>
              </w:rPr>
              <w:t>(Plant Health Australia 2019)</w:t>
            </w:r>
          </w:p>
        </w:tc>
        <w:tc>
          <w:tcPr>
            <w:tcW w:w="714" w:type="pct"/>
            <w:shd w:val="clear" w:color="auto" w:fill="auto"/>
          </w:tcPr>
          <w:p w:rsidR="00B52BB0" w:rsidRPr="00C7613C" w:rsidRDefault="00B52BB0" w:rsidP="003E074D">
            <w:pPr>
              <w:pStyle w:val="TableText"/>
            </w:pPr>
            <w:r w:rsidRPr="00C94A5E">
              <w:t>Assessment not required</w:t>
            </w:r>
          </w:p>
        </w:tc>
        <w:tc>
          <w:tcPr>
            <w:tcW w:w="714" w:type="pct"/>
            <w:shd w:val="clear" w:color="auto" w:fill="auto"/>
          </w:tcPr>
          <w:p w:rsidR="00B52BB0" w:rsidRPr="00C7613C" w:rsidRDefault="00B52BB0" w:rsidP="003E074D">
            <w:pPr>
              <w:pStyle w:val="TableText"/>
            </w:pPr>
            <w:r w:rsidRPr="00C94A5E">
              <w:t>Assessment not required</w:t>
            </w:r>
          </w:p>
        </w:tc>
        <w:tc>
          <w:tcPr>
            <w:tcW w:w="714" w:type="pct"/>
            <w:shd w:val="clear" w:color="auto" w:fill="auto"/>
          </w:tcPr>
          <w:p w:rsidR="00B52BB0" w:rsidRPr="00C7613C" w:rsidRDefault="00B52BB0" w:rsidP="003E074D">
            <w:pPr>
              <w:pStyle w:val="TableText"/>
            </w:pPr>
            <w:r w:rsidRPr="00C94A5E">
              <w:t>Assessment not required</w:t>
            </w:r>
          </w:p>
        </w:tc>
        <w:tc>
          <w:tcPr>
            <w:tcW w:w="714" w:type="pct"/>
            <w:shd w:val="clear" w:color="auto" w:fill="auto"/>
          </w:tcPr>
          <w:p w:rsidR="00B52BB0" w:rsidRPr="00C7613C" w:rsidRDefault="00B52BB0" w:rsidP="003E074D">
            <w:pPr>
              <w:pStyle w:val="TableText"/>
            </w:pPr>
            <w:r w:rsidRPr="00C94A5E">
              <w:t>No</w:t>
            </w:r>
          </w:p>
        </w:tc>
      </w:tr>
      <w:tr w:rsidR="00B52BB0" w:rsidRPr="00C7613C" w:rsidTr="003E074D">
        <w:trPr>
          <w:cantSplit/>
          <w:jc w:val="center"/>
        </w:trPr>
        <w:tc>
          <w:tcPr>
            <w:tcW w:w="715" w:type="pct"/>
            <w:shd w:val="clear" w:color="auto" w:fill="auto"/>
          </w:tcPr>
          <w:p w:rsidR="00B52BB0" w:rsidRPr="004569F6" w:rsidRDefault="00B52BB0" w:rsidP="003E074D">
            <w:pPr>
              <w:pStyle w:val="TableText"/>
              <w:rPr>
                <w:iCs/>
                <w:lang w:val="pt-BR"/>
              </w:rPr>
            </w:pPr>
            <w:r w:rsidRPr="00C11078">
              <w:rPr>
                <w:i/>
                <w:lang w:val="pt-BR"/>
              </w:rPr>
              <w:t xml:space="preserve">Lasiodiplodia theobromae </w:t>
            </w:r>
            <w:r w:rsidRPr="004569F6">
              <w:rPr>
                <w:iCs/>
                <w:lang w:val="pt-BR"/>
              </w:rPr>
              <w:t>Griffon &amp; Maubl.</w:t>
            </w:r>
          </w:p>
          <w:p w:rsidR="00B52BB0" w:rsidRPr="004569F6" w:rsidRDefault="00B52BB0" w:rsidP="003E074D">
            <w:pPr>
              <w:pStyle w:val="TableText"/>
              <w:rPr>
                <w:iCs/>
                <w:lang w:val="pt-BR"/>
              </w:rPr>
            </w:pPr>
            <w:r w:rsidRPr="004569F6">
              <w:rPr>
                <w:iCs/>
                <w:lang w:val="pt-BR"/>
              </w:rPr>
              <w:t>[Ascomycota: Botryosphaeriales]</w:t>
            </w:r>
          </w:p>
          <w:p w:rsidR="00B52BB0" w:rsidRPr="00C7613C" w:rsidRDefault="00B52BB0" w:rsidP="003E074D">
            <w:pPr>
              <w:pStyle w:val="TableText"/>
              <w:rPr>
                <w:i/>
              </w:rPr>
            </w:pPr>
            <w:r w:rsidRPr="004569F6">
              <w:rPr>
                <w:iCs/>
                <w:lang w:val="pt-BR"/>
              </w:rPr>
              <w:t>Diplodia pod rot of cocoa</w:t>
            </w:r>
          </w:p>
        </w:tc>
        <w:tc>
          <w:tcPr>
            <w:tcW w:w="715" w:type="pct"/>
            <w:shd w:val="clear" w:color="auto" w:fill="auto"/>
          </w:tcPr>
          <w:p w:rsidR="00B52BB0" w:rsidRPr="00C7613C" w:rsidRDefault="00B52BB0" w:rsidP="003E074D">
            <w:pPr>
              <w:pStyle w:val="TableText"/>
            </w:pPr>
            <w:r w:rsidRPr="00CD5EA6">
              <w:t xml:space="preserve">Yes </w:t>
            </w:r>
            <w:r>
              <w:rPr>
                <w:noProof/>
              </w:rPr>
              <w:t>(Nguyen et al. 2006)</w:t>
            </w:r>
          </w:p>
        </w:tc>
        <w:tc>
          <w:tcPr>
            <w:tcW w:w="714" w:type="pct"/>
            <w:shd w:val="clear" w:color="auto" w:fill="auto"/>
          </w:tcPr>
          <w:p w:rsidR="00B52BB0" w:rsidRPr="00C7613C" w:rsidRDefault="00B52BB0" w:rsidP="003E074D">
            <w:pPr>
              <w:pStyle w:val="TableText"/>
            </w:pPr>
            <w:r w:rsidRPr="00CD5EA6">
              <w:t xml:space="preserve">Yes. NSW, NT, Qld, SA, WA </w:t>
            </w:r>
            <w:r>
              <w:rPr>
                <w:noProof/>
              </w:rPr>
              <w:t>(CABI EPPO 2010; Plant Health Australia 2019)</w:t>
            </w:r>
          </w:p>
        </w:tc>
        <w:tc>
          <w:tcPr>
            <w:tcW w:w="714" w:type="pct"/>
            <w:shd w:val="clear" w:color="auto" w:fill="auto"/>
          </w:tcPr>
          <w:p w:rsidR="00B52BB0" w:rsidRPr="00C7613C" w:rsidRDefault="00B52BB0" w:rsidP="003E074D">
            <w:pPr>
              <w:pStyle w:val="TableText"/>
            </w:pPr>
            <w:r w:rsidRPr="00CD5EA6">
              <w:t>Assessment not required</w:t>
            </w:r>
          </w:p>
        </w:tc>
        <w:tc>
          <w:tcPr>
            <w:tcW w:w="714" w:type="pct"/>
            <w:shd w:val="clear" w:color="auto" w:fill="auto"/>
          </w:tcPr>
          <w:p w:rsidR="00B52BB0" w:rsidRPr="00C7613C" w:rsidRDefault="00B52BB0" w:rsidP="003E074D">
            <w:pPr>
              <w:pStyle w:val="TableText"/>
            </w:pPr>
            <w:r w:rsidRPr="00CD5EA6">
              <w:t>Assessment not required</w:t>
            </w:r>
          </w:p>
        </w:tc>
        <w:tc>
          <w:tcPr>
            <w:tcW w:w="714" w:type="pct"/>
            <w:shd w:val="clear" w:color="auto" w:fill="auto"/>
          </w:tcPr>
          <w:p w:rsidR="00B52BB0" w:rsidRPr="00C7613C" w:rsidRDefault="00B52BB0" w:rsidP="003E074D">
            <w:pPr>
              <w:pStyle w:val="TableText"/>
            </w:pPr>
            <w:r w:rsidRPr="00CD5EA6">
              <w:t>Assessment not required</w:t>
            </w:r>
          </w:p>
        </w:tc>
        <w:tc>
          <w:tcPr>
            <w:tcW w:w="714" w:type="pct"/>
            <w:shd w:val="clear" w:color="auto" w:fill="auto"/>
          </w:tcPr>
          <w:p w:rsidR="00B52BB0" w:rsidRPr="00C7613C" w:rsidRDefault="00B52BB0" w:rsidP="003E074D">
            <w:pPr>
              <w:pStyle w:val="TableText"/>
            </w:pPr>
            <w:r w:rsidRPr="00CD5EA6">
              <w:t>No</w:t>
            </w:r>
          </w:p>
        </w:tc>
      </w:tr>
      <w:tr w:rsidR="00B52BB0" w:rsidTr="003E074D">
        <w:trPr>
          <w:cantSplit/>
          <w:jc w:val="center"/>
        </w:trPr>
        <w:tc>
          <w:tcPr>
            <w:tcW w:w="5000" w:type="pct"/>
            <w:gridSpan w:val="7"/>
            <w:shd w:val="clear" w:color="auto" w:fill="auto"/>
          </w:tcPr>
          <w:p w:rsidR="00B52BB0" w:rsidRPr="0056567F" w:rsidRDefault="00B52BB0" w:rsidP="003E074D">
            <w:pPr>
              <w:pStyle w:val="TableText"/>
              <w:keepNext/>
              <w:rPr>
                <w:b/>
              </w:rPr>
            </w:pPr>
            <w:r>
              <w:rPr>
                <w:b/>
              </w:rPr>
              <w:lastRenderedPageBreak/>
              <w:t>DISEASES OF UNKNOWN AETIOLOGY</w:t>
            </w:r>
          </w:p>
        </w:tc>
      </w:tr>
      <w:tr w:rsidR="00B52BB0" w:rsidRPr="00E3714E" w:rsidTr="003E074D">
        <w:trPr>
          <w:cantSplit/>
          <w:jc w:val="center"/>
        </w:trPr>
        <w:tc>
          <w:tcPr>
            <w:tcW w:w="715" w:type="pct"/>
            <w:shd w:val="clear" w:color="auto" w:fill="auto"/>
          </w:tcPr>
          <w:p w:rsidR="00B52BB0" w:rsidRPr="00E3714E" w:rsidRDefault="00B52BB0" w:rsidP="003E074D">
            <w:pPr>
              <w:pStyle w:val="TableText"/>
            </w:pPr>
            <w:r w:rsidRPr="002F3F91">
              <w:rPr>
                <w:i/>
              </w:rPr>
              <w:t>Longan Witches’ Broom Disease</w:t>
            </w:r>
            <w:r w:rsidRPr="00846971">
              <w:t xml:space="preserve"> (LWBD)</w:t>
            </w:r>
          </w:p>
        </w:tc>
        <w:tc>
          <w:tcPr>
            <w:tcW w:w="715" w:type="pct"/>
            <w:shd w:val="clear" w:color="auto" w:fill="auto"/>
          </w:tcPr>
          <w:p w:rsidR="00B52BB0" w:rsidRPr="00E3714E" w:rsidRDefault="00B52BB0" w:rsidP="003E074D">
            <w:pPr>
              <w:pStyle w:val="TableText"/>
            </w:pPr>
            <w:r w:rsidRPr="00846971">
              <w:t xml:space="preserve">Yes </w:t>
            </w:r>
            <w:r>
              <w:rPr>
                <w:noProof/>
              </w:rPr>
              <w:t>(PPD 2017)</w:t>
            </w:r>
          </w:p>
        </w:tc>
        <w:tc>
          <w:tcPr>
            <w:tcW w:w="714" w:type="pct"/>
            <w:shd w:val="clear" w:color="auto" w:fill="auto"/>
          </w:tcPr>
          <w:p w:rsidR="00B52BB0" w:rsidRPr="00E3714E" w:rsidRDefault="00B52BB0" w:rsidP="003E074D">
            <w:pPr>
              <w:pStyle w:val="TableText"/>
            </w:pPr>
            <w:r w:rsidRPr="00846971">
              <w:t>No records found</w:t>
            </w:r>
          </w:p>
        </w:tc>
        <w:tc>
          <w:tcPr>
            <w:tcW w:w="714" w:type="pct"/>
            <w:shd w:val="clear" w:color="auto" w:fill="auto"/>
          </w:tcPr>
          <w:p w:rsidR="00B52BB0" w:rsidRPr="00E3714E" w:rsidRDefault="00B52BB0" w:rsidP="003E074D">
            <w:pPr>
              <w:pStyle w:val="TableText"/>
            </w:pPr>
            <w:r w:rsidRPr="00846971">
              <w:t xml:space="preserve">Yes. The disease </w:t>
            </w:r>
            <w:r>
              <w:t>affects</w:t>
            </w:r>
            <w:r w:rsidRPr="00846971">
              <w:t xml:space="preserve"> fruit, branches and panicles, and is </w:t>
            </w:r>
            <w:r>
              <w:t>potentially vectored by</w:t>
            </w:r>
            <w:r w:rsidRPr="00846971">
              <w:t xml:space="preserve"> the mite species </w:t>
            </w:r>
            <w:r w:rsidRPr="00264375">
              <w:rPr>
                <w:i/>
                <w:iCs/>
              </w:rPr>
              <w:t>Eriophyes dimocarpi</w:t>
            </w:r>
            <w:r w:rsidRPr="00846971">
              <w:t xml:space="preserve"> and the litchi stink bug (</w:t>
            </w:r>
            <w:r w:rsidRPr="00264375">
              <w:rPr>
                <w:i/>
                <w:iCs/>
              </w:rPr>
              <w:t>Tessaratoma papillosa</w:t>
            </w:r>
            <w:r w:rsidRPr="00846971">
              <w:t>)</w:t>
            </w:r>
            <w:r>
              <w:t xml:space="preserve"> </w:t>
            </w:r>
            <w:r>
              <w:rPr>
                <w:noProof/>
              </w:rPr>
              <w:t>(Chen, Chen &amp; Xu 2001; Hoat et al. 2017)</w:t>
            </w:r>
            <w:r w:rsidRPr="00846971">
              <w:t xml:space="preserve">. </w:t>
            </w:r>
            <w:r>
              <w:t xml:space="preserve">While LWBD has not been associated with seed transmissible agents in Vietnam </w:t>
            </w:r>
            <w:r>
              <w:rPr>
                <w:noProof/>
              </w:rPr>
              <w:t>(Hoat et al. 2017)</w:t>
            </w:r>
            <w:r>
              <w:t>, l</w:t>
            </w:r>
            <w:r w:rsidRPr="00846971">
              <w:t xml:space="preserve">ongan seeds and budwood have been shown to </w:t>
            </w:r>
            <w:r>
              <w:t xml:space="preserve">potentially </w:t>
            </w:r>
            <w:r w:rsidRPr="00846971">
              <w:t xml:space="preserve">carry the disease </w:t>
            </w:r>
            <w:r>
              <w:t xml:space="preserve">in other longan producing countries </w:t>
            </w:r>
            <w:r>
              <w:rPr>
                <w:noProof/>
              </w:rPr>
              <w:t>(Chen, Chen &amp; Xu 2001)</w:t>
            </w:r>
            <w:r w:rsidRPr="00846971">
              <w:t>.</w:t>
            </w:r>
          </w:p>
        </w:tc>
        <w:tc>
          <w:tcPr>
            <w:tcW w:w="714" w:type="pct"/>
            <w:shd w:val="clear" w:color="auto" w:fill="auto"/>
          </w:tcPr>
          <w:p w:rsidR="00B52BB0" w:rsidRPr="00E3714E" w:rsidRDefault="00B52BB0" w:rsidP="003E074D">
            <w:pPr>
              <w:pStyle w:val="TableText"/>
            </w:pPr>
            <w:r w:rsidRPr="00846971">
              <w:t>Y</w:t>
            </w:r>
            <w:r>
              <w:t>es. There are several a</w:t>
            </w:r>
            <w:r w:rsidRPr="00846971">
              <w:t xml:space="preserve">rthropod species present in Australia with potential to be vectors for LWBD </w:t>
            </w:r>
            <w:r>
              <w:rPr>
                <w:noProof/>
              </w:rPr>
              <w:t>(DAFF 2004; Plant Health Australia 2019)</w:t>
            </w:r>
            <w:r w:rsidRPr="00846971">
              <w:t>.</w:t>
            </w:r>
          </w:p>
        </w:tc>
        <w:tc>
          <w:tcPr>
            <w:tcW w:w="714" w:type="pct"/>
            <w:shd w:val="clear" w:color="auto" w:fill="auto"/>
          </w:tcPr>
          <w:p w:rsidR="00B52BB0" w:rsidRPr="00E3714E" w:rsidRDefault="00B52BB0" w:rsidP="003E074D">
            <w:pPr>
              <w:pStyle w:val="TableText"/>
            </w:pPr>
            <w:r w:rsidRPr="00846971">
              <w:t xml:space="preserve">Yes. Large crop losses have been attributed to this disease </w:t>
            </w:r>
            <w:r>
              <w:rPr>
                <w:noProof/>
              </w:rPr>
              <w:t>(Hoa et al. 2014)</w:t>
            </w:r>
            <w:r w:rsidRPr="00846971">
              <w:t xml:space="preserve">. The causal agent of the disease is not known and therefore its host range is also unknown </w:t>
            </w:r>
            <w:r>
              <w:rPr>
                <w:noProof/>
              </w:rPr>
              <w:t>(Hoa et al. 2014)</w:t>
            </w:r>
            <w:r w:rsidRPr="00846971">
              <w:t xml:space="preserve">. The longan industry in Australia is valued at around $10 million. </w:t>
            </w:r>
          </w:p>
        </w:tc>
        <w:tc>
          <w:tcPr>
            <w:tcW w:w="714" w:type="pct"/>
            <w:shd w:val="clear" w:color="auto" w:fill="auto"/>
          </w:tcPr>
          <w:p w:rsidR="00B52BB0" w:rsidRPr="00E3714E" w:rsidRDefault="00B52BB0" w:rsidP="003E074D">
            <w:pPr>
              <w:pStyle w:val="TableText"/>
            </w:pPr>
            <w:r w:rsidRPr="00846971">
              <w:t>Yes (EP)</w:t>
            </w:r>
          </w:p>
        </w:tc>
      </w:tr>
    </w:tbl>
    <w:p w:rsidR="00B52BB0" w:rsidRPr="00BD1218" w:rsidRDefault="00B52BB0" w:rsidP="003E074D">
      <w:pPr>
        <w:sectPr w:rsidR="00B52BB0" w:rsidRPr="00BD1218" w:rsidSect="003E074D">
          <w:footerReference w:type="default" r:id="rId54"/>
          <w:pgSz w:w="16838" w:h="11906" w:orient="landscape"/>
          <w:pgMar w:top="1418" w:right="1418" w:bottom="1418" w:left="1418" w:header="567" w:footer="284" w:gutter="0"/>
          <w:cols w:space="708"/>
          <w:docGrid w:linePitch="360"/>
        </w:sectPr>
      </w:pPr>
    </w:p>
    <w:p w:rsidR="00B52BB0" w:rsidRDefault="00B52BB0" w:rsidP="003E074D">
      <w:pPr>
        <w:pStyle w:val="Heading2"/>
        <w:numPr>
          <w:ilvl w:val="0"/>
          <w:numId w:val="0"/>
        </w:numPr>
      </w:pPr>
      <w:bookmarkStart w:id="114" w:name="_Toc7607695"/>
      <w:r>
        <w:lastRenderedPageBreak/>
        <w:t>Appendix B: Issues raised in stakeholder comments</w:t>
      </w:r>
      <w:bookmarkEnd w:id="114"/>
    </w:p>
    <w:p w:rsidR="00B52BB0" w:rsidRDefault="00B52BB0" w:rsidP="003E074D">
      <w:r w:rsidRPr="005F7D71">
        <w:t xml:space="preserve">This section </w:t>
      </w:r>
      <w:r>
        <w:t>includes</w:t>
      </w:r>
      <w:r w:rsidRPr="005F7D71">
        <w:t xml:space="preserve"> key</w:t>
      </w:r>
      <w:r>
        <w:t xml:space="preserve"> technical issues raised by</w:t>
      </w:r>
      <w:r w:rsidRPr="005F7D71">
        <w:t xml:space="preserve"> stakeholder</w:t>
      </w:r>
      <w:r>
        <w:t>s</w:t>
      </w:r>
      <w:r w:rsidRPr="005F7D71">
        <w:t xml:space="preserve"> </w:t>
      </w:r>
      <w:r>
        <w:t>during</w:t>
      </w:r>
      <w:r w:rsidRPr="005F7D71">
        <w:t xml:space="preserve"> consultation on the draft report, and the department’s responses. Additional information on other issues commonly raised by stakeholders, which may be outside the scope of this technical report, is available on the department’s website.</w:t>
      </w:r>
    </w:p>
    <w:p w:rsidR="00B52BB0" w:rsidRPr="004D1B8D" w:rsidRDefault="00B52BB0" w:rsidP="003E074D">
      <w:pPr>
        <w:rPr>
          <w:b/>
        </w:rPr>
      </w:pPr>
      <w:r>
        <w:rPr>
          <w:b/>
        </w:rPr>
        <w:t xml:space="preserve">Issue 1: The outcome of the assessment for </w:t>
      </w:r>
      <w:r>
        <w:rPr>
          <w:b/>
          <w:i/>
        </w:rPr>
        <w:t>Zeugodacus cucurbitae</w:t>
      </w:r>
      <w:r>
        <w:rPr>
          <w:b/>
        </w:rPr>
        <w:t xml:space="preserve"> as being associated with longan fruit was questioned, suggesting that the literature does not support the case.</w:t>
      </w:r>
    </w:p>
    <w:p w:rsidR="00B52BB0" w:rsidRDefault="00B52BB0" w:rsidP="003E074D">
      <w:r w:rsidRPr="00D5553D">
        <w:t xml:space="preserve">Response: </w:t>
      </w:r>
      <w:r w:rsidRPr="00F71EF5">
        <w:t>The department has rec</w:t>
      </w:r>
      <w:r>
        <w:t xml:space="preserve">onsidered the assessment for </w:t>
      </w:r>
      <w:r w:rsidRPr="00F71EF5">
        <w:rPr>
          <w:i/>
        </w:rPr>
        <w:t>Z. cucurbitae</w:t>
      </w:r>
      <w:r w:rsidRPr="00F71EF5">
        <w:t xml:space="preserve"> and has determined that this fruit fly is not associated with the longan fruit export pathway (commercially grown and packed longan fruit) from Vietnam, based on the lack of evidence and records of longan fruit as a host of this species, and the absence of interception records on longan fruit pathway from other </w:t>
      </w:r>
      <w:r>
        <w:t xml:space="preserve">countries. The assessment of </w:t>
      </w:r>
      <w:r w:rsidRPr="00F71EF5">
        <w:rPr>
          <w:i/>
        </w:rPr>
        <w:t>Z. cucurbitae</w:t>
      </w:r>
      <w:r w:rsidRPr="00F71EF5">
        <w:t xml:space="preserve"> in the pest categorisation table has been updated to reflect this position.</w:t>
      </w:r>
    </w:p>
    <w:p w:rsidR="00B52BB0" w:rsidRDefault="00B52BB0" w:rsidP="003E074D">
      <w:r>
        <w:t>Doubt was</w:t>
      </w:r>
      <w:r w:rsidRPr="00D5553D">
        <w:t xml:space="preserve"> raised during the stakeholder consultation period for the draft report about the host status of longans for the fruit fly </w:t>
      </w:r>
      <w:r w:rsidRPr="00D5553D">
        <w:rPr>
          <w:i/>
          <w:iCs/>
        </w:rPr>
        <w:t>Z</w:t>
      </w:r>
      <w:r>
        <w:rPr>
          <w:i/>
          <w:iCs/>
        </w:rPr>
        <w:t>. </w:t>
      </w:r>
      <w:r w:rsidRPr="00D5553D">
        <w:rPr>
          <w:i/>
          <w:iCs/>
        </w:rPr>
        <w:t>cucurbitae</w:t>
      </w:r>
      <w:r w:rsidRPr="00D5553D">
        <w:t>.</w:t>
      </w:r>
      <w:r>
        <w:t xml:space="preserve"> </w:t>
      </w:r>
      <w:r w:rsidRPr="00D5553D">
        <w:t>The department has since reviewed all available scientific literature on the host plant associations</w:t>
      </w:r>
      <w:r>
        <w:t>.</w:t>
      </w:r>
    </w:p>
    <w:p w:rsidR="00B52BB0" w:rsidRDefault="00B52BB0" w:rsidP="003E074D">
      <w:r>
        <w:rPr>
          <w:noProof/>
        </w:rPr>
        <w:t>White and Elson-Harris (1992)</w:t>
      </w:r>
      <w:r w:rsidRPr="00D5553D">
        <w:t xml:space="preserve"> and </w:t>
      </w:r>
      <w:r>
        <w:rPr>
          <w:noProof/>
        </w:rPr>
        <w:t>McQuate, Liquido and Nakamichi (2017)</w:t>
      </w:r>
      <w:r w:rsidRPr="00D5553D">
        <w:t xml:space="preserve"> reported that early records</w:t>
      </w:r>
      <w:r w:rsidRPr="00D5553D">
        <w:rPr>
          <w:strike/>
        </w:rPr>
        <w:t xml:space="preserve"> </w:t>
      </w:r>
      <w:r w:rsidRPr="00D5553D">
        <w:t xml:space="preserve">associating </w:t>
      </w:r>
      <w:r w:rsidRPr="00D5553D">
        <w:rPr>
          <w:i/>
          <w:iCs/>
        </w:rPr>
        <w:t>Z. cucurbitae</w:t>
      </w:r>
      <w:r w:rsidRPr="00D5553D">
        <w:t xml:space="preserve"> with longans either required further confirmation or should be considered as doubtful hosts. The department reviewed the original records </w:t>
      </w:r>
      <w:r>
        <w:rPr>
          <w:noProof/>
        </w:rPr>
        <w:t>(McBride &amp; Tanada 1949)</w:t>
      </w:r>
      <w:r w:rsidRPr="00D5553D">
        <w:t xml:space="preserve"> and found that they were based on unpublished notes and did not list any relevant details that supported longan fruit as being a host of </w:t>
      </w:r>
      <w:r w:rsidRPr="00D5553D">
        <w:rPr>
          <w:i/>
          <w:iCs/>
        </w:rPr>
        <w:t>Z. cucurbitae</w:t>
      </w:r>
      <w:r w:rsidRPr="00D5553D">
        <w:t>, such as the state of the fruit being collected or methods of identification of the flies.</w:t>
      </w:r>
    </w:p>
    <w:p w:rsidR="00B52BB0" w:rsidRDefault="00B52BB0" w:rsidP="003E074D">
      <w:r>
        <w:t>Furthermore, l</w:t>
      </w:r>
      <w:r w:rsidRPr="00D5553D">
        <w:t xml:space="preserve">ongans were originally classified in </w:t>
      </w:r>
      <w:r>
        <w:rPr>
          <w:noProof/>
        </w:rPr>
        <w:t>McBride and Tanada (1949)</w:t>
      </w:r>
      <w:r w:rsidRPr="00D5553D">
        <w:t xml:space="preserve"> as being a doubtful host. There have been no subsequent host status tests that meet current international standards to demonstrate that commercially grown longans are a viable host of </w:t>
      </w:r>
      <w:r w:rsidRPr="00D5553D">
        <w:rPr>
          <w:i/>
          <w:iCs/>
        </w:rPr>
        <w:t>Z. cucurbitae</w:t>
      </w:r>
      <w:r w:rsidRPr="00D5553D">
        <w:t xml:space="preserve">. </w:t>
      </w:r>
      <w:r>
        <w:t>A p</w:t>
      </w:r>
      <w:r w:rsidRPr="00D5553D">
        <w:t xml:space="preserve">revious assessment of longan and lychees from </w:t>
      </w:r>
      <w:r>
        <w:t xml:space="preserve">both </w:t>
      </w:r>
      <w:r w:rsidRPr="00D5553D">
        <w:t xml:space="preserve">China and Thailand determined that </w:t>
      </w:r>
      <w:r w:rsidRPr="00D5553D">
        <w:rPr>
          <w:i/>
          <w:iCs/>
        </w:rPr>
        <w:t>Z. cucurbitae</w:t>
      </w:r>
      <w:r w:rsidRPr="00D5553D">
        <w:t xml:space="preserve"> was not associated with longan </w:t>
      </w:r>
      <w:r>
        <w:t xml:space="preserve">fruit </w:t>
      </w:r>
      <w:r>
        <w:rPr>
          <w:noProof/>
        </w:rPr>
        <w:t>(DAFF 2004)</w:t>
      </w:r>
      <w:r w:rsidRPr="00D5553D">
        <w:t xml:space="preserve"> and the species has </w:t>
      </w:r>
      <w:r>
        <w:t>never</w:t>
      </w:r>
      <w:r w:rsidRPr="00D5553D">
        <w:t xml:space="preserve"> been intercepted in Australia on longan fruit</w:t>
      </w:r>
      <w:r>
        <w:t xml:space="preserve"> imports from these countries.</w:t>
      </w:r>
    </w:p>
    <w:p w:rsidR="00B52BB0" w:rsidRPr="005612EC" w:rsidRDefault="00B52BB0" w:rsidP="003E074D">
      <w:pPr>
        <w:rPr>
          <w:b/>
        </w:rPr>
      </w:pPr>
      <w:r>
        <w:rPr>
          <w:b/>
        </w:rPr>
        <w:t xml:space="preserve">Issue 2: </w:t>
      </w:r>
      <w:r w:rsidRPr="005612EC">
        <w:rPr>
          <w:b/>
        </w:rPr>
        <w:t xml:space="preserve">Concerns raised over </w:t>
      </w:r>
      <w:r>
        <w:rPr>
          <w:b/>
        </w:rPr>
        <w:t xml:space="preserve">the </w:t>
      </w:r>
      <w:r w:rsidRPr="005612EC">
        <w:rPr>
          <w:b/>
        </w:rPr>
        <w:t xml:space="preserve">potential for insect vectors of </w:t>
      </w:r>
      <w:r w:rsidRPr="002F3F91">
        <w:rPr>
          <w:b/>
          <w:i/>
        </w:rPr>
        <w:t>Longan Witches’ Broom Disease</w:t>
      </w:r>
      <w:r w:rsidRPr="005612EC">
        <w:rPr>
          <w:b/>
        </w:rPr>
        <w:t xml:space="preserve"> be</w:t>
      </w:r>
      <w:r>
        <w:rPr>
          <w:b/>
        </w:rPr>
        <w:t>ing on the importation pathway.</w:t>
      </w:r>
    </w:p>
    <w:p w:rsidR="00B52BB0" w:rsidRDefault="00B52BB0" w:rsidP="003E074D">
      <w:r w:rsidRPr="0004743E">
        <w:t xml:space="preserve">Response: </w:t>
      </w:r>
      <w:r w:rsidRPr="005A2059">
        <w:t xml:space="preserve">The department has considered the risk of introduction of </w:t>
      </w:r>
      <w:r w:rsidRPr="005A2059">
        <w:rPr>
          <w:i/>
        </w:rPr>
        <w:t>Longan Witches’ Broom Disease</w:t>
      </w:r>
      <w:r w:rsidRPr="005A2059">
        <w:t xml:space="preserve"> (LWBD) into Australia through insect vectors as part of the pest risk assessment of LWBD associated with fresh longan fruit (with or without pedicel attached) from Vietnam. The department has determined that the likelihood of importation of LWBD on this pathway is very low and therefore the overall unrestricted risk of this disease syndrome meets the appropriate level of protection (ALOP) for Australia.</w:t>
      </w:r>
    </w:p>
    <w:p w:rsidR="00B52BB0" w:rsidRPr="0004743E" w:rsidRDefault="00B52BB0" w:rsidP="003E074D">
      <w:r w:rsidRPr="005A2059">
        <w:t>The causal agent of LWBD is not present in Australia. For this reason, LWBD was identified during pest categorisation as a potential quarantine pest requiring further consideration in a pest risk assessment (section 4.7</w:t>
      </w:r>
      <w:r w:rsidRPr="0013307A">
        <w:t>, pages 4</w:t>
      </w:r>
      <w:r w:rsidR="0013307A" w:rsidRPr="0013307A">
        <w:t>1</w:t>
      </w:r>
      <w:r w:rsidRPr="0013307A">
        <w:t>–4</w:t>
      </w:r>
      <w:r w:rsidR="0013307A" w:rsidRPr="0013307A">
        <w:t>2</w:t>
      </w:r>
      <w:r w:rsidRPr="0013307A">
        <w:t>).</w:t>
      </w:r>
    </w:p>
    <w:p w:rsidR="00B52BB0" w:rsidRDefault="00B52BB0" w:rsidP="003E074D">
      <w:r>
        <w:lastRenderedPageBreak/>
        <w:t>LWBD</w:t>
      </w:r>
      <w:r w:rsidRPr="0004743E">
        <w:t xml:space="preserve"> is known to be vectored by external sap feeding arthropod pests</w:t>
      </w:r>
      <w:r>
        <w:t>,</w:t>
      </w:r>
      <w:r w:rsidRPr="0004743E">
        <w:t xml:space="preserve"> includ</w:t>
      </w:r>
      <w:r>
        <w:t>ing</w:t>
      </w:r>
      <w:r w:rsidRPr="0004743E">
        <w:t xml:space="preserve"> the stink bug </w:t>
      </w:r>
      <w:r w:rsidRPr="0004743E">
        <w:rPr>
          <w:i/>
        </w:rPr>
        <w:t>Tessaratoma papillosa</w:t>
      </w:r>
      <w:r w:rsidRPr="0004743E">
        <w:t xml:space="preserve"> and the mite </w:t>
      </w:r>
      <w:r w:rsidRPr="0004743E">
        <w:rPr>
          <w:i/>
        </w:rPr>
        <w:t>Eriophyes dimocarpi.</w:t>
      </w:r>
      <w:r w:rsidRPr="0004743E">
        <w:t xml:space="preserve"> The potential </w:t>
      </w:r>
      <w:r>
        <w:t xml:space="preserve">of these </w:t>
      </w:r>
      <w:r w:rsidRPr="0004743E">
        <w:t xml:space="preserve">vectors </w:t>
      </w:r>
      <w:r>
        <w:t>to harbour</w:t>
      </w:r>
      <w:r w:rsidRPr="00DF668D">
        <w:t xml:space="preserve"> the disease, then </w:t>
      </w:r>
      <w:r>
        <w:t>enter</w:t>
      </w:r>
      <w:r w:rsidRPr="00DF668D">
        <w:t xml:space="preserve"> Australia as carriers of LWBD as a result of impor</w:t>
      </w:r>
      <w:r>
        <w:t>ting fresh longans from Vietnam</w:t>
      </w:r>
      <w:r w:rsidRPr="00DF668D">
        <w:t xml:space="preserve"> and</w:t>
      </w:r>
      <w:r>
        <w:t>,</w:t>
      </w:r>
      <w:r w:rsidRPr="00DF668D">
        <w:t xml:space="preserve"> finally</w:t>
      </w:r>
      <w:r>
        <w:t>, spread</w:t>
      </w:r>
      <w:r w:rsidRPr="00DF668D">
        <w:t xml:space="preserve"> the disease throughout Australia have all</w:t>
      </w:r>
      <w:r w:rsidRPr="0004743E">
        <w:t xml:space="preserve"> been considered in this risk analysis at pest categorisation, Appendix A (see pages </w:t>
      </w:r>
      <w:r w:rsidR="00FE24CF">
        <w:t>78</w:t>
      </w:r>
      <w:r w:rsidRPr="0004743E">
        <w:t xml:space="preserve"> and </w:t>
      </w:r>
      <w:r w:rsidR="00FE24CF">
        <w:t>87</w:t>
      </w:r>
      <w:r w:rsidRPr="0004743E">
        <w:t>)</w:t>
      </w:r>
      <w:r>
        <w:t xml:space="preserve"> </w:t>
      </w:r>
      <w:r w:rsidRPr="00DF668D">
        <w:t xml:space="preserve">and in the pest risk assessment of LWBD (see </w:t>
      </w:r>
      <w:r w:rsidRPr="00FE24CF">
        <w:t>page 4</w:t>
      </w:r>
      <w:r w:rsidR="00FE24CF" w:rsidRPr="00FE24CF">
        <w:t>1</w:t>
      </w:r>
      <w:r w:rsidRPr="00FE24CF">
        <w:t>). As these</w:t>
      </w:r>
      <w:r w:rsidRPr="00DF668D">
        <w:t xml:space="preserve"> vectors feed only on leaves</w:t>
      </w:r>
      <w:r>
        <w:t>,</w:t>
      </w:r>
      <w:r w:rsidRPr="00DF668D">
        <w:t xml:space="preserve"> or abandon the plant entirely if disturbed, they are considered not to be associated with fresh longan fruit that has been picked and commercially processed for export to Australia</w:t>
      </w:r>
      <w:r w:rsidRPr="00515CF5">
        <w:t xml:space="preserve">. </w:t>
      </w:r>
      <w:r>
        <w:t xml:space="preserve">Should a potential vector of LWBD remain on harvested longans, it would then be </w:t>
      </w:r>
      <w:r w:rsidRPr="00515CF5">
        <w:t>removed through the packing house procedures outlined in section 3.6 (</w:t>
      </w:r>
      <w:r w:rsidRPr="0004743E">
        <w:t xml:space="preserve">page </w:t>
      </w:r>
      <w:r w:rsidR="00FE24CF">
        <w:t>23</w:t>
      </w:r>
      <w:r>
        <w:t>).</w:t>
      </w:r>
    </w:p>
    <w:p w:rsidR="00B52BB0" w:rsidRPr="00952A17" w:rsidRDefault="00B52BB0" w:rsidP="003E074D">
      <w:r w:rsidRPr="004E6183">
        <w:t xml:space="preserve">Additionally, consignments of fresh longans will be subject to two visual inspections, which would allow for the detection of these vectors—a 600 unit pre-export inspection by Vietnam’s National Plant Protection Organisation (section 5.2.6, page </w:t>
      </w:r>
      <w:r w:rsidR="00FE24CF">
        <w:t>55</w:t>
      </w:r>
      <w:r w:rsidRPr="004E6183">
        <w:t>), and an on-arrival 600 unit inspection conducted by departmental biosecuri</w:t>
      </w:r>
      <w:r w:rsidR="00FE24CF">
        <w:t>ty officers (section 5.2.7, pages 55–56</w:t>
      </w:r>
      <w:r w:rsidRPr="004E6183">
        <w:t xml:space="preserve">). If the vectors were detected during on-arrival inspection, remedial action (treatment, export, or destruction) </w:t>
      </w:r>
      <w:r>
        <w:t>would</w:t>
      </w:r>
      <w:r w:rsidRPr="004E6183">
        <w:t xml:space="preserve"> be taken (section 5.2.8, page </w:t>
      </w:r>
      <w:r w:rsidR="00FE24CF">
        <w:t>56</w:t>
      </w:r>
      <w:r w:rsidRPr="004E6183">
        <w:t>).</w:t>
      </w:r>
    </w:p>
    <w:p w:rsidR="00B52BB0" w:rsidRPr="00DC297B" w:rsidRDefault="00B52BB0" w:rsidP="003E074D">
      <w:pPr>
        <w:rPr>
          <w:b/>
        </w:rPr>
      </w:pPr>
      <w:r w:rsidRPr="00952A17">
        <w:rPr>
          <w:b/>
        </w:rPr>
        <w:t>Other issues</w:t>
      </w:r>
    </w:p>
    <w:p w:rsidR="00B52BB0" w:rsidRDefault="00B52BB0" w:rsidP="003E074D">
      <w:r>
        <w:t>The department has made a number of changes in this document following consideration of stakeholder comments on the draft report and subsequent review of the literature. These include:</w:t>
      </w:r>
    </w:p>
    <w:p w:rsidR="00B52BB0" w:rsidRDefault="00B52BB0" w:rsidP="003E074D">
      <w:pPr>
        <w:pStyle w:val="ListParagraph"/>
        <w:numPr>
          <w:ilvl w:val="0"/>
          <w:numId w:val="22"/>
        </w:numPr>
      </w:pPr>
      <w:r>
        <w:t xml:space="preserve">amendments to the text in the pest categorisation table (Appendix A) to clarify measures that are in place to prevent the spread of </w:t>
      </w:r>
      <w:r>
        <w:rPr>
          <w:i/>
        </w:rPr>
        <w:t xml:space="preserve">Zeugodacus cucurbitae </w:t>
      </w:r>
      <w:r>
        <w:t>from the external territories of Australia (i.e. Christmas Island and Torres Strait Islands) where this species is present, or occasionally introduced, into mainland Australia</w:t>
      </w:r>
    </w:p>
    <w:p w:rsidR="00B52BB0" w:rsidRDefault="00B52BB0" w:rsidP="003E074D">
      <w:pPr>
        <w:pStyle w:val="ListParagraph"/>
        <w:numPr>
          <w:ilvl w:val="0"/>
          <w:numId w:val="22"/>
        </w:numPr>
      </w:pPr>
      <w:r>
        <w:t xml:space="preserve">amendments to the pest categorisation table (Appendix A) to address some minor issues relating to taxonomy or distribution (for example, the reclassification of </w:t>
      </w:r>
      <w:r>
        <w:rPr>
          <w:i/>
        </w:rPr>
        <w:t>Oxecetonia jucunda</w:t>
      </w:r>
      <w:r>
        <w:t xml:space="preserve"> to the genus </w:t>
      </w:r>
      <w:r>
        <w:rPr>
          <w:i/>
        </w:rPr>
        <w:t>Gametis</w:t>
      </w:r>
      <w:r>
        <w:t>)</w:t>
      </w:r>
    </w:p>
    <w:p w:rsidR="00B52BB0" w:rsidRDefault="00B52BB0" w:rsidP="003E074D">
      <w:pPr>
        <w:pStyle w:val="ListParagraph"/>
        <w:numPr>
          <w:ilvl w:val="0"/>
          <w:numId w:val="22"/>
        </w:numPr>
      </w:pPr>
      <w:r>
        <w:t xml:space="preserve">the inclusion of two additional mealybug species, </w:t>
      </w:r>
      <w:r w:rsidRPr="001D64B9">
        <w:rPr>
          <w:i/>
        </w:rPr>
        <w:t>Planococcus angkorensis</w:t>
      </w:r>
      <w:r>
        <w:t xml:space="preserve"> and </w:t>
      </w:r>
      <w:r w:rsidRPr="001D64B9">
        <w:rPr>
          <w:i/>
        </w:rPr>
        <w:t>Pseudococcus baliteus</w:t>
      </w:r>
      <w:r>
        <w:t xml:space="preserve"> in the pest categorisation table (Appendix A) due to a review of available scientific literature determining that both species are present in Vietnam and can be associate with longan trees</w:t>
      </w:r>
    </w:p>
    <w:p w:rsidR="00B52BB0" w:rsidRDefault="00B52BB0" w:rsidP="003E074D">
      <w:pPr>
        <w:pStyle w:val="ListParagraph"/>
        <w:numPr>
          <w:ilvl w:val="1"/>
          <w:numId w:val="22"/>
        </w:numPr>
      </w:pPr>
      <w:r w:rsidRPr="001D64B9">
        <w:rPr>
          <w:i/>
        </w:rPr>
        <w:t>Planococcus angkorensis</w:t>
      </w:r>
      <w:r>
        <w:t xml:space="preserve"> was assessed as not being associated with the longan fruit export pathway and therefore was not assessed further in the pest categorisation</w:t>
      </w:r>
    </w:p>
    <w:p w:rsidR="00B52BB0" w:rsidRDefault="00B52BB0" w:rsidP="003E074D">
      <w:pPr>
        <w:pStyle w:val="ListParagraph"/>
        <w:numPr>
          <w:ilvl w:val="1"/>
          <w:numId w:val="22"/>
        </w:numPr>
      </w:pPr>
      <w:r w:rsidRPr="001D64B9">
        <w:rPr>
          <w:i/>
        </w:rPr>
        <w:t>Pseudococcus balite</w:t>
      </w:r>
      <w:r>
        <w:rPr>
          <w:i/>
        </w:rPr>
        <w:t>u</w:t>
      </w:r>
      <w:r w:rsidRPr="001D64B9">
        <w:rPr>
          <w:i/>
        </w:rPr>
        <w:t>s</w:t>
      </w:r>
      <w:r>
        <w:t xml:space="preserve"> was assessed in the pest categorisation process as being associated with the longan fruit export pathway, and as a potential quarantine pest for Australia, therefore requiring a pest risk assessment. The species was included in the pest risk assessment for mealybugs and assessed as not achieving the appropriate level of protection. Risk management measures are therefore recommended for this species</w:t>
      </w:r>
    </w:p>
    <w:p w:rsidR="00B52BB0" w:rsidRDefault="00B52BB0" w:rsidP="003E074D">
      <w:pPr>
        <w:pStyle w:val="ListParagraph"/>
        <w:numPr>
          <w:ilvl w:val="0"/>
          <w:numId w:val="22"/>
        </w:numPr>
      </w:pPr>
      <w:r>
        <w:lastRenderedPageBreak/>
        <w:t>amendments to the pest risk management section (Chapter 5) to include requirements for containers and updated the hyperlink to information on packaging requirements</w:t>
      </w:r>
    </w:p>
    <w:p w:rsidR="00B52BB0" w:rsidRDefault="00B52BB0" w:rsidP="003E074D">
      <w:pPr>
        <w:pStyle w:val="ListParagraph"/>
        <w:numPr>
          <w:ilvl w:val="0"/>
          <w:numId w:val="22"/>
        </w:numPr>
      </w:pPr>
      <w:proofErr w:type="gramStart"/>
      <w:r>
        <w:t>minor</w:t>
      </w:r>
      <w:proofErr w:type="gramEnd"/>
      <w:r>
        <w:t xml:space="preserve"> corrections, rewording and editorial changes for consistency, clarity and web-accessibility.</w:t>
      </w:r>
    </w:p>
    <w:p w:rsidR="00B52BB0" w:rsidRDefault="00B52BB0" w:rsidP="003E074D"/>
    <w:p w:rsidR="00B52BB0" w:rsidRPr="00442F3C" w:rsidRDefault="00B52BB0" w:rsidP="003E074D">
      <w:pPr>
        <w:sectPr w:rsidR="00B52BB0" w:rsidRPr="00442F3C">
          <w:headerReference w:type="default" r:id="rId55"/>
          <w:footerReference w:type="default" r:id="rId56"/>
          <w:pgSz w:w="11906" w:h="16838"/>
          <w:pgMar w:top="1418" w:right="1418" w:bottom="1418" w:left="1418" w:header="567" w:footer="283" w:gutter="0"/>
          <w:cols w:space="708"/>
          <w:docGrid w:linePitch="360"/>
        </w:sectPr>
      </w:pPr>
    </w:p>
    <w:p w:rsidR="00B52BB0" w:rsidRPr="00A11F8D" w:rsidRDefault="00B52BB0" w:rsidP="003E074D">
      <w:pPr>
        <w:pStyle w:val="Heading2"/>
        <w:numPr>
          <w:ilvl w:val="0"/>
          <w:numId w:val="0"/>
        </w:numPr>
      </w:pPr>
      <w:bookmarkStart w:id="115" w:name="_Toc7607696"/>
      <w:r>
        <w:lastRenderedPageBreak/>
        <w:t>Glossary</w:t>
      </w:r>
      <w:bookmarkEnd w:id="115"/>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B52BB0" w:rsidRPr="00A11F8D" w:rsidTr="003E074D">
        <w:trPr>
          <w:cantSplit/>
          <w:tblHeader/>
        </w:trPr>
        <w:tc>
          <w:tcPr>
            <w:tcW w:w="1509" w:type="pct"/>
          </w:tcPr>
          <w:p w:rsidR="00B52BB0" w:rsidRPr="00A11F8D" w:rsidRDefault="00B52BB0" w:rsidP="003E074D">
            <w:pPr>
              <w:pStyle w:val="TableHeading"/>
            </w:pPr>
            <w:r w:rsidRPr="00A11F8D">
              <w:t>Term or abbreviation</w:t>
            </w:r>
          </w:p>
        </w:tc>
        <w:tc>
          <w:tcPr>
            <w:tcW w:w="3491" w:type="pct"/>
          </w:tcPr>
          <w:p w:rsidR="00B52BB0" w:rsidRPr="00A11F8D" w:rsidRDefault="00B52BB0" w:rsidP="003E074D">
            <w:pPr>
              <w:pStyle w:val="TableHeading"/>
            </w:pPr>
            <w:r w:rsidRPr="00A11F8D">
              <w:t>Definition</w:t>
            </w:r>
          </w:p>
        </w:tc>
      </w:tr>
      <w:tr w:rsidR="00B52BB0" w:rsidRPr="00A11F8D" w:rsidTr="003E074D">
        <w:tc>
          <w:tcPr>
            <w:tcW w:w="1509" w:type="pct"/>
          </w:tcPr>
          <w:p w:rsidR="00B52BB0" w:rsidRPr="00A11F8D" w:rsidRDefault="00B52BB0" w:rsidP="003E074D">
            <w:pPr>
              <w:pStyle w:val="TableText"/>
            </w:pPr>
            <w:r w:rsidRPr="00A11F8D">
              <w:t>Additional declaration</w:t>
            </w:r>
          </w:p>
        </w:tc>
        <w:tc>
          <w:tcPr>
            <w:tcW w:w="3491" w:type="pct"/>
          </w:tcPr>
          <w:p w:rsidR="00B52BB0" w:rsidRPr="00A11F8D" w:rsidRDefault="00B52BB0" w:rsidP="003E074D">
            <w:pPr>
              <w:pStyle w:val="TableText"/>
            </w:pPr>
            <w:r w:rsidRPr="00A11F8D">
              <w:t xml:space="preserve">A statement that is required by an importing </w:t>
            </w:r>
            <w:r>
              <w:t>Vietnam</w:t>
            </w:r>
            <w:r w:rsidRPr="00A11F8D">
              <w:t xml:space="preserve"> to be entered on a phytosanitary certificate and which provides specific additional information on a consignment in relation to regulated pests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Appropriate level of protection (ALOP)</w:t>
            </w:r>
          </w:p>
        </w:tc>
        <w:tc>
          <w:tcPr>
            <w:tcW w:w="3491" w:type="pct"/>
          </w:tcPr>
          <w:p w:rsidR="00B52BB0" w:rsidRPr="00A11F8D" w:rsidRDefault="00B52BB0" w:rsidP="003E074D">
            <w:pPr>
              <w:pStyle w:val="TableText"/>
            </w:pPr>
            <w:r w:rsidRPr="00A11F8D">
              <w:t xml:space="preserve">The level of protection deemed appropriate by the Member establishing a sanitary or phytosanitary measure to protect human, animal or plant life or health within its territory </w:t>
            </w:r>
            <w:r>
              <w:rPr>
                <w:noProof/>
              </w:rPr>
              <w:t>(WTO 1995)</w:t>
            </w:r>
            <w:r w:rsidRPr="00A11F8D">
              <w:t>.</w:t>
            </w:r>
          </w:p>
        </w:tc>
      </w:tr>
      <w:tr w:rsidR="00B52BB0" w:rsidRPr="00A11F8D" w:rsidTr="003E074D">
        <w:tc>
          <w:tcPr>
            <w:tcW w:w="1509" w:type="pct"/>
          </w:tcPr>
          <w:p w:rsidR="00B52BB0" w:rsidRPr="00A11F8D" w:rsidRDefault="00B52BB0" w:rsidP="003E074D">
            <w:pPr>
              <w:pStyle w:val="TableText"/>
            </w:pPr>
            <w:r>
              <w:t>Appropriate level of protection (ALOP) for Australia</w:t>
            </w:r>
          </w:p>
        </w:tc>
        <w:tc>
          <w:tcPr>
            <w:tcW w:w="3491" w:type="pct"/>
          </w:tcPr>
          <w:p w:rsidR="00B52BB0" w:rsidRPr="00A11F8D" w:rsidRDefault="00B52BB0" w:rsidP="003E074D">
            <w:pPr>
              <w:pStyle w:val="TableText"/>
            </w:pPr>
            <w:r>
              <w:t xml:space="preserve">The </w:t>
            </w:r>
            <w:r w:rsidRPr="00153630">
              <w:rPr>
                <w:i/>
              </w:rPr>
              <w:t>Biosecurity Act 2015</w:t>
            </w:r>
            <w:r>
              <w:t xml:space="preserve"> defines the appropriate level of protection (or ALOP) for Australia as a high level of sanitary and phytosanitary protection aimed at reducing biosecurity risks to very low, but not to zero.</w:t>
            </w:r>
          </w:p>
        </w:tc>
      </w:tr>
      <w:tr w:rsidR="00B52BB0" w:rsidRPr="00A11F8D" w:rsidTr="003E074D">
        <w:tc>
          <w:tcPr>
            <w:tcW w:w="1509" w:type="pct"/>
          </w:tcPr>
          <w:p w:rsidR="00B52BB0" w:rsidRPr="00A11F8D" w:rsidRDefault="00B52BB0" w:rsidP="003E074D">
            <w:pPr>
              <w:pStyle w:val="TableText"/>
            </w:pPr>
            <w:r w:rsidRPr="00A11F8D">
              <w:t>Area</w:t>
            </w:r>
          </w:p>
        </w:tc>
        <w:tc>
          <w:tcPr>
            <w:tcW w:w="3491" w:type="pct"/>
          </w:tcPr>
          <w:p w:rsidR="00B52BB0" w:rsidRPr="00A11F8D" w:rsidRDefault="00B52BB0" w:rsidP="003E074D">
            <w:pPr>
              <w:pStyle w:val="TableText"/>
            </w:pPr>
            <w:r w:rsidRPr="00A11F8D">
              <w:t xml:space="preserve">An officially defined </w:t>
            </w:r>
            <w:r>
              <w:t>Vietnam</w:t>
            </w:r>
            <w:r w:rsidRPr="00A11F8D">
              <w:t xml:space="preserve">, part of a </w:t>
            </w:r>
            <w:r>
              <w:t>Vietnam</w:t>
            </w:r>
            <w:r w:rsidRPr="00A11F8D">
              <w:t xml:space="preserve"> or all or parts of several countries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Area of low pest prevalence</w:t>
            </w:r>
          </w:p>
        </w:tc>
        <w:tc>
          <w:tcPr>
            <w:tcW w:w="3491" w:type="pct"/>
          </w:tcPr>
          <w:p w:rsidR="00B52BB0" w:rsidRPr="00A11F8D" w:rsidRDefault="00B52BB0" w:rsidP="003E074D">
            <w:pPr>
              <w:pStyle w:val="TableText"/>
            </w:pPr>
            <w:r w:rsidRPr="00A11F8D">
              <w:t xml:space="preserve">An area, whether all of a </w:t>
            </w:r>
            <w:r>
              <w:t>Vietnam</w:t>
            </w:r>
            <w:r w:rsidRPr="00A11F8D">
              <w:t xml:space="preserve">, part of a </w:t>
            </w:r>
            <w:r>
              <w:t>Vietnam</w:t>
            </w:r>
            <w:r w:rsidRPr="00A11F8D">
              <w:t xml:space="preserve">, or all parts of several countries, as identified by the competent authorities, in which a specific pest occurs at low levels and which is subject to effective surveillance, control or eradication measures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Arthropod</w:t>
            </w:r>
          </w:p>
        </w:tc>
        <w:tc>
          <w:tcPr>
            <w:tcW w:w="3491" w:type="pct"/>
          </w:tcPr>
          <w:p w:rsidR="00B52BB0" w:rsidRPr="00A11F8D" w:rsidRDefault="00B52BB0" w:rsidP="003E074D">
            <w:pPr>
              <w:pStyle w:val="TableText"/>
            </w:pPr>
            <w:r w:rsidRPr="00F06E51">
              <w:t>An organism belonging to the phylum Arthropoda, which is largest phylum of animals, and includes the insects, ar</w:t>
            </w:r>
            <w:r w:rsidRPr="00A11F8D">
              <w:t>achnids and crustaceans.</w:t>
            </w:r>
          </w:p>
        </w:tc>
      </w:tr>
      <w:tr w:rsidR="00B52BB0" w:rsidRPr="00A11F8D" w:rsidTr="003E074D">
        <w:tc>
          <w:tcPr>
            <w:tcW w:w="1509" w:type="pct"/>
          </w:tcPr>
          <w:p w:rsidR="00B52BB0" w:rsidRPr="00A11F8D" w:rsidRDefault="00B52BB0" w:rsidP="003E074D">
            <w:pPr>
              <w:pStyle w:val="TableText"/>
            </w:pPr>
            <w:r w:rsidRPr="00A11F8D">
              <w:t>Asexual reproduction</w:t>
            </w:r>
          </w:p>
        </w:tc>
        <w:tc>
          <w:tcPr>
            <w:tcW w:w="3491" w:type="pct"/>
          </w:tcPr>
          <w:p w:rsidR="00B52BB0" w:rsidRPr="00A11F8D" w:rsidRDefault="00B52BB0" w:rsidP="003E074D">
            <w:pPr>
              <w:pStyle w:val="TableText"/>
            </w:pPr>
            <w:r w:rsidRPr="00A11F8D">
              <w:t>The development of new individual from a single cell or group of cells in the absence of meiosis.</w:t>
            </w:r>
          </w:p>
        </w:tc>
      </w:tr>
      <w:tr w:rsidR="00B52BB0" w:rsidRPr="00A11F8D" w:rsidTr="003E074D">
        <w:tc>
          <w:tcPr>
            <w:tcW w:w="1509" w:type="pct"/>
          </w:tcPr>
          <w:p w:rsidR="00B52BB0" w:rsidRPr="00A11F8D" w:rsidRDefault="00B52BB0" w:rsidP="003E074D">
            <w:pPr>
              <w:pStyle w:val="TableText"/>
            </w:pPr>
            <w:r>
              <w:rPr>
                <w:color w:val="000000" w:themeColor="text1"/>
              </w:rPr>
              <w:t>Australian territory</w:t>
            </w:r>
          </w:p>
        </w:tc>
        <w:tc>
          <w:tcPr>
            <w:tcW w:w="3491" w:type="pct"/>
          </w:tcPr>
          <w:p w:rsidR="00B52BB0" w:rsidRPr="00A11F8D" w:rsidRDefault="00B52BB0" w:rsidP="003E074D">
            <w:pPr>
              <w:pStyle w:val="TableText"/>
            </w:pPr>
            <w:r>
              <w:rPr>
                <w:color w:val="000000" w:themeColor="text1"/>
              </w:rPr>
              <w:t xml:space="preserve">Australian territory as referenced in the </w:t>
            </w:r>
            <w:r w:rsidRPr="00153630">
              <w:rPr>
                <w:i/>
                <w:color w:val="000000" w:themeColor="text1"/>
              </w:rPr>
              <w:t>Biosecurity Act 2015</w:t>
            </w:r>
            <w:r>
              <w:rPr>
                <w:color w:val="000000" w:themeColor="text1"/>
              </w:rPr>
              <w:t xml:space="preserve"> refers to Australia, Christmas Island and Cocos (Keeling) Islands.</w:t>
            </w:r>
          </w:p>
        </w:tc>
      </w:tr>
      <w:tr w:rsidR="00B52BB0" w:rsidRPr="00A11F8D" w:rsidTr="003E074D">
        <w:tc>
          <w:tcPr>
            <w:tcW w:w="1509" w:type="pct"/>
          </w:tcPr>
          <w:p w:rsidR="00B52BB0" w:rsidRPr="00A11F8D" w:rsidRDefault="00B52BB0" w:rsidP="003E074D">
            <w:pPr>
              <w:pStyle w:val="TableText"/>
            </w:pPr>
            <w:r w:rsidRPr="00A11F8D">
              <w:t>Biosecurity</w:t>
            </w:r>
          </w:p>
        </w:tc>
        <w:tc>
          <w:tcPr>
            <w:tcW w:w="3491" w:type="pct"/>
          </w:tcPr>
          <w:p w:rsidR="00B52BB0" w:rsidRPr="00A11F8D" w:rsidRDefault="00B52BB0" w:rsidP="003E074D">
            <w:pPr>
              <w:pStyle w:val="TableText"/>
            </w:pPr>
            <w:r w:rsidRPr="00A11F8D">
              <w:t>The prevention of the entry, establishment or spread of unwanted pests and infectious disease agents to protect human, animal or plant health or life, and the environment.</w:t>
            </w:r>
          </w:p>
        </w:tc>
      </w:tr>
      <w:tr w:rsidR="00B52BB0" w:rsidRPr="00A11F8D" w:rsidTr="003E074D">
        <w:tc>
          <w:tcPr>
            <w:tcW w:w="1509" w:type="pct"/>
          </w:tcPr>
          <w:p w:rsidR="00B52BB0" w:rsidRDefault="00B52BB0" w:rsidP="003E074D">
            <w:pPr>
              <w:pStyle w:val="TableText"/>
            </w:pPr>
            <w:r>
              <w:t>Biosecurity measures</w:t>
            </w:r>
          </w:p>
        </w:tc>
        <w:tc>
          <w:tcPr>
            <w:tcW w:w="3491" w:type="pct"/>
          </w:tcPr>
          <w:p w:rsidR="00B52BB0" w:rsidRDefault="00B52BB0" w:rsidP="003E074D">
            <w:pPr>
              <w:pStyle w:val="TableText"/>
            </w:pPr>
            <w:r>
              <w:t xml:space="preserve">The </w:t>
            </w:r>
            <w:r w:rsidRPr="00153630">
              <w:rPr>
                <w:i/>
              </w:rPr>
              <w:t>Biosec</w:t>
            </w:r>
            <w:r>
              <w:rPr>
                <w:i/>
              </w:rPr>
              <w:t>u</w:t>
            </w:r>
            <w:r w:rsidRPr="00153630">
              <w:rPr>
                <w:i/>
              </w:rPr>
              <w:t>rity Act 2015</w:t>
            </w:r>
            <w: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 </w:t>
            </w:r>
          </w:p>
        </w:tc>
      </w:tr>
      <w:tr w:rsidR="00B52BB0" w:rsidRPr="00A11F8D" w:rsidTr="003E074D">
        <w:tc>
          <w:tcPr>
            <w:tcW w:w="1509" w:type="pct"/>
          </w:tcPr>
          <w:p w:rsidR="00B52BB0" w:rsidRDefault="00B52BB0" w:rsidP="003E074D">
            <w:pPr>
              <w:pStyle w:val="TableText"/>
            </w:pPr>
            <w:r>
              <w:t>Biosecurity import risk analysis (BIRA)</w:t>
            </w:r>
          </w:p>
        </w:tc>
        <w:tc>
          <w:tcPr>
            <w:tcW w:w="3491" w:type="pct"/>
          </w:tcPr>
          <w:p w:rsidR="00B52BB0" w:rsidRDefault="00B52BB0" w:rsidP="003E074D">
            <w:pPr>
              <w:pStyle w:val="TableText"/>
            </w:pPr>
            <w:r>
              <w:t xml:space="preserve">The </w:t>
            </w:r>
            <w:r w:rsidRPr="00A45052">
              <w:rPr>
                <w:i/>
              </w:rPr>
              <w:t>Biosecurity Act 2015</w:t>
            </w:r>
            <w: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B52BB0" w:rsidRPr="00A11F8D" w:rsidTr="003E074D">
        <w:tc>
          <w:tcPr>
            <w:tcW w:w="1509" w:type="pct"/>
          </w:tcPr>
          <w:p w:rsidR="00B52BB0" w:rsidRPr="00A11F8D" w:rsidRDefault="00B52BB0" w:rsidP="003E074D">
            <w:pPr>
              <w:pStyle w:val="TableText"/>
            </w:pPr>
            <w:r>
              <w:t>Biosecurity risk</w:t>
            </w:r>
          </w:p>
        </w:tc>
        <w:tc>
          <w:tcPr>
            <w:tcW w:w="3491" w:type="pct"/>
          </w:tcPr>
          <w:p w:rsidR="00B52BB0" w:rsidRPr="00A11F8D" w:rsidRDefault="00B52BB0" w:rsidP="003E074D">
            <w:pPr>
              <w:pStyle w:val="TableText"/>
            </w:pPr>
            <w:r>
              <w:t xml:space="preserve">The </w:t>
            </w:r>
            <w:r w:rsidRPr="00153630">
              <w:rPr>
                <w:i/>
              </w:rPr>
              <w:t>Biosec</w:t>
            </w:r>
            <w:r>
              <w:rPr>
                <w:i/>
              </w:rPr>
              <w:t>u</w:t>
            </w:r>
            <w:r w:rsidRPr="00153630">
              <w:rPr>
                <w:i/>
              </w:rPr>
              <w:t>rity Act 2015</w:t>
            </w:r>
            <w:r>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 </w:t>
            </w:r>
          </w:p>
        </w:tc>
      </w:tr>
      <w:tr w:rsidR="00B52BB0" w:rsidRPr="00A11F8D" w:rsidTr="003E074D">
        <w:tc>
          <w:tcPr>
            <w:tcW w:w="1509" w:type="pct"/>
          </w:tcPr>
          <w:p w:rsidR="00B52BB0" w:rsidRPr="00A11F8D" w:rsidRDefault="00B52BB0" w:rsidP="003E074D">
            <w:pPr>
              <w:pStyle w:val="TableText"/>
            </w:pPr>
            <w:r w:rsidRPr="00A11F8D">
              <w:t>Calyx</w:t>
            </w:r>
          </w:p>
        </w:tc>
        <w:tc>
          <w:tcPr>
            <w:tcW w:w="3491" w:type="pct"/>
          </w:tcPr>
          <w:p w:rsidR="00B52BB0" w:rsidRPr="00A11F8D" w:rsidRDefault="00B52BB0" w:rsidP="003E074D">
            <w:pPr>
              <w:pStyle w:val="TableText"/>
            </w:pPr>
            <w:r w:rsidRPr="00A11F8D">
              <w:t>A collective term referring to all of the sepals in a flower.</w:t>
            </w:r>
          </w:p>
        </w:tc>
      </w:tr>
      <w:tr w:rsidR="00B52BB0" w:rsidRPr="00A11F8D" w:rsidTr="003E074D">
        <w:tc>
          <w:tcPr>
            <w:tcW w:w="1509" w:type="pct"/>
          </w:tcPr>
          <w:p w:rsidR="00B52BB0" w:rsidRPr="00A11F8D" w:rsidRDefault="00B52BB0" w:rsidP="003E074D">
            <w:pPr>
              <w:pStyle w:val="TableText"/>
            </w:pPr>
            <w:r w:rsidRPr="00A11F8D">
              <w:t>Consignment</w:t>
            </w:r>
          </w:p>
        </w:tc>
        <w:tc>
          <w:tcPr>
            <w:tcW w:w="3491" w:type="pct"/>
          </w:tcPr>
          <w:p w:rsidR="00B52BB0" w:rsidRPr="00A11F8D" w:rsidRDefault="00B52BB0" w:rsidP="003E074D">
            <w:pPr>
              <w:pStyle w:val="TableText"/>
            </w:pPr>
            <w:r w:rsidRPr="00A11F8D">
              <w:t xml:space="preserve">A quantity of plants, plant products or other articles being moved from one </w:t>
            </w:r>
            <w:r>
              <w:t>Vietnam</w:t>
            </w:r>
            <w:r w:rsidRPr="00A11F8D">
              <w:t xml:space="preserve"> to another and covered, when required, by a single phytosanitary certificate (a consignment may be composed of one or more commodities or lots)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Control (of a pest)</w:t>
            </w:r>
          </w:p>
        </w:tc>
        <w:tc>
          <w:tcPr>
            <w:tcW w:w="3491" w:type="pct"/>
          </w:tcPr>
          <w:p w:rsidR="00B52BB0" w:rsidRPr="00A11F8D" w:rsidRDefault="00B52BB0" w:rsidP="003E074D">
            <w:pPr>
              <w:pStyle w:val="TableText"/>
            </w:pPr>
            <w:r w:rsidRPr="00A11F8D">
              <w:t xml:space="preserve">Suppression, containment or eradication of a pest population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Crawler</w:t>
            </w:r>
          </w:p>
        </w:tc>
        <w:tc>
          <w:tcPr>
            <w:tcW w:w="3491" w:type="pct"/>
          </w:tcPr>
          <w:p w:rsidR="00B52BB0" w:rsidRPr="00A11F8D" w:rsidRDefault="00B52BB0" w:rsidP="003E074D">
            <w:pPr>
              <w:pStyle w:val="TableText"/>
            </w:pPr>
            <w:r w:rsidRPr="00A11F8D">
              <w:t>Intermediate mobile nymph stage of certain Arthropods.</w:t>
            </w:r>
          </w:p>
        </w:tc>
      </w:tr>
      <w:tr w:rsidR="00B52BB0" w:rsidRPr="00A11F8D" w:rsidTr="003E074D">
        <w:tc>
          <w:tcPr>
            <w:tcW w:w="1509" w:type="pct"/>
          </w:tcPr>
          <w:p w:rsidR="00B52BB0" w:rsidRPr="00A11F8D" w:rsidRDefault="00B52BB0" w:rsidP="003E074D">
            <w:pPr>
              <w:pStyle w:val="TableText"/>
            </w:pPr>
            <w:r w:rsidRPr="00A11F8D">
              <w:t>Diapause</w:t>
            </w:r>
          </w:p>
        </w:tc>
        <w:tc>
          <w:tcPr>
            <w:tcW w:w="3491" w:type="pct"/>
          </w:tcPr>
          <w:p w:rsidR="00B52BB0" w:rsidRPr="00A11F8D" w:rsidRDefault="00B52BB0" w:rsidP="003E074D">
            <w:pPr>
              <w:pStyle w:val="TableText"/>
            </w:pPr>
            <w:r w:rsidRPr="00A11F8D">
              <w:t>Period of suspended development/growth occurring in some insects, in which metabolism is decreased.</w:t>
            </w:r>
          </w:p>
        </w:tc>
      </w:tr>
      <w:tr w:rsidR="00B52BB0" w:rsidRPr="00A11F8D" w:rsidTr="003E074D">
        <w:tc>
          <w:tcPr>
            <w:tcW w:w="1509" w:type="pct"/>
          </w:tcPr>
          <w:p w:rsidR="00B52BB0" w:rsidRPr="00A11F8D" w:rsidRDefault="00B52BB0" w:rsidP="003E074D">
            <w:pPr>
              <w:pStyle w:val="TableText"/>
            </w:pPr>
            <w:r w:rsidRPr="00A11F8D">
              <w:t>The department</w:t>
            </w:r>
          </w:p>
        </w:tc>
        <w:tc>
          <w:tcPr>
            <w:tcW w:w="3491" w:type="pct"/>
          </w:tcPr>
          <w:p w:rsidR="00B52BB0" w:rsidRPr="00A11F8D" w:rsidRDefault="00B52BB0" w:rsidP="003E074D">
            <w:pPr>
              <w:pStyle w:val="TableText"/>
            </w:pPr>
            <w:r w:rsidRPr="00A11F8D">
              <w:t>The Department of Agriculture and Water Resources.</w:t>
            </w:r>
          </w:p>
        </w:tc>
      </w:tr>
      <w:tr w:rsidR="00B52BB0" w:rsidRPr="00A11F8D" w:rsidTr="003E074D">
        <w:tc>
          <w:tcPr>
            <w:tcW w:w="1509" w:type="pct"/>
          </w:tcPr>
          <w:p w:rsidR="00B52BB0" w:rsidRPr="00A11F8D" w:rsidRDefault="00B52BB0" w:rsidP="003E074D">
            <w:pPr>
              <w:pStyle w:val="TableText"/>
            </w:pPr>
            <w:r w:rsidRPr="00A11F8D">
              <w:lastRenderedPageBreak/>
              <w:t>Endangered area</w:t>
            </w:r>
          </w:p>
        </w:tc>
        <w:tc>
          <w:tcPr>
            <w:tcW w:w="3491" w:type="pct"/>
          </w:tcPr>
          <w:p w:rsidR="00B52BB0" w:rsidRPr="00A11F8D" w:rsidRDefault="00B52BB0" w:rsidP="003E074D">
            <w:pPr>
              <w:pStyle w:val="TableText"/>
            </w:pPr>
            <w:r w:rsidRPr="00A11F8D">
              <w:t xml:space="preserve">An area where ecological factors favour the establishment of a pest whose presence in the area will result in economically important loss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Endemic</w:t>
            </w:r>
          </w:p>
        </w:tc>
        <w:tc>
          <w:tcPr>
            <w:tcW w:w="3491" w:type="pct"/>
          </w:tcPr>
          <w:p w:rsidR="00B52BB0" w:rsidRPr="00A11F8D" w:rsidRDefault="00B52BB0" w:rsidP="003E074D">
            <w:pPr>
              <w:pStyle w:val="TableText"/>
            </w:pPr>
            <w:r w:rsidRPr="00A11F8D">
              <w:t>Belonging to, native to, or prevalent in a particular geography, area or environment.</w:t>
            </w:r>
          </w:p>
        </w:tc>
      </w:tr>
      <w:tr w:rsidR="00B52BB0" w:rsidRPr="00A11F8D" w:rsidTr="003E074D">
        <w:tc>
          <w:tcPr>
            <w:tcW w:w="1509" w:type="pct"/>
          </w:tcPr>
          <w:p w:rsidR="00B52BB0" w:rsidRPr="00A11F8D" w:rsidRDefault="00B52BB0" w:rsidP="003E074D">
            <w:pPr>
              <w:pStyle w:val="TableText"/>
            </w:pPr>
            <w:r w:rsidRPr="00A11F8D">
              <w:t>Entry (of a pest)</w:t>
            </w:r>
          </w:p>
        </w:tc>
        <w:tc>
          <w:tcPr>
            <w:tcW w:w="3491" w:type="pct"/>
          </w:tcPr>
          <w:p w:rsidR="00B52BB0" w:rsidRPr="00A11F8D" w:rsidRDefault="00B52BB0" w:rsidP="003E074D">
            <w:pPr>
              <w:pStyle w:val="TableText"/>
            </w:pPr>
            <w:r w:rsidRPr="00A11F8D">
              <w:t xml:space="preserve">Movement of a pest into an area where it is not yet present, or present but not widely distributed and being officially controlled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Establishment (of a pest)</w:t>
            </w:r>
          </w:p>
        </w:tc>
        <w:tc>
          <w:tcPr>
            <w:tcW w:w="3491" w:type="pct"/>
          </w:tcPr>
          <w:p w:rsidR="00B52BB0" w:rsidRPr="00A11F8D" w:rsidRDefault="00B52BB0" w:rsidP="003E074D">
            <w:pPr>
              <w:pStyle w:val="TableText"/>
            </w:pPr>
            <w:r w:rsidRPr="00A11F8D">
              <w:t xml:space="preserve">Perpetuation, for the foreseeable future, of a pest within an area after entry </w:t>
            </w:r>
            <w:r>
              <w:rPr>
                <w:noProof/>
              </w:rPr>
              <w:t>(FAO 2018)</w:t>
            </w:r>
            <w:r w:rsidRPr="00A11F8D">
              <w:t>.</w:t>
            </w:r>
          </w:p>
        </w:tc>
      </w:tr>
      <w:tr w:rsidR="00B52BB0" w:rsidRPr="00A11F8D" w:rsidTr="003E074D">
        <w:tc>
          <w:tcPr>
            <w:tcW w:w="1509" w:type="pct"/>
          </w:tcPr>
          <w:p w:rsidR="00B52BB0" w:rsidRPr="00A11F8D" w:rsidRDefault="00B52BB0" w:rsidP="003E074D">
            <w:pPr>
              <w:pStyle w:val="TableText"/>
            </w:pPr>
            <w:r w:rsidRPr="00A11F8D">
              <w:t>Fresh</w:t>
            </w:r>
          </w:p>
        </w:tc>
        <w:tc>
          <w:tcPr>
            <w:tcW w:w="3491" w:type="pct"/>
          </w:tcPr>
          <w:p w:rsidR="00B52BB0" w:rsidRPr="00A11F8D" w:rsidRDefault="00B52BB0" w:rsidP="003E074D">
            <w:pPr>
              <w:pStyle w:val="TableText"/>
            </w:pPr>
            <w:r w:rsidRPr="00A11F8D">
              <w:t xml:space="preserve">Living; not dried, deep-frozen or otherwise conserved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Fumigation</w:t>
            </w:r>
          </w:p>
        </w:tc>
        <w:tc>
          <w:tcPr>
            <w:tcW w:w="3491" w:type="pct"/>
          </w:tcPr>
          <w:p w:rsidR="00B52BB0" w:rsidRPr="00A11F8D" w:rsidRDefault="00B52BB0" w:rsidP="003E074D">
            <w:pPr>
              <w:pStyle w:val="TableText"/>
            </w:pPr>
            <w:r w:rsidRPr="00A11F8D">
              <w:t>A method of pest control that completely fills an area with gaseous pesticides to suffocate or poison the pests within.</w:t>
            </w:r>
          </w:p>
        </w:tc>
      </w:tr>
      <w:tr w:rsidR="00B52BB0" w:rsidRPr="00A11F8D" w:rsidTr="003E074D">
        <w:tc>
          <w:tcPr>
            <w:tcW w:w="1509" w:type="pct"/>
          </w:tcPr>
          <w:p w:rsidR="00B52BB0" w:rsidRPr="00A11F8D" w:rsidRDefault="00B52BB0" w:rsidP="003E074D">
            <w:pPr>
              <w:pStyle w:val="TableText"/>
            </w:pPr>
            <w:r w:rsidRPr="00A11F8D">
              <w:t>Genus</w:t>
            </w:r>
          </w:p>
        </w:tc>
        <w:tc>
          <w:tcPr>
            <w:tcW w:w="3491" w:type="pct"/>
          </w:tcPr>
          <w:p w:rsidR="00B52BB0" w:rsidRPr="00A11F8D" w:rsidRDefault="00B52BB0" w:rsidP="003E074D">
            <w:pPr>
              <w:pStyle w:val="TableText"/>
            </w:pPr>
            <w:r w:rsidRPr="00A11F8D">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B52BB0" w:rsidRPr="00A11F8D" w:rsidTr="003E074D">
        <w:tc>
          <w:tcPr>
            <w:tcW w:w="1509" w:type="pct"/>
          </w:tcPr>
          <w:p w:rsidR="00B52BB0" w:rsidRPr="00A11F8D" w:rsidRDefault="00B52BB0" w:rsidP="003E074D">
            <w:pPr>
              <w:pStyle w:val="TableText"/>
            </w:pPr>
            <w:r>
              <w:t>Goods</w:t>
            </w:r>
          </w:p>
        </w:tc>
        <w:tc>
          <w:tcPr>
            <w:tcW w:w="3491" w:type="pct"/>
          </w:tcPr>
          <w:p w:rsidR="00B52BB0" w:rsidRPr="00A11F8D" w:rsidRDefault="00B52BB0" w:rsidP="003E074D">
            <w:pPr>
              <w:pStyle w:val="TableText"/>
            </w:pPr>
            <w:r>
              <w:t xml:space="preserve">The </w:t>
            </w:r>
            <w:r w:rsidRPr="00CC1408">
              <w:rPr>
                <w:i/>
              </w:rPr>
              <w:t>Biosecurity Act 2015</w:t>
            </w:r>
            <w:r>
              <w:t xml:space="preserve"> defines goods as an animal, a plant (whether moveable or not), a sample or specimen of a disease agent, a pest, mail or any other article, substance or thing (including, but not limited to, any kind of moveable property).</w:t>
            </w:r>
          </w:p>
        </w:tc>
      </w:tr>
      <w:tr w:rsidR="00B52BB0" w:rsidRPr="00A11F8D" w:rsidTr="003E074D">
        <w:tc>
          <w:tcPr>
            <w:tcW w:w="1509" w:type="pct"/>
          </w:tcPr>
          <w:p w:rsidR="00B52BB0" w:rsidRPr="00A11F8D" w:rsidRDefault="00B52BB0" w:rsidP="003E074D">
            <w:pPr>
              <w:pStyle w:val="TableText"/>
            </w:pPr>
            <w:r w:rsidRPr="00A11F8D">
              <w:t>Host</w:t>
            </w:r>
          </w:p>
        </w:tc>
        <w:tc>
          <w:tcPr>
            <w:tcW w:w="3491" w:type="pct"/>
          </w:tcPr>
          <w:p w:rsidR="00B52BB0" w:rsidRPr="00A11F8D" w:rsidRDefault="00B52BB0" w:rsidP="003E074D">
            <w:pPr>
              <w:pStyle w:val="TableText"/>
            </w:pPr>
            <w:r w:rsidRPr="00A11F8D">
              <w:t>An organism that harbours a parasite, mutual partner, or commensal partner, typically providing nourishment and shelter.</w:t>
            </w:r>
          </w:p>
        </w:tc>
      </w:tr>
      <w:tr w:rsidR="00B52BB0" w:rsidRPr="00A11F8D" w:rsidTr="003E074D">
        <w:tc>
          <w:tcPr>
            <w:tcW w:w="1509" w:type="pct"/>
          </w:tcPr>
          <w:p w:rsidR="00B52BB0" w:rsidRPr="00A11F8D" w:rsidRDefault="00B52BB0" w:rsidP="003E074D">
            <w:pPr>
              <w:pStyle w:val="TableText"/>
            </w:pPr>
            <w:r w:rsidRPr="00A11F8D">
              <w:t>Host range</w:t>
            </w:r>
          </w:p>
        </w:tc>
        <w:tc>
          <w:tcPr>
            <w:tcW w:w="3491" w:type="pct"/>
          </w:tcPr>
          <w:p w:rsidR="00B52BB0" w:rsidRPr="00A11F8D" w:rsidRDefault="00B52BB0" w:rsidP="003E074D">
            <w:pPr>
              <w:pStyle w:val="TableText"/>
            </w:pPr>
            <w:r w:rsidRPr="00A11F8D">
              <w:t xml:space="preserve">Species capable, under natural conditions, of sustaining a specific pest or other organism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Import permit</w:t>
            </w:r>
          </w:p>
        </w:tc>
        <w:tc>
          <w:tcPr>
            <w:tcW w:w="3491" w:type="pct"/>
          </w:tcPr>
          <w:p w:rsidR="00B52BB0" w:rsidRPr="00A11F8D" w:rsidRDefault="00B52BB0" w:rsidP="003E074D">
            <w:pPr>
              <w:pStyle w:val="TableText"/>
            </w:pPr>
            <w:r w:rsidRPr="00A11F8D">
              <w:t xml:space="preserve">Official document authorising importation of a </w:t>
            </w:r>
            <w:r>
              <w:t>longan</w:t>
            </w:r>
            <w:r w:rsidRPr="00A11F8D">
              <w:t xml:space="preserve"> in accordance with specified phytosanitary import requirements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Infection</w:t>
            </w:r>
          </w:p>
        </w:tc>
        <w:tc>
          <w:tcPr>
            <w:tcW w:w="3491" w:type="pct"/>
          </w:tcPr>
          <w:p w:rsidR="00B52BB0" w:rsidRPr="00A11F8D" w:rsidRDefault="00B52BB0" w:rsidP="003E074D">
            <w:pPr>
              <w:pStyle w:val="TableText"/>
            </w:pPr>
            <w:r w:rsidRPr="00A11F8D">
              <w:t>The internal ‘endophytic’ colonisation of a plant, or plant organ, and is generally associated with the development of disease symptoms as the integrity of cells and/or biological processes are disrupted.</w:t>
            </w:r>
          </w:p>
        </w:tc>
      </w:tr>
      <w:tr w:rsidR="00B52BB0" w:rsidRPr="00A11F8D" w:rsidTr="003E074D">
        <w:tc>
          <w:tcPr>
            <w:tcW w:w="1509" w:type="pct"/>
          </w:tcPr>
          <w:p w:rsidR="00B52BB0" w:rsidRPr="00A11F8D" w:rsidRDefault="00B52BB0" w:rsidP="003E074D">
            <w:pPr>
              <w:pStyle w:val="TableText"/>
            </w:pPr>
            <w:r w:rsidRPr="00A11F8D">
              <w:t xml:space="preserve">Infestation (of a </w:t>
            </w:r>
            <w:r>
              <w:t>longan</w:t>
            </w:r>
            <w:r w:rsidRPr="00A11F8D">
              <w:t>)</w:t>
            </w:r>
          </w:p>
        </w:tc>
        <w:tc>
          <w:tcPr>
            <w:tcW w:w="3491" w:type="pct"/>
          </w:tcPr>
          <w:p w:rsidR="00B52BB0" w:rsidRPr="00A11F8D" w:rsidRDefault="00B52BB0" w:rsidP="003E074D">
            <w:pPr>
              <w:pStyle w:val="TableText"/>
            </w:pPr>
            <w:r w:rsidRPr="00A11F8D">
              <w:t xml:space="preserve">Presence in a </w:t>
            </w:r>
            <w:r>
              <w:t>longan</w:t>
            </w:r>
            <w:r w:rsidRPr="00A11F8D">
              <w:t xml:space="preserve"> of a living pest of the plant or plant product concerned. Infestation includes infection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Inspection</w:t>
            </w:r>
          </w:p>
        </w:tc>
        <w:tc>
          <w:tcPr>
            <w:tcW w:w="3491" w:type="pct"/>
          </w:tcPr>
          <w:p w:rsidR="00B52BB0" w:rsidRPr="00A11F8D" w:rsidRDefault="00B52BB0" w:rsidP="003E074D">
            <w:pPr>
              <w:pStyle w:val="TableText"/>
            </w:pPr>
            <w:r w:rsidRPr="00A11F8D">
              <w:t xml:space="preserve">Official visual examination of plants, plant products or other regulated articles to determine if pests are present or to determine compliance with phytosanitary regulations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Intended use</w:t>
            </w:r>
          </w:p>
        </w:tc>
        <w:tc>
          <w:tcPr>
            <w:tcW w:w="3491" w:type="pct"/>
          </w:tcPr>
          <w:p w:rsidR="00B52BB0" w:rsidRPr="00A11F8D" w:rsidRDefault="00B52BB0" w:rsidP="003E074D">
            <w:pPr>
              <w:pStyle w:val="TableText"/>
            </w:pPr>
            <w:r w:rsidRPr="00A11F8D">
              <w:t xml:space="preserve">Declared purpose for which plants, plant products, or other regulated articles are imported, produced or used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Interception (of a pest)</w:t>
            </w:r>
          </w:p>
        </w:tc>
        <w:tc>
          <w:tcPr>
            <w:tcW w:w="3491" w:type="pct"/>
          </w:tcPr>
          <w:p w:rsidR="00B52BB0" w:rsidRPr="00A11F8D" w:rsidRDefault="00B52BB0" w:rsidP="003E074D">
            <w:pPr>
              <w:pStyle w:val="TableText"/>
            </w:pPr>
            <w:r w:rsidRPr="00A11F8D">
              <w:t xml:space="preserve">The detection of a pest during inspection or testing of an imported consignment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t>International Plant Protection Convention (IPPC)</w:t>
            </w:r>
          </w:p>
        </w:tc>
        <w:tc>
          <w:tcPr>
            <w:tcW w:w="3491" w:type="pct"/>
          </w:tcPr>
          <w:p w:rsidR="00B52BB0" w:rsidRPr="00A11F8D" w:rsidRDefault="00B52BB0" w:rsidP="003E074D">
            <w:pPr>
              <w:pStyle w:val="TableText"/>
            </w:pPr>
            <w:r w:rsidRPr="00FD1510">
              <w:rPr>
                <w:lang w:val="en"/>
              </w:rPr>
              <w:t xml:space="preserve">The IPPC </w:t>
            </w:r>
            <w:r>
              <w:rPr>
                <w:lang w:val="en"/>
              </w:rPr>
              <w:t xml:space="preserve">is an international plant health agreement, established in 1952, that aims to protect cultivated and wild plants by preventing the introduction and spread of pests. The IPPC </w:t>
            </w:r>
            <w:r w:rsidRPr="00FD1510">
              <w:rPr>
                <w:lang w:val="en"/>
              </w:rPr>
              <w:t>provides an international framework for plant protection that includes developing International Standards for Phytosanitary Measures (ISPMs) for safeguarding plant resources.</w:t>
            </w:r>
          </w:p>
        </w:tc>
      </w:tr>
      <w:tr w:rsidR="00B52BB0" w:rsidRPr="00A11F8D" w:rsidTr="003E074D">
        <w:tc>
          <w:tcPr>
            <w:tcW w:w="1509" w:type="pct"/>
          </w:tcPr>
          <w:p w:rsidR="00B52BB0" w:rsidRPr="00A11F8D" w:rsidRDefault="00B52BB0" w:rsidP="003E074D">
            <w:pPr>
              <w:pStyle w:val="TableText"/>
            </w:pPr>
            <w:r w:rsidRPr="00A11F8D">
              <w:t>International Standard for Phytosanitary Measures (ISPM)</w:t>
            </w:r>
          </w:p>
        </w:tc>
        <w:tc>
          <w:tcPr>
            <w:tcW w:w="3491" w:type="pct"/>
          </w:tcPr>
          <w:p w:rsidR="00B52BB0" w:rsidRPr="00A11F8D" w:rsidRDefault="00B52BB0" w:rsidP="003E074D">
            <w:pPr>
              <w:pStyle w:val="TableText"/>
            </w:pPr>
            <w:r w:rsidRPr="00A11F8D">
              <w:t>An international standard adopted by the Conference of the Food and Agriculture Organization, the Interim Commission on Phytosanitary Measures or the Commission on Phytosanitary Mea</w:t>
            </w:r>
            <w:r>
              <w:t>sures, established under the IPP</w:t>
            </w:r>
            <w:r w:rsidRPr="00A11F8D">
              <w:t xml:space="preserve">C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Introduction (of a pest)</w:t>
            </w:r>
          </w:p>
        </w:tc>
        <w:tc>
          <w:tcPr>
            <w:tcW w:w="3491" w:type="pct"/>
          </w:tcPr>
          <w:p w:rsidR="00B52BB0" w:rsidRPr="00A11F8D" w:rsidRDefault="00B52BB0" w:rsidP="003E074D">
            <w:pPr>
              <w:pStyle w:val="TableText"/>
            </w:pPr>
            <w:r w:rsidRPr="00A11F8D">
              <w:t xml:space="preserve">The entry of a pest resulting in its establishment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Larva</w:t>
            </w:r>
          </w:p>
        </w:tc>
        <w:tc>
          <w:tcPr>
            <w:tcW w:w="3491" w:type="pct"/>
          </w:tcPr>
          <w:p w:rsidR="00B52BB0" w:rsidRPr="00A11F8D" w:rsidRDefault="00B52BB0" w:rsidP="003E074D">
            <w:pPr>
              <w:pStyle w:val="TableText"/>
            </w:pPr>
            <w:r w:rsidRPr="00A11F8D">
              <w:t>A juvenile form of animal with indirect development, undergoing metamorphosis (for example, insects or amphibians).</w:t>
            </w:r>
          </w:p>
        </w:tc>
      </w:tr>
      <w:tr w:rsidR="00B52BB0" w:rsidRPr="00A11F8D" w:rsidTr="003E074D">
        <w:tc>
          <w:tcPr>
            <w:tcW w:w="1509" w:type="pct"/>
          </w:tcPr>
          <w:p w:rsidR="00B52BB0" w:rsidRPr="00A11F8D" w:rsidRDefault="00B52BB0" w:rsidP="003E074D">
            <w:pPr>
              <w:pStyle w:val="TableText"/>
            </w:pPr>
            <w:r w:rsidRPr="00A11F8D">
              <w:t>Lot</w:t>
            </w:r>
          </w:p>
        </w:tc>
        <w:tc>
          <w:tcPr>
            <w:tcW w:w="3491" w:type="pct"/>
          </w:tcPr>
          <w:p w:rsidR="00B52BB0" w:rsidRPr="00A11F8D" w:rsidRDefault="00B52BB0" w:rsidP="003E074D">
            <w:pPr>
              <w:pStyle w:val="TableText"/>
            </w:pPr>
            <w:r w:rsidRPr="00A11F8D">
              <w:t xml:space="preserve">A number of units of a single </w:t>
            </w:r>
            <w:r>
              <w:t>longan</w:t>
            </w:r>
            <w:r w:rsidRPr="00A11F8D">
              <w:t xml:space="preserve">, identifiable by its homogeneity of composition, origin et cetera, forming part of a consignment </w:t>
            </w:r>
            <w:r>
              <w:rPr>
                <w:noProof/>
              </w:rPr>
              <w:t>(FAO 2019a)</w:t>
            </w:r>
            <w:r w:rsidRPr="00A11F8D">
              <w:t xml:space="preserve">. Within this report a ‘lot’ refers to a quantity of fruit of a single variety, </w:t>
            </w:r>
            <w:r w:rsidRPr="00A11F8D">
              <w:lastRenderedPageBreak/>
              <w:t>harvested from a single production site during a single pick and packed at one time.</w:t>
            </w:r>
          </w:p>
        </w:tc>
      </w:tr>
      <w:tr w:rsidR="00B52BB0" w:rsidRPr="00A11F8D" w:rsidTr="003E074D">
        <w:tc>
          <w:tcPr>
            <w:tcW w:w="1509" w:type="pct"/>
          </w:tcPr>
          <w:p w:rsidR="00B52BB0" w:rsidRPr="00A11F8D" w:rsidRDefault="00B52BB0" w:rsidP="003E074D">
            <w:pPr>
              <w:pStyle w:val="TableText"/>
            </w:pPr>
            <w:r w:rsidRPr="00A11F8D">
              <w:lastRenderedPageBreak/>
              <w:t>Mature fruit</w:t>
            </w:r>
          </w:p>
        </w:tc>
        <w:tc>
          <w:tcPr>
            <w:tcW w:w="3491" w:type="pct"/>
          </w:tcPr>
          <w:p w:rsidR="00B52BB0" w:rsidRPr="00A11F8D" w:rsidRDefault="00B52BB0" w:rsidP="003E074D">
            <w:pPr>
              <w:pStyle w:val="TableText"/>
            </w:pPr>
            <w:r w:rsidRPr="00A11F8D">
              <w:t>Commercial maturity is the start of the ripening process. The ripening process will then continue and provide a product that is consumer-acceptable. Maturity assessments include colour, starch, index, soluble solids content, flesh firmness, acidity, and ethylene production rate.</w:t>
            </w:r>
          </w:p>
        </w:tc>
      </w:tr>
      <w:tr w:rsidR="00B52BB0" w:rsidRPr="00A11F8D" w:rsidTr="003E074D">
        <w:tc>
          <w:tcPr>
            <w:tcW w:w="1509" w:type="pct"/>
          </w:tcPr>
          <w:p w:rsidR="00B52BB0" w:rsidRPr="00A11F8D" w:rsidRDefault="00B52BB0" w:rsidP="003E074D">
            <w:pPr>
              <w:pStyle w:val="TableText"/>
            </w:pPr>
            <w:r w:rsidRPr="00A11F8D">
              <w:t>National Plant Protection Organization (NPPO)</w:t>
            </w:r>
          </w:p>
        </w:tc>
        <w:tc>
          <w:tcPr>
            <w:tcW w:w="3491" w:type="pct"/>
          </w:tcPr>
          <w:p w:rsidR="00B52BB0" w:rsidRPr="00A11F8D" w:rsidRDefault="00B52BB0" w:rsidP="003E074D">
            <w:pPr>
              <w:pStyle w:val="TableText"/>
            </w:pPr>
            <w:r w:rsidRPr="00A11F8D">
              <w:t xml:space="preserve">Official service established by a government to discharge the functions specified by the IPPC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Nymph</w:t>
            </w:r>
          </w:p>
        </w:tc>
        <w:tc>
          <w:tcPr>
            <w:tcW w:w="3491" w:type="pct"/>
          </w:tcPr>
          <w:p w:rsidR="00B52BB0" w:rsidRPr="00A11F8D" w:rsidRDefault="00B52BB0" w:rsidP="003E074D">
            <w:pPr>
              <w:pStyle w:val="TableText"/>
            </w:pPr>
            <w:r w:rsidRPr="00A11F8D">
              <w:t>The immature form of some insect species that undergoes incomplete m</w:t>
            </w:r>
            <w:r>
              <w:t>etamorphosis.</w:t>
            </w:r>
            <w:r w:rsidRPr="00A11F8D">
              <w:t xml:space="preserve"> It is not to be confused with larva, as its overall form is already that of the adult.</w:t>
            </w:r>
          </w:p>
        </w:tc>
      </w:tr>
      <w:tr w:rsidR="00B52BB0" w:rsidRPr="00A11F8D" w:rsidTr="003E074D">
        <w:tc>
          <w:tcPr>
            <w:tcW w:w="1509" w:type="pct"/>
          </w:tcPr>
          <w:p w:rsidR="00B52BB0" w:rsidRPr="00A11F8D" w:rsidRDefault="00B52BB0" w:rsidP="003E074D">
            <w:pPr>
              <w:pStyle w:val="TableText"/>
            </w:pPr>
            <w:r w:rsidRPr="00A11F8D">
              <w:t>Official control</w:t>
            </w:r>
          </w:p>
        </w:tc>
        <w:tc>
          <w:tcPr>
            <w:tcW w:w="3491" w:type="pct"/>
          </w:tcPr>
          <w:p w:rsidR="00B52BB0" w:rsidRPr="00A11F8D" w:rsidRDefault="00B52BB0" w:rsidP="003E074D">
            <w:pPr>
              <w:pStyle w:val="TableText"/>
            </w:pPr>
            <w:r w:rsidRPr="00A11F8D">
              <w:t xml:space="preserve">The active enforcement of mandatory phytosanitary regulations and the application of mandatory phytosanitary procedures with the objective of eradication or containment of quarantine pests or for the management of regulated non-quarantine pests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Orchard</w:t>
            </w:r>
          </w:p>
        </w:tc>
        <w:tc>
          <w:tcPr>
            <w:tcW w:w="3491" w:type="pct"/>
          </w:tcPr>
          <w:p w:rsidR="00B52BB0" w:rsidRPr="00A11F8D" w:rsidRDefault="00B52BB0" w:rsidP="003E074D">
            <w:pPr>
              <w:pStyle w:val="TableText"/>
            </w:pPr>
            <w:r w:rsidRPr="00A11F8D">
              <w:t xml:space="preserve">A contiguous area </w:t>
            </w:r>
            <w:r w:rsidRPr="00F06E51">
              <w:t xml:space="preserve">of longan trees operated </w:t>
            </w:r>
            <w:r w:rsidRPr="00A11F8D">
              <w:t>as a single entity. Within this report a single orchard is covered under one registration and is issued a unique identifying number.</w:t>
            </w:r>
          </w:p>
        </w:tc>
      </w:tr>
      <w:tr w:rsidR="00B52BB0" w:rsidRPr="00A11F8D" w:rsidTr="003E074D">
        <w:tc>
          <w:tcPr>
            <w:tcW w:w="1509" w:type="pct"/>
          </w:tcPr>
          <w:p w:rsidR="00B52BB0" w:rsidRPr="00A11F8D" w:rsidRDefault="00B52BB0" w:rsidP="003E074D">
            <w:pPr>
              <w:pStyle w:val="TableText"/>
            </w:pPr>
            <w:r w:rsidRPr="00A11F8D">
              <w:t>Pathogen</w:t>
            </w:r>
          </w:p>
        </w:tc>
        <w:tc>
          <w:tcPr>
            <w:tcW w:w="3491" w:type="pct"/>
          </w:tcPr>
          <w:p w:rsidR="00B52BB0" w:rsidRPr="00A11F8D" w:rsidRDefault="00B52BB0" w:rsidP="003E074D">
            <w:pPr>
              <w:pStyle w:val="TableText"/>
            </w:pPr>
            <w:r w:rsidRPr="00A11F8D">
              <w:t>A biological agent that can cause disease to its host.</w:t>
            </w:r>
          </w:p>
        </w:tc>
      </w:tr>
      <w:tr w:rsidR="00B52BB0" w:rsidRPr="00A11F8D" w:rsidTr="003E074D">
        <w:tc>
          <w:tcPr>
            <w:tcW w:w="1509" w:type="pct"/>
          </w:tcPr>
          <w:p w:rsidR="00B52BB0" w:rsidRPr="00A11F8D" w:rsidRDefault="00B52BB0" w:rsidP="003E074D">
            <w:pPr>
              <w:pStyle w:val="TableText"/>
            </w:pPr>
            <w:r w:rsidRPr="00A11F8D">
              <w:t>Pathway</w:t>
            </w:r>
          </w:p>
        </w:tc>
        <w:tc>
          <w:tcPr>
            <w:tcW w:w="3491" w:type="pct"/>
          </w:tcPr>
          <w:p w:rsidR="00B52BB0" w:rsidRPr="00A11F8D" w:rsidRDefault="00B52BB0" w:rsidP="003E074D">
            <w:pPr>
              <w:pStyle w:val="TableText"/>
            </w:pPr>
            <w:r w:rsidRPr="00A11F8D">
              <w:t xml:space="preserve">Any means that allows the entry or spread of a pest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Pest</w:t>
            </w:r>
          </w:p>
        </w:tc>
        <w:tc>
          <w:tcPr>
            <w:tcW w:w="3491" w:type="pct"/>
          </w:tcPr>
          <w:p w:rsidR="00B52BB0" w:rsidRPr="00A11F8D" w:rsidRDefault="00B52BB0" w:rsidP="003E074D">
            <w:pPr>
              <w:pStyle w:val="TableText"/>
            </w:pPr>
            <w:r w:rsidRPr="00A11F8D">
              <w:t xml:space="preserve">Any species, strain or biotype of plant, animal, or pathogenic agent injurious to plants or plant products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Pest categorisation</w:t>
            </w:r>
          </w:p>
        </w:tc>
        <w:tc>
          <w:tcPr>
            <w:tcW w:w="3491" w:type="pct"/>
          </w:tcPr>
          <w:p w:rsidR="00B52BB0" w:rsidRPr="00A11F8D" w:rsidRDefault="00B52BB0" w:rsidP="003E074D">
            <w:pPr>
              <w:pStyle w:val="TableText"/>
            </w:pPr>
            <w:r w:rsidRPr="00A11F8D">
              <w:t xml:space="preserve">The process for determining whether a pest has or has not the characteristics of a quarantine pest or those of a regulated non-quarantine pest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Pest free area (PFA)</w:t>
            </w:r>
          </w:p>
        </w:tc>
        <w:tc>
          <w:tcPr>
            <w:tcW w:w="3491" w:type="pct"/>
          </w:tcPr>
          <w:p w:rsidR="00B52BB0" w:rsidRPr="00A11F8D" w:rsidRDefault="00B52BB0" w:rsidP="003E074D">
            <w:pPr>
              <w:pStyle w:val="TableText"/>
            </w:pPr>
            <w:r w:rsidRPr="00A11F8D">
              <w:t xml:space="preserve">An area in which a specific pest does not occur as demonstrated by scientific evidence and in which, where appropriate, this condition is being officially maintained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Pest free place of production</w:t>
            </w:r>
          </w:p>
        </w:tc>
        <w:tc>
          <w:tcPr>
            <w:tcW w:w="3491" w:type="pct"/>
          </w:tcPr>
          <w:p w:rsidR="00B52BB0" w:rsidRPr="00A11F8D" w:rsidRDefault="00B52BB0" w:rsidP="003E074D">
            <w:pPr>
              <w:pStyle w:val="TableText"/>
            </w:pPr>
            <w:r w:rsidRPr="00A11F8D">
              <w:t xml:space="preserve">Place of production in which a specific pest does not occur as demonstrated by scientific evidence and in which, where appropriate, this condition is being officially maintained for a defined period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Pest free production site</w:t>
            </w:r>
          </w:p>
        </w:tc>
        <w:tc>
          <w:tcPr>
            <w:tcW w:w="3491" w:type="pct"/>
          </w:tcPr>
          <w:p w:rsidR="00B52BB0" w:rsidRPr="00A11F8D" w:rsidRDefault="00B52BB0" w:rsidP="003E074D">
            <w:pPr>
              <w:pStyle w:val="TableText"/>
            </w:pPr>
            <w:r w:rsidRPr="00A11F8D">
              <w:t xml:space="preserve">A defined portion of a place of production in which a specific pest does not occur as demonstrated by scientific evidence and in which, where appropriate, this condition is being officially maintained for a defined period and that is managed as a separate unit in the same way as a pest free place of production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Pest risk analysis (PRA)</w:t>
            </w:r>
          </w:p>
        </w:tc>
        <w:tc>
          <w:tcPr>
            <w:tcW w:w="3491" w:type="pct"/>
          </w:tcPr>
          <w:p w:rsidR="00B52BB0" w:rsidRPr="00A11F8D" w:rsidRDefault="00B52BB0" w:rsidP="003E074D">
            <w:pPr>
              <w:pStyle w:val="TableText"/>
            </w:pPr>
            <w:r w:rsidRPr="00A11F8D">
              <w:t xml:space="preserve">The process of evaluating biological or other scientific and economic evidence to determine whether an organism is a pest, whether it should be regulated, and the strength of any phytosanitary measures to be taken against it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Pest risk assessment (for quarantine pests)</w:t>
            </w:r>
          </w:p>
        </w:tc>
        <w:tc>
          <w:tcPr>
            <w:tcW w:w="3491" w:type="pct"/>
          </w:tcPr>
          <w:p w:rsidR="00B52BB0" w:rsidRPr="00A11F8D" w:rsidRDefault="00B52BB0" w:rsidP="003E074D">
            <w:pPr>
              <w:pStyle w:val="TableText"/>
            </w:pPr>
            <w:r w:rsidRPr="00A11F8D">
              <w:t xml:space="preserve">Evaluation of the probability of the introduction and spread of a pest and of the magnitude of the associated potential economic consequences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Pest risk assessment (for regulated non-quarantine pests)</w:t>
            </w:r>
          </w:p>
        </w:tc>
        <w:tc>
          <w:tcPr>
            <w:tcW w:w="3491" w:type="pct"/>
          </w:tcPr>
          <w:p w:rsidR="00B52BB0" w:rsidRPr="00A11F8D" w:rsidRDefault="00B52BB0" w:rsidP="003E074D">
            <w:pPr>
              <w:pStyle w:val="TableText"/>
            </w:pPr>
            <w:r w:rsidRPr="00A11F8D">
              <w:t>Evaluation of the probability that a pest in pla</w:t>
            </w:r>
            <w:r>
              <w:t>nts for planting affects the intend</w:t>
            </w:r>
            <w:r w:rsidRPr="00A11F8D">
              <w:t xml:space="preserve">ed use of those plants with an economically unacceptable impact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Pest risk management (for quarantine pests)</w:t>
            </w:r>
          </w:p>
        </w:tc>
        <w:tc>
          <w:tcPr>
            <w:tcW w:w="3491" w:type="pct"/>
          </w:tcPr>
          <w:p w:rsidR="00B52BB0" w:rsidRPr="00A11F8D" w:rsidRDefault="00B52BB0" w:rsidP="003E074D">
            <w:pPr>
              <w:pStyle w:val="TableText"/>
            </w:pPr>
            <w:r w:rsidRPr="00A11F8D">
              <w:t xml:space="preserve">Evaluation and selection of options to reduce the risk of introduction and spread of a pest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Pest risk management (for regulated non-quarantine pests)</w:t>
            </w:r>
          </w:p>
        </w:tc>
        <w:tc>
          <w:tcPr>
            <w:tcW w:w="3491" w:type="pct"/>
          </w:tcPr>
          <w:p w:rsidR="00B52BB0" w:rsidRPr="00A11F8D" w:rsidRDefault="00B52BB0" w:rsidP="003E074D">
            <w:pPr>
              <w:pStyle w:val="TableText"/>
            </w:pPr>
            <w:r w:rsidRPr="00A11F8D">
              <w:t xml:space="preserve">Evaluation and selection of options to reduce the risk that a pest in plants for planting causes an economically unacceptable impact on the intended use of those plants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Pest status (in an area)</w:t>
            </w:r>
          </w:p>
        </w:tc>
        <w:tc>
          <w:tcPr>
            <w:tcW w:w="3491" w:type="pct"/>
          </w:tcPr>
          <w:p w:rsidR="00B52BB0" w:rsidRPr="00A11F8D" w:rsidRDefault="00B52BB0" w:rsidP="003E074D">
            <w:pPr>
              <w:pStyle w:val="TableText"/>
            </w:pPr>
            <w:r w:rsidRPr="00A11F8D">
              <w:t xml:space="preserve">Presence or absence, at the present time, of a pest in an area, including where appropriate its distribution, as officially determined using expert judgement on the basis of current and historical pest records and other information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lastRenderedPageBreak/>
              <w:t>Phytosanitary certificate</w:t>
            </w:r>
          </w:p>
        </w:tc>
        <w:tc>
          <w:tcPr>
            <w:tcW w:w="3491" w:type="pct"/>
          </w:tcPr>
          <w:p w:rsidR="00B52BB0" w:rsidRPr="00A11F8D" w:rsidRDefault="00B52BB0" w:rsidP="003E074D">
            <w:pPr>
              <w:pStyle w:val="TableText"/>
            </w:pPr>
            <w:r w:rsidRPr="00A11F8D">
              <w:t xml:space="preserve">An official paper document or its official electronic equivalent, consistent with the model of certificates of the IPPC, attesting that a consignment meets phytosanitary import requirements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Phytosanitary certification</w:t>
            </w:r>
          </w:p>
        </w:tc>
        <w:tc>
          <w:tcPr>
            <w:tcW w:w="3491" w:type="pct"/>
          </w:tcPr>
          <w:p w:rsidR="00B52BB0" w:rsidRPr="00A11F8D" w:rsidRDefault="00B52BB0" w:rsidP="003E074D">
            <w:pPr>
              <w:pStyle w:val="TableText"/>
            </w:pPr>
            <w:r w:rsidRPr="00A11F8D">
              <w:t xml:space="preserve">Use of phytosanitary procedures leading to the issue of a phytosanitary certificate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Phytosanitary measure</w:t>
            </w:r>
          </w:p>
        </w:tc>
        <w:tc>
          <w:tcPr>
            <w:tcW w:w="3491" w:type="pct"/>
          </w:tcPr>
          <w:p w:rsidR="00B52BB0" w:rsidRPr="00A11F8D" w:rsidRDefault="00B52BB0" w:rsidP="003E074D">
            <w:pPr>
              <w:pStyle w:val="TableText"/>
            </w:pPr>
            <w:r>
              <w:t xml:space="preserve">Phytosanitary relates to the health of plants. </w:t>
            </w:r>
            <w:r w:rsidRPr="00A11F8D">
              <w:t xml:space="preserve">Any legislation, regulation or official procedure having the purpose to prevent the introduction and/or spread of quarantine pests, or to limit the economic impact of regulated non-quarantine pests </w:t>
            </w:r>
            <w:r>
              <w:rPr>
                <w:noProof/>
              </w:rPr>
              <w:t>(FAO 2019a)</w:t>
            </w:r>
            <w:r w:rsidRPr="00A11F8D">
              <w:t>.</w:t>
            </w:r>
            <w:r>
              <w:t xml:space="preserve"> In this risk analysis the term ‘phytosanitary measure’ and ‘risk management measure’ may be used interchangeably. </w:t>
            </w:r>
          </w:p>
        </w:tc>
      </w:tr>
      <w:tr w:rsidR="00B52BB0" w:rsidRPr="00A11F8D" w:rsidTr="003E074D">
        <w:tc>
          <w:tcPr>
            <w:tcW w:w="1509" w:type="pct"/>
          </w:tcPr>
          <w:p w:rsidR="00B52BB0" w:rsidRPr="00A11F8D" w:rsidRDefault="00B52BB0" w:rsidP="003E074D">
            <w:pPr>
              <w:pStyle w:val="TableText"/>
            </w:pPr>
            <w:r w:rsidRPr="00A11F8D">
              <w:t>Phytosanitary procedure</w:t>
            </w:r>
          </w:p>
        </w:tc>
        <w:tc>
          <w:tcPr>
            <w:tcW w:w="3491" w:type="pct"/>
          </w:tcPr>
          <w:p w:rsidR="00B52BB0" w:rsidRPr="00A11F8D" w:rsidRDefault="00B52BB0" w:rsidP="003E074D">
            <w:pPr>
              <w:pStyle w:val="TableText"/>
            </w:pPr>
            <w:r w:rsidRPr="00A11F8D">
              <w:t xml:space="preserve">Any official method for implementing phytosanitary measures including the performance of inspections, tests, surveillance or treatments in connection with regulated pests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Phytosanitary regulation</w:t>
            </w:r>
          </w:p>
        </w:tc>
        <w:tc>
          <w:tcPr>
            <w:tcW w:w="3491" w:type="pct"/>
          </w:tcPr>
          <w:p w:rsidR="00B52BB0" w:rsidRPr="00A11F8D" w:rsidRDefault="00B52BB0" w:rsidP="003E074D">
            <w:pPr>
              <w:pStyle w:val="TableText"/>
            </w:pPr>
            <w:r w:rsidRPr="00A11F8D">
              <w:t xml:space="preserve">Official rule to prevent the introduction and/or spread of quarantine pests, or to limit the economic impact of regulated non-quarantine pests, including establishment of procedures for phytosanitary certification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Polyphagous</w:t>
            </w:r>
          </w:p>
        </w:tc>
        <w:tc>
          <w:tcPr>
            <w:tcW w:w="3491" w:type="pct"/>
          </w:tcPr>
          <w:p w:rsidR="00B52BB0" w:rsidRPr="00A11F8D" w:rsidRDefault="00B52BB0" w:rsidP="003E074D">
            <w:pPr>
              <w:pStyle w:val="TableText"/>
            </w:pPr>
            <w:r w:rsidRPr="00A11F8D">
              <w:t>Feeding on a relatively large number of hosts from different plant family and/or genera.</w:t>
            </w:r>
          </w:p>
        </w:tc>
      </w:tr>
      <w:tr w:rsidR="00B52BB0" w:rsidRPr="00A11F8D" w:rsidTr="003E074D">
        <w:tc>
          <w:tcPr>
            <w:tcW w:w="1509" w:type="pct"/>
          </w:tcPr>
          <w:p w:rsidR="00B52BB0" w:rsidRPr="00A11F8D" w:rsidRDefault="00B52BB0" w:rsidP="003E074D">
            <w:pPr>
              <w:pStyle w:val="TableText"/>
            </w:pPr>
            <w:r w:rsidRPr="00A11F8D">
              <w:t>PRA area</w:t>
            </w:r>
          </w:p>
        </w:tc>
        <w:tc>
          <w:tcPr>
            <w:tcW w:w="3491" w:type="pct"/>
          </w:tcPr>
          <w:p w:rsidR="00B52BB0" w:rsidRPr="00A11F8D" w:rsidRDefault="00B52BB0" w:rsidP="003E074D">
            <w:pPr>
              <w:pStyle w:val="TableText"/>
            </w:pPr>
            <w:r w:rsidRPr="00A11F8D">
              <w:t xml:space="preserve">Area in relation to which a pest risk analysis is conducted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Practically free</w:t>
            </w:r>
          </w:p>
        </w:tc>
        <w:tc>
          <w:tcPr>
            <w:tcW w:w="3491" w:type="pct"/>
          </w:tcPr>
          <w:p w:rsidR="00B52BB0" w:rsidRPr="00A11F8D" w:rsidRDefault="00B52BB0" w:rsidP="003E074D">
            <w:pPr>
              <w:pStyle w:val="TableText"/>
            </w:pPr>
            <w:r w:rsidRPr="00A11F8D">
              <w:t xml:space="preserve">Of a consignment, field or place of production, without pests (or a specific pests) in numbers or quantities in excess of those that can be expected to result from, and be consistent with good cultural and handling practices employed in the production and marketing of the </w:t>
            </w:r>
            <w:r>
              <w:t>longan</w:t>
            </w:r>
            <w:r w:rsidRPr="00A11F8D">
              <w:t xml:space="preserve">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Production site</w:t>
            </w:r>
          </w:p>
        </w:tc>
        <w:tc>
          <w:tcPr>
            <w:tcW w:w="3491" w:type="pct"/>
          </w:tcPr>
          <w:p w:rsidR="00B52BB0" w:rsidRPr="00A11F8D" w:rsidRDefault="00B52BB0" w:rsidP="003E074D">
            <w:pPr>
              <w:pStyle w:val="TableText"/>
            </w:pPr>
            <w:r w:rsidRPr="00F06E51">
              <w:t>In this report, a production site is a continuous planting of longan trees treated as a single unit for pest management purposes. If an orchard is subdivided into one or more units for pest management purposes, then each unit is a production site. If the orchard</w:t>
            </w:r>
            <w:r w:rsidRPr="000F5AE9">
              <w:t xml:space="preserve"> </w:t>
            </w:r>
            <w:r w:rsidRPr="00A11F8D">
              <w:t>is not subdivided, then the orchard is also the production site.</w:t>
            </w:r>
          </w:p>
        </w:tc>
      </w:tr>
      <w:tr w:rsidR="00B52BB0" w:rsidRPr="00A11F8D" w:rsidTr="003E074D">
        <w:tc>
          <w:tcPr>
            <w:tcW w:w="1509" w:type="pct"/>
          </w:tcPr>
          <w:p w:rsidR="00B52BB0" w:rsidRPr="00A11F8D" w:rsidRDefault="00B52BB0" w:rsidP="003E074D">
            <w:pPr>
              <w:pStyle w:val="TableText"/>
            </w:pPr>
            <w:r w:rsidRPr="00A11F8D">
              <w:t>Pupa</w:t>
            </w:r>
          </w:p>
        </w:tc>
        <w:tc>
          <w:tcPr>
            <w:tcW w:w="3491" w:type="pct"/>
          </w:tcPr>
          <w:p w:rsidR="00B52BB0" w:rsidRPr="00A11F8D" w:rsidRDefault="00B52BB0" w:rsidP="003E074D">
            <w:pPr>
              <w:pStyle w:val="TableText"/>
            </w:pPr>
            <w:r w:rsidRPr="00A11F8D">
              <w:t>An inactive life stage that only occurs in insects that undergo complete metamorphosis, for example butterflies and moths (Lepidoptera), beetles (Coleoptera) and bees, wasps and ants (Hymenoptera).</w:t>
            </w:r>
          </w:p>
        </w:tc>
      </w:tr>
      <w:tr w:rsidR="00B52BB0" w:rsidRPr="00A11F8D" w:rsidTr="003E074D">
        <w:tc>
          <w:tcPr>
            <w:tcW w:w="1509" w:type="pct"/>
          </w:tcPr>
          <w:p w:rsidR="00B52BB0" w:rsidRPr="00A11F8D" w:rsidRDefault="00B52BB0" w:rsidP="003E074D">
            <w:pPr>
              <w:pStyle w:val="TableText"/>
            </w:pPr>
            <w:r w:rsidRPr="00A11F8D">
              <w:t>Quarantine</w:t>
            </w:r>
          </w:p>
        </w:tc>
        <w:tc>
          <w:tcPr>
            <w:tcW w:w="3491" w:type="pct"/>
          </w:tcPr>
          <w:p w:rsidR="00B52BB0" w:rsidRPr="00A11F8D" w:rsidRDefault="00B52BB0" w:rsidP="003E074D">
            <w:pPr>
              <w:pStyle w:val="TableText"/>
            </w:pPr>
            <w:r w:rsidRPr="00A11F8D">
              <w:t xml:space="preserve">Official confinement of regulated articles for observation and research or for further inspection, testing or treatment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Quarantine pest</w:t>
            </w:r>
          </w:p>
        </w:tc>
        <w:tc>
          <w:tcPr>
            <w:tcW w:w="3491" w:type="pct"/>
          </w:tcPr>
          <w:p w:rsidR="00B52BB0" w:rsidRPr="00A11F8D" w:rsidRDefault="00B52BB0" w:rsidP="003E074D">
            <w:pPr>
              <w:pStyle w:val="TableText"/>
            </w:pPr>
            <w:r w:rsidRPr="00A11F8D">
              <w:t xml:space="preserve">A pest of potential economic importance to the area endangered thereby and not yet present there, or present but not widely distributed and being officially controlled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Regulated article</w:t>
            </w:r>
          </w:p>
        </w:tc>
        <w:tc>
          <w:tcPr>
            <w:tcW w:w="3491" w:type="pct"/>
          </w:tcPr>
          <w:p w:rsidR="00B52BB0" w:rsidRPr="00A11F8D" w:rsidRDefault="00B52BB0" w:rsidP="003E074D">
            <w:pPr>
              <w:pStyle w:val="TableText"/>
            </w:pPr>
            <w:r w:rsidRPr="00A11F8D">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Regulated non-quarantine pest</w:t>
            </w:r>
          </w:p>
        </w:tc>
        <w:tc>
          <w:tcPr>
            <w:tcW w:w="3491" w:type="pct"/>
          </w:tcPr>
          <w:p w:rsidR="00B52BB0" w:rsidRPr="00A11F8D" w:rsidRDefault="00B52BB0" w:rsidP="003E074D">
            <w:pPr>
              <w:pStyle w:val="TableText"/>
            </w:pPr>
            <w:r w:rsidRPr="00A11F8D">
              <w:t xml:space="preserve">A non-quarantine pest whose presence in plants for planting affects the intended use of those plants with an economically unacceptable impact and which is therefore regulated within the territory of the importing contracting party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Regulated pest</w:t>
            </w:r>
          </w:p>
        </w:tc>
        <w:tc>
          <w:tcPr>
            <w:tcW w:w="3491" w:type="pct"/>
          </w:tcPr>
          <w:p w:rsidR="00B52BB0" w:rsidRPr="00A11F8D" w:rsidRDefault="00B52BB0" w:rsidP="003E074D">
            <w:pPr>
              <w:pStyle w:val="TableText"/>
            </w:pPr>
            <w:r w:rsidRPr="00A11F8D">
              <w:t xml:space="preserve">A quarantine pest or a regulated non-quarantine pest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Restricted risk</w:t>
            </w:r>
          </w:p>
        </w:tc>
        <w:tc>
          <w:tcPr>
            <w:tcW w:w="3491" w:type="pct"/>
          </w:tcPr>
          <w:p w:rsidR="00B52BB0" w:rsidRPr="00A11F8D" w:rsidRDefault="00B52BB0" w:rsidP="003E074D">
            <w:pPr>
              <w:pStyle w:val="TableText"/>
            </w:pPr>
            <w:r>
              <w:t>Restricted risk is the r</w:t>
            </w:r>
            <w:r w:rsidRPr="00A11F8D">
              <w:t>isk estimate w</w:t>
            </w:r>
            <w:r>
              <w:t>hen risk management measures are applied</w:t>
            </w:r>
            <w:r w:rsidRPr="00A11F8D">
              <w:t>.</w:t>
            </w:r>
          </w:p>
        </w:tc>
      </w:tr>
      <w:tr w:rsidR="00B52BB0" w:rsidRPr="00A11F8D" w:rsidTr="003E074D">
        <w:tc>
          <w:tcPr>
            <w:tcW w:w="1509" w:type="pct"/>
          </w:tcPr>
          <w:p w:rsidR="00B52BB0" w:rsidRPr="00A11F8D" w:rsidRDefault="00B52BB0" w:rsidP="003E074D">
            <w:pPr>
              <w:pStyle w:val="TableText"/>
            </w:pPr>
            <w:r>
              <w:t>Risk analysis</w:t>
            </w:r>
          </w:p>
        </w:tc>
        <w:tc>
          <w:tcPr>
            <w:tcW w:w="3491" w:type="pct"/>
          </w:tcPr>
          <w:p w:rsidR="00B52BB0" w:rsidRPr="00A11F8D" w:rsidRDefault="00B52BB0" w:rsidP="003E074D">
            <w:pPr>
              <w:pStyle w:val="TableText"/>
            </w:pPr>
            <w:r>
              <w:t xml:space="preserve">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 </w:t>
            </w:r>
          </w:p>
        </w:tc>
      </w:tr>
      <w:tr w:rsidR="00B52BB0" w:rsidRPr="00A11F8D" w:rsidTr="003E074D">
        <w:tc>
          <w:tcPr>
            <w:tcW w:w="1509" w:type="pct"/>
          </w:tcPr>
          <w:p w:rsidR="00B52BB0" w:rsidRDefault="00B52BB0" w:rsidP="003E074D">
            <w:pPr>
              <w:pStyle w:val="TableText"/>
            </w:pPr>
            <w:r>
              <w:t>Risk management measure</w:t>
            </w:r>
          </w:p>
        </w:tc>
        <w:tc>
          <w:tcPr>
            <w:tcW w:w="3491" w:type="pct"/>
          </w:tcPr>
          <w:p w:rsidR="00B52BB0" w:rsidRDefault="00B52BB0" w:rsidP="003E074D">
            <w:pPr>
              <w:pStyle w:val="TableText"/>
            </w:pPr>
            <w:r>
              <w:t xml:space="preserve">Conditions that must be met to manage the level of biosecurity risk associated with the goods or the class of goods, to a level that achieves the ALOP for </w:t>
            </w:r>
            <w:r>
              <w:lastRenderedPageBreak/>
              <w:t>Australia. In this risk analysis, the term ‘risk management measure’ and ‘phytosanitary measure’ may be used interchangeably.</w:t>
            </w:r>
          </w:p>
        </w:tc>
      </w:tr>
      <w:tr w:rsidR="00B52BB0" w:rsidRPr="00A11F8D" w:rsidTr="003E074D">
        <w:tc>
          <w:tcPr>
            <w:tcW w:w="1509" w:type="pct"/>
          </w:tcPr>
          <w:p w:rsidR="00B52BB0" w:rsidRPr="00A11F8D" w:rsidRDefault="00B52BB0" w:rsidP="003E074D">
            <w:pPr>
              <w:pStyle w:val="TableText"/>
            </w:pPr>
            <w:r w:rsidRPr="00A11F8D">
              <w:lastRenderedPageBreak/>
              <w:t>Saprophyte</w:t>
            </w:r>
          </w:p>
        </w:tc>
        <w:tc>
          <w:tcPr>
            <w:tcW w:w="3491" w:type="pct"/>
          </w:tcPr>
          <w:p w:rsidR="00B52BB0" w:rsidRPr="00A11F8D" w:rsidRDefault="00B52BB0" w:rsidP="003E074D">
            <w:pPr>
              <w:pStyle w:val="TableText"/>
            </w:pPr>
            <w:r w:rsidRPr="00A11F8D">
              <w:t>An organism deriving its nourishment from dead organic matter.</w:t>
            </w:r>
          </w:p>
        </w:tc>
      </w:tr>
      <w:tr w:rsidR="00B52BB0" w:rsidRPr="00A11F8D" w:rsidTr="003E074D">
        <w:tc>
          <w:tcPr>
            <w:tcW w:w="1509" w:type="pct"/>
          </w:tcPr>
          <w:p w:rsidR="00B52BB0" w:rsidRPr="00A11F8D" w:rsidRDefault="00B52BB0" w:rsidP="003E074D">
            <w:pPr>
              <w:pStyle w:val="TableText"/>
            </w:pPr>
            <w:r w:rsidRPr="00A11F8D">
              <w:t>Spread (of a pest)</w:t>
            </w:r>
          </w:p>
        </w:tc>
        <w:tc>
          <w:tcPr>
            <w:tcW w:w="3491" w:type="pct"/>
          </w:tcPr>
          <w:p w:rsidR="00B52BB0" w:rsidRPr="00A11F8D" w:rsidRDefault="00B52BB0" w:rsidP="003E074D">
            <w:pPr>
              <w:pStyle w:val="TableText"/>
            </w:pPr>
            <w:r w:rsidRPr="00A11F8D">
              <w:t xml:space="preserve">Expansion of the geographical distribution of a pest within an area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SPS Agreement</w:t>
            </w:r>
          </w:p>
        </w:tc>
        <w:tc>
          <w:tcPr>
            <w:tcW w:w="3491" w:type="pct"/>
          </w:tcPr>
          <w:p w:rsidR="00B52BB0" w:rsidRPr="00A11F8D" w:rsidRDefault="00B52BB0" w:rsidP="003E074D">
            <w:pPr>
              <w:pStyle w:val="TableText"/>
            </w:pPr>
            <w:r w:rsidRPr="00A11F8D">
              <w:t>WTO Agreement on the Application of Sanitary and Phytosanitary Measures.</w:t>
            </w:r>
          </w:p>
        </w:tc>
      </w:tr>
      <w:tr w:rsidR="00B52BB0" w:rsidRPr="00A11F8D" w:rsidTr="003E074D">
        <w:tc>
          <w:tcPr>
            <w:tcW w:w="1509" w:type="pct"/>
          </w:tcPr>
          <w:p w:rsidR="00B52BB0" w:rsidRPr="00A11F8D" w:rsidRDefault="00B52BB0" w:rsidP="003E074D">
            <w:pPr>
              <w:pStyle w:val="TableText"/>
            </w:pPr>
            <w:r w:rsidRPr="00A11F8D">
              <w:t>Stakeholders</w:t>
            </w:r>
          </w:p>
        </w:tc>
        <w:tc>
          <w:tcPr>
            <w:tcW w:w="3491" w:type="pct"/>
          </w:tcPr>
          <w:p w:rsidR="00B52BB0" w:rsidRPr="00A11F8D" w:rsidRDefault="00B52BB0" w:rsidP="003E074D">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B52BB0" w:rsidRPr="00A11F8D" w:rsidTr="003E074D">
        <w:tc>
          <w:tcPr>
            <w:tcW w:w="1509" w:type="pct"/>
          </w:tcPr>
          <w:p w:rsidR="00B52BB0" w:rsidRPr="00A11F8D" w:rsidRDefault="00B52BB0" w:rsidP="003E074D">
            <w:pPr>
              <w:pStyle w:val="TableText"/>
            </w:pPr>
            <w:r w:rsidRPr="00A11F8D">
              <w:t>Surveillance</w:t>
            </w:r>
          </w:p>
        </w:tc>
        <w:tc>
          <w:tcPr>
            <w:tcW w:w="3491" w:type="pct"/>
          </w:tcPr>
          <w:p w:rsidR="00B52BB0" w:rsidRPr="00A11F8D" w:rsidRDefault="00B52BB0" w:rsidP="003E074D">
            <w:pPr>
              <w:pStyle w:val="TableText"/>
            </w:pPr>
            <w:r w:rsidRPr="00A11F8D">
              <w:t xml:space="preserve">An official process which collects and records data on pest occurrence or absence by surveying, monitoring or other procedures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Systems approach(es)</w:t>
            </w:r>
          </w:p>
        </w:tc>
        <w:tc>
          <w:tcPr>
            <w:tcW w:w="3491" w:type="pct"/>
          </w:tcPr>
          <w:p w:rsidR="00B52BB0" w:rsidRPr="00A11F8D" w:rsidRDefault="00B52BB0" w:rsidP="003E074D">
            <w:pPr>
              <w:pStyle w:val="TableText"/>
            </w:pPr>
            <w:r w:rsidRPr="00A11F8D">
              <w:t>The integration of different risk management measures, at least two of which act independently, and which cumulatively achieve the appropriate level of protection against regulated pests.</w:t>
            </w:r>
          </w:p>
        </w:tc>
      </w:tr>
      <w:tr w:rsidR="00B52BB0" w:rsidRPr="00A11F8D" w:rsidTr="003E074D">
        <w:tc>
          <w:tcPr>
            <w:tcW w:w="1509" w:type="pct"/>
          </w:tcPr>
          <w:p w:rsidR="00B52BB0" w:rsidRPr="00A11F8D" w:rsidRDefault="00B52BB0" w:rsidP="003E074D">
            <w:pPr>
              <w:pStyle w:val="TableText"/>
            </w:pPr>
            <w:r w:rsidRPr="00A11F8D">
              <w:t>Trash</w:t>
            </w:r>
          </w:p>
        </w:tc>
        <w:tc>
          <w:tcPr>
            <w:tcW w:w="3491" w:type="pct"/>
          </w:tcPr>
          <w:p w:rsidR="00B52BB0" w:rsidRDefault="00B52BB0" w:rsidP="003E074D">
            <w:pPr>
              <w:pStyle w:val="TableText"/>
            </w:pPr>
            <w:r w:rsidRPr="00A11F8D">
              <w:t xml:space="preserve">Soil, splinters, twigs, leaves and other plant material, other than fruit </w:t>
            </w:r>
            <w:r>
              <w:t>as defined in the scope of this risk analysis</w:t>
            </w:r>
            <w:r w:rsidRPr="00A11F8D">
              <w:t>.</w:t>
            </w:r>
          </w:p>
          <w:p w:rsidR="00B52BB0" w:rsidRPr="00A11F8D" w:rsidRDefault="00B52BB0" w:rsidP="003E074D">
            <w:pPr>
              <w:pStyle w:val="TableText"/>
            </w:pPr>
            <w:r>
              <w:t>For example, stem and leaf material, seeds, soil, animal matter/parts or other extraneous material</w:t>
            </w:r>
          </w:p>
        </w:tc>
      </w:tr>
      <w:tr w:rsidR="00B52BB0" w:rsidRPr="00A11F8D" w:rsidTr="003E074D">
        <w:tc>
          <w:tcPr>
            <w:tcW w:w="1509" w:type="pct"/>
          </w:tcPr>
          <w:p w:rsidR="00B52BB0" w:rsidRPr="00A11F8D" w:rsidRDefault="00B52BB0" w:rsidP="003E074D">
            <w:pPr>
              <w:pStyle w:val="TableText"/>
            </w:pPr>
            <w:r w:rsidRPr="00A11F8D">
              <w:t>Treatment</w:t>
            </w:r>
          </w:p>
        </w:tc>
        <w:tc>
          <w:tcPr>
            <w:tcW w:w="3491" w:type="pct"/>
          </w:tcPr>
          <w:p w:rsidR="00B52BB0" w:rsidRPr="00A11F8D" w:rsidRDefault="00B52BB0" w:rsidP="003E074D">
            <w:pPr>
              <w:pStyle w:val="TableText"/>
            </w:pPr>
            <w:r w:rsidRPr="00A11F8D">
              <w:t xml:space="preserve">Official procedure for the killing, inactivation or removal of pests, or for rendering pests infertile or for devitalisation </w:t>
            </w:r>
            <w:r>
              <w:rPr>
                <w:noProof/>
              </w:rPr>
              <w:t>(FAO 2019a)</w:t>
            </w:r>
            <w:r w:rsidRPr="00A11F8D">
              <w:t>.</w:t>
            </w:r>
          </w:p>
        </w:tc>
      </w:tr>
      <w:tr w:rsidR="00B52BB0" w:rsidRPr="00A11F8D" w:rsidTr="003E074D">
        <w:tc>
          <w:tcPr>
            <w:tcW w:w="1509" w:type="pct"/>
          </w:tcPr>
          <w:p w:rsidR="00B52BB0" w:rsidRPr="00A11F8D" w:rsidRDefault="00B52BB0" w:rsidP="003E074D">
            <w:pPr>
              <w:pStyle w:val="TableText"/>
            </w:pPr>
            <w:r w:rsidRPr="00A11F8D">
              <w:t>Unrestricted risk</w:t>
            </w:r>
          </w:p>
        </w:tc>
        <w:tc>
          <w:tcPr>
            <w:tcW w:w="3491" w:type="pct"/>
          </w:tcPr>
          <w:p w:rsidR="00B52BB0" w:rsidRPr="00A11F8D" w:rsidRDefault="00B52BB0" w:rsidP="003E074D">
            <w:pPr>
              <w:pStyle w:val="TableText"/>
            </w:pPr>
            <w:r w:rsidRPr="00A11F8D">
              <w:t xml:space="preserve">Unrestricted risk estimates apply in the absence of risk </w:t>
            </w:r>
            <w:r>
              <w:t>management</w:t>
            </w:r>
            <w:r w:rsidRPr="00A11F8D">
              <w:t xml:space="preserve"> measures.</w:t>
            </w:r>
          </w:p>
        </w:tc>
      </w:tr>
      <w:tr w:rsidR="00B52BB0" w:rsidRPr="00A11F8D" w:rsidTr="003E074D">
        <w:tc>
          <w:tcPr>
            <w:tcW w:w="1509" w:type="pct"/>
          </w:tcPr>
          <w:p w:rsidR="00B52BB0" w:rsidRPr="00A11F8D" w:rsidRDefault="00B52BB0" w:rsidP="003E074D">
            <w:pPr>
              <w:pStyle w:val="TableText"/>
            </w:pPr>
            <w:r w:rsidRPr="00A11F8D">
              <w:t>Vector</w:t>
            </w:r>
          </w:p>
        </w:tc>
        <w:tc>
          <w:tcPr>
            <w:tcW w:w="3491" w:type="pct"/>
          </w:tcPr>
          <w:p w:rsidR="00B52BB0" w:rsidRPr="00A11F8D" w:rsidRDefault="00B52BB0" w:rsidP="003E074D">
            <w:pPr>
              <w:pStyle w:val="TableText"/>
            </w:pPr>
            <w:r w:rsidRPr="00A11F8D">
              <w:t>An organism that does not cause disease itself, but which causes infection by conveying pathogens from one host to another.</w:t>
            </w:r>
          </w:p>
        </w:tc>
      </w:tr>
      <w:tr w:rsidR="00B52BB0" w:rsidRPr="00A11F8D" w:rsidTr="003E074D">
        <w:tc>
          <w:tcPr>
            <w:tcW w:w="1509" w:type="pct"/>
          </w:tcPr>
          <w:p w:rsidR="00B52BB0" w:rsidRPr="00A11F8D" w:rsidRDefault="00B52BB0" w:rsidP="003E074D">
            <w:pPr>
              <w:pStyle w:val="TableText"/>
            </w:pPr>
            <w:r w:rsidRPr="00A11F8D">
              <w:t>Viable</w:t>
            </w:r>
          </w:p>
        </w:tc>
        <w:tc>
          <w:tcPr>
            <w:tcW w:w="3491" w:type="pct"/>
          </w:tcPr>
          <w:p w:rsidR="00B52BB0" w:rsidRPr="00A11F8D" w:rsidRDefault="00B52BB0" w:rsidP="003E074D">
            <w:pPr>
              <w:pStyle w:val="TableText"/>
            </w:pPr>
            <w:r w:rsidRPr="00A11F8D">
              <w:t>Alive, able to germinate or capable of growth.</w:t>
            </w:r>
          </w:p>
        </w:tc>
      </w:tr>
      <w:tr w:rsidR="00B52BB0" w:rsidRPr="00A11F8D" w:rsidTr="003E074D">
        <w:tc>
          <w:tcPr>
            <w:tcW w:w="1509" w:type="pct"/>
          </w:tcPr>
          <w:p w:rsidR="00B52BB0" w:rsidRPr="00A11F8D" w:rsidRDefault="00B52BB0" w:rsidP="003E074D">
            <w:pPr>
              <w:pStyle w:val="TableText"/>
            </w:pPr>
            <w:r>
              <w:t>Viet GAP</w:t>
            </w:r>
          </w:p>
        </w:tc>
        <w:tc>
          <w:tcPr>
            <w:tcW w:w="3491" w:type="pct"/>
          </w:tcPr>
          <w:p w:rsidR="00B52BB0" w:rsidRPr="00A11F8D" w:rsidRDefault="00B52BB0" w:rsidP="003E074D">
            <w:pPr>
              <w:pStyle w:val="TableText"/>
            </w:pPr>
            <w:r>
              <w:t xml:space="preserve">Vietnam Good Agriculture Practice. A scheme under which Vietnamese farmers can be accredited by the government in clean and safe agricultural production procedures </w:t>
            </w:r>
          </w:p>
        </w:tc>
      </w:tr>
    </w:tbl>
    <w:p w:rsidR="00B52BB0" w:rsidRPr="00A11F8D" w:rsidRDefault="00B52BB0" w:rsidP="003E074D"/>
    <w:p w:rsidR="00B52BB0" w:rsidRPr="00A11F8D" w:rsidRDefault="00B52BB0" w:rsidP="003E074D">
      <w:pPr>
        <w:sectPr w:rsidR="00B52BB0" w:rsidRPr="00A11F8D">
          <w:headerReference w:type="default" r:id="rId57"/>
          <w:pgSz w:w="11906" w:h="16838"/>
          <w:pgMar w:top="1418" w:right="1418" w:bottom="1418" w:left="1418" w:header="567" w:footer="283" w:gutter="0"/>
          <w:cols w:space="708"/>
          <w:docGrid w:linePitch="360"/>
        </w:sectPr>
      </w:pPr>
    </w:p>
    <w:p w:rsidR="00B52BB0" w:rsidRDefault="00B52BB0" w:rsidP="003E074D">
      <w:pPr>
        <w:pStyle w:val="Heading2"/>
        <w:numPr>
          <w:ilvl w:val="0"/>
          <w:numId w:val="0"/>
        </w:numPr>
      </w:pPr>
      <w:bookmarkStart w:id="116" w:name="_Toc7607697"/>
      <w:r>
        <w:lastRenderedPageBreak/>
        <w:t>References</w:t>
      </w:r>
      <w:bookmarkEnd w:id="116"/>
    </w:p>
    <w:p w:rsidR="00B52BB0" w:rsidRPr="00686FDA" w:rsidRDefault="00B52BB0" w:rsidP="003E074D">
      <w:pPr>
        <w:pStyle w:val="EndNoteBibliography"/>
        <w:spacing w:after="0"/>
      </w:pPr>
      <w:bookmarkStart w:id="117" w:name="_ENREF_1"/>
      <w:r w:rsidRPr="00686FDA">
        <w:t xml:space="preserve">Ann, PJ, Tsai, JN &amp; Yang, HR 2012, ‘First report of leaf and stem downy blight of longan seedlings caused by </w:t>
      </w:r>
      <w:r w:rsidRPr="00686FDA">
        <w:rPr>
          <w:i/>
        </w:rPr>
        <w:t>Peronophythora litchii</w:t>
      </w:r>
      <w:r w:rsidRPr="00686FDA">
        <w:t xml:space="preserve"> in Taiwan’, </w:t>
      </w:r>
      <w:r w:rsidRPr="00686FDA">
        <w:rPr>
          <w:i/>
        </w:rPr>
        <w:t>Plant Disease</w:t>
      </w:r>
      <w:r w:rsidRPr="00686FDA">
        <w:t>, vol. 96, no. 8, p. 1224.</w:t>
      </w:r>
      <w:bookmarkEnd w:id="117"/>
    </w:p>
    <w:p w:rsidR="00B52BB0" w:rsidRPr="00686FDA" w:rsidRDefault="00B52BB0" w:rsidP="003E074D">
      <w:pPr>
        <w:pStyle w:val="EndNoteBibliography"/>
        <w:spacing w:after="0"/>
      </w:pPr>
      <w:bookmarkStart w:id="118" w:name="_ENREF_2"/>
      <w:r w:rsidRPr="00686FDA">
        <w:t xml:space="preserve">Anupunt, P &amp; Sukhvibul, N 2005, ‘Lychee and longan production in Thailand’, </w:t>
      </w:r>
      <w:r w:rsidRPr="00686FDA">
        <w:rPr>
          <w:i/>
        </w:rPr>
        <w:t>Proceedings of the 2nd International Symposium on Lychee, Longan, Rambutan &amp; Other Sapindaceae Plants, Chiang Mai, Thailand, 25-28 October 2003</w:t>
      </w:r>
      <w:r w:rsidRPr="00686FDA">
        <w:t>, International Society for Horticultural Science, pp. 53-60.</w:t>
      </w:r>
      <w:bookmarkEnd w:id="118"/>
    </w:p>
    <w:p w:rsidR="00B52BB0" w:rsidRPr="00686FDA" w:rsidRDefault="00B52BB0" w:rsidP="003E074D">
      <w:pPr>
        <w:pStyle w:val="EndNoteBibliography"/>
        <w:spacing w:after="0"/>
      </w:pPr>
      <w:bookmarkStart w:id="119" w:name="_ENREF_3"/>
      <w:r w:rsidRPr="00686FDA">
        <w:t xml:space="preserve">AQIS 1999, </w:t>
      </w:r>
      <w:r w:rsidRPr="00686FDA">
        <w:rPr>
          <w:i/>
        </w:rPr>
        <w:t>Final import risk analysis on the proposal to change the treatment for mango (Mangifera indica L.) fruit from the Republic of the Philippines</w:t>
      </w:r>
      <w:r w:rsidRPr="00686FDA">
        <w:t xml:space="preserve">, Australian Quarantine and Inspection Service, Canberra, available at </w:t>
      </w:r>
      <w:hyperlink r:id="rId58" w:history="1">
        <w:r w:rsidR="00D46089" w:rsidRPr="006975B1">
          <w:rPr>
            <w:rStyle w:val="Hyperlink"/>
          </w:rPr>
          <w:t>http://www.agriculture.gov.au/SiteCollectionDocuments/ba/plant/jun10-dec10/Davao_del_Sur_mango_policy_ext.pdf</w:t>
        </w:r>
      </w:hyperlink>
      <w:r w:rsidRPr="00686FDA">
        <w:t xml:space="preserve"> (pdf 816 kb).</w:t>
      </w:r>
      <w:bookmarkEnd w:id="119"/>
    </w:p>
    <w:p w:rsidR="00B52BB0" w:rsidRPr="00686FDA" w:rsidRDefault="00B52BB0" w:rsidP="003E074D">
      <w:pPr>
        <w:pStyle w:val="EndNoteBibliography"/>
        <w:spacing w:after="0"/>
      </w:pPr>
      <w:bookmarkStart w:id="120" w:name="_ENREF_4"/>
      <w:r w:rsidRPr="00686FDA">
        <w:t xml:space="preserve">Australian Government Department of Agriculture and Water Resources 2017, </w:t>
      </w:r>
      <w:r w:rsidRPr="00686FDA">
        <w:rPr>
          <w:i/>
        </w:rPr>
        <w:t>Final group pest risk analysis for thrips and orthotospoviruses on fresh fruit, vegetable, cut-flower and foliage imports</w:t>
      </w:r>
      <w:r w:rsidRPr="00686FDA">
        <w:t xml:space="preserve">, Department of Agriculture and Water Resources, Canberra, available at </w:t>
      </w:r>
      <w:hyperlink r:id="rId59" w:history="1">
        <w:r w:rsidR="00D46089" w:rsidRPr="006975B1">
          <w:rPr>
            <w:rStyle w:val="Hyperlink"/>
          </w:rPr>
          <w:t>http://www.agriculture.gov.au/biosecurity/risk-analysis/group-pest-risk-analyses/group-pra-thrips-orthotospoviruses/final-report</w:t>
        </w:r>
      </w:hyperlink>
      <w:r w:rsidRPr="00686FDA">
        <w:t xml:space="preserve"> (pdf 3.95 mb).</w:t>
      </w:r>
      <w:bookmarkEnd w:id="120"/>
    </w:p>
    <w:p w:rsidR="00B52BB0" w:rsidRPr="00686FDA" w:rsidRDefault="00B52BB0" w:rsidP="003E074D">
      <w:pPr>
        <w:pStyle w:val="EndNoteBibliography"/>
        <w:spacing w:after="0"/>
      </w:pPr>
      <w:bookmarkStart w:id="121" w:name="_ENREF_5"/>
      <w:r w:rsidRPr="00686FDA">
        <w:t xml:space="preserve">Biosecurity Australia 2006, </w:t>
      </w:r>
      <w:r w:rsidRPr="00686FDA">
        <w:rPr>
          <w:i/>
        </w:rPr>
        <w:t>Policy for the importation of fresh mangoes (Mangifera indica L.) from Taiwan</w:t>
      </w:r>
      <w:r w:rsidRPr="00686FDA">
        <w:t xml:space="preserve">, Biosecurity Australia, Department of Agriculture, Fisheries and Forestry, Canberra, available at </w:t>
      </w:r>
      <w:hyperlink r:id="rId60" w:history="1">
        <w:r w:rsidR="00D46089" w:rsidRPr="006975B1">
          <w:rPr>
            <w:rStyle w:val="Hyperlink"/>
          </w:rPr>
          <w:t>http://www.agriculture.gov.au/biosecurity/risk-analysis/plant/mangoes-taiwan</w:t>
        </w:r>
      </w:hyperlink>
      <w:r w:rsidRPr="00686FDA">
        <w:t xml:space="preserve"> (pdf 846 kb).</w:t>
      </w:r>
      <w:bookmarkEnd w:id="121"/>
    </w:p>
    <w:p w:rsidR="00B52BB0" w:rsidRPr="00686FDA" w:rsidRDefault="00B52BB0" w:rsidP="003E074D">
      <w:pPr>
        <w:pStyle w:val="EndNoteBibliography"/>
        <w:spacing w:after="0"/>
      </w:pPr>
      <w:bookmarkStart w:id="122" w:name="_ENREF_6"/>
      <w:r w:rsidRPr="00686FDA">
        <w:t xml:space="preserve">-- -- 2011, </w:t>
      </w:r>
      <w:r w:rsidRPr="00686FDA">
        <w:rPr>
          <w:i/>
        </w:rPr>
        <w:t>Final non-regulated analysis: extension of existing policy for fresh mango fruit from Pakistan</w:t>
      </w:r>
      <w:r w:rsidRPr="00686FDA">
        <w:t xml:space="preserve">, Biosecurity Australia, Canberra, available at </w:t>
      </w:r>
      <w:hyperlink r:id="rId61" w:history="1">
        <w:r w:rsidR="00D46089" w:rsidRPr="006975B1">
          <w:rPr>
            <w:rStyle w:val="Hyperlink"/>
          </w:rPr>
          <w:t>http://www.agriculture.gov.au/biosecurity/risk-analysis/memos/2011/baa2011-finalira-mangoes-pakistan</w:t>
        </w:r>
      </w:hyperlink>
      <w:r w:rsidRPr="00686FDA">
        <w:t xml:space="preserve"> (pdf 2.7 mb).</w:t>
      </w:r>
      <w:bookmarkEnd w:id="122"/>
    </w:p>
    <w:p w:rsidR="00B52BB0" w:rsidRPr="00686FDA" w:rsidRDefault="00B52BB0" w:rsidP="003E074D">
      <w:pPr>
        <w:pStyle w:val="EndNoteBibliography"/>
        <w:spacing w:after="0"/>
      </w:pPr>
      <w:bookmarkStart w:id="123" w:name="_ENREF_7"/>
      <w:r w:rsidRPr="00686FDA">
        <w:t xml:space="preserve">Booth, C &amp; Waterston, JM 1964, </w:t>
      </w:r>
      <w:r w:rsidRPr="00686FDA">
        <w:rPr>
          <w:i/>
        </w:rPr>
        <w:t>Calonectria rigidiuscula</w:t>
      </w:r>
      <w:r w:rsidRPr="00686FDA">
        <w:t>, Descriptions of pathogenic fungi and bacteria, No. 21, CAB International, Wallingford, UK.</w:t>
      </w:r>
      <w:bookmarkEnd w:id="123"/>
    </w:p>
    <w:p w:rsidR="00B52BB0" w:rsidRPr="00686FDA" w:rsidRDefault="00B52BB0" w:rsidP="003E074D">
      <w:pPr>
        <w:pStyle w:val="EndNoteBibliography"/>
        <w:spacing w:after="0"/>
      </w:pPr>
      <w:bookmarkStart w:id="124" w:name="_ENREF_8"/>
      <w:r w:rsidRPr="00686FDA">
        <w:t xml:space="preserve">Borah, SR &amp; Dutta, SK 1996, ‘Comparative biology of </w:t>
      </w:r>
      <w:r w:rsidRPr="00686FDA">
        <w:rPr>
          <w:i/>
        </w:rPr>
        <w:t>Dacus tau</w:t>
      </w:r>
      <w:r w:rsidRPr="00686FDA">
        <w:t xml:space="preserve"> (Walker) on cucurbitaceous vegetables’, </w:t>
      </w:r>
      <w:r w:rsidRPr="00686FDA">
        <w:rPr>
          <w:i/>
        </w:rPr>
        <w:t>Journal of the Agricultural Science Society of North East India</w:t>
      </w:r>
      <w:r w:rsidRPr="00686FDA">
        <w:t>, vol. 9, no. 2, pp. 159-65.</w:t>
      </w:r>
      <w:bookmarkEnd w:id="124"/>
    </w:p>
    <w:p w:rsidR="00B52BB0" w:rsidRPr="00686FDA" w:rsidRDefault="00B52BB0" w:rsidP="003E074D">
      <w:pPr>
        <w:pStyle w:val="EndNoteBibliography"/>
        <w:spacing w:after="0"/>
      </w:pPr>
      <w:bookmarkStart w:id="125" w:name="_ENREF_9"/>
      <w:r w:rsidRPr="00686FDA">
        <w:t xml:space="preserve">Bourgoin, TH 2019, ‘FLOW (Fulgoromorpha Lists on The Web): a world knowledge base dedicated to Fulgoromorpha. Version 8, updated 2019-01-18’, available at </w:t>
      </w:r>
      <w:hyperlink r:id="rId62" w:history="1">
        <w:r w:rsidR="00D46089" w:rsidRPr="006975B1">
          <w:rPr>
            <w:rStyle w:val="Hyperlink"/>
          </w:rPr>
          <w:t>https://www.hemiptera-databases.org/flow/</w:t>
        </w:r>
      </w:hyperlink>
      <w:r w:rsidRPr="00686FDA">
        <w:t>, accessed 2019.</w:t>
      </w:r>
      <w:bookmarkEnd w:id="125"/>
    </w:p>
    <w:p w:rsidR="00B52BB0" w:rsidRPr="00686FDA" w:rsidRDefault="00B52BB0" w:rsidP="003E074D">
      <w:pPr>
        <w:pStyle w:val="EndNoteBibliography"/>
        <w:spacing w:after="0"/>
      </w:pPr>
      <w:bookmarkStart w:id="126" w:name="_ENREF_10"/>
      <w:r w:rsidRPr="00686FDA">
        <w:t xml:space="preserve">Bourret, TB, Choudhury, RA, Mehl, HK, Blomquist, CL, McRoberts, N &amp; Rizzo, DM 2018, ‘Multiple origins of downy mildews and mitonuclear discordance within the paraphyletic genus </w:t>
      </w:r>
      <w:r w:rsidRPr="00686FDA">
        <w:rPr>
          <w:i/>
        </w:rPr>
        <w:t>Phytophthora</w:t>
      </w:r>
      <w:r w:rsidRPr="00686FDA">
        <w:t xml:space="preserve">’ </w:t>
      </w:r>
      <w:r w:rsidRPr="00686FDA">
        <w:rPr>
          <w:i/>
        </w:rPr>
        <w:t>PloS ONE</w:t>
      </w:r>
      <w:r w:rsidRPr="00686FDA">
        <w:t xml:space="preserve">, vol. 13, no. 3, available at </w:t>
      </w:r>
      <w:hyperlink r:id="rId63" w:history="1">
        <w:r w:rsidR="00D46089" w:rsidRPr="006975B1">
          <w:rPr>
            <w:rStyle w:val="Hyperlink"/>
          </w:rPr>
          <w:t>https://doi.org/10.1371/journal.pone.0192502</w:t>
        </w:r>
      </w:hyperlink>
      <w:r w:rsidRPr="00686FDA">
        <w:t>.</w:t>
      </w:r>
      <w:bookmarkEnd w:id="126"/>
    </w:p>
    <w:p w:rsidR="00B52BB0" w:rsidRPr="00686FDA" w:rsidRDefault="00B52BB0" w:rsidP="003E074D">
      <w:pPr>
        <w:pStyle w:val="EndNoteBibliography"/>
        <w:spacing w:after="0"/>
      </w:pPr>
      <w:bookmarkStart w:id="127" w:name="_ENREF_11"/>
      <w:r w:rsidRPr="00686FDA">
        <w:t>Brahman, SK, Awasthi, AK &amp; Kerketta, A 2018, ‘Sucking insect-pests of soybean (</w:t>
      </w:r>
      <w:r w:rsidRPr="00686FDA">
        <w:rPr>
          <w:i/>
        </w:rPr>
        <w:t>Glycine max</w:t>
      </w:r>
      <w:r w:rsidRPr="00686FDA">
        <w:t xml:space="preserve"> L.), their nature of damage and succession with the crop stages’, </w:t>
      </w:r>
      <w:r w:rsidRPr="00686FDA">
        <w:rPr>
          <w:i/>
        </w:rPr>
        <w:t>Journal of Pharmacognosy and Phytochemistry</w:t>
      </w:r>
      <w:r w:rsidRPr="00686FDA">
        <w:t>, vol. 7, no. 1, pp. 1476-8.</w:t>
      </w:r>
      <w:bookmarkEnd w:id="127"/>
    </w:p>
    <w:p w:rsidR="00B52BB0" w:rsidRPr="00686FDA" w:rsidRDefault="00B52BB0" w:rsidP="003E074D">
      <w:pPr>
        <w:pStyle w:val="EndNoteBibliography"/>
        <w:spacing w:after="0"/>
      </w:pPr>
      <w:bookmarkStart w:id="128" w:name="_ENREF_12"/>
      <w:r w:rsidRPr="00686FDA">
        <w:t xml:space="preserve">Burgess, LW &amp; Burgess, JS 2009, ‘Capacity building in plant pathology: soilborne diseases in Vietnam, 1993-2009’, </w:t>
      </w:r>
      <w:r w:rsidRPr="00686FDA">
        <w:rPr>
          <w:i/>
        </w:rPr>
        <w:t>Australasian Plant Pathology</w:t>
      </w:r>
      <w:r w:rsidRPr="00686FDA">
        <w:t>, vol. 38, pp. 325-33.</w:t>
      </w:r>
      <w:bookmarkEnd w:id="128"/>
    </w:p>
    <w:p w:rsidR="00B52BB0" w:rsidRPr="00686FDA" w:rsidRDefault="00B52BB0" w:rsidP="003E074D">
      <w:pPr>
        <w:pStyle w:val="EndNoteBibliography"/>
        <w:spacing w:after="0"/>
      </w:pPr>
      <w:bookmarkStart w:id="129" w:name="_ENREF_13"/>
      <w:r w:rsidRPr="00686FDA">
        <w:t xml:space="preserve">Burgess, TI, White, D, McDougall, KM, Garnas, J, Dunstan, WA, Català, S, Carnagie, AJ, Worboys, S, Cahill, D, Vettraino, AM, Stukely, MJC, Liew, ECY, Paap, T, Bose, T, Migliorini, D, Williams, B, Brigg, F, Crane, C, Rudman, T &amp; Hardy, GESJ 2017, ‘Distribution and diversity of </w:t>
      </w:r>
      <w:r w:rsidRPr="00686FDA">
        <w:rPr>
          <w:i/>
        </w:rPr>
        <w:t>Phytophthora</w:t>
      </w:r>
      <w:r w:rsidRPr="00686FDA">
        <w:t xml:space="preserve"> across Australia’, </w:t>
      </w:r>
      <w:r w:rsidRPr="00686FDA">
        <w:rPr>
          <w:i/>
        </w:rPr>
        <w:t>Conservation Biology</w:t>
      </w:r>
      <w:r w:rsidRPr="00686FDA">
        <w:t>, vol. 23, no. 2, pp. 150-62.</w:t>
      </w:r>
      <w:bookmarkEnd w:id="129"/>
    </w:p>
    <w:p w:rsidR="00B52BB0" w:rsidRPr="00686FDA" w:rsidRDefault="00B52BB0" w:rsidP="003E074D">
      <w:pPr>
        <w:pStyle w:val="EndNoteBibliography"/>
        <w:spacing w:after="0"/>
      </w:pPr>
      <w:bookmarkStart w:id="130" w:name="_ENREF_14"/>
      <w:r w:rsidRPr="00686FDA">
        <w:t xml:space="preserve">CABI 2019, ‘Crop Protection Compendium’, CAB International, Wallingford, UK, available at </w:t>
      </w:r>
      <w:hyperlink r:id="rId64" w:history="1">
        <w:r w:rsidR="00D46089" w:rsidRPr="006975B1">
          <w:rPr>
            <w:rStyle w:val="Hyperlink"/>
          </w:rPr>
          <w:t>http://www.cabi.org/cpc/</w:t>
        </w:r>
      </w:hyperlink>
      <w:r w:rsidRPr="00686FDA">
        <w:t>, accessed 2019.</w:t>
      </w:r>
      <w:bookmarkEnd w:id="130"/>
    </w:p>
    <w:p w:rsidR="00B52BB0" w:rsidRPr="00686FDA" w:rsidRDefault="00B52BB0" w:rsidP="003E074D">
      <w:pPr>
        <w:pStyle w:val="EndNoteBibliography"/>
        <w:spacing w:after="0"/>
      </w:pPr>
      <w:bookmarkStart w:id="131" w:name="_ENREF_15"/>
      <w:r w:rsidRPr="00686FDA">
        <w:lastRenderedPageBreak/>
        <w:t xml:space="preserve">CABI EPPO 2010, </w:t>
      </w:r>
      <w:r w:rsidRPr="00686FDA">
        <w:rPr>
          <w:i/>
        </w:rPr>
        <w:t>Distribution maps of plant pests, map no. 561: Lasiodiplodia theobromae</w:t>
      </w:r>
      <w:r w:rsidRPr="00686FDA">
        <w:t xml:space="preserve">, CAB International, CABI Publishing, Wallingford, available at </w:t>
      </w:r>
      <w:hyperlink r:id="rId65" w:history="1">
        <w:r w:rsidR="00D46089" w:rsidRPr="006975B1">
          <w:rPr>
            <w:rStyle w:val="Hyperlink"/>
          </w:rPr>
          <w:t>http://www.cabi.org/dmpd/FullTextPDF/2010/20103281413.pdf</w:t>
        </w:r>
      </w:hyperlink>
      <w:r w:rsidRPr="00686FDA">
        <w:t>.</w:t>
      </w:r>
      <w:bookmarkEnd w:id="131"/>
    </w:p>
    <w:p w:rsidR="00B52BB0" w:rsidRPr="00686FDA" w:rsidRDefault="00B52BB0" w:rsidP="003E074D">
      <w:pPr>
        <w:pStyle w:val="EndNoteBibliography"/>
        <w:spacing w:after="0"/>
      </w:pPr>
      <w:bookmarkStart w:id="132" w:name="_ENREF_16"/>
      <w:r w:rsidRPr="00686FDA">
        <w:t xml:space="preserve">Chen, J, Chen, J &amp; Xu, X 2001, ‘Advances in research of longan witches' broom disease’, </w:t>
      </w:r>
      <w:r w:rsidRPr="00686FDA">
        <w:rPr>
          <w:i/>
        </w:rPr>
        <w:t>Acta Horticulturae (ISHS)</w:t>
      </w:r>
      <w:r w:rsidRPr="00686FDA">
        <w:t>, vol. 558, pp. 413-6.</w:t>
      </w:r>
      <w:bookmarkEnd w:id="132"/>
    </w:p>
    <w:p w:rsidR="00B52BB0" w:rsidRPr="00686FDA" w:rsidRDefault="00B52BB0" w:rsidP="003E074D">
      <w:pPr>
        <w:pStyle w:val="EndNoteBibliography"/>
        <w:spacing w:after="0"/>
      </w:pPr>
      <w:bookmarkStart w:id="133" w:name="_ENREF_17"/>
      <w:r w:rsidRPr="00686FDA">
        <w:t xml:space="preserve">Chen, J, Li, K, Chen, J &amp; Fan, G 1996, ‘A preliminary study on litchi witches' broom and its relation to longan witches' broom’ (in Chinese), </w:t>
      </w:r>
      <w:r w:rsidRPr="00686FDA">
        <w:rPr>
          <w:i/>
        </w:rPr>
        <w:t>Acta Phytopathologica Sinica (China)</w:t>
      </w:r>
      <w:r w:rsidRPr="00686FDA">
        <w:t>, vol. 26, no. 4, pp. 331-5.</w:t>
      </w:r>
      <w:bookmarkEnd w:id="133"/>
    </w:p>
    <w:p w:rsidR="00B52BB0" w:rsidRPr="00686FDA" w:rsidRDefault="00B52BB0" w:rsidP="003E074D">
      <w:pPr>
        <w:pStyle w:val="EndNoteBibliography"/>
        <w:spacing w:after="0"/>
      </w:pPr>
      <w:bookmarkStart w:id="134" w:name="_ENREF_18"/>
      <w:r w:rsidRPr="00686FDA">
        <w:t xml:space="preserve">CHNZX-Farming 2008, </w:t>
      </w:r>
      <w:r w:rsidRPr="00686FDA">
        <w:rPr>
          <w:i/>
        </w:rPr>
        <w:t>Cryptotympana atrata (Fabricius)</w:t>
      </w:r>
      <w:r w:rsidRPr="00686FDA">
        <w:t xml:space="preserve">, available at </w:t>
      </w:r>
      <w:hyperlink r:id="rId66" w:history="1">
        <w:r w:rsidR="00D46089" w:rsidRPr="006975B1">
          <w:rPr>
            <w:rStyle w:val="Hyperlink"/>
          </w:rPr>
          <w:t>http://www.chnzx.com/book/Farming/index3/guoshu/pinguo/chonghai/36.htm</w:t>
        </w:r>
      </w:hyperlink>
      <w:r w:rsidRPr="00686FDA">
        <w:t>.</w:t>
      </w:r>
      <w:bookmarkEnd w:id="134"/>
    </w:p>
    <w:p w:rsidR="00B52BB0" w:rsidRPr="00686FDA" w:rsidRDefault="00B52BB0" w:rsidP="003E074D">
      <w:pPr>
        <w:pStyle w:val="EndNoteBibliography"/>
        <w:spacing w:after="0"/>
      </w:pPr>
      <w:bookmarkStart w:id="135" w:name="_ENREF_19"/>
      <w:r w:rsidRPr="00686FDA">
        <w:t xml:space="preserve">Constant, J &amp; Pham, HT 2017, ‘Review of the clavatus group of the lanternfly genus </w:t>
      </w:r>
      <w:r w:rsidRPr="00686FDA">
        <w:rPr>
          <w:i/>
        </w:rPr>
        <w:t xml:space="preserve">Pyrops </w:t>
      </w:r>
      <w:r w:rsidRPr="00686FDA">
        <w:t xml:space="preserve">(Hemiptera: Fulgoromorpha: Fulgoridae)’, </w:t>
      </w:r>
      <w:r w:rsidRPr="00686FDA">
        <w:rPr>
          <w:i/>
        </w:rPr>
        <w:t>European Journal of Taxonomy</w:t>
      </w:r>
      <w:r w:rsidRPr="00686FDA">
        <w:t>, vol. 305, pp. 1-26.</w:t>
      </w:r>
      <w:bookmarkEnd w:id="135"/>
    </w:p>
    <w:p w:rsidR="00B52BB0" w:rsidRPr="00686FDA" w:rsidRDefault="00B52BB0" w:rsidP="003E074D">
      <w:pPr>
        <w:pStyle w:val="EndNoteBibliography"/>
        <w:spacing w:after="0"/>
      </w:pPr>
      <w:bookmarkStart w:id="136" w:name="_ENREF_20"/>
      <w:r w:rsidRPr="00686FDA">
        <w:t xml:space="preserve">Cooke, T, Persley, D &amp; House, S 2009, </w:t>
      </w:r>
      <w:r w:rsidRPr="00686FDA">
        <w:rPr>
          <w:i/>
        </w:rPr>
        <w:t>Diseases of fruit crops in Australia</w:t>
      </w:r>
      <w:r w:rsidRPr="00686FDA">
        <w:t>, Commonwealth Scientific and Industrial Research Organisation, Collingwood.</w:t>
      </w:r>
      <w:bookmarkEnd w:id="136"/>
    </w:p>
    <w:p w:rsidR="00B52BB0" w:rsidRPr="00686FDA" w:rsidRDefault="00B52BB0" w:rsidP="003E074D">
      <w:pPr>
        <w:pStyle w:val="EndNoteBibliography"/>
        <w:spacing w:after="0"/>
      </w:pPr>
      <w:bookmarkStart w:id="137" w:name="_ENREF_21"/>
      <w:r w:rsidRPr="00686FDA">
        <w:t xml:space="preserve">DAFF 2004, </w:t>
      </w:r>
      <w:r w:rsidRPr="00686FDA">
        <w:rPr>
          <w:i/>
        </w:rPr>
        <w:t>Longan and lychee fruit from the People's Republic of China and Thailand: Final import risk analysis report - Part A and Part B</w:t>
      </w:r>
      <w:r w:rsidRPr="00686FDA">
        <w:t xml:space="preserve">, Department of Agriculture, Fisheries and Forestry, Canberra, available at </w:t>
      </w:r>
      <w:hyperlink r:id="rId67" w:history="1">
        <w:r w:rsidR="00D46089" w:rsidRPr="006975B1">
          <w:rPr>
            <w:rStyle w:val="Hyperlink"/>
          </w:rPr>
          <w:t>http://www.agriculture.gov.au/SiteCollectionDocuments/ba/plant/ungroupeddocs/ll_final_a.pdf</w:t>
        </w:r>
      </w:hyperlink>
      <w:r w:rsidRPr="00686FDA">
        <w:t xml:space="preserve"> (pdf 298 kb).</w:t>
      </w:r>
      <w:bookmarkEnd w:id="137"/>
    </w:p>
    <w:p w:rsidR="00B52BB0" w:rsidRPr="00686FDA" w:rsidRDefault="00B52BB0" w:rsidP="003E074D">
      <w:pPr>
        <w:pStyle w:val="EndNoteBibliography"/>
        <w:spacing w:after="0"/>
      </w:pPr>
      <w:bookmarkStart w:id="138" w:name="_ENREF_22"/>
      <w:r w:rsidRPr="00686FDA">
        <w:t xml:space="preserve">-- -- 2012, </w:t>
      </w:r>
      <w:r w:rsidRPr="00686FDA">
        <w:rPr>
          <w:i/>
        </w:rPr>
        <w:t>Final report for the non-regulated analysis of existing policy for fresh mangosteen fruit from Indonesia</w:t>
      </w:r>
      <w:r w:rsidRPr="00686FDA">
        <w:t xml:space="preserve">, Department of Agriculture, Fisheries and Forestry, Canberra, available at </w:t>
      </w:r>
      <w:hyperlink r:id="rId68" w:history="1">
        <w:r w:rsidR="00D46089" w:rsidRPr="006975B1">
          <w:rPr>
            <w:rStyle w:val="Hyperlink"/>
          </w:rPr>
          <w:t>http://www.agriculture.gov.au/biosecurity/risk-analysis/plant/mangosteens-indonesia/ba2012-12-final-mangosteens</w:t>
        </w:r>
      </w:hyperlink>
      <w:r w:rsidRPr="00686FDA">
        <w:t xml:space="preserve"> (pdf 32 kb).</w:t>
      </w:r>
      <w:bookmarkEnd w:id="138"/>
    </w:p>
    <w:p w:rsidR="00B52BB0" w:rsidRPr="00686FDA" w:rsidRDefault="00B52BB0" w:rsidP="003E074D">
      <w:pPr>
        <w:pStyle w:val="EndNoteBibliography"/>
        <w:spacing w:after="0"/>
      </w:pPr>
      <w:bookmarkStart w:id="139" w:name="_ENREF_23"/>
      <w:r w:rsidRPr="00686FDA">
        <w:t xml:space="preserve">-- -- 2013, </w:t>
      </w:r>
      <w:r w:rsidRPr="00686FDA">
        <w:rPr>
          <w:i/>
        </w:rPr>
        <w:t>Final report for the non-regulated analysis of existing policy for fresh lychee fruit from Taiwan and Vietnam</w:t>
      </w:r>
      <w:r w:rsidRPr="00686FDA">
        <w:t xml:space="preserve">, Department of Agriculture, Fisheries and Forestry, Canberra, available at </w:t>
      </w:r>
      <w:hyperlink r:id="rId69" w:history="1">
        <w:r w:rsidR="00D46089" w:rsidRPr="006975B1">
          <w:rPr>
            <w:rStyle w:val="Hyperlink"/>
          </w:rPr>
          <w:t>http://www.agriculture.gov.au/biosecurity/risk-analysis/plant/lychees-taiwan-vietnam/ba2013-07-final-lychees-taiwan-vietnam</w:t>
        </w:r>
      </w:hyperlink>
      <w:r w:rsidRPr="00686FDA">
        <w:t xml:space="preserve"> (pdf 36 kb).</w:t>
      </w:r>
      <w:bookmarkEnd w:id="139"/>
    </w:p>
    <w:p w:rsidR="00B52BB0" w:rsidRPr="00686FDA" w:rsidRDefault="00B52BB0" w:rsidP="003E074D">
      <w:pPr>
        <w:pStyle w:val="EndNoteBibliography"/>
        <w:spacing w:after="0"/>
      </w:pPr>
      <w:bookmarkStart w:id="140" w:name="_ENREF_24"/>
      <w:r w:rsidRPr="00686FDA">
        <w:t xml:space="preserve">-- -- 2014, ‘Eradication of cocoa pod borer’, Australian Department of Agriculture, Fisheries and Forestry, Canberra, available at </w:t>
      </w:r>
      <w:hyperlink r:id="rId70" w:history="1">
        <w:r w:rsidR="00D46089" w:rsidRPr="006975B1">
          <w:rPr>
            <w:rStyle w:val="Hyperlink"/>
          </w:rPr>
          <w:t>http://www.agriculture.gov.au/about/media-centre/communiques/eradication_of_cocoa_pod_borer</w:t>
        </w:r>
      </w:hyperlink>
      <w:r w:rsidRPr="00686FDA">
        <w:t>.</w:t>
      </w:r>
      <w:bookmarkEnd w:id="140"/>
    </w:p>
    <w:p w:rsidR="00B52BB0" w:rsidRPr="00686FDA" w:rsidRDefault="00B52BB0" w:rsidP="003E074D">
      <w:pPr>
        <w:pStyle w:val="EndNoteBibliography"/>
        <w:spacing w:after="0"/>
      </w:pPr>
      <w:bookmarkStart w:id="141" w:name="_ENREF_25"/>
      <w:r w:rsidRPr="00686FDA">
        <w:t xml:space="preserve">DAFWA 2015, </w:t>
      </w:r>
      <w:r w:rsidRPr="00686FDA">
        <w:rPr>
          <w:i/>
        </w:rPr>
        <w:t>Submission on the Draft report for the non-regulated analysis of existing policy for fresh mango fruit from Indonesia, Thailand and Vietnam</w:t>
      </w:r>
      <w:r w:rsidRPr="00686FDA">
        <w:t>, Government of Western Australia, Department of Agriculture and Food, Perth.</w:t>
      </w:r>
      <w:bookmarkEnd w:id="141"/>
    </w:p>
    <w:p w:rsidR="00B52BB0" w:rsidRPr="00686FDA" w:rsidRDefault="00B52BB0" w:rsidP="003E074D">
      <w:pPr>
        <w:pStyle w:val="EndNoteBibliography"/>
        <w:spacing w:after="0"/>
      </w:pPr>
      <w:bookmarkStart w:id="142" w:name="_ENREF_26"/>
      <w:r w:rsidRPr="00686FDA">
        <w:t xml:space="preserve">-- -- 2019, ‘Quarantine WA Import Requirements’, available at </w:t>
      </w:r>
      <w:hyperlink r:id="rId71" w:history="1">
        <w:r w:rsidR="00D46089" w:rsidRPr="006975B1">
          <w:rPr>
            <w:rStyle w:val="Hyperlink"/>
          </w:rPr>
          <w:t>https://www.agric.wa.gov.au/qtine/default.asp</w:t>
        </w:r>
      </w:hyperlink>
      <w:r w:rsidRPr="00686FDA">
        <w:t>, accessed 2019.</w:t>
      </w:r>
      <w:bookmarkEnd w:id="142"/>
    </w:p>
    <w:p w:rsidR="00B52BB0" w:rsidRPr="00686FDA" w:rsidRDefault="00B52BB0" w:rsidP="003E074D">
      <w:pPr>
        <w:pStyle w:val="EndNoteBibliography"/>
        <w:spacing w:after="0"/>
      </w:pPr>
      <w:bookmarkStart w:id="143" w:name="_ENREF_27"/>
      <w:r w:rsidRPr="00686FDA">
        <w:t xml:space="preserve">Dau, VT, Tran, CV, Pham, LT, Phan, HT, Dang, HL &amp; Burgess, LW 2008, ‘Stem and root rot of </w:t>
      </w:r>
      <w:r w:rsidRPr="00686FDA">
        <w:rPr>
          <w:i/>
        </w:rPr>
        <w:t>Telosma cordata</w:t>
      </w:r>
      <w:r w:rsidRPr="00686FDA">
        <w:t xml:space="preserve"> caused by </w:t>
      </w:r>
      <w:r w:rsidRPr="00686FDA">
        <w:rPr>
          <w:i/>
        </w:rPr>
        <w:t>Phytophthora palmivora</w:t>
      </w:r>
      <w:r w:rsidRPr="00686FDA">
        <w:t xml:space="preserve"> in Vietnam - a newly recognised disease’, </w:t>
      </w:r>
      <w:r w:rsidRPr="00686FDA">
        <w:rPr>
          <w:i/>
        </w:rPr>
        <w:t>Australasian Plant Disease Notes</w:t>
      </w:r>
      <w:r w:rsidRPr="00686FDA">
        <w:t>, vol. 3, pp. 135-7.</w:t>
      </w:r>
      <w:bookmarkEnd w:id="143"/>
    </w:p>
    <w:p w:rsidR="00B52BB0" w:rsidRPr="00686FDA" w:rsidRDefault="00B52BB0" w:rsidP="003E074D">
      <w:pPr>
        <w:pStyle w:val="EndNoteBibliography"/>
        <w:spacing w:after="0"/>
      </w:pPr>
      <w:bookmarkStart w:id="144" w:name="_ENREF_28"/>
      <w:r w:rsidRPr="00686FDA">
        <w:t xml:space="preserve">Department of Agriculture and Water Resources 2015, </w:t>
      </w:r>
      <w:r w:rsidRPr="00686FDA">
        <w:rPr>
          <w:i/>
        </w:rPr>
        <w:t>Final report for the non-regulated analysis of existing policy for fresh mango fruit from Indonesia, Thailand and Vietnam</w:t>
      </w:r>
      <w:r w:rsidRPr="00686FDA">
        <w:t xml:space="preserve">, Australian Government Department of Agriculture and Water Resources, Canberra, available at </w:t>
      </w:r>
      <w:hyperlink r:id="rId72" w:history="1">
        <w:r w:rsidR="00D46089" w:rsidRPr="006975B1">
          <w:rPr>
            <w:rStyle w:val="Hyperlink"/>
          </w:rPr>
          <w:t>http://www.agriculture.gov.au/biosecurity/risk-analysis/memos/ba2015-20</w:t>
        </w:r>
      </w:hyperlink>
      <w:r w:rsidRPr="00686FDA">
        <w:t xml:space="preserve"> (pdf 3.6 mb).</w:t>
      </w:r>
      <w:bookmarkEnd w:id="144"/>
    </w:p>
    <w:p w:rsidR="00B52BB0" w:rsidRPr="00686FDA" w:rsidRDefault="00B52BB0" w:rsidP="003E074D">
      <w:pPr>
        <w:pStyle w:val="EndNoteBibliography"/>
        <w:spacing w:after="0"/>
      </w:pPr>
      <w:bookmarkStart w:id="145" w:name="_ENREF_29"/>
      <w:r w:rsidRPr="00686FDA">
        <w:t xml:space="preserve">-- -- 2016a, ‘National Management Group (NMG) endorses the Exotic Fruit Flies in the Torres Strait Response Plan’, Australian Government Department of Agriculture and Water Resources, Canberra, available at </w:t>
      </w:r>
      <w:hyperlink r:id="rId73" w:history="1">
        <w:r w:rsidR="00D46089" w:rsidRPr="006975B1">
          <w:rPr>
            <w:rStyle w:val="Hyperlink"/>
          </w:rPr>
          <w:t>http://www.agriculture.gov.au/about/media-centre/communiques/exotic-fruit-flies-torres-strait</w:t>
        </w:r>
      </w:hyperlink>
      <w:r w:rsidRPr="00686FDA">
        <w:t>.</w:t>
      </w:r>
      <w:bookmarkEnd w:id="145"/>
    </w:p>
    <w:p w:rsidR="00B52BB0" w:rsidRPr="00686FDA" w:rsidRDefault="00B52BB0" w:rsidP="003E074D">
      <w:pPr>
        <w:pStyle w:val="EndNoteBibliography"/>
        <w:spacing w:after="0"/>
      </w:pPr>
      <w:bookmarkStart w:id="146" w:name="_ENREF_30"/>
      <w:r w:rsidRPr="00686FDA">
        <w:lastRenderedPageBreak/>
        <w:t xml:space="preserve">-- -- 2016b, ‘Non-commodity information requirements policy’, Canberra, available at </w:t>
      </w:r>
      <w:hyperlink r:id="rId74" w:history="1">
        <w:r w:rsidR="00D46089" w:rsidRPr="006975B1">
          <w:rPr>
            <w:rStyle w:val="Hyperlink"/>
          </w:rPr>
          <w:t>http://www.agriculture.gov.au/SiteCollectionDocuments/biosecurity/import/general-info/documentary-requirements/non-commodity-policy.pdf</w:t>
        </w:r>
      </w:hyperlink>
      <w:r w:rsidRPr="00686FDA">
        <w:t xml:space="preserve"> (pdf 936 kb).</w:t>
      </w:r>
      <w:bookmarkEnd w:id="146"/>
    </w:p>
    <w:p w:rsidR="00B52BB0" w:rsidRPr="00686FDA" w:rsidRDefault="00B52BB0" w:rsidP="003E074D">
      <w:pPr>
        <w:pStyle w:val="EndNoteBibliography"/>
        <w:spacing w:after="0"/>
      </w:pPr>
      <w:bookmarkStart w:id="147" w:name="_ENREF_31"/>
      <w:r w:rsidRPr="00686FDA">
        <w:t xml:space="preserve">-- -- 2017, </w:t>
      </w:r>
      <w:r w:rsidRPr="00686FDA">
        <w:rPr>
          <w:i/>
        </w:rPr>
        <w:t>Final report for the review of biosecurity import requirements for fresh dragon fruit from Vietnam</w:t>
      </w:r>
      <w:r w:rsidRPr="00686FDA">
        <w:t xml:space="preserve">, Department of Agriculture and Water Resources, Canberra, Australia, available at </w:t>
      </w:r>
      <w:hyperlink r:id="rId75" w:history="1">
        <w:r w:rsidR="00D46089" w:rsidRPr="006975B1">
          <w:rPr>
            <w:rStyle w:val="Hyperlink"/>
          </w:rPr>
          <w:t>http://www.agriculture.gov.au/biosecurity/risk-analysis/plant/dragon-fruit-from-vietnam/final-report</w:t>
        </w:r>
      </w:hyperlink>
      <w:r w:rsidRPr="00686FDA">
        <w:t xml:space="preserve"> (pdf 2.6 mb).</w:t>
      </w:r>
      <w:bookmarkEnd w:id="147"/>
    </w:p>
    <w:p w:rsidR="00B52BB0" w:rsidRPr="00686FDA" w:rsidRDefault="00B52BB0" w:rsidP="003E074D">
      <w:pPr>
        <w:pStyle w:val="EndNoteBibliography"/>
        <w:spacing w:after="0"/>
      </w:pPr>
      <w:bookmarkStart w:id="148" w:name="_ENREF_32"/>
      <w:r w:rsidRPr="00686FDA">
        <w:t xml:space="preserve">-- -- 2019, </w:t>
      </w:r>
      <w:r w:rsidRPr="00686FDA">
        <w:rPr>
          <w:i/>
        </w:rPr>
        <w:t>Final group pest risk analysis for mealybugs and the viruses they transmit on fresh fruit, vegetable, cut-flower and foliage imports</w:t>
      </w:r>
      <w:r w:rsidRPr="00686FDA">
        <w:t xml:space="preserve">, Department of Agriculture and Water Resources, Canberra, available at </w:t>
      </w:r>
      <w:hyperlink r:id="rId76" w:history="1">
        <w:r w:rsidR="00D46089" w:rsidRPr="006975B1">
          <w:rPr>
            <w:rStyle w:val="Hyperlink"/>
          </w:rPr>
          <w:t>http://www.agriculture.gov.au/biosecurity/risk-analysis/group-pest-risk-analyses/mealybugs/final-report</w:t>
        </w:r>
      </w:hyperlink>
      <w:r w:rsidRPr="00686FDA">
        <w:t xml:space="preserve"> (pdf 4.7 MB).</w:t>
      </w:r>
      <w:bookmarkEnd w:id="148"/>
    </w:p>
    <w:p w:rsidR="00B52BB0" w:rsidRPr="00686FDA" w:rsidRDefault="00B52BB0" w:rsidP="003E074D">
      <w:pPr>
        <w:pStyle w:val="EndNoteBibliography"/>
        <w:spacing w:after="0"/>
      </w:pPr>
      <w:bookmarkStart w:id="149" w:name="_ENREF_33"/>
      <w:r w:rsidRPr="00686FDA">
        <w:t xml:space="preserve">Devasahayam, HL &amp; Christdhas Henry, LD 2009, </w:t>
      </w:r>
      <w:r w:rsidRPr="00686FDA">
        <w:rPr>
          <w:i/>
        </w:rPr>
        <w:t>Illustrated plant pathology: Basic concepts</w:t>
      </w:r>
      <w:r w:rsidRPr="00686FDA">
        <w:t>, New India Publishing Agency, New Delhi.</w:t>
      </w:r>
      <w:bookmarkEnd w:id="149"/>
    </w:p>
    <w:p w:rsidR="00B52BB0" w:rsidRPr="00686FDA" w:rsidRDefault="00B52BB0" w:rsidP="003E074D">
      <w:pPr>
        <w:pStyle w:val="EndNoteBibliography"/>
        <w:spacing w:after="0"/>
      </w:pPr>
      <w:bookmarkStart w:id="150" w:name="_ENREF_34"/>
      <w:r w:rsidRPr="00686FDA">
        <w:t xml:space="preserve">Dhillon, MK, Singh, R, Naresh, JS &amp; Sharma, HC 2005, ‘The melon fruit fly, </w:t>
      </w:r>
      <w:r w:rsidRPr="00686FDA">
        <w:rPr>
          <w:i/>
        </w:rPr>
        <w:t>Bactrocera cucurbitae</w:t>
      </w:r>
      <w:r w:rsidRPr="00686FDA">
        <w:t xml:space="preserve">: a review of its biology and management’, </w:t>
      </w:r>
      <w:r w:rsidRPr="00686FDA">
        <w:rPr>
          <w:i/>
        </w:rPr>
        <w:t>Journal of Insect Science</w:t>
      </w:r>
      <w:r w:rsidRPr="00686FDA">
        <w:t>, vol. 5, no. 40, pp. 1-16.</w:t>
      </w:r>
      <w:bookmarkEnd w:id="150"/>
    </w:p>
    <w:p w:rsidR="00B52BB0" w:rsidRPr="00686FDA" w:rsidRDefault="00B52BB0" w:rsidP="003E074D">
      <w:pPr>
        <w:pStyle w:val="EndNoteBibliography"/>
        <w:spacing w:after="0"/>
      </w:pPr>
      <w:bookmarkStart w:id="151" w:name="_ENREF_35"/>
      <w:r w:rsidRPr="00686FDA">
        <w:t xml:space="preserve">Discover Life 2019, ‘Discover Life’, available at </w:t>
      </w:r>
      <w:hyperlink r:id="rId77" w:history="1">
        <w:r w:rsidR="00D46089" w:rsidRPr="006975B1">
          <w:rPr>
            <w:rStyle w:val="Hyperlink"/>
          </w:rPr>
          <w:t>http://www.discoverlife.org/</w:t>
        </w:r>
      </w:hyperlink>
      <w:r w:rsidRPr="00686FDA">
        <w:t>, accessed 2019.</w:t>
      </w:r>
      <w:bookmarkEnd w:id="151"/>
    </w:p>
    <w:p w:rsidR="00B52BB0" w:rsidRPr="00686FDA" w:rsidRDefault="00B52BB0" w:rsidP="003E074D">
      <w:pPr>
        <w:pStyle w:val="EndNoteBibliography"/>
        <w:spacing w:after="0"/>
      </w:pPr>
      <w:bookmarkStart w:id="152" w:name="_ENREF_36"/>
      <w:r w:rsidRPr="00686FDA">
        <w:t xml:space="preserve">Drew, RAI &amp; Hancock, DL 1994, ‘The </w:t>
      </w:r>
      <w:r w:rsidRPr="00686FDA">
        <w:rPr>
          <w:i/>
        </w:rPr>
        <w:t>Bactrocera dorsalis</w:t>
      </w:r>
      <w:r w:rsidRPr="00686FDA">
        <w:t xml:space="preserve"> complex of fruit flies (Diptera: Tephritidae: Dacinae) in Asia’, </w:t>
      </w:r>
      <w:r w:rsidRPr="00686FDA">
        <w:rPr>
          <w:i/>
        </w:rPr>
        <w:t>Bulletin of Entomological Research</w:t>
      </w:r>
      <w:r w:rsidRPr="00686FDA">
        <w:t>, vol. Suppl. 2, pp. 1-68.</w:t>
      </w:r>
      <w:bookmarkEnd w:id="152"/>
    </w:p>
    <w:p w:rsidR="00B52BB0" w:rsidRPr="00686FDA" w:rsidRDefault="00B52BB0" w:rsidP="003E074D">
      <w:pPr>
        <w:pStyle w:val="EndNoteBibliography"/>
        <w:spacing w:after="0"/>
      </w:pPr>
      <w:bookmarkStart w:id="153" w:name="_ENREF_37"/>
      <w:r w:rsidRPr="00686FDA">
        <w:t xml:space="preserve">Drew, RAI &amp; Romig, MC 2013, </w:t>
      </w:r>
      <w:r w:rsidRPr="00686FDA">
        <w:rPr>
          <w:i/>
        </w:rPr>
        <w:t>Tropical fruit flies (Tephritidae: Dacinae) of South-East Asia: Indomalaya to North-West Australasia</w:t>
      </w:r>
      <w:r w:rsidRPr="00686FDA">
        <w:t>, CAB International, Wallingford, UK.</w:t>
      </w:r>
      <w:bookmarkEnd w:id="153"/>
    </w:p>
    <w:p w:rsidR="00B52BB0" w:rsidRPr="00686FDA" w:rsidRDefault="00B52BB0" w:rsidP="003E074D">
      <w:pPr>
        <w:pStyle w:val="EndNoteBibliography"/>
        <w:spacing w:after="0"/>
      </w:pPr>
      <w:bookmarkStart w:id="154" w:name="_ENREF_38"/>
      <w:r w:rsidRPr="00686FDA">
        <w:t xml:space="preserve">Encyclopedia of Life 2019, ‘Encyclopedia of Life’, available at </w:t>
      </w:r>
      <w:hyperlink r:id="rId78" w:history="1">
        <w:r w:rsidR="00D46089" w:rsidRPr="006975B1">
          <w:rPr>
            <w:rStyle w:val="Hyperlink"/>
          </w:rPr>
          <w:t>http://eol.org/</w:t>
        </w:r>
      </w:hyperlink>
      <w:r w:rsidRPr="00686FDA">
        <w:t>, accessed 2019.</w:t>
      </w:r>
      <w:bookmarkEnd w:id="154"/>
    </w:p>
    <w:p w:rsidR="00B52BB0" w:rsidRPr="00686FDA" w:rsidRDefault="00B52BB0" w:rsidP="003E074D">
      <w:pPr>
        <w:pStyle w:val="EndNoteBibliography"/>
        <w:spacing w:after="0"/>
      </w:pPr>
      <w:bookmarkStart w:id="155" w:name="_ENREF_39"/>
      <w:r w:rsidRPr="00686FDA">
        <w:t xml:space="preserve">Entwistle, PF 1972, ‘Coccoidea (scale insects, mealybugs and others)’, in </w:t>
      </w:r>
      <w:r w:rsidRPr="00686FDA">
        <w:rPr>
          <w:i/>
        </w:rPr>
        <w:t>Pests of cocoa</w:t>
      </w:r>
      <w:r w:rsidRPr="00686FDA">
        <w:t>, Longmans, London.</w:t>
      </w:r>
      <w:bookmarkEnd w:id="155"/>
    </w:p>
    <w:p w:rsidR="00B52BB0" w:rsidRPr="00686FDA" w:rsidRDefault="00B52BB0" w:rsidP="003E074D">
      <w:pPr>
        <w:pStyle w:val="EndNoteBibliography"/>
        <w:spacing w:after="0"/>
      </w:pPr>
      <w:bookmarkStart w:id="156" w:name="_ENREF_40"/>
      <w:r w:rsidRPr="00686FDA">
        <w:t xml:space="preserve">Evans, GA &amp; Dooley, J 2013, 'Potential invasive species of scale insects for the USA and Caribbean Basin', in </w:t>
      </w:r>
      <w:r w:rsidRPr="00686FDA">
        <w:rPr>
          <w:i/>
        </w:rPr>
        <w:t>Potential invasive pests of agricultural crops,</w:t>
      </w:r>
      <w:r w:rsidRPr="00686FDA">
        <w:t xml:space="preserve"> CABI, Wallingford, available at </w:t>
      </w:r>
      <w:hyperlink r:id="rId79" w:history="1">
        <w:r w:rsidR="00D46089" w:rsidRPr="006975B1">
          <w:rPr>
            <w:rStyle w:val="Hyperlink"/>
          </w:rPr>
          <w:t>http://www.cabi.org/ISC/FullTextPDF/2013/20133231103.pdf</w:t>
        </w:r>
      </w:hyperlink>
      <w:bookmarkEnd w:id="156"/>
      <w:r w:rsidR="00D46089">
        <w:t>.</w:t>
      </w:r>
    </w:p>
    <w:p w:rsidR="00B52BB0" w:rsidRPr="00686FDA" w:rsidRDefault="00B52BB0" w:rsidP="003E074D">
      <w:pPr>
        <w:pStyle w:val="EndNoteBibliography"/>
        <w:spacing w:after="0"/>
      </w:pPr>
      <w:bookmarkStart w:id="157" w:name="_ENREF_41"/>
      <w:r w:rsidRPr="00686FDA">
        <w:t xml:space="preserve">FAO 2002, </w:t>
      </w:r>
      <w:r w:rsidRPr="00686FDA">
        <w:rPr>
          <w:i/>
        </w:rPr>
        <w:t>Lychee production in the Asia-Pacific region</w:t>
      </w:r>
      <w:r w:rsidRPr="00686FDA">
        <w:t xml:space="preserve">, 2002/04, Food and Agriculture Organization of the United Nations Regional Office for Asia and the Pacific, Bangkok, Thailand, available at </w:t>
      </w:r>
      <w:hyperlink r:id="rId80" w:history="1">
        <w:r w:rsidR="00D46089" w:rsidRPr="006975B1">
          <w:rPr>
            <w:rStyle w:val="Hyperlink"/>
          </w:rPr>
          <w:t>ftp://ftp.fao.org/docrep/fao/005/ac684e/ac684e00.pdf</w:t>
        </w:r>
      </w:hyperlink>
      <w:r w:rsidRPr="00686FDA">
        <w:t>.</w:t>
      </w:r>
      <w:bookmarkEnd w:id="157"/>
    </w:p>
    <w:p w:rsidR="00B52BB0" w:rsidRPr="00686FDA" w:rsidRDefault="00B52BB0" w:rsidP="003E074D">
      <w:pPr>
        <w:pStyle w:val="EndNoteBibliography"/>
        <w:spacing w:after="0"/>
      </w:pPr>
      <w:bookmarkStart w:id="158" w:name="_ENREF_42"/>
      <w:r w:rsidRPr="00686FDA">
        <w:t xml:space="preserve">-- -- 2004, </w:t>
      </w:r>
      <w:r w:rsidRPr="00686FDA">
        <w:rPr>
          <w:i/>
        </w:rPr>
        <w:t>Fruits of Vietnam</w:t>
      </w:r>
      <w:r w:rsidRPr="00686FDA">
        <w:t>, Regional Office for Asia and the Pacific, Bangkok, Thailand.</w:t>
      </w:r>
      <w:bookmarkEnd w:id="158"/>
    </w:p>
    <w:p w:rsidR="00B52BB0" w:rsidRPr="00686FDA" w:rsidRDefault="00B52BB0" w:rsidP="003E074D">
      <w:pPr>
        <w:pStyle w:val="EndNoteBibliography"/>
        <w:spacing w:after="0"/>
      </w:pPr>
      <w:bookmarkStart w:id="159" w:name="_ENREF_43"/>
      <w:r w:rsidRPr="00686FDA">
        <w:t xml:space="preserve">-- -- 2016a, </w:t>
      </w:r>
      <w:r w:rsidRPr="00686FDA">
        <w:rPr>
          <w:i/>
        </w:rPr>
        <w:t>International Standards for Phytosanitary Measures (ISPM) no. 2: Framework for pest risk analysis</w:t>
      </w:r>
      <w:r w:rsidRPr="00686FDA">
        <w:t xml:space="preserve">, Secretariat of the International Plant Protection Convention, Food and Agriculture Organization of the United Nations, Rome, Italy, available at </w:t>
      </w:r>
      <w:hyperlink r:id="rId81" w:history="1">
        <w:r w:rsidR="00D46089" w:rsidRPr="006975B1">
          <w:rPr>
            <w:rStyle w:val="Hyperlink"/>
          </w:rPr>
          <w:t>https://www.ippc.int/en/core-activities/standards-setting/ispms/</w:t>
        </w:r>
      </w:hyperlink>
      <w:r w:rsidRPr="00686FDA">
        <w:t>.</w:t>
      </w:r>
      <w:bookmarkEnd w:id="159"/>
    </w:p>
    <w:p w:rsidR="00B52BB0" w:rsidRPr="00686FDA" w:rsidRDefault="00B52BB0" w:rsidP="003E074D">
      <w:pPr>
        <w:pStyle w:val="EndNoteBibliography"/>
        <w:spacing w:after="0"/>
      </w:pPr>
      <w:bookmarkStart w:id="160" w:name="_ENREF_44"/>
      <w:r w:rsidRPr="00686FDA">
        <w:t xml:space="preserve">-- -- 2016b, </w:t>
      </w:r>
      <w:r w:rsidRPr="00686FDA">
        <w:rPr>
          <w:i/>
        </w:rPr>
        <w:t>International Standards for Phytosanitary Measures (ISPM) no. 10: Requirements for the establishment of pest free places of production and pest free production sites</w:t>
      </w:r>
      <w:r w:rsidRPr="00686FDA">
        <w:t xml:space="preserve">, Secretariat of the International Plant Protection Convention, Food and Agriculture Organization of the United Nations, Rome, Italy, available at </w:t>
      </w:r>
      <w:hyperlink r:id="rId82" w:history="1">
        <w:r w:rsidR="00D46089" w:rsidRPr="006975B1">
          <w:rPr>
            <w:rStyle w:val="Hyperlink"/>
          </w:rPr>
          <w:t>https://www.ippc.int/en/core-activities/standards-setting/ispms/</w:t>
        </w:r>
      </w:hyperlink>
      <w:bookmarkEnd w:id="160"/>
      <w:r w:rsidR="00D46089">
        <w:t>.</w:t>
      </w:r>
    </w:p>
    <w:p w:rsidR="00B52BB0" w:rsidRPr="00686FDA" w:rsidRDefault="00B52BB0" w:rsidP="003E074D">
      <w:pPr>
        <w:pStyle w:val="EndNoteBibliography"/>
        <w:spacing w:after="0"/>
      </w:pPr>
      <w:bookmarkStart w:id="161" w:name="_ENREF_45"/>
      <w:r w:rsidRPr="00686FDA">
        <w:t xml:space="preserve">-- -- 2016c, </w:t>
      </w:r>
      <w:r w:rsidRPr="00686FDA">
        <w:rPr>
          <w:i/>
        </w:rPr>
        <w:t>International Standards for Phytosanitary Measures (ISPM) no. 18: Guidelines for the use of irradiation as a phytosanitary measure</w:t>
      </w:r>
      <w:r w:rsidRPr="00686FDA">
        <w:t xml:space="preserve">, Secretariat of the International Plant Protection Convention, Food and Agriculture Organization of the United Nations, Rome, Italy, available at </w:t>
      </w:r>
      <w:hyperlink r:id="rId83" w:history="1">
        <w:r w:rsidR="00D46089" w:rsidRPr="006975B1">
          <w:rPr>
            <w:rStyle w:val="Hyperlink"/>
          </w:rPr>
          <w:t>https://www.ippc.int/en/core-activities/standards-setting/ispms/</w:t>
        </w:r>
      </w:hyperlink>
      <w:r w:rsidRPr="00686FDA">
        <w:t>.</w:t>
      </w:r>
      <w:bookmarkEnd w:id="161"/>
    </w:p>
    <w:p w:rsidR="00B52BB0" w:rsidRPr="00686FDA" w:rsidRDefault="00B52BB0" w:rsidP="003E074D">
      <w:pPr>
        <w:pStyle w:val="EndNoteBibliography"/>
        <w:spacing w:after="0"/>
      </w:pPr>
      <w:bookmarkStart w:id="162" w:name="_ENREF_46"/>
      <w:r w:rsidRPr="00686FDA">
        <w:t xml:space="preserve">-- -- 2016d, </w:t>
      </w:r>
      <w:r w:rsidRPr="00686FDA">
        <w:rPr>
          <w:i/>
        </w:rPr>
        <w:t>International Standards for Phytosanitary Measures (ISPM) no. 23: Guidelines for inspection</w:t>
      </w:r>
      <w:r w:rsidRPr="00686FDA">
        <w:t xml:space="preserve">, Secretariat of the International Plant Protection Convention, Food and Agriculture </w:t>
      </w:r>
      <w:r w:rsidRPr="00686FDA">
        <w:lastRenderedPageBreak/>
        <w:t xml:space="preserve">Organization of the United Nations, Rome, Italy, available at </w:t>
      </w:r>
      <w:hyperlink r:id="rId84" w:history="1">
        <w:r w:rsidR="00D46089" w:rsidRPr="006975B1">
          <w:rPr>
            <w:rStyle w:val="Hyperlink"/>
          </w:rPr>
          <w:t>https://www.ippc.int/en/core-activities/standards-setting/ispms/</w:t>
        </w:r>
      </w:hyperlink>
      <w:r w:rsidRPr="00686FDA">
        <w:t>.</w:t>
      </w:r>
      <w:bookmarkEnd w:id="162"/>
    </w:p>
    <w:p w:rsidR="00B52BB0" w:rsidRPr="00686FDA" w:rsidRDefault="00B52BB0" w:rsidP="003E074D">
      <w:pPr>
        <w:pStyle w:val="EndNoteBibliography"/>
        <w:spacing w:after="0"/>
      </w:pPr>
      <w:bookmarkStart w:id="163" w:name="_ENREF_47"/>
      <w:r w:rsidRPr="00686FDA">
        <w:t xml:space="preserve">-- -- 2016e, </w:t>
      </w:r>
      <w:r w:rsidRPr="00686FDA">
        <w:rPr>
          <w:i/>
        </w:rPr>
        <w:t xml:space="preserve">International Standards for Phytosanitary Measures (ISPM) no. 31: Methodologies for sampling of consignments </w:t>
      </w:r>
      <w:r w:rsidRPr="00686FDA">
        <w:t xml:space="preserve">Secretariat of the International Plant Protection Convention, Food and Agriculture Organization of the United Nations, Rome, Italy, available at </w:t>
      </w:r>
      <w:hyperlink r:id="rId85" w:history="1">
        <w:r w:rsidR="00D46089" w:rsidRPr="006975B1">
          <w:rPr>
            <w:rStyle w:val="Hyperlink"/>
          </w:rPr>
          <w:t>https://www.ippc.int/en/core-activities/standards-setting/ispms/</w:t>
        </w:r>
      </w:hyperlink>
      <w:r w:rsidRPr="00686FDA">
        <w:t>.</w:t>
      </w:r>
      <w:bookmarkEnd w:id="163"/>
    </w:p>
    <w:p w:rsidR="00B52BB0" w:rsidRPr="00686FDA" w:rsidRDefault="00B52BB0" w:rsidP="003E074D">
      <w:pPr>
        <w:pStyle w:val="EndNoteBibliography"/>
        <w:spacing w:after="0"/>
      </w:pPr>
      <w:bookmarkStart w:id="164" w:name="_ENREF_48"/>
      <w:r w:rsidRPr="00686FDA">
        <w:t xml:space="preserve">-- -- 2017a, </w:t>
      </w:r>
      <w:r w:rsidRPr="00686FDA">
        <w:rPr>
          <w:i/>
        </w:rPr>
        <w:t>International Standards for Phytosanitary Measures (ISPM) no. 4: Requirements for the establishment of pest free areas</w:t>
      </w:r>
      <w:r w:rsidRPr="00686FDA">
        <w:t xml:space="preserve">, Secretariat of the International Plant Protection Convention, Food and Agriculture Organization of the United Nations, Rome, Italy, available at </w:t>
      </w:r>
      <w:hyperlink r:id="rId86" w:history="1">
        <w:r w:rsidR="00D46089" w:rsidRPr="006975B1">
          <w:rPr>
            <w:rStyle w:val="Hyperlink"/>
          </w:rPr>
          <w:t>https://www.ippc.int/en/core-activities/standards-setting/ispms/</w:t>
        </w:r>
      </w:hyperlink>
      <w:r w:rsidRPr="00686FDA">
        <w:t>.</w:t>
      </w:r>
      <w:bookmarkEnd w:id="164"/>
    </w:p>
    <w:p w:rsidR="00B52BB0" w:rsidRPr="00686FDA" w:rsidRDefault="00B52BB0" w:rsidP="003E074D">
      <w:pPr>
        <w:pStyle w:val="EndNoteBibliography"/>
        <w:spacing w:after="0"/>
      </w:pPr>
      <w:bookmarkStart w:id="165" w:name="_ENREF_49"/>
      <w:r w:rsidRPr="00686FDA">
        <w:t xml:space="preserve">-- -- 2017b, </w:t>
      </w:r>
      <w:r w:rsidRPr="00686FDA">
        <w:rPr>
          <w:i/>
        </w:rPr>
        <w:t>International Standards for Phytosanitary Measures (ISPM) no. 11: Pest risk analysis for quarantine pests</w:t>
      </w:r>
      <w:r w:rsidRPr="00686FDA">
        <w:t xml:space="preserve">, Secretariat of the International Plant Protection Convention, Food and Agriculture Organization of the United Nations, Rome, Italy, available at </w:t>
      </w:r>
      <w:hyperlink r:id="rId87" w:history="1">
        <w:r w:rsidR="00D46089" w:rsidRPr="006975B1">
          <w:rPr>
            <w:rStyle w:val="Hyperlink"/>
          </w:rPr>
          <w:t>https://www.ippc.int/en/core-activities/standards-setting/ispms/</w:t>
        </w:r>
      </w:hyperlink>
      <w:r w:rsidRPr="00686FDA">
        <w:t>.</w:t>
      </w:r>
      <w:bookmarkEnd w:id="165"/>
    </w:p>
    <w:p w:rsidR="00B52BB0" w:rsidRPr="00686FDA" w:rsidRDefault="00B52BB0" w:rsidP="003E074D">
      <w:pPr>
        <w:pStyle w:val="EndNoteBibliography"/>
        <w:spacing w:after="0"/>
      </w:pPr>
      <w:bookmarkStart w:id="166" w:name="_ENREF_50"/>
      <w:r w:rsidRPr="00686FDA">
        <w:t xml:space="preserve">-- -- 2017c, </w:t>
      </w:r>
      <w:r w:rsidRPr="00686FDA">
        <w:rPr>
          <w:i/>
        </w:rPr>
        <w:t>International Standards for Phytosanitary Measures (ISPM) no. 14: The use of integrated measures in a systems approach for pest risk management</w:t>
      </w:r>
      <w:r w:rsidRPr="00686FDA">
        <w:t xml:space="preserve">, Secretariat of the International Plant Protection Convention, Food and Agriculture Organization of the United Nations, Rome, Italy, available at </w:t>
      </w:r>
      <w:hyperlink r:id="rId88" w:history="1">
        <w:r w:rsidR="00D46089" w:rsidRPr="006975B1">
          <w:rPr>
            <w:rStyle w:val="Hyperlink"/>
          </w:rPr>
          <w:t>https://www.ippc.int/en/core-activities/standards-setting/ispms/</w:t>
        </w:r>
      </w:hyperlink>
      <w:r w:rsidRPr="00686FDA">
        <w:t>.</w:t>
      </w:r>
      <w:bookmarkEnd w:id="166"/>
    </w:p>
    <w:p w:rsidR="00B52BB0" w:rsidRPr="00686FDA" w:rsidRDefault="00B52BB0" w:rsidP="003E074D">
      <w:pPr>
        <w:pStyle w:val="EndNoteBibliography"/>
        <w:spacing w:after="0"/>
      </w:pPr>
      <w:bookmarkStart w:id="167" w:name="_ENREF_51"/>
      <w:r w:rsidRPr="00686FDA">
        <w:t xml:space="preserve">-- -- 2017d, </w:t>
      </w:r>
      <w:r w:rsidRPr="00686FDA">
        <w:rPr>
          <w:i/>
        </w:rPr>
        <w:t>International Standards for Phytosanitary Measures (ISPM) no. 28 Annex 7: Irradiation treatment for fruit flies of the family Tephritidae (generic)</w:t>
      </w:r>
      <w:r w:rsidRPr="00686FDA">
        <w:t xml:space="preserve">, Secretariat of the International Plant Protection Convention, Food and Agriculture Organization of the United Nations, Rome, Italy, available at </w:t>
      </w:r>
      <w:hyperlink r:id="rId89" w:history="1">
        <w:r w:rsidR="00D46089" w:rsidRPr="006975B1">
          <w:rPr>
            <w:rStyle w:val="Hyperlink"/>
          </w:rPr>
          <w:t>https://www.ippc.int/en/core-activities/standards-setting/ispms/</w:t>
        </w:r>
      </w:hyperlink>
      <w:r w:rsidRPr="00686FDA">
        <w:t>.</w:t>
      </w:r>
      <w:bookmarkEnd w:id="167"/>
    </w:p>
    <w:p w:rsidR="00B52BB0" w:rsidRPr="00686FDA" w:rsidRDefault="00B52BB0" w:rsidP="003E074D">
      <w:pPr>
        <w:pStyle w:val="EndNoteBibliography"/>
        <w:spacing w:after="0"/>
      </w:pPr>
      <w:bookmarkStart w:id="168" w:name="_ENREF_52"/>
      <w:r w:rsidRPr="00686FDA">
        <w:t xml:space="preserve">-- -- 2018, </w:t>
      </w:r>
      <w:r w:rsidRPr="00686FDA">
        <w:rPr>
          <w:i/>
        </w:rPr>
        <w:t>International Standards for Phytosanitary Measures (ISPM) no. 5: Glossary of phytosanitary terms</w:t>
      </w:r>
      <w:r w:rsidRPr="00686FDA">
        <w:t xml:space="preserve">, Secretariat of the International Plant Protection Convention, Food and Agriculture Organization of the United Nations, Rome, Italy, available at </w:t>
      </w:r>
      <w:hyperlink r:id="rId90" w:history="1">
        <w:r w:rsidR="00D46089" w:rsidRPr="006975B1">
          <w:rPr>
            <w:rStyle w:val="Hyperlink"/>
          </w:rPr>
          <w:t>https://www.ippc.int/en/core-activities/standards-setting/ispms/</w:t>
        </w:r>
      </w:hyperlink>
      <w:r w:rsidRPr="00686FDA">
        <w:t>.</w:t>
      </w:r>
      <w:bookmarkEnd w:id="168"/>
    </w:p>
    <w:p w:rsidR="00B52BB0" w:rsidRPr="00686FDA" w:rsidRDefault="00B52BB0" w:rsidP="003E074D">
      <w:pPr>
        <w:pStyle w:val="EndNoteBibliography"/>
        <w:spacing w:after="0"/>
      </w:pPr>
      <w:bookmarkStart w:id="169" w:name="_ENREF_53"/>
      <w:r w:rsidRPr="00686FDA">
        <w:t xml:space="preserve">-- -- 2019a, </w:t>
      </w:r>
      <w:r w:rsidRPr="00686FDA">
        <w:rPr>
          <w:i/>
        </w:rPr>
        <w:t>International Standards for Phytosanitary Measures (ISPM) no. 5: Glossary of phytosanitary terms</w:t>
      </w:r>
      <w:r w:rsidRPr="00686FDA">
        <w:t xml:space="preserve">, Secretariat of the International Plant Protection Convention, Food and Agriculture Organization of the United Nations, Rome, Italy, available at </w:t>
      </w:r>
      <w:hyperlink r:id="rId91" w:history="1">
        <w:r w:rsidR="00D46089" w:rsidRPr="006975B1">
          <w:rPr>
            <w:rStyle w:val="Hyperlink"/>
          </w:rPr>
          <w:t>https://www.ippc.int/en/core-activities/standards-setting/ispms/</w:t>
        </w:r>
      </w:hyperlink>
      <w:r w:rsidRPr="00686FDA">
        <w:t>.</w:t>
      </w:r>
      <w:bookmarkEnd w:id="169"/>
    </w:p>
    <w:p w:rsidR="00B52BB0" w:rsidRPr="00686FDA" w:rsidRDefault="00B52BB0" w:rsidP="003E074D">
      <w:pPr>
        <w:pStyle w:val="EndNoteBibliography"/>
        <w:spacing w:after="0"/>
      </w:pPr>
      <w:bookmarkStart w:id="170" w:name="_ENREF_54"/>
      <w:r w:rsidRPr="00686FDA">
        <w:t xml:space="preserve">-- -- 2019b, </w:t>
      </w:r>
      <w:r w:rsidRPr="00686FDA">
        <w:rPr>
          <w:i/>
        </w:rPr>
        <w:t>International Standards for Phytosanitary Measures (ISPM) no. 26: Establishment of pest free areas for fruit flies (Tephritidae)</w:t>
      </w:r>
      <w:r w:rsidRPr="00686FDA">
        <w:t xml:space="preserve">, Secretariat of the International Plant Protection Convention, Food and Agriculture Organization of the United Nations, Rome, Italy, available at </w:t>
      </w:r>
      <w:hyperlink r:id="rId92" w:history="1">
        <w:r w:rsidR="00D46089" w:rsidRPr="006975B1">
          <w:rPr>
            <w:rStyle w:val="Hyperlink"/>
          </w:rPr>
          <w:t>https://www.ippc.int/en/core-activities/standards-setting/ispms/</w:t>
        </w:r>
      </w:hyperlink>
      <w:r w:rsidRPr="00686FDA">
        <w:t>.</w:t>
      </w:r>
      <w:bookmarkEnd w:id="170"/>
    </w:p>
    <w:p w:rsidR="00B52BB0" w:rsidRPr="00686FDA" w:rsidRDefault="00B52BB0" w:rsidP="003E074D">
      <w:pPr>
        <w:pStyle w:val="EndNoteBibliography"/>
        <w:spacing w:after="0"/>
      </w:pPr>
      <w:bookmarkStart w:id="171" w:name="_ENREF_55"/>
      <w:r w:rsidRPr="00686FDA">
        <w:t>Fletcher, MJ &amp; Dangerfield, PC 2002, ‘</w:t>
      </w:r>
      <w:r w:rsidRPr="00686FDA">
        <w:rPr>
          <w:i/>
        </w:rPr>
        <w:t xml:space="preserve">Idioscopus clypealis </w:t>
      </w:r>
      <w:r w:rsidRPr="00686FDA">
        <w:t xml:space="preserve">(Lethierry), a second new leafhopper pest of mango in Australia (Hemiptera: Cicadellidae: Idiocerinae)’, </w:t>
      </w:r>
      <w:r w:rsidRPr="00686FDA">
        <w:rPr>
          <w:i/>
        </w:rPr>
        <w:t>Australian Journal of Entomology</w:t>
      </w:r>
      <w:r w:rsidRPr="00686FDA">
        <w:t>, vol. 41, no. 1, pp. 35-8.</w:t>
      </w:r>
      <w:bookmarkEnd w:id="171"/>
    </w:p>
    <w:p w:rsidR="00B52BB0" w:rsidRPr="00686FDA" w:rsidRDefault="00B52BB0" w:rsidP="003E074D">
      <w:pPr>
        <w:pStyle w:val="EndNoteBibliography"/>
        <w:spacing w:after="0"/>
      </w:pPr>
      <w:bookmarkStart w:id="172" w:name="_ENREF_56"/>
      <w:r w:rsidRPr="00686FDA">
        <w:t xml:space="preserve">FSANZ 2017, </w:t>
      </w:r>
      <w:r w:rsidRPr="00686FDA">
        <w:rPr>
          <w:i/>
        </w:rPr>
        <w:t>Australia New Zealand Food Standards Code: standard 1.5.3: irradiation of food</w:t>
      </w:r>
      <w:r w:rsidRPr="00686FDA">
        <w:t xml:space="preserve">, Food Standards Australia New Zealand (FSANZ), available at </w:t>
      </w:r>
      <w:hyperlink r:id="rId93" w:history="1">
        <w:r w:rsidR="00D46089" w:rsidRPr="006975B1">
          <w:rPr>
            <w:rStyle w:val="Hyperlink"/>
          </w:rPr>
          <w:t>https://www.legislation.gov.au/Details/F2017C00053</w:t>
        </w:r>
      </w:hyperlink>
      <w:r w:rsidRPr="00686FDA">
        <w:t xml:space="preserve"> (pdf 0.4 mb).</w:t>
      </w:r>
      <w:bookmarkEnd w:id="172"/>
    </w:p>
    <w:p w:rsidR="00B52BB0" w:rsidRPr="00686FDA" w:rsidRDefault="00B52BB0" w:rsidP="003E074D">
      <w:pPr>
        <w:pStyle w:val="EndNoteBibliography"/>
        <w:spacing w:after="0"/>
      </w:pPr>
      <w:bookmarkStart w:id="173" w:name="_ENREF_57"/>
      <w:r w:rsidRPr="00686FDA">
        <w:t xml:space="preserve">García Morales, M, Denno, BD, Miller, DR, Miller, GL, Ben-Dov, Y &amp; Hardy, NB 2019, ‘ScaleNet: a literature-based model of scale insect biology and systematics’, available at </w:t>
      </w:r>
      <w:hyperlink r:id="rId94" w:history="1">
        <w:r w:rsidR="00D46089" w:rsidRPr="006975B1">
          <w:rPr>
            <w:rStyle w:val="Hyperlink"/>
          </w:rPr>
          <w:t>http://scalenet.info</w:t>
        </w:r>
      </w:hyperlink>
      <w:r w:rsidRPr="00686FDA">
        <w:t>, accessed 2019.</w:t>
      </w:r>
      <w:bookmarkEnd w:id="173"/>
    </w:p>
    <w:p w:rsidR="00B52BB0" w:rsidRPr="00686FDA" w:rsidRDefault="00B52BB0" w:rsidP="003E074D">
      <w:pPr>
        <w:pStyle w:val="EndNoteBibliography"/>
        <w:spacing w:after="0"/>
      </w:pPr>
      <w:bookmarkStart w:id="174" w:name="_ENREF_58"/>
      <w:r w:rsidRPr="00686FDA">
        <w:t xml:space="preserve">Gavrilov, IA 2013, ‘New scale insects (Homoptera: Coccinea) from Sulawesi and New Guinea, with some other additions to the Indonesian fauna’, </w:t>
      </w:r>
      <w:r w:rsidRPr="00686FDA">
        <w:rPr>
          <w:i/>
        </w:rPr>
        <w:t>Tropical Zoology</w:t>
      </w:r>
      <w:r w:rsidRPr="00686FDA">
        <w:t>, vol. 26, no. 2, pp. 64-96.</w:t>
      </w:r>
      <w:bookmarkEnd w:id="174"/>
    </w:p>
    <w:p w:rsidR="00B52BB0" w:rsidRPr="00686FDA" w:rsidRDefault="00B52BB0" w:rsidP="003E074D">
      <w:pPr>
        <w:pStyle w:val="EndNoteBibliography"/>
        <w:spacing w:after="0"/>
      </w:pPr>
      <w:bookmarkStart w:id="175" w:name="_ENREF_59"/>
      <w:r w:rsidRPr="00686FDA">
        <w:lastRenderedPageBreak/>
        <w:t xml:space="preserve">Ge, X, Jiang, C, Chen, L, Qiu, S, Zhao, Y, Wang, T &amp; Zong, S 2017, ‘Predicting the potential distribution in China of </w:t>
      </w:r>
      <w:r w:rsidRPr="00686FDA">
        <w:rPr>
          <w:i/>
        </w:rPr>
        <w:t>Euwallacea fornicates</w:t>
      </w:r>
      <w:r w:rsidRPr="00686FDA">
        <w:t xml:space="preserve"> (Eichhoff) under current and future climate conditions’, </w:t>
      </w:r>
      <w:r w:rsidRPr="00686FDA">
        <w:rPr>
          <w:i/>
        </w:rPr>
        <w:t>Scientific Reports of the Agricultural University of Norway</w:t>
      </w:r>
      <w:r w:rsidRPr="00686FDA">
        <w:t>, vol. 7, no. 906, pp. 1-13.</w:t>
      </w:r>
      <w:bookmarkEnd w:id="175"/>
    </w:p>
    <w:p w:rsidR="00B52BB0" w:rsidRPr="00686FDA" w:rsidRDefault="00B52BB0" w:rsidP="003E074D">
      <w:pPr>
        <w:pStyle w:val="EndNoteBibliography"/>
        <w:spacing w:after="0"/>
      </w:pPr>
      <w:bookmarkStart w:id="176" w:name="_ENREF_60"/>
      <w:r w:rsidRPr="00686FDA">
        <w:t xml:space="preserve">Geering, A 2013, </w:t>
      </w:r>
      <w:r w:rsidRPr="00686FDA">
        <w:rPr>
          <w:i/>
        </w:rPr>
        <w:t>Biosecurity capacity building for the Australian avocado industry: laurel wilt</w:t>
      </w:r>
      <w:r w:rsidRPr="00686FDA">
        <w:t>, AV10004, Horticulture Australia Limited, Sydney, Australia.</w:t>
      </w:r>
      <w:bookmarkEnd w:id="176"/>
    </w:p>
    <w:p w:rsidR="00B52BB0" w:rsidRPr="00686FDA" w:rsidRDefault="00B52BB0" w:rsidP="003E074D">
      <w:pPr>
        <w:pStyle w:val="EndNoteBibliography"/>
        <w:spacing w:after="0"/>
      </w:pPr>
      <w:bookmarkStart w:id="177" w:name="_ENREF_61"/>
      <w:r w:rsidRPr="00686FDA">
        <w:t xml:space="preserve">Government of Western Australia 2018, ‘Western Australia Organism List (WAOL)’, available at </w:t>
      </w:r>
      <w:hyperlink r:id="rId95" w:history="1">
        <w:r w:rsidR="00D46089" w:rsidRPr="006975B1">
          <w:rPr>
            <w:rStyle w:val="Hyperlink"/>
          </w:rPr>
          <w:t>https://www.agric.wa.gov.au/bam/western-australian-organism-list-waol</w:t>
        </w:r>
      </w:hyperlink>
      <w:r w:rsidRPr="00686FDA">
        <w:t>, accessed 2019.</w:t>
      </w:r>
      <w:bookmarkEnd w:id="177"/>
    </w:p>
    <w:p w:rsidR="00B52BB0" w:rsidRPr="00686FDA" w:rsidRDefault="00B52BB0" w:rsidP="003E074D">
      <w:pPr>
        <w:pStyle w:val="EndNoteBibliography"/>
        <w:spacing w:after="0"/>
      </w:pPr>
      <w:bookmarkStart w:id="178" w:name="_ENREF_62"/>
      <w:r w:rsidRPr="00686FDA">
        <w:t xml:space="preserve">Gullan, PJ 2000, ‘Identification of the immature instars of mealybugs (Hemiptera: Pseudococcidae) found on citrus in Australia’, </w:t>
      </w:r>
      <w:r w:rsidRPr="00686FDA">
        <w:rPr>
          <w:i/>
        </w:rPr>
        <w:t>Australian Journal of Entomology</w:t>
      </w:r>
      <w:r w:rsidRPr="00686FDA">
        <w:t>, vol. 39, no. 3, pp. 160-6.</w:t>
      </w:r>
      <w:bookmarkEnd w:id="178"/>
    </w:p>
    <w:p w:rsidR="00B52BB0" w:rsidRPr="00686FDA" w:rsidRDefault="00B52BB0" w:rsidP="003E074D">
      <w:pPr>
        <w:pStyle w:val="EndNoteBibliography"/>
        <w:spacing w:after="0"/>
      </w:pPr>
      <w:bookmarkStart w:id="179" w:name="_ENREF_63"/>
      <w:r w:rsidRPr="00686FDA">
        <w:t xml:space="preserve">Gupta, BP &amp; Singh, YP 1986, ‘New record of </w:t>
      </w:r>
      <w:r w:rsidRPr="00686FDA">
        <w:rPr>
          <w:i/>
        </w:rPr>
        <w:t>Orgyia postica</w:t>
      </w:r>
      <w:r w:rsidRPr="00686FDA">
        <w:t xml:space="preserve"> Walk. as a pest of mango’, </w:t>
      </w:r>
      <w:r w:rsidRPr="00686FDA">
        <w:rPr>
          <w:i/>
        </w:rPr>
        <w:t>Progressive Horticulture</w:t>
      </w:r>
      <w:r w:rsidRPr="00686FDA">
        <w:t>, vol. 18, p. 273.</w:t>
      </w:r>
      <w:bookmarkEnd w:id="179"/>
    </w:p>
    <w:p w:rsidR="00B52BB0" w:rsidRPr="00686FDA" w:rsidRDefault="00B52BB0" w:rsidP="003E074D">
      <w:pPr>
        <w:pStyle w:val="EndNoteBibliography"/>
        <w:spacing w:after="0"/>
      </w:pPr>
      <w:bookmarkStart w:id="180" w:name="_ENREF_64"/>
      <w:r w:rsidRPr="00686FDA">
        <w:t xml:space="preserve">Halliday, RB 2000, ‘Additions and corrections to </w:t>
      </w:r>
      <w:r w:rsidRPr="00686FDA">
        <w:rPr>
          <w:i/>
        </w:rPr>
        <w:t xml:space="preserve">Mites of Australia: </w:t>
      </w:r>
      <w:r w:rsidRPr="00686FDA">
        <w:t xml:space="preserve">a checklist and bibliography’, </w:t>
      </w:r>
      <w:r w:rsidRPr="00686FDA">
        <w:rPr>
          <w:i/>
        </w:rPr>
        <w:t>Australian Journal of Entomology</w:t>
      </w:r>
      <w:r w:rsidRPr="00686FDA">
        <w:t>, vol. 39, pp. 233-5.</w:t>
      </w:r>
      <w:bookmarkEnd w:id="180"/>
    </w:p>
    <w:p w:rsidR="00B52BB0" w:rsidRPr="00686FDA" w:rsidRDefault="00B52BB0" w:rsidP="003E074D">
      <w:pPr>
        <w:pStyle w:val="EndNoteBibliography"/>
        <w:spacing w:after="0"/>
      </w:pPr>
      <w:bookmarkStart w:id="181" w:name="_ENREF_65"/>
      <w:r w:rsidRPr="00686FDA">
        <w:t xml:space="preserve">Hancock, DL, Hamacek, E, Lloyd, AC &amp; Elson-Harris, MM 2000, </w:t>
      </w:r>
      <w:r w:rsidRPr="00686FDA">
        <w:rPr>
          <w:i/>
        </w:rPr>
        <w:t>The distribution and host plants of fruit flies (Diptera: Tephritidae) in Australia</w:t>
      </w:r>
      <w:r w:rsidRPr="00686FDA">
        <w:t>, Department of Primary Industries, Brisbane.</w:t>
      </w:r>
      <w:bookmarkEnd w:id="181"/>
    </w:p>
    <w:p w:rsidR="00B52BB0" w:rsidRPr="00686FDA" w:rsidRDefault="00B52BB0" w:rsidP="003E074D">
      <w:pPr>
        <w:pStyle w:val="EndNoteBibliography"/>
        <w:spacing w:after="0"/>
      </w:pPr>
      <w:bookmarkStart w:id="182" w:name="_ENREF_66"/>
      <w:r w:rsidRPr="00686FDA">
        <w:t>Hawkeswood, TJ, Dunn, KL &amp; Sommung, B 2016, ‘</w:t>
      </w:r>
      <w:r w:rsidRPr="00686FDA">
        <w:rPr>
          <w:i/>
        </w:rPr>
        <w:t>Acanthus ilicifolius</w:t>
      </w:r>
      <w:r w:rsidRPr="00686FDA">
        <w:t xml:space="preserve"> L. (Acanthaceae), a new larval host plant for </w:t>
      </w:r>
      <w:r w:rsidRPr="00686FDA">
        <w:rPr>
          <w:i/>
        </w:rPr>
        <w:t>Hypolycaena erylus himavantus</w:t>
      </w:r>
      <w:r w:rsidRPr="00686FDA">
        <w:t xml:space="preserve"> Fruhstorfer, 1912 (Lepidoptera: Lycaenidae) from Thailand, with a review on larval host plants of </w:t>
      </w:r>
      <w:r w:rsidRPr="00686FDA">
        <w:rPr>
          <w:i/>
        </w:rPr>
        <w:t>H. erylus</w:t>
      </w:r>
      <w:r w:rsidRPr="00686FDA">
        <w:t xml:space="preserve"> and its weaver ant association’, </w:t>
      </w:r>
      <w:r w:rsidRPr="00686FDA">
        <w:rPr>
          <w:i/>
        </w:rPr>
        <w:t>Calodema- an International Journal of Biology and Other Sciences</w:t>
      </w:r>
      <w:r w:rsidRPr="00686FDA">
        <w:t>, vol. 416, pp. 1-8.</w:t>
      </w:r>
      <w:bookmarkEnd w:id="182"/>
    </w:p>
    <w:p w:rsidR="00B52BB0" w:rsidRPr="00686FDA" w:rsidRDefault="00B52BB0" w:rsidP="003E074D">
      <w:pPr>
        <w:pStyle w:val="EndNoteBibliography"/>
        <w:spacing w:after="0"/>
      </w:pPr>
      <w:bookmarkStart w:id="183" w:name="_ENREF_67"/>
      <w:r w:rsidRPr="00686FDA">
        <w:t xml:space="preserve">Herbison-Evans, D &amp; Crossley, S 2019, ‘Australian Caterpillars and their Butterflies and Moths’, available at </w:t>
      </w:r>
      <w:hyperlink r:id="rId96" w:history="1">
        <w:r w:rsidR="00D46089" w:rsidRPr="006975B1">
          <w:rPr>
            <w:rStyle w:val="Hyperlink"/>
          </w:rPr>
          <w:t>http://lepidoptera.butterflyhouse.com.au/</w:t>
        </w:r>
      </w:hyperlink>
      <w:r w:rsidRPr="00686FDA">
        <w:t>, accessed 2019.</w:t>
      </w:r>
      <w:bookmarkEnd w:id="183"/>
    </w:p>
    <w:p w:rsidR="00B52BB0" w:rsidRPr="00686FDA" w:rsidRDefault="00B52BB0" w:rsidP="003E074D">
      <w:pPr>
        <w:pStyle w:val="EndNoteBibliography"/>
        <w:spacing w:after="0"/>
      </w:pPr>
      <w:bookmarkStart w:id="184" w:name="_ENREF_68"/>
      <w:r w:rsidRPr="00686FDA">
        <w:t xml:space="preserve">Hickery, GC, Jamieson, N, L., Edgeworth Osborne, M &amp; Turley, WS 2015, </w:t>
      </w:r>
      <w:r w:rsidRPr="00686FDA">
        <w:rPr>
          <w:i/>
        </w:rPr>
        <w:t>Vietnam: climate</w:t>
      </w:r>
      <w:r w:rsidRPr="00686FDA">
        <w:t xml:space="preserve">, Encyclopaedia Britannica, available at </w:t>
      </w:r>
      <w:hyperlink r:id="rId97" w:history="1">
        <w:r w:rsidR="00D46089" w:rsidRPr="006975B1">
          <w:rPr>
            <w:rStyle w:val="Hyperlink"/>
          </w:rPr>
          <w:t>http://www.britannica.com/place/Vietnam/Climate</w:t>
        </w:r>
      </w:hyperlink>
      <w:r w:rsidRPr="00686FDA">
        <w:t>.</w:t>
      </w:r>
      <w:bookmarkEnd w:id="184"/>
    </w:p>
    <w:p w:rsidR="00B52BB0" w:rsidRPr="00686FDA" w:rsidRDefault="00B52BB0" w:rsidP="003E074D">
      <w:pPr>
        <w:pStyle w:val="EndNoteBibliography"/>
        <w:spacing w:after="0"/>
      </w:pPr>
      <w:bookmarkStart w:id="185" w:name="_ENREF_69"/>
      <w:r w:rsidRPr="00686FDA">
        <w:t xml:space="preserve">Hill, MP, Bertelsmeier, C, Clusella-Trullas, S, Garnas, J, Robertson, MP &amp; Terblanche, JS 2016, ‘Predicted decrease in global climate suitability masks regional complexity of invasive fruit fly species response to climate change’, </w:t>
      </w:r>
      <w:r w:rsidRPr="00686FDA">
        <w:rPr>
          <w:i/>
        </w:rPr>
        <w:t>Biological Invasions</w:t>
      </w:r>
      <w:r w:rsidRPr="00686FDA">
        <w:t>, vol. 18, pp. 1105-19.</w:t>
      </w:r>
      <w:bookmarkEnd w:id="185"/>
    </w:p>
    <w:p w:rsidR="00B52BB0" w:rsidRPr="00686FDA" w:rsidRDefault="00B52BB0" w:rsidP="003E074D">
      <w:pPr>
        <w:pStyle w:val="EndNoteBibliography"/>
        <w:spacing w:after="0"/>
      </w:pPr>
      <w:bookmarkStart w:id="186" w:name="_ENREF_70"/>
      <w:r w:rsidRPr="00686FDA">
        <w:t xml:space="preserve">Hoa, NV, Hieu, NT, Hahn, TTM, Uyen, DTK &amp; Dien, LQ 2014, ‘Emerging infectious diseases and insect pests of dragon fruit, passionfruit, citrus, longan’, </w:t>
      </w:r>
      <w:r w:rsidRPr="00686FDA">
        <w:rPr>
          <w:i/>
        </w:rPr>
        <w:t>Workshop on Increasing Production and Market Access for Tropical Fruit in Southeast Asia, Southern Horticultural Research Institute (SOFRI), Long Dihn, Chau Thanh, Tien Giang, Viet Nam, 13-17 October 2014</w:t>
      </w:r>
      <w:r w:rsidRPr="00686FDA">
        <w:t>, pp. 63-76.</w:t>
      </w:r>
      <w:bookmarkEnd w:id="186"/>
    </w:p>
    <w:p w:rsidR="00B52BB0" w:rsidRPr="00686FDA" w:rsidRDefault="00B52BB0" w:rsidP="003E074D">
      <w:pPr>
        <w:pStyle w:val="EndNoteBibliography"/>
        <w:spacing w:after="0"/>
      </w:pPr>
      <w:bookmarkStart w:id="187" w:name="_ENREF_71"/>
      <w:r w:rsidRPr="00686FDA">
        <w:t xml:space="preserve">Hoat, TX, Quan, MV, Hao, LV, Chi, TT, Lan Anh, DT, Son, PV, Cuong, NN &amp; Bertaccini, A 2017, ‘Association of </w:t>
      </w:r>
      <w:r w:rsidRPr="00686FDA">
        <w:rPr>
          <w:i/>
        </w:rPr>
        <w:t>Eriophyes dimocarpi</w:t>
      </w:r>
      <w:r w:rsidRPr="00686FDA">
        <w:t xml:space="preserve"> (Acari: Eriophyidae) with longan witches’ broom disease in Vietnam’, </w:t>
      </w:r>
      <w:r w:rsidRPr="00686FDA">
        <w:rPr>
          <w:i/>
        </w:rPr>
        <w:t>Archives of Phytopathology and Plant Protection</w:t>
      </w:r>
      <w:r w:rsidRPr="00686FDA">
        <w:t>, vol. 50, no. 1-2, pp. 70-83.</w:t>
      </w:r>
      <w:bookmarkEnd w:id="187"/>
    </w:p>
    <w:p w:rsidR="00B52BB0" w:rsidRPr="00686FDA" w:rsidRDefault="00B52BB0" w:rsidP="003E074D">
      <w:pPr>
        <w:pStyle w:val="EndNoteBibliography"/>
        <w:spacing w:after="0"/>
      </w:pPr>
      <w:bookmarkStart w:id="188" w:name="_ENREF_72"/>
      <w:r w:rsidRPr="00686FDA">
        <w:t xml:space="preserve">Hong-Thao, PT, Miai-Linh, NV, Hong-Lien, NT &amp; Hieu, NV 2016, ‘Biological characteristics and antimicrobial activity of endophytic </w:t>
      </w:r>
      <w:r w:rsidRPr="00686FDA">
        <w:rPr>
          <w:i/>
        </w:rPr>
        <w:t>Streptomyces</w:t>
      </w:r>
      <w:r w:rsidRPr="00686FDA">
        <w:t xml:space="preserve"> sp. TQR12-4 isolated from elite </w:t>
      </w:r>
      <w:r w:rsidRPr="00686FDA">
        <w:rPr>
          <w:i/>
        </w:rPr>
        <w:t>Citrus nobilis</w:t>
      </w:r>
      <w:r w:rsidRPr="00686FDA">
        <w:t xml:space="preserve"> cultivar Ham Yen of Vietnam’ </w:t>
      </w:r>
      <w:r w:rsidRPr="00686FDA">
        <w:rPr>
          <w:i/>
        </w:rPr>
        <w:t>International Journal of Microbiology</w:t>
      </w:r>
      <w:r w:rsidRPr="00686FDA">
        <w:t xml:space="preserve">, vol. 2016, available at </w:t>
      </w:r>
      <w:hyperlink r:id="rId98" w:history="1">
        <w:r w:rsidR="00D46089" w:rsidRPr="006975B1">
          <w:rPr>
            <w:rStyle w:val="Hyperlink"/>
          </w:rPr>
          <w:t>http://dx.doi.org/10.1155/2016/7207818</w:t>
        </w:r>
      </w:hyperlink>
      <w:r w:rsidRPr="00686FDA">
        <w:t>.</w:t>
      </w:r>
      <w:bookmarkEnd w:id="188"/>
    </w:p>
    <w:p w:rsidR="00B52BB0" w:rsidRPr="00686FDA" w:rsidRDefault="00B52BB0" w:rsidP="003E074D">
      <w:pPr>
        <w:pStyle w:val="EndNoteBibliography"/>
        <w:spacing w:after="0"/>
      </w:pPr>
      <w:bookmarkStart w:id="189" w:name="_ENREF_73"/>
      <w:r w:rsidRPr="00686FDA">
        <w:t xml:space="preserve">Hoskins, A 2012, ‘Learn About Butterflies: the complete guide to the world of butterflies and moths’, available at </w:t>
      </w:r>
      <w:hyperlink r:id="rId99" w:history="1">
        <w:r w:rsidR="00D46089" w:rsidRPr="006975B1">
          <w:rPr>
            <w:rStyle w:val="Hyperlink"/>
          </w:rPr>
          <w:t>http://www.learnaboutbutterflies.com/</w:t>
        </w:r>
      </w:hyperlink>
      <w:r w:rsidRPr="00686FDA">
        <w:t>, accessed 2019.</w:t>
      </w:r>
      <w:bookmarkEnd w:id="189"/>
    </w:p>
    <w:p w:rsidR="00B52BB0" w:rsidRPr="00686FDA" w:rsidRDefault="00B52BB0" w:rsidP="003E074D">
      <w:pPr>
        <w:pStyle w:val="EndNoteBibliography"/>
        <w:spacing w:after="0"/>
      </w:pPr>
      <w:bookmarkStart w:id="190" w:name="_ENREF_74"/>
      <w:r w:rsidRPr="00686FDA">
        <w:t xml:space="preserve">Hu, Z, Shao, W, He, Y, Zhang, J &amp; Xu, Z 2017, ‘Effects of temperature on the growth, development and reproduction of </w:t>
      </w:r>
      <w:r w:rsidRPr="00686FDA">
        <w:rPr>
          <w:i/>
        </w:rPr>
        <w:t>Dysmicoccus neobrevipes</w:t>
      </w:r>
      <w:r w:rsidRPr="00686FDA">
        <w:t xml:space="preserve"> Beardsley (Hemiptera: Pseudococcidae)’ (in Chinese), </w:t>
      </w:r>
      <w:r w:rsidRPr="00686FDA">
        <w:rPr>
          <w:i/>
        </w:rPr>
        <w:t>Chinese Journal of Applied Ecology</w:t>
      </w:r>
      <w:r w:rsidRPr="00686FDA">
        <w:t>, vol. 28, no. 2, pp. 651-7.</w:t>
      </w:r>
      <w:bookmarkEnd w:id="190"/>
    </w:p>
    <w:p w:rsidR="00B52BB0" w:rsidRPr="00686FDA" w:rsidRDefault="00B52BB0" w:rsidP="003E074D">
      <w:pPr>
        <w:pStyle w:val="EndNoteBibliography"/>
        <w:spacing w:after="0"/>
      </w:pPr>
      <w:bookmarkStart w:id="191" w:name="_ENREF_75"/>
      <w:r w:rsidRPr="00686FDA">
        <w:t xml:space="preserve">Huang, YK &amp; Chi, H 2014, ‘Fitness of </w:t>
      </w:r>
      <w:r w:rsidRPr="00686FDA">
        <w:rPr>
          <w:i/>
        </w:rPr>
        <w:t>Bactrocera dorsalis</w:t>
      </w:r>
      <w:r w:rsidRPr="00686FDA">
        <w:t xml:space="preserve"> (Hendel) on seven host plants and an artificial diet’, </w:t>
      </w:r>
      <w:r w:rsidRPr="00686FDA">
        <w:rPr>
          <w:i/>
        </w:rPr>
        <w:t>Türkiye Entomoloji Derneği &amp; Dergisi</w:t>
      </w:r>
      <w:r w:rsidRPr="00686FDA">
        <w:t>, vol. 38, pp. 401-14.</w:t>
      </w:r>
      <w:bookmarkEnd w:id="191"/>
    </w:p>
    <w:p w:rsidR="00B52BB0" w:rsidRPr="00686FDA" w:rsidRDefault="00B52BB0" w:rsidP="003E074D">
      <w:pPr>
        <w:pStyle w:val="EndNoteBibliography"/>
        <w:spacing w:after="0"/>
      </w:pPr>
      <w:bookmarkStart w:id="192" w:name="_ENREF_76"/>
      <w:r w:rsidRPr="00686FDA">
        <w:lastRenderedPageBreak/>
        <w:t xml:space="preserve">Inayoshi, Y 2011, </w:t>
      </w:r>
      <w:r w:rsidRPr="00686FDA">
        <w:rPr>
          <w:i/>
        </w:rPr>
        <w:t>Rapala pheretima petosiris (Hewitson 1863)</w:t>
      </w:r>
      <w:r w:rsidRPr="00686FDA">
        <w:t xml:space="preserve">, A Check List of Butterflies in Indo-China.Chiefly from Thailand, Laos &amp; Vietnam, available at </w:t>
      </w:r>
      <w:hyperlink r:id="rId100" w:history="1">
        <w:r w:rsidR="00D46089" w:rsidRPr="006975B1">
          <w:rPr>
            <w:rStyle w:val="Hyperlink"/>
          </w:rPr>
          <w:t>http://yutaka.it-n.jp/lyc4/83840010.html</w:t>
        </w:r>
      </w:hyperlink>
      <w:r w:rsidRPr="00686FDA">
        <w:t>.</w:t>
      </w:r>
      <w:bookmarkEnd w:id="192"/>
    </w:p>
    <w:p w:rsidR="00B52BB0" w:rsidRPr="00686FDA" w:rsidRDefault="00B52BB0" w:rsidP="003E074D">
      <w:pPr>
        <w:pStyle w:val="EndNoteBibliography"/>
        <w:spacing w:after="0"/>
      </w:pPr>
      <w:bookmarkStart w:id="193" w:name="_ENREF_77"/>
      <w:r w:rsidRPr="00686FDA">
        <w:t xml:space="preserve">Indarwatmi, M, Dadang, D, Ridwani, S &amp; Ratna, ES 2017, ‘The bionomics of the cocoa mealybug, </w:t>
      </w:r>
      <w:r w:rsidRPr="00686FDA">
        <w:rPr>
          <w:i/>
        </w:rPr>
        <w:t>Exallomochlus hispidus</w:t>
      </w:r>
      <w:r w:rsidRPr="00686FDA">
        <w:t xml:space="preserve"> (Morrison) (Hemiptera: Pseudococcidae), on mangosteen fruit and three alternative hosts’ </w:t>
      </w:r>
      <w:r w:rsidRPr="00686FDA">
        <w:rPr>
          <w:i/>
        </w:rPr>
        <w:t>Insects</w:t>
      </w:r>
      <w:r w:rsidRPr="00686FDA">
        <w:t>, vol. 8, no. 75, available at DOI 10.3390/insects8030075</w:t>
      </w:r>
      <w:bookmarkEnd w:id="193"/>
      <w:r w:rsidR="00D46089">
        <w:t>.</w:t>
      </w:r>
    </w:p>
    <w:p w:rsidR="00B52BB0" w:rsidRPr="00686FDA" w:rsidRDefault="00B52BB0" w:rsidP="003E074D">
      <w:pPr>
        <w:pStyle w:val="EndNoteBibliography"/>
        <w:spacing w:after="0"/>
      </w:pPr>
      <w:bookmarkStart w:id="194" w:name="_ENREF_78"/>
      <w:r w:rsidRPr="00686FDA">
        <w:t xml:space="preserve">International Trade Centre 2018, </w:t>
      </w:r>
      <w:r w:rsidRPr="00686FDA">
        <w:rPr>
          <w:i/>
        </w:rPr>
        <w:t>Trade map: trade statistics for international business development</w:t>
      </w:r>
      <w:r w:rsidRPr="00686FDA">
        <w:t xml:space="preserve">, Trade map, available at </w:t>
      </w:r>
      <w:hyperlink r:id="rId101" w:history="1">
        <w:r w:rsidR="00D46089" w:rsidRPr="006975B1">
          <w:rPr>
            <w:rStyle w:val="Hyperlink"/>
          </w:rPr>
          <w:t>https://www.trademap.org/Index.aspx</w:t>
        </w:r>
      </w:hyperlink>
      <w:r w:rsidRPr="00686FDA">
        <w:t>.</w:t>
      </w:r>
      <w:bookmarkEnd w:id="194"/>
    </w:p>
    <w:p w:rsidR="00B52BB0" w:rsidRPr="00686FDA" w:rsidRDefault="00B52BB0" w:rsidP="003E074D">
      <w:pPr>
        <w:pStyle w:val="EndNoteBibliography"/>
        <w:spacing w:after="0"/>
      </w:pPr>
      <w:bookmarkStart w:id="195" w:name="_ENREF_79"/>
      <w:r w:rsidRPr="00686FDA">
        <w:t xml:space="preserve">International Tropical Fruits Network 2012, ‘Rambutan: rising fruit of the east’, available at </w:t>
      </w:r>
      <w:hyperlink r:id="rId102" w:history="1">
        <w:r w:rsidR="00D46089" w:rsidRPr="006975B1">
          <w:rPr>
            <w:rStyle w:val="Hyperlink"/>
          </w:rPr>
          <w:t>http://www.itfnet.org/v1/2012/04/rambutan-rising-fruit-of-the-east/</w:t>
        </w:r>
      </w:hyperlink>
      <w:r w:rsidRPr="00686FDA">
        <w:t>.</w:t>
      </w:r>
      <w:bookmarkEnd w:id="195"/>
    </w:p>
    <w:p w:rsidR="00B52BB0" w:rsidRPr="00686FDA" w:rsidRDefault="00B52BB0" w:rsidP="003E074D">
      <w:pPr>
        <w:pStyle w:val="EndNoteBibliography"/>
        <w:spacing w:after="0"/>
      </w:pPr>
      <w:bookmarkStart w:id="196" w:name="_ENREF_80"/>
      <w:r w:rsidRPr="00686FDA">
        <w:t xml:space="preserve">ITIS 2018, ‘Catalogue of Life’, Species 2000 Secretariat, Leiden, The Netherlands, available at </w:t>
      </w:r>
      <w:hyperlink r:id="rId103" w:history="1">
        <w:r w:rsidR="00D46089" w:rsidRPr="006975B1">
          <w:rPr>
            <w:rStyle w:val="Hyperlink"/>
          </w:rPr>
          <w:t>http://www.catalogueoflife.org/</w:t>
        </w:r>
      </w:hyperlink>
      <w:r w:rsidRPr="00686FDA">
        <w:t>, accessed 2019.</w:t>
      </w:r>
      <w:bookmarkEnd w:id="196"/>
    </w:p>
    <w:p w:rsidR="00B52BB0" w:rsidRPr="00686FDA" w:rsidRDefault="00B52BB0" w:rsidP="003E074D">
      <w:pPr>
        <w:pStyle w:val="EndNoteBibliography"/>
        <w:spacing w:after="0"/>
      </w:pPr>
      <w:bookmarkStart w:id="197" w:name="_ENREF_81"/>
      <w:r w:rsidRPr="00686FDA">
        <w:t xml:space="preserve">Khoo, KC, Ooi, PAC &amp; Ho, CT 1991, </w:t>
      </w:r>
      <w:r w:rsidRPr="00686FDA">
        <w:rPr>
          <w:i/>
        </w:rPr>
        <w:t>Crop pests and their management in Malaysia</w:t>
      </w:r>
      <w:r w:rsidRPr="00686FDA">
        <w:t>, Tropical Press, Kuala Lumpur.</w:t>
      </w:r>
      <w:bookmarkEnd w:id="197"/>
    </w:p>
    <w:p w:rsidR="00B52BB0" w:rsidRPr="00686FDA" w:rsidRDefault="00B52BB0" w:rsidP="003E074D">
      <w:pPr>
        <w:pStyle w:val="EndNoteBibliography"/>
        <w:spacing w:after="0"/>
      </w:pPr>
      <w:bookmarkStart w:id="198" w:name="_ENREF_82"/>
      <w:r w:rsidRPr="00686FDA">
        <w:t xml:space="preserve">Kim, SB &amp; Kim, DS 2018, ‘A tentative evaluation for population establishment of </w:t>
      </w:r>
      <w:r w:rsidRPr="00686FDA">
        <w:rPr>
          <w:i/>
        </w:rPr>
        <w:t>Bactrocera dorsalis</w:t>
      </w:r>
      <w:r w:rsidRPr="00686FDA">
        <w:t xml:space="preserve"> (Diptera: Tephritidae) by its population modelling: considering the temporal distribution of host plants in a selected area in Jeju, Korea’, </w:t>
      </w:r>
      <w:r w:rsidRPr="00686FDA">
        <w:rPr>
          <w:i/>
        </w:rPr>
        <w:t>Journal of Asia-Pacific Entomology</w:t>
      </w:r>
      <w:r w:rsidRPr="00686FDA">
        <w:t>, vol. 21, pp. 451-65.</w:t>
      </w:r>
      <w:bookmarkEnd w:id="198"/>
    </w:p>
    <w:p w:rsidR="00B52BB0" w:rsidRPr="00686FDA" w:rsidRDefault="00B52BB0" w:rsidP="003E074D">
      <w:pPr>
        <w:pStyle w:val="EndNoteBibliography"/>
        <w:spacing w:after="0"/>
      </w:pPr>
      <w:bookmarkStart w:id="199" w:name="_ENREF_83"/>
      <w:r w:rsidRPr="00686FDA">
        <w:t xml:space="preserve">Kimoto, S 1989, ‘Chrysomelidae (Coleoptera) of Thailand, Cambodia, Laos and Vietnam IV. Galerucinae’, </w:t>
      </w:r>
      <w:r w:rsidRPr="00686FDA">
        <w:rPr>
          <w:i/>
        </w:rPr>
        <w:t>Esakia</w:t>
      </w:r>
      <w:r w:rsidRPr="00686FDA">
        <w:t>, vol. 27, pp. 1-241.</w:t>
      </w:r>
      <w:bookmarkEnd w:id="199"/>
    </w:p>
    <w:p w:rsidR="00B52BB0" w:rsidRPr="00686FDA" w:rsidRDefault="00B52BB0" w:rsidP="003E074D">
      <w:pPr>
        <w:pStyle w:val="EndNoteBibliography"/>
        <w:spacing w:after="0"/>
      </w:pPr>
      <w:bookmarkStart w:id="200" w:name="_ENREF_84"/>
      <w:r w:rsidRPr="00686FDA">
        <w:t xml:space="preserve">Kumar, H &amp; Singh, G 2007, ‘Biology of litchi bug, </w:t>
      </w:r>
      <w:r w:rsidRPr="00686FDA">
        <w:rPr>
          <w:i/>
        </w:rPr>
        <w:t xml:space="preserve">Tessaratoma javanica </w:t>
      </w:r>
      <w:r w:rsidRPr="00686FDA">
        <w:t xml:space="preserve">Thunberg (Hemiptera: Pentatomidae) on litchi’, </w:t>
      </w:r>
      <w:r w:rsidRPr="00686FDA">
        <w:rPr>
          <w:i/>
        </w:rPr>
        <w:t>Pantnagar Journal of Research</w:t>
      </w:r>
      <w:r w:rsidRPr="00686FDA">
        <w:t>, vol. 5, no. 1, pp. 17-20.</w:t>
      </w:r>
      <w:bookmarkEnd w:id="200"/>
    </w:p>
    <w:p w:rsidR="00B52BB0" w:rsidRPr="00686FDA" w:rsidRDefault="00B52BB0" w:rsidP="003E074D">
      <w:pPr>
        <w:pStyle w:val="EndNoteBibliography"/>
        <w:spacing w:after="0"/>
      </w:pPr>
      <w:bookmarkStart w:id="201" w:name="_ENREF_85"/>
      <w:r w:rsidRPr="00686FDA">
        <w:t xml:space="preserve">Kunprom, C, Sopaladawan, PN &amp; Pramual, P 2015, ‘Population genetics and demographic history of guava fruit fly </w:t>
      </w:r>
      <w:r w:rsidRPr="00686FDA">
        <w:rPr>
          <w:i/>
        </w:rPr>
        <w:t>Bactrocera correcta</w:t>
      </w:r>
      <w:r w:rsidRPr="00686FDA">
        <w:t xml:space="preserve"> (Diptera: Tephritidae) in northeastern Thailand’, </w:t>
      </w:r>
      <w:r w:rsidRPr="00686FDA">
        <w:rPr>
          <w:i/>
        </w:rPr>
        <w:t>European Journal of Entomology</w:t>
      </w:r>
      <w:r w:rsidRPr="00686FDA">
        <w:t>, vol. 112, no. 2, pp. 227-34.</w:t>
      </w:r>
      <w:bookmarkEnd w:id="201"/>
    </w:p>
    <w:p w:rsidR="00B52BB0" w:rsidRPr="00686FDA" w:rsidRDefault="00B52BB0" w:rsidP="003E074D">
      <w:pPr>
        <w:pStyle w:val="EndNoteBibliography"/>
        <w:spacing w:after="0"/>
      </w:pPr>
      <w:bookmarkStart w:id="202" w:name="_ENREF_86"/>
      <w:r w:rsidRPr="00686FDA">
        <w:t xml:space="preserve">Kuroko, H &amp; Lewvanich, A 1993, </w:t>
      </w:r>
      <w:r w:rsidRPr="00686FDA">
        <w:rPr>
          <w:i/>
        </w:rPr>
        <w:t>Lepidopterous pests of tropical fruit trees in Thailand</w:t>
      </w:r>
      <w:r w:rsidRPr="00686FDA">
        <w:t>, Japan International Cooperation Agency, Tokyo.</w:t>
      </w:r>
      <w:bookmarkEnd w:id="202"/>
    </w:p>
    <w:p w:rsidR="00B52BB0" w:rsidRPr="00686FDA" w:rsidRDefault="00B52BB0" w:rsidP="003E074D">
      <w:pPr>
        <w:pStyle w:val="EndNoteBibliography"/>
        <w:spacing w:after="0"/>
      </w:pPr>
      <w:bookmarkStart w:id="203" w:name="_ENREF_87"/>
      <w:r w:rsidRPr="00686FDA">
        <w:t xml:space="preserve">Kuswadi, AN, Indarwatmi, M, Nasution, IA &amp; Sasmita, HI 2016, ‘Minimum gamma irradiation dose for phytosanitary treatment of </w:t>
      </w:r>
      <w:r w:rsidRPr="00686FDA">
        <w:rPr>
          <w:i/>
        </w:rPr>
        <w:t>Exallomochlus hispidus</w:t>
      </w:r>
      <w:r w:rsidRPr="00686FDA">
        <w:t xml:space="preserve"> (Hemiptera: Pseudococcidae)’, </w:t>
      </w:r>
      <w:r w:rsidRPr="00686FDA">
        <w:rPr>
          <w:i/>
        </w:rPr>
        <w:t>Florida Entomologist</w:t>
      </w:r>
      <w:r w:rsidRPr="00686FDA">
        <w:t>, vol. 99, pp. 69-75.</w:t>
      </w:r>
      <w:bookmarkEnd w:id="203"/>
    </w:p>
    <w:p w:rsidR="00B52BB0" w:rsidRPr="00686FDA" w:rsidRDefault="00B52BB0" w:rsidP="003E074D">
      <w:pPr>
        <w:pStyle w:val="EndNoteBibliography"/>
        <w:spacing w:after="0"/>
      </w:pPr>
      <w:bookmarkStart w:id="204" w:name="_ENREF_88"/>
      <w:r w:rsidRPr="00686FDA">
        <w:t xml:space="preserve">Li, P, Chen, B, Dong, Y, Yao, Q, Xu, S, Chen, K &amp; Chen, G 2014, ‘Effects of temperature on emergence dynamics of </w:t>
      </w:r>
      <w:r w:rsidRPr="00686FDA">
        <w:rPr>
          <w:i/>
        </w:rPr>
        <w:t>Conopomorpha sinensis</w:t>
      </w:r>
      <w:r w:rsidRPr="00686FDA">
        <w:t xml:space="preserve"> (Lepidoptera: Gracillariidae)’, </w:t>
      </w:r>
      <w:r w:rsidRPr="00686FDA">
        <w:rPr>
          <w:i/>
        </w:rPr>
        <w:t>Florida Entomologist</w:t>
      </w:r>
      <w:r w:rsidRPr="00686FDA">
        <w:t>, vol. 97, no. 3, pp. 1093-8.</w:t>
      </w:r>
      <w:bookmarkEnd w:id="204"/>
    </w:p>
    <w:p w:rsidR="00B52BB0" w:rsidRPr="00686FDA" w:rsidRDefault="00B52BB0" w:rsidP="003E074D">
      <w:pPr>
        <w:pStyle w:val="EndNoteBibliography"/>
        <w:spacing w:after="0"/>
      </w:pPr>
      <w:bookmarkStart w:id="205" w:name="_ENREF_89"/>
      <w:r w:rsidRPr="00686FDA">
        <w:t xml:space="preserve">Liu, X, Yan, J &amp; Ye, H 2013, ‘Recent spread and climatic ecological niche of the invasive guava fruit fly, </w:t>
      </w:r>
      <w:r w:rsidRPr="00686FDA">
        <w:rPr>
          <w:i/>
        </w:rPr>
        <w:t>Bactrocera correcta</w:t>
      </w:r>
      <w:r w:rsidRPr="00686FDA">
        <w:t xml:space="preserve">, in mainland China’, </w:t>
      </w:r>
      <w:r w:rsidRPr="00686FDA">
        <w:rPr>
          <w:i/>
        </w:rPr>
        <w:t>Journal of Pest Science</w:t>
      </w:r>
      <w:r w:rsidRPr="00686FDA">
        <w:t>, vol. 86, no. 3, pp. 449-58.</w:t>
      </w:r>
      <w:bookmarkEnd w:id="205"/>
    </w:p>
    <w:p w:rsidR="00B52BB0" w:rsidRPr="00686FDA" w:rsidRDefault="00B52BB0" w:rsidP="003E074D">
      <w:pPr>
        <w:pStyle w:val="EndNoteBibliography"/>
        <w:spacing w:after="0"/>
      </w:pPr>
      <w:bookmarkStart w:id="206" w:name="_ENREF_90"/>
      <w:r w:rsidRPr="00686FDA">
        <w:t xml:space="preserve">Liu, X &amp; Ye, H 2009, ‘Effect of temperature on development and survival of </w:t>
      </w:r>
      <w:r w:rsidRPr="00686FDA">
        <w:rPr>
          <w:i/>
        </w:rPr>
        <w:t>Bactrocera correcta</w:t>
      </w:r>
      <w:r w:rsidRPr="00686FDA">
        <w:t xml:space="preserve"> (Diptera: Tephritidae)’, </w:t>
      </w:r>
      <w:r w:rsidRPr="00686FDA">
        <w:rPr>
          <w:i/>
        </w:rPr>
        <w:t>Scientific Research and Essay</w:t>
      </w:r>
      <w:r w:rsidRPr="00686FDA">
        <w:t>, vol. 4, no. 5, pp. 467-72.</w:t>
      </w:r>
      <w:bookmarkEnd w:id="206"/>
    </w:p>
    <w:p w:rsidR="00B52BB0" w:rsidRPr="00686FDA" w:rsidRDefault="00B52BB0" w:rsidP="003E074D">
      <w:pPr>
        <w:pStyle w:val="EndNoteBibliography"/>
        <w:spacing w:after="0"/>
      </w:pPr>
      <w:bookmarkStart w:id="207" w:name="_ENREF_91"/>
      <w:r w:rsidRPr="00686FDA">
        <w:t xml:space="preserve">Liu, Y, Zhou, S, Wang, C, Xie, Z, Fu, M, Zhao, GHG &amp; Xie, M 1996, ‘Primary study on the bionomics and chemical control of </w:t>
      </w:r>
      <w:r w:rsidRPr="00686FDA">
        <w:rPr>
          <w:i/>
        </w:rPr>
        <w:t>Lawana imitata</w:t>
      </w:r>
      <w:r w:rsidRPr="00686FDA">
        <w:t xml:space="preserve"> Melicher’, vol. 1, available at </w:t>
      </w:r>
      <w:hyperlink r:id="rId104" w:history="1">
        <w:r w:rsidR="00D46089" w:rsidRPr="006975B1">
          <w:rPr>
            <w:rStyle w:val="Hyperlink"/>
          </w:rPr>
          <w:t>http://en.cnki.com.cn/Article_en/CJFDTOTAL-FBLI601.009.htm</w:t>
        </w:r>
      </w:hyperlink>
      <w:r w:rsidRPr="00686FDA">
        <w:t>.</w:t>
      </w:r>
      <w:bookmarkEnd w:id="207"/>
    </w:p>
    <w:p w:rsidR="00B52BB0" w:rsidRPr="00686FDA" w:rsidRDefault="00B52BB0" w:rsidP="003E074D">
      <w:pPr>
        <w:pStyle w:val="EndNoteBibliography"/>
        <w:spacing w:after="0"/>
      </w:pPr>
      <w:bookmarkStart w:id="208" w:name="_ENREF_92"/>
      <w:r w:rsidRPr="00686FDA">
        <w:t xml:space="preserve">Lok, AFSL, Ang, WF, Tan, HTW, Corlett, RT &amp; Tan, PY, (eds) 2012, </w:t>
      </w:r>
      <w:r w:rsidRPr="00686FDA">
        <w:rPr>
          <w:i/>
        </w:rPr>
        <w:t xml:space="preserve">The native fauna of the native garden@Hortpark: Birds, fishes, amphibians, reptiles, butterflies, moths, damselflies, and dragonflies </w:t>
      </w:r>
      <w:r w:rsidRPr="00686FDA">
        <w:t>Raffles Museum of Biodiversity Research, National University of Singapore and Centre for Urban Greenery and Ecology, National Parks Board, Singapore.</w:t>
      </w:r>
      <w:bookmarkEnd w:id="208"/>
    </w:p>
    <w:p w:rsidR="00B52BB0" w:rsidRPr="00686FDA" w:rsidRDefault="00B52BB0" w:rsidP="003E074D">
      <w:pPr>
        <w:pStyle w:val="EndNoteBibliography"/>
        <w:spacing w:after="0"/>
      </w:pPr>
      <w:bookmarkStart w:id="209" w:name="_ENREF_93"/>
      <w:r w:rsidRPr="00686FDA">
        <w:lastRenderedPageBreak/>
        <w:t xml:space="preserve">Mani, M &amp; Krishnamoorthy, A 2010, ‘Effects of different pesticides upon the wax scale parasitoid, </w:t>
      </w:r>
      <w:r w:rsidRPr="00686FDA">
        <w:rPr>
          <w:i/>
        </w:rPr>
        <w:t>Anicetus ceylonensis</w:t>
      </w:r>
      <w:r w:rsidRPr="00686FDA">
        <w:t xml:space="preserve"> How. (Hym.: Encyrtidae)’, </w:t>
      </w:r>
      <w:r w:rsidRPr="00686FDA">
        <w:rPr>
          <w:i/>
        </w:rPr>
        <w:t>International Journal of Pest Management</w:t>
      </w:r>
      <w:r w:rsidRPr="00686FDA">
        <w:t>, vol. 43, pp. 123-6.</w:t>
      </w:r>
      <w:bookmarkEnd w:id="209"/>
    </w:p>
    <w:p w:rsidR="00B52BB0" w:rsidRPr="00686FDA" w:rsidRDefault="00B52BB0" w:rsidP="003E074D">
      <w:pPr>
        <w:pStyle w:val="EndNoteBibliography"/>
        <w:spacing w:after="0"/>
      </w:pPr>
      <w:bookmarkStart w:id="210" w:name="_ENREF_94"/>
      <w:r w:rsidRPr="00686FDA">
        <w:t xml:space="preserve">Mau, RFL &amp; Martin Kessing, JL 2007, </w:t>
      </w:r>
      <w:r w:rsidRPr="00686FDA">
        <w:rPr>
          <w:i/>
        </w:rPr>
        <w:t>Bactrocera dorsalis (Hendel)</w:t>
      </w:r>
      <w:r w:rsidRPr="00686FDA">
        <w:t xml:space="preserve">, Crop Knowledge Master, available at </w:t>
      </w:r>
      <w:hyperlink r:id="rId105" w:history="1">
        <w:r w:rsidR="00D46089" w:rsidRPr="006975B1">
          <w:rPr>
            <w:rStyle w:val="Hyperlink"/>
          </w:rPr>
          <w:t>http://www.extento.hawaii.edu/kbase/crop/Type/bactro_d.htm</w:t>
        </w:r>
      </w:hyperlink>
      <w:r w:rsidRPr="00686FDA">
        <w:t>.</w:t>
      </w:r>
      <w:bookmarkEnd w:id="210"/>
    </w:p>
    <w:p w:rsidR="00B52BB0" w:rsidRPr="00686FDA" w:rsidRDefault="00B52BB0" w:rsidP="003E074D">
      <w:pPr>
        <w:pStyle w:val="EndNoteBibliography"/>
        <w:spacing w:after="0"/>
      </w:pPr>
      <w:bookmarkStart w:id="211" w:name="_ENREF_95"/>
      <w:r w:rsidRPr="00686FDA">
        <w:t xml:space="preserve">McBride, OC &amp; Tanada, Y 1949, ‘A revised list of host plants of the melon fly in Hawaii’, </w:t>
      </w:r>
      <w:r w:rsidRPr="00686FDA">
        <w:rPr>
          <w:i/>
        </w:rPr>
        <w:t>Proceedings of the Hawaian Entomological Society</w:t>
      </w:r>
      <w:r w:rsidRPr="00686FDA">
        <w:t>, vol. 13, pp. 411-21.</w:t>
      </w:r>
      <w:bookmarkEnd w:id="211"/>
    </w:p>
    <w:p w:rsidR="00B52BB0" w:rsidRPr="00686FDA" w:rsidRDefault="00B52BB0" w:rsidP="003E074D">
      <w:pPr>
        <w:pStyle w:val="EndNoteBibliography"/>
        <w:spacing w:after="0"/>
      </w:pPr>
      <w:bookmarkStart w:id="212" w:name="_ENREF_96"/>
      <w:r w:rsidRPr="00686FDA">
        <w:t xml:space="preserve">McQuate, GT &amp; Jameson, ML 2011, ‘Distinguishing male and female Chinese rose beetles, </w:t>
      </w:r>
      <w:r w:rsidRPr="00686FDA">
        <w:rPr>
          <w:i/>
        </w:rPr>
        <w:t>Adoretus sinicus,</w:t>
      </w:r>
      <w:r w:rsidRPr="00686FDA">
        <w:t xml:space="preserve"> with an overview of </w:t>
      </w:r>
      <w:r w:rsidRPr="00686FDA">
        <w:rPr>
          <w:i/>
        </w:rPr>
        <w:t xml:space="preserve">Adoretus </w:t>
      </w:r>
      <w:r w:rsidRPr="00686FDA">
        <w:t xml:space="preserve">species of biosecurity concern’, </w:t>
      </w:r>
      <w:r w:rsidRPr="00686FDA">
        <w:rPr>
          <w:i/>
        </w:rPr>
        <w:t>Journal of Insect Science</w:t>
      </w:r>
      <w:r w:rsidRPr="00686FDA">
        <w:t>, vol. 11, no. 64, pp. 1-18.</w:t>
      </w:r>
      <w:bookmarkEnd w:id="212"/>
    </w:p>
    <w:p w:rsidR="00B52BB0" w:rsidRPr="00686FDA" w:rsidRDefault="00B52BB0" w:rsidP="003E074D">
      <w:pPr>
        <w:pStyle w:val="EndNoteBibliography"/>
        <w:spacing w:after="0"/>
      </w:pPr>
      <w:bookmarkStart w:id="213" w:name="_ENREF_97"/>
      <w:r w:rsidRPr="00686FDA">
        <w:t xml:space="preserve">McQuate, GT, Liquido, NJ &amp; Nakamichi, KAA 2017, ‘Annotated world bibliography of host plants of the melon fly, </w:t>
      </w:r>
      <w:r w:rsidRPr="00686FDA">
        <w:rPr>
          <w:i/>
        </w:rPr>
        <w:t>Bactrocera cucurbitae</w:t>
      </w:r>
      <w:r w:rsidRPr="00686FDA">
        <w:t xml:space="preserve"> (Coquillett) (Diptera: Tephritidae)’, </w:t>
      </w:r>
      <w:r w:rsidRPr="00686FDA">
        <w:rPr>
          <w:i/>
        </w:rPr>
        <w:t>Insecta Mundi</w:t>
      </w:r>
      <w:r w:rsidRPr="00686FDA">
        <w:t>, vol. 1032, no. 0527, pp. 1-339.</w:t>
      </w:r>
      <w:bookmarkEnd w:id="213"/>
    </w:p>
    <w:p w:rsidR="00B52BB0" w:rsidRPr="00686FDA" w:rsidRDefault="00B52BB0" w:rsidP="003E074D">
      <w:pPr>
        <w:pStyle w:val="EndNoteBibliography"/>
        <w:spacing w:after="0"/>
      </w:pPr>
      <w:bookmarkStart w:id="214" w:name="_ENREF_98"/>
      <w:r w:rsidRPr="00686FDA">
        <w:t xml:space="preserve">Meijerman, L &amp; Ulenberg, SA 2016, ‘Arthropods of Economic Importance: Eurasian Tortricidae 2.0’, available at </w:t>
      </w:r>
      <w:hyperlink r:id="rId106" w:history="1">
        <w:r w:rsidR="00D46089" w:rsidRPr="006975B1">
          <w:rPr>
            <w:rStyle w:val="Hyperlink"/>
          </w:rPr>
          <w:t>http://eurasian-tortricidae.linnaeus.naturalis.nl/linnaeus_ng/app/views/introduction/topic.php?id=3386&amp;epi=164</w:t>
        </w:r>
      </w:hyperlink>
      <w:r w:rsidRPr="00686FDA">
        <w:t>, accessed 2019.</w:t>
      </w:r>
      <w:bookmarkEnd w:id="214"/>
    </w:p>
    <w:p w:rsidR="00B52BB0" w:rsidRPr="00686FDA" w:rsidRDefault="00B52BB0" w:rsidP="003E074D">
      <w:pPr>
        <w:pStyle w:val="EndNoteBibliography"/>
        <w:spacing w:after="0"/>
      </w:pPr>
      <w:bookmarkStart w:id="215" w:name="_ENREF_99"/>
      <w:r w:rsidRPr="00686FDA">
        <w:t xml:space="preserve">Meng, X, Hu, J, Li, Y, Dai, J, Guo, M &amp; Ouyang, G 2018, ‘The preference choices of </w:t>
      </w:r>
      <w:r w:rsidRPr="00686FDA">
        <w:rPr>
          <w:i/>
        </w:rPr>
        <w:t xml:space="preserve">Conopomorpha sinensis </w:t>
      </w:r>
      <w:r w:rsidRPr="00686FDA">
        <w:t xml:space="preserve">Bradley (Lepidoptera: Gracilariidae) for litchi based on its host surface characteristics and volatiles’ </w:t>
      </w:r>
      <w:r w:rsidRPr="00686FDA">
        <w:rPr>
          <w:i/>
        </w:rPr>
        <w:t>Scientific Reports</w:t>
      </w:r>
      <w:r w:rsidRPr="00686FDA">
        <w:t>, vol. 8, no. 1, available at DOI 10.1038/s41598-018-20383-4.</w:t>
      </w:r>
      <w:bookmarkEnd w:id="215"/>
    </w:p>
    <w:p w:rsidR="00B52BB0" w:rsidRPr="00686FDA" w:rsidRDefault="00B52BB0" w:rsidP="003E074D">
      <w:pPr>
        <w:pStyle w:val="EndNoteBibliography"/>
        <w:spacing w:after="0"/>
      </w:pPr>
      <w:bookmarkStart w:id="216" w:name="_ENREF_100"/>
      <w:r w:rsidRPr="00686FDA">
        <w:t xml:space="preserve">Miller, D, Rung, A, Parikh, G, Venable, G, Redford, AJ, Evans, GA &amp; Gill, RJ 2014, ‘Scale Insects: Identification Tool for Species of Quarantine Significance, Edition 2’, USDA, available at </w:t>
      </w:r>
      <w:hyperlink r:id="rId107" w:history="1">
        <w:r w:rsidR="00D46089" w:rsidRPr="006975B1">
          <w:rPr>
            <w:rStyle w:val="Hyperlink"/>
          </w:rPr>
          <w:t>http://idtools.org/id/scales/index.php</w:t>
        </w:r>
      </w:hyperlink>
      <w:r w:rsidRPr="00686FDA">
        <w:t>, accessed 2019.</w:t>
      </w:r>
      <w:bookmarkEnd w:id="216"/>
    </w:p>
    <w:p w:rsidR="00B52BB0" w:rsidRPr="00686FDA" w:rsidRDefault="00B52BB0" w:rsidP="003E074D">
      <w:pPr>
        <w:pStyle w:val="EndNoteBibliography"/>
        <w:spacing w:after="0"/>
      </w:pPr>
      <w:bookmarkStart w:id="217" w:name="_ENREF_101"/>
      <w:r w:rsidRPr="00686FDA">
        <w:t xml:space="preserve">Miller, DR, Miller, GL &amp; Watson, GW 2002, ‘Invasive species of mealybugs (Hemiptera: Pseudococcidae) and their threat to US agriculture’, </w:t>
      </w:r>
      <w:r w:rsidRPr="00686FDA">
        <w:rPr>
          <w:i/>
        </w:rPr>
        <w:t>Proceedings of the Entomological Society of Washington</w:t>
      </w:r>
      <w:r w:rsidRPr="00686FDA">
        <w:t>, vol. 104, no. 4, pp. 825-36.</w:t>
      </w:r>
      <w:bookmarkEnd w:id="217"/>
    </w:p>
    <w:p w:rsidR="00B52BB0" w:rsidRPr="00686FDA" w:rsidRDefault="00B52BB0" w:rsidP="003E074D">
      <w:pPr>
        <w:pStyle w:val="EndNoteBibliography"/>
        <w:spacing w:after="0"/>
      </w:pPr>
      <w:bookmarkStart w:id="218" w:name="_ENREF_102"/>
      <w:r w:rsidRPr="00686FDA">
        <w:t xml:space="preserve">Mishra, YD &amp; Kumar, P 2017, ‘Lac culture’, in </w:t>
      </w:r>
      <w:r w:rsidRPr="00686FDA">
        <w:rPr>
          <w:i/>
        </w:rPr>
        <w:t>Industrial entomology</w:t>
      </w:r>
      <w:r w:rsidRPr="00686FDA">
        <w:t>, Omkar (ed), Springer, Singapore.</w:t>
      </w:r>
      <w:bookmarkEnd w:id="218"/>
    </w:p>
    <w:p w:rsidR="00B52BB0" w:rsidRPr="00686FDA" w:rsidRDefault="00B52BB0" w:rsidP="003E074D">
      <w:pPr>
        <w:pStyle w:val="EndNoteBibliography"/>
        <w:spacing w:after="0"/>
      </w:pPr>
      <w:bookmarkStart w:id="219" w:name="_ENREF_103"/>
      <w:r w:rsidRPr="00686FDA">
        <w:t xml:space="preserve">Mo, YP, Tan, MC, Li, WH &amp; Wang, GQ 2017, ‘One new genus, two new species and two new records of Eriophyidae from Vietnam (Acari: Eriophyoidea)’, </w:t>
      </w:r>
      <w:r w:rsidRPr="00686FDA">
        <w:rPr>
          <w:i/>
        </w:rPr>
        <w:t>International Journal of Acarology</w:t>
      </w:r>
      <w:r w:rsidRPr="00686FDA">
        <w:t>, vol. 43, no. 2, pp. 147-52.</w:t>
      </w:r>
      <w:bookmarkEnd w:id="219"/>
    </w:p>
    <w:p w:rsidR="00B52BB0" w:rsidRPr="00686FDA" w:rsidRDefault="00B52BB0" w:rsidP="003E074D">
      <w:pPr>
        <w:pStyle w:val="EndNoteBibliography"/>
        <w:spacing w:after="0"/>
      </w:pPr>
      <w:bookmarkStart w:id="220" w:name="_ENREF_104"/>
      <w:r w:rsidRPr="00686FDA">
        <w:t xml:space="preserve">Myers, SW, Cancio-Martinez, E, Hallman, GJ, Fontenot, EA &amp; Vreysen, MJB 2016, ‘Relative tolerance of six </w:t>
      </w:r>
      <w:r w:rsidRPr="00686FDA">
        <w:rPr>
          <w:i/>
        </w:rPr>
        <w:t>Bactrocera</w:t>
      </w:r>
      <w:r w:rsidRPr="00686FDA">
        <w:t xml:space="preserve"> (Diptera: Tephritidae) species to phytosanitary cold treatment’, </w:t>
      </w:r>
      <w:r w:rsidRPr="00686FDA">
        <w:rPr>
          <w:i/>
        </w:rPr>
        <w:t>Journal of Economic Entomology</w:t>
      </w:r>
      <w:r w:rsidRPr="00686FDA">
        <w:t>, vol. 109, no. 6, pp. 2341-7.</w:t>
      </w:r>
      <w:bookmarkEnd w:id="220"/>
    </w:p>
    <w:p w:rsidR="00B52BB0" w:rsidRPr="00686FDA" w:rsidRDefault="00B52BB0" w:rsidP="003E074D">
      <w:pPr>
        <w:pStyle w:val="EndNoteBibliography"/>
        <w:spacing w:after="0"/>
      </w:pPr>
      <w:bookmarkStart w:id="221" w:name="_ENREF_105"/>
      <w:r w:rsidRPr="00686FDA">
        <w:t xml:space="preserve">Nair, KSS 2001, </w:t>
      </w:r>
      <w:r w:rsidRPr="00686FDA">
        <w:rPr>
          <w:i/>
        </w:rPr>
        <w:t>Pest outbreaks in tropical forest plantations</w:t>
      </w:r>
      <w:r w:rsidRPr="00686FDA">
        <w:t>, Centre for International Forestry Research, Indonesia.</w:t>
      </w:r>
      <w:bookmarkEnd w:id="221"/>
    </w:p>
    <w:p w:rsidR="00B52BB0" w:rsidRPr="00686FDA" w:rsidRDefault="00B52BB0" w:rsidP="003E074D">
      <w:pPr>
        <w:pStyle w:val="EndNoteBibliography"/>
        <w:spacing w:after="0"/>
      </w:pPr>
      <w:bookmarkStart w:id="222" w:name="_ENREF_106"/>
      <w:r w:rsidRPr="00686FDA">
        <w:t xml:space="preserve">Nam, LM &amp; Hung, HQ 2006, ‘Thành phẩn sâu, nhện hại nhãn, đặc điêm hình thái, sinh học và diễn biến mật độ của rầy vân nâu </w:t>
      </w:r>
      <w:r w:rsidRPr="00686FDA">
        <w:rPr>
          <w:i/>
        </w:rPr>
        <w:t>Cornegenapsilla sinica</w:t>
      </w:r>
      <w:r w:rsidRPr="00686FDA">
        <w:t xml:space="preserve"> (Homoptera: Psyllidae) trên nhãn năm 2006, tại thị xã Hưng Yên’ (Study on the composition of litchi insect and mite pests, some morphological and biological characteristics of </w:t>
      </w:r>
      <w:r w:rsidRPr="00686FDA">
        <w:rPr>
          <w:i/>
        </w:rPr>
        <w:t>Cornegenapsilla sinica</w:t>
      </w:r>
      <w:r w:rsidRPr="00686FDA">
        <w:t xml:space="preserve"> (Homoptera: Psyllidae) in Hung Yen, 2006), </w:t>
      </w:r>
      <w:r w:rsidRPr="00686FDA">
        <w:rPr>
          <w:i/>
        </w:rPr>
        <w:t>Journal of PPD</w:t>
      </w:r>
      <w:r w:rsidRPr="00686FDA">
        <w:t>, vol. 4, pp. 3-8.</w:t>
      </w:r>
      <w:bookmarkEnd w:id="222"/>
    </w:p>
    <w:p w:rsidR="00B52BB0" w:rsidRPr="00686FDA" w:rsidRDefault="00B52BB0" w:rsidP="003E074D">
      <w:pPr>
        <w:pStyle w:val="EndNoteBibliography"/>
        <w:spacing w:after="0"/>
      </w:pPr>
      <w:bookmarkStart w:id="223" w:name="_ENREF_107"/>
      <w:r w:rsidRPr="00686FDA">
        <w:t xml:space="preserve">Nguyen, CMT, Dang, TTV, Nguyen, XN, Nguyen, CT, Le, TTT &amp; Holford, P 2006, ‘Collar rot of groundnut caused by </w:t>
      </w:r>
      <w:r w:rsidRPr="00686FDA">
        <w:rPr>
          <w:i/>
        </w:rPr>
        <w:t>Lasiodiplodia theobromae</w:t>
      </w:r>
      <w:r w:rsidRPr="00686FDA">
        <w:t xml:space="preserve"> in north Vietnam’, </w:t>
      </w:r>
      <w:r w:rsidRPr="00686FDA">
        <w:rPr>
          <w:i/>
        </w:rPr>
        <w:t>International Arachis Newsletter</w:t>
      </w:r>
      <w:r w:rsidRPr="00686FDA">
        <w:t>, vol. 26, pp. 25-7.</w:t>
      </w:r>
      <w:bookmarkEnd w:id="223"/>
    </w:p>
    <w:p w:rsidR="00B52BB0" w:rsidRPr="00686FDA" w:rsidRDefault="00B52BB0" w:rsidP="003E074D">
      <w:pPr>
        <w:pStyle w:val="EndNoteBibliography"/>
        <w:spacing w:after="0"/>
      </w:pPr>
      <w:bookmarkStart w:id="224" w:name="_ENREF_108"/>
      <w:r w:rsidRPr="00686FDA">
        <w:t xml:space="preserve">Nguyen, THP, Pettersson, OV, Olsson, P &amp; Liljeroth, E 2010, ‘Identification of </w:t>
      </w:r>
      <w:r w:rsidRPr="00686FDA">
        <w:rPr>
          <w:i/>
        </w:rPr>
        <w:t>Colletotrichum</w:t>
      </w:r>
      <w:r w:rsidRPr="00686FDA">
        <w:t xml:space="preserve"> species associated with anthracnose disease of coffee in Vietnam’, </w:t>
      </w:r>
      <w:r w:rsidRPr="00686FDA">
        <w:rPr>
          <w:i/>
        </w:rPr>
        <w:t>European Journal of Plant Pathology</w:t>
      </w:r>
      <w:r w:rsidRPr="00686FDA">
        <w:t>, vol. 127, no. 1, pp. 73-87.</w:t>
      </w:r>
      <w:bookmarkEnd w:id="224"/>
    </w:p>
    <w:p w:rsidR="00B52BB0" w:rsidRPr="00686FDA" w:rsidRDefault="00B52BB0" w:rsidP="003E074D">
      <w:pPr>
        <w:pStyle w:val="EndNoteBibliography"/>
        <w:spacing w:after="0"/>
      </w:pPr>
      <w:bookmarkStart w:id="225" w:name="_ENREF_109"/>
      <w:r w:rsidRPr="00686FDA">
        <w:lastRenderedPageBreak/>
        <w:t xml:space="preserve">Nguyen, TTC 2002, </w:t>
      </w:r>
      <w:r w:rsidRPr="00686FDA">
        <w:rPr>
          <w:i/>
        </w:rPr>
        <w:t>Biện pháp phòng trị côn trùng và nhện gây hại cây ăn trái (chôm chôm, sa bô)</w:t>
      </w:r>
      <w:r w:rsidRPr="00686FDA">
        <w:t>, Nhà xuất bản thanh niên, Vietnam.</w:t>
      </w:r>
      <w:bookmarkEnd w:id="225"/>
    </w:p>
    <w:p w:rsidR="00B52BB0" w:rsidRPr="00686FDA" w:rsidRDefault="00B52BB0" w:rsidP="003E074D">
      <w:pPr>
        <w:pStyle w:val="EndNoteBibliography"/>
        <w:spacing w:after="0"/>
      </w:pPr>
      <w:bookmarkStart w:id="226" w:name="_ENREF_110"/>
      <w:r w:rsidRPr="00686FDA">
        <w:t>O'Gara, E, Huberli, D &amp; Hardy, G 2005, ‘</w:t>
      </w:r>
      <w:r w:rsidRPr="00686FDA">
        <w:rPr>
          <w:i/>
        </w:rPr>
        <w:t>Phytophthora ramorum</w:t>
      </w:r>
      <w:r w:rsidRPr="00686FDA">
        <w:t xml:space="preserve">: a threat to Australia?’, </w:t>
      </w:r>
      <w:r w:rsidRPr="00686FDA">
        <w:rPr>
          <w:i/>
        </w:rPr>
        <w:t>Australasian Plant Conversion</w:t>
      </w:r>
      <w:r w:rsidRPr="00686FDA">
        <w:t>, vol. 13, no. 4, pp. 22-4.</w:t>
      </w:r>
      <w:bookmarkEnd w:id="226"/>
    </w:p>
    <w:p w:rsidR="00B52BB0" w:rsidRPr="00686FDA" w:rsidRDefault="00B52BB0" w:rsidP="003E074D">
      <w:pPr>
        <w:pStyle w:val="EndNoteBibliography"/>
        <w:spacing w:after="0"/>
      </w:pPr>
      <w:bookmarkStart w:id="227" w:name="_ENREF_111"/>
      <w:r w:rsidRPr="00686FDA">
        <w:t xml:space="preserve">PaDIL 2019, ‘PaDIL website’, Australian Governement Department of Agriculture and Water Resources, available at </w:t>
      </w:r>
      <w:hyperlink r:id="rId108" w:history="1">
        <w:r w:rsidR="00D46089" w:rsidRPr="006975B1">
          <w:rPr>
            <w:rStyle w:val="Hyperlink"/>
          </w:rPr>
          <w:t>http://www.padil.gov.au</w:t>
        </w:r>
      </w:hyperlink>
      <w:r w:rsidRPr="00686FDA">
        <w:t>, accessed 2019.</w:t>
      </w:r>
      <w:bookmarkEnd w:id="227"/>
    </w:p>
    <w:p w:rsidR="00B52BB0" w:rsidRPr="00686FDA" w:rsidRDefault="00B52BB0" w:rsidP="003E074D">
      <w:pPr>
        <w:pStyle w:val="EndNoteBibliography"/>
        <w:spacing w:after="0"/>
      </w:pPr>
      <w:bookmarkStart w:id="228" w:name="_ENREF_112"/>
      <w:r w:rsidRPr="00686FDA">
        <w:t xml:space="preserve">Peña, JE 2013, </w:t>
      </w:r>
      <w:r w:rsidRPr="00686FDA">
        <w:rPr>
          <w:i/>
        </w:rPr>
        <w:t>Potential invasive pests of agricultural crops</w:t>
      </w:r>
      <w:r w:rsidRPr="00686FDA">
        <w:t>, CABI, Croydon, UK.</w:t>
      </w:r>
      <w:bookmarkEnd w:id="228"/>
    </w:p>
    <w:p w:rsidR="00B52BB0" w:rsidRPr="00686FDA" w:rsidRDefault="00B52BB0" w:rsidP="003E074D">
      <w:pPr>
        <w:pStyle w:val="EndNoteBibliography"/>
        <w:spacing w:after="0"/>
      </w:pPr>
      <w:bookmarkStart w:id="229" w:name="_ENREF_113"/>
      <w:r w:rsidRPr="00686FDA">
        <w:t xml:space="preserve">Peña, JE, Sharp, JL &amp; Wysoki, M 2002, </w:t>
      </w:r>
      <w:r w:rsidRPr="00686FDA">
        <w:rPr>
          <w:i/>
        </w:rPr>
        <w:t>Tropical fruit pests and pollinators: biology, economic importance, natural enemies and control</w:t>
      </w:r>
      <w:r w:rsidRPr="00686FDA">
        <w:t>, Peña, JE, Sharp, JL &amp; Wysoki, M (eds), CAB International, Wallingford.</w:t>
      </w:r>
      <w:bookmarkEnd w:id="229"/>
    </w:p>
    <w:p w:rsidR="00B52BB0" w:rsidRPr="00686FDA" w:rsidRDefault="00B52BB0" w:rsidP="003E074D">
      <w:pPr>
        <w:pStyle w:val="EndNoteBibliography"/>
        <w:spacing w:after="0"/>
      </w:pPr>
      <w:bookmarkStart w:id="230" w:name="_ENREF_114"/>
      <w:r w:rsidRPr="00686FDA">
        <w:t xml:space="preserve">PestNet 2019, ‘PestNet’, available at </w:t>
      </w:r>
      <w:hyperlink r:id="rId109" w:history="1">
        <w:r w:rsidR="00D46089" w:rsidRPr="006975B1">
          <w:rPr>
            <w:rStyle w:val="Hyperlink"/>
          </w:rPr>
          <w:t>http://www.pestnet.org/</w:t>
        </w:r>
      </w:hyperlink>
      <w:r w:rsidRPr="00686FDA">
        <w:t>, accessed 2019.</w:t>
      </w:r>
      <w:bookmarkEnd w:id="230"/>
    </w:p>
    <w:p w:rsidR="00B52BB0" w:rsidRPr="00686FDA" w:rsidRDefault="00B52BB0" w:rsidP="003E074D">
      <w:pPr>
        <w:pStyle w:val="EndNoteBibliography"/>
        <w:spacing w:after="0"/>
      </w:pPr>
      <w:bookmarkStart w:id="231" w:name="_ENREF_115"/>
      <w:r w:rsidRPr="00686FDA">
        <w:t xml:space="preserve">PHA 2018, </w:t>
      </w:r>
      <w:r w:rsidRPr="00686FDA">
        <w:rPr>
          <w:i/>
        </w:rPr>
        <w:t>The Australian handbook for the identification of fruit flies version 3</w:t>
      </w:r>
      <w:r w:rsidRPr="00686FDA">
        <w:t>, Plant Health Australia, Canberra, Australia.</w:t>
      </w:r>
      <w:bookmarkEnd w:id="231"/>
    </w:p>
    <w:p w:rsidR="00B52BB0" w:rsidRPr="00686FDA" w:rsidRDefault="00B52BB0" w:rsidP="003E074D">
      <w:pPr>
        <w:pStyle w:val="EndNoteBibliography"/>
        <w:spacing w:after="0"/>
      </w:pPr>
      <w:bookmarkStart w:id="232" w:name="_ENREF_116"/>
      <w:r w:rsidRPr="00686FDA">
        <w:t xml:space="preserve">Pham, MQ 2016, ‘Estimation of a longan stink bug, </w:t>
      </w:r>
      <w:r w:rsidRPr="00686FDA">
        <w:rPr>
          <w:i/>
        </w:rPr>
        <w:t>Tessaratoma papillosa</w:t>
      </w:r>
      <w:r w:rsidRPr="00686FDA">
        <w:t xml:space="preserve"> in Son La Province, Vietnam’, </w:t>
      </w:r>
      <w:r w:rsidRPr="00686FDA">
        <w:rPr>
          <w:i/>
        </w:rPr>
        <w:t>Journal of Vietnamese Environment</w:t>
      </w:r>
      <w:r w:rsidRPr="00686FDA">
        <w:t>, vol. 8, no. 2, pp. 129-34.</w:t>
      </w:r>
      <w:bookmarkEnd w:id="232"/>
    </w:p>
    <w:p w:rsidR="00B52BB0" w:rsidRPr="00686FDA" w:rsidRDefault="00B52BB0" w:rsidP="003E074D">
      <w:pPr>
        <w:pStyle w:val="EndNoteBibliography"/>
        <w:spacing w:after="0"/>
      </w:pPr>
      <w:bookmarkStart w:id="233" w:name="_ENREF_117"/>
      <w:r w:rsidRPr="00686FDA">
        <w:t xml:space="preserve">Pham, VD, Nguyen, TPL &amp; Hoang, DD 1991, ‘Red stripe, a newly reported disease of rice in Vietnam ’, </w:t>
      </w:r>
      <w:r w:rsidRPr="00686FDA">
        <w:rPr>
          <w:i/>
        </w:rPr>
        <w:t>International Rice Research Newsletter</w:t>
      </w:r>
      <w:r w:rsidRPr="00686FDA">
        <w:t>, vol. 16, no. 3, p. 25.</w:t>
      </w:r>
      <w:bookmarkEnd w:id="233"/>
    </w:p>
    <w:p w:rsidR="00B52BB0" w:rsidRPr="00686FDA" w:rsidRDefault="00B52BB0" w:rsidP="003E074D">
      <w:pPr>
        <w:pStyle w:val="EndNoteBibliography"/>
        <w:spacing w:after="0"/>
      </w:pPr>
      <w:bookmarkStart w:id="234" w:name="_ENREF_118"/>
      <w:r w:rsidRPr="00686FDA">
        <w:t xml:space="preserve">Plant Health Australia 2019, ‘Australian Plant Pest Database, online database’, The Atlas of Living Australia, available at </w:t>
      </w:r>
      <w:hyperlink r:id="rId110" w:history="1">
        <w:r w:rsidR="00D46089" w:rsidRPr="006975B1">
          <w:rPr>
            <w:rStyle w:val="Hyperlink"/>
          </w:rPr>
          <w:t>http://www.planthealthaustralia.com.au/resources/australian-plant-pest-database/</w:t>
        </w:r>
      </w:hyperlink>
      <w:r w:rsidRPr="00686FDA">
        <w:t>, accessed 2019.</w:t>
      </w:r>
      <w:bookmarkEnd w:id="234"/>
    </w:p>
    <w:p w:rsidR="00B52BB0" w:rsidRPr="00686FDA" w:rsidRDefault="00B52BB0" w:rsidP="003E074D">
      <w:pPr>
        <w:pStyle w:val="EndNoteBibliography"/>
        <w:spacing w:after="0"/>
      </w:pPr>
      <w:bookmarkStart w:id="235" w:name="_ENREF_119"/>
      <w:r w:rsidRPr="00686FDA">
        <w:t xml:space="preserve">Poole, MC 2010, </w:t>
      </w:r>
      <w:r w:rsidRPr="00686FDA">
        <w:rPr>
          <w:i/>
        </w:rPr>
        <w:t>An annotated catalogue of insect and allied species associated with Western Australian agriculture and related industries: perennial draft, July 2010</w:t>
      </w:r>
      <w:r w:rsidRPr="00686FDA">
        <w:t>, Department of Agriculture and Food, Government of Western Australia.</w:t>
      </w:r>
      <w:bookmarkEnd w:id="235"/>
    </w:p>
    <w:p w:rsidR="00B52BB0" w:rsidRPr="00686FDA" w:rsidRDefault="00B52BB0" w:rsidP="003E074D">
      <w:pPr>
        <w:pStyle w:val="EndNoteBibliography"/>
        <w:spacing w:after="0"/>
      </w:pPr>
      <w:bookmarkStart w:id="236" w:name="_ENREF_120"/>
      <w:r w:rsidRPr="00686FDA">
        <w:t xml:space="preserve">PPD 2009, </w:t>
      </w:r>
      <w:r w:rsidRPr="00686FDA">
        <w:rPr>
          <w:i/>
        </w:rPr>
        <w:t>A proposal to export mangoes (Mangnifera indica L.) from Vietnam to Australia</w:t>
      </w:r>
      <w:r w:rsidRPr="00686FDA">
        <w:t>, Plant Protection Department (PPD), Ministry of Agriculture and Rural Development, Vietnam (pdf 511 kb).</w:t>
      </w:r>
      <w:bookmarkEnd w:id="236"/>
    </w:p>
    <w:p w:rsidR="00B52BB0" w:rsidRPr="00686FDA" w:rsidRDefault="00B52BB0" w:rsidP="003E074D">
      <w:pPr>
        <w:pStyle w:val="EndNoteBibliography"/>
        <w:spacing w:after="0"/>
      </w:pPr>
      <w:bookmarkStart w:id="237" w:name="_ENREF_121"/>
      <w:r w:rsidRPr="00686FDA">
        <w:t xml:space="preserve">-- -- 2010a, </w:t>
      </w:r>
      <w:r w:rsidRPr="00686FDA">
        <w:rPr>
          <w:i/>
        </w:rPr>
        <w:t>A proposal to export dragon fruit (Hylocereus undatus) from Vietnam to Australia</w:t>
      </w:r>
      <w:r w:rsidRPr="00686FDA">
        <w:t>, Plant Protection Department (PPD), Ministry of Agriculture and Rural Development, Vietnam (pdf 761 kb).</w:t>
      </w:r>
      <w:bookmarkEnd w:id="237"/>
    </w:p>
    <w:p w:rsidR="00B52BB0" w:rsidRPr="00686FDA" w:rsidRDefault="00B52BB0" w:rsidP="003E074D">
      <w:pPr>
        <w:pStyle w:val="EndNoteBibliography"/>
        <w:spacing w:after="0"/>
      </w:pPr>
      <w:bookmarkStart w:id="238" w:name="_ENREF_122"/>
      <w:r w:rsidRPr="00686FDA">
        <w:t xml:space="preserve">-- -- 2010b, </w:t>
      </w:r>
      <w:r w:rsidRPr="00686FDA">
        <w:rPr>
          <w:i/>
        </w:rPr>
        <w:t>A proposal to export lychee fruit (Litchi chinensis Sonn) from Vietnam to Australia</w:t>
      </w:r>
      <w:r w:rsidRPr="00686FDA">
        <w:t>, Plant Protection Department, Ministry of Agriculture and Rural Development, Vietnam (pdf 725 kb).</w:t>
      </w:r>
      <w:bookmarkEnd w:id="238"/>
    </w:p>
    <w:p w:rsidR="00B52BB0" w:rsidRPr="00686FDA" w:rsidRDefault="00B52BB0" w:rsidP="003E074D">
      <w:pPr>
        <w:pStyle w:val="EndNoteBibliography"/>
        <w:spacing w:after="0"/>
      </w:pPr>
      <w:bookmarkStart w:id="239" w:name="_ENREF_123"/>
      <w:r w:rsidRPr="00686FDA">
        <w:t xml:space="preserve">-- -- 2017, </w:t>
      </w:r>
      <w:r w:rsidRPr="00686FDA">
        <w:rPr>
          <w:i/>
        </w:rPr>
        <w:t>Technical market access submission: export of Vietnam longan fruit (Dimocarpus longan Lour.)</w:t>
      </w:r>
      <w:r w:rsidRPr="00686FDA">
        <w:t>, Plant Protection Department (PPD), Ministry of Agriculture and Rural Development, Vietnam (pdf 724 kb).</w:t>
      </w:r>
      <w:bookmarkEnd w:id="239"/>
    </w:p>
    <w:p w:rsidR="00B52BB0" w:rsidRPr="00686FDA" w:rsidRDefault="00B52BB0" w:rsidP="003E074D">
      <w:pPr>
        <w:pStyle w:val="EndNoteBibliography"/>
        <w:spacing w:after="0"/>
      </w:pPr>
      <w:bookmarkStart w:id="240" w:name="_ENREF_124"/>
      <w:r w:rsidRPr="00686FDA">
        <w:t xml:space="preserve">-- -- 2018, </w:t>
      </w:r>
      <w:r w:rsidRPr="00686FDA">
        <w:rPr>
          <w:i/>
        </w:rPr>
        <w:t>Response to request for technical information</w:t>
      </w:r>
      <w:r w:rsidRPr="00686FDA">
        <w:t>, Plant Protection Department (PPD), Ministry of Agriculture and Rural Development, Vietnam, Vietnam (pdf 1,077 kb).</w:t>
      </w:r>
      <w:bookmarkEnd w:id="240"/>
    </w:p>
    <w:p w:rsidR="00B52BB0" w:rsidRPr="00686FDA" w:rsidRDefault="00B52BB0" w:rsidP="003E074D">
      <w:pPr>
        <w:pStyle w:val="EndNoteBibliography"/>
        <w:spacing w:after="0"/>
      </w:pPr>
      <w:bookmarkStart w:id="241" w:name="_ENREF_125"/>
      <w:r w:rsidRPr="00686FDA">
        <w:t xml:space="preserve">QDAF 2012a, ‘A-Z list of horticultural insect pests: Elephant beetle’, Queensland Government Department of Agriculture and Fisheries, Brisbane, Australia, available at </w:t>
      </w:r>
      <w:hyperlink r:id="rId111" w:history="1">
        <w:r w:rsidR="00D46089" w:rsidRPr="006975B1">
          <w:rPr>
            <w:rStyle w:val="Hyperlink"/>
          </w:rPr>
          <w:t>https://www.daf.qld.gov.au/plants/fruit-and-vegetables/a-z-list-of-horticultural-insect-pests/elephant-beetle</w:t>
        </w:r>
      </w:hyperlink>
      <w:r w:rsidRPr="00686FDA">
        <w:t>.</w:t>
      </w:r>
      <w:bookmarkEnd w:id="241"/>
    </w:p>
    <w:p w:rsidR="00B52BB0" w:rsidRPr="00686FDA" w:rsidRDefault="00B52BB0" w:rsidP="003E074D">
      <w:pPr>
        <w:pStyle w:val="EndNoteBibliography"/>
        <w:spacing w:after="0"/>
      </w:pPr>
      <w:bookmarkStart w:id="242" w:name="_ENREF_126"/>
      <w:r w:rsidRPr="00686FDA">
        <w:t xml:space="preserve">-- -- 2012b, ‘A-Z list of horticultural insect pests: fruit piercing moth’, Queensland Government Department of Agriculture and Fisheries, Brisbane, Australia, available at </w:t>
      </w:r>
      <w:hyperlink r:id="rId112" w:history="1">
        <w:r w:rsidR="00D46089" w:rsidRPr="006975B1">
          <w:rPr>
            <w:rStyle w:val="Hyperlink"/>
          </w:rPr>
          <w:t>https://www.daf.qld.gov.au/business-priorities/plants/fruit-and-vegetables/a-z-list-of-horticultural-insect-pests/fruit-piercing-moth</w:t>
        </w:r>
      </w:hyperlink>
      <w:r w:rsidRPr="00686FDA">
        <w:t>.</w:t>
      </w:r>
      <w:bookmarkEnd w:id="242"/>
    </w:p>
    <w:p w:rsidR="00B52BB0" w:rsidRPr="00686FDA" w:rsidRDefault="00B52BB0" w:rsidP="003E074D">
      <w:pPr>
        <w:pStyle w:val="EndNoteBibliography"/>
        <w:spacing w:after="0"/>
      </w:pPr>
      <w:bookmarkStart w:id="243" w:name="_ENREF_127"/>
      <w:r w:rsidRPr="00686FDA">
        <w:lastRenderedPageBreak/>
        <w:t xml:space="preserve">-- -- 2018a, ‘A-Z list of horticultural insect pests: coffee mealybug’, Queensland Government Department of Agriculture and Fisheries, Brisbane, Australia, available at </w:t>
      </w:r>
      <w:hyperlink r:id="rId113" w:history="1">
        <w:r w:rsidR="00D46089" w:rsidRPr="006975B1">
          <w:rPr>
            <w:rStyle w:val="Hyperlink"/>
          </w:rPr>
          <w:t>https://www.daf.qld.gov.au/plants/fruit-and-vegetables/a-z-list-of-horticultural-insect-pests/coffee-mealybug</w:t>
        </w:r>
      </w:hyperlink>
      <w:r w:rsidRPr="00686FDA">
        <w:t>.</w:t>
      </w:r>
      <w:bookmarkEnd w:id="243"/>
    </w:p>
    <w:p w:rsidR="00B52BB0" w:rsidRPr="00686FDA" w:rsidRDefault="00B52BB0" w:rsidP="003E074D">
      <w:pPr>
        <w:pStyle w:val="EndNoteBibliography"/>
        <w:spacing w:after="0"/>
      </w:pPr>
      <w:bookmarkStart w:id="244" w:name="_ENREF_128"/>
      <w:r w:rsidRPr="00686FDA">
        <w:t xml:space="preserve">-- -- 2018b, </w:t>
      </w:r>
      <w:r w:rsidRPr="00686FDA">
        <w:rPr>
          <w:i/>
        </w:rPr>
        <w:t>A-Z list of horticultural insect pests: cryptic mealybug</w:t>
      </w:r>
      <w:r w:rsidRPr="00686FDA">
        <w:t xml:space="preserve">, Queensland Government Department of Agriculture and Fisheries Brisbane, Australia, available at </w:t>
      </w:r>
      <w:hyperlink r:id="rId114" w:history="1">
        <w:r w:rsidR="00D46089" w:rsidRPr="006975B1">
          <w:rPr>
            <w:rStyle w:val="Hyperlink"/>
          </w:rPr>
          <w:t>https://www.daf.qld.gov.au/business-priorities/plants/fruit-and-vegetables/a-z-list-of-horticultural-insect-pests/cryptic-mealybug</w:t>
        </w:r>
      </w:hyperlink>
      <w:r w:rsidRPr="00686FDA">
        <w:t>.</w:t>
      </w:r>
      <w:bookmarkEnd w:id="244"/>
    </w:p>
    <w:p w:rsidR="00B52BB0" w:rsidRPr="00686FDA" w:rsidRDefault="00B52BB0" w:rsidP="003E074D">
      <w:pPr>
        <w:pStyle w:val="EndNoteBibliography"/>
        <w:spacing w:after="0"/>
      </w:pPr>
      <w:bookmarkStart w:id="245" w:name="_ENREF_129"/>
      <w:r w:rsidRPr="00686FDA">
        <w:t xml:space="preserve">Qiu, DL 2014, ‘Longan production and research in China’, </w:t>
      </w:r>
      <w:r w:rsidRPr="00686FDA">
        <w:rPr>
          <w:i/>
        </w:rPr>
        <w:t>Proceedings of the IV International Symposium on Lychee, Longan and Other Sapindaceae Fruits, Kruger National Park, South Africa, 2-6 December 2012</w:t>
      </w:r>
      <w:r w:rsidRPr="00686FDA">
        <w:t>.</w:t>
      </w:r>
      <w:bookmarkEnd w:id="245"/>
    </w:p>
    <w:p w:rsidR="00B52BB0" w:rsidRPr="00686FDA" w:rsidRDefault="00B52BB0" w:rsidP="003E074D">
      <w:pPr>
        <w:pStyle w:val="EndNoteBibliography"/>
        <w:spacing w:after="0"/>
      </w:pPr>
      <w:bookmarkStart w:id="246" w:name="_ENREF_130"/>
      <w:r w:rsidRPr="00686FDA">
        <w:t>Ranjan, R 2013, ‘Bio-rational management of major pests of litchii (</w:t>
      </w:r>
      <w:r w:rsidRPr="00686FDA">
        <w:rPr>
          <w:i/>
        </w:rPr>
        <w:t>Litchi chinensis</w:t>
      </w:r>
      <w:r w:rsidRPr="00686FDA">
        <w:t xml:space="preserve"> Sonn.)’, Doctor of Philosophy, Rajendra Agricultural University.</w:t>
      </w:r>
      <w:bookmarkEnd w:id="246"/>
    </w:p>
    <w:p w:rsidR="00B52BB0" w:rsidRPr="00686FDA" w:rsidRDefault="00B52BB0" w:rsidP="003E074D">
      <w:pPr>
        <w:pStyle w:val="EndNoteBibliography"/>
        <w:spacing w:after="0"/>
      </w:pPr>
      <w:bookmarkStart w:id="247" w:name="_ENREF_131"/>
      <w:r w:rsidRPr="00686FDA">
        <w:t xml:space="preserve">Robinson, GS, Ackery, PR, Kitching, IJ, Beccaloni, GW &amp; Hernández, LM 2019, ‘HOSTS: a database of the world's lepidopteran hostplants’, Natural History Museum, London, available at </w:t>
      </w:r>
      <w:hyperlink r:id="rId115" w:history="1">
        <w:r w:rsidR="00D46089" w:rsidRPr="006975B1">
          <w:rPr>
            <w:rStyle w:val="Hyperlink"/>
          </w:rPr>
          <w:t>http://www.nhm.ac.uk/our-science/data/hostplants/search/index.dsml</w:t>
        </w:r>
      </w:hyperlink>
      <w:r w:rsidRPr="00686FDA">
        <w:t>, accessed 2019.</w:t>
      </w:r>
      <w:bookmarkEnd w:id="247"/>
    </w:p>
    <w:p w:rsidR="00B52BB0" w:rsidRPr="00686FDA" w:rsidRDefault="00B52BB0" w:rsidP="003E074D">
      <w:pPr>
        <w:pStyle w:val="EndNoteBibliography"/>
        <w:spacing w:after="0"/>
      </w:pPr>
      <w:bookmarkStart w:id="248" w:name="_ENREF_132"/>
      <w:r w:rsidRPr="00686FDA">
        <w:t>Roda, A, Francis, A, Kairo, MTK &amp; Culik, M 2013, ‘</w:t>
      </w:r>
      <w:r w:rsidRPr="00686FDA">
        <w:rPr>
          <w:i/>
        </w:rPr>
        <w:t>Planococcus minor</w:t>
      </w:r>
      <w:r w:rsidRPr="00686FDA">
        <w:t xml:space="preserve"> (Hemiptera: Pseudococcidae): bioecology, survey and mitigation strategies’, in </w:t>
      </w:r>
      <w:r w:rsidRPr="00686FDA">
        <w:rPr>
          <w:i/>
        </w:rPr>
        <w:t>Potential invasive pests of agricultural crops</w:t>
      </w:r>
      <w:r w:rsidRPr="00686FDA">
        <w:t>, Peña, J (ed), CABI.</w:t>
      </w:r>
      <w:bookmarkEnd w:id="248"/>
    </w:p>
    <w:p w:rsidR="00B52BB0" w:rsidRPr="00686FDA" w:rsidRDefault="00B52BB0" w:rsidP="003E074D">
      <w:pPr>
        <w:pStyle w:val="EndNoteBibliography"/>
        <w:spacing w:after="0"/>
      </w:pPr>
      <w:bookmarkStart w:id="249" w:name="_ENREF_133"/>
      <w:r w:rsidRPr="00686FDA">
        <w:t>Salakpetch, S 2000, ‘Rambutan production in Thailand’, paper presented at 10th Annual International Tropical Fruit Conference Hilo, Hawai, 20-22 October 2000.</w:t>
      </w:r>
      <w:bookmarkEnd w:id="249"/>
    </w:p>
    <w:p w:rsidR="00B52BB0" w:rsidRPr="00686FDA" w:rsidRDefault="00B52BB0" w:rsidP="003E074D">
      <w:pPr>
        <w:pStyle w:val="EndNoteBibliography"/>
        <w:spacing w:after="0"/>
      </w:pPr>
      <w:bookmarkStart w:id="250" w:name="_ENREF_134"/>
      <w:r w:rsidRPr="00686FDA">
        <w:t xml:space="preserve">Sanborn, AF 2014, </w:t>
      </w:r>
      <w:r w:rsidRPr="00686FDA">
        <w:rPr>
          <w:i/>
        </w:rPr>
        <w:t>Catalogue of the Cicadoidea (Hemiptera: Auchenorrhyncha)</w:t>
      </w:r>
      <w:r w:rsidRPr="00686FDA">
        <w:t>, 1st edn, Academic Press, Amsterdam.</w:t>
      </w:r>
      <w:bookmarkEnd w:id="250"/>
    </w:p>
    <w:p w:rsidR="00B52BB0" w:rsidRPr="00686FDA" w:rsidRDefault="00B52BB0" w:rsidP="003E074D">
      <w:pPr>
        <w:pStyle w:val="EndNoteBibliography"/>
        <w:spacing w:after="0"/>
      </w:pPr>
      <w:bookmarkStart w:id="251" w:name="_ENREF_135"/>
      <w:r w:rsidRPr="00686FDA">
        <w:t xml:space="preserve">Sarpong, TM, Asare-Bediako, E &amp; Acheampong, L 2017, ‘Perception of mealybug wilt effect and management among pineapple farmers in Ghana’ </w:t>
      </w:r>
      <w:r w:rsidRPr="00686FDA">
        <w:rPr>
          <w:i/>
        </w:rPr>
        <w:t>Journal of Agricultural Extension</w:t>
      </w:r>
      <w:r w:rsidRPr="00686FDA">
        <w:t xml:space="preserve">, vol. 21, no. 2, available at </w:t>
      </w:r>
      <w:hyperlink r:id="rId116" w:history="1">
        <w:r w:rsidR="00D46089" w:rsidRPr="006975B1">
          <w:rPr>
            <w:rStyle w:val="Hyperlink"/>
          </w:rPr>
          <w:t>https://dx.doi.org/10.4314/jae.v21i2.1</w:t>
        </w:r>
      </w:hyperlink>
      <w:r w:rsidRPr="00686FDA">
        <w:t>.</w:t>
      </w:r>
      <w:bookmarkEnd w:id="251"/>
    </w:p>
    <w:p w:rsidR="00B52BB0" w:rsidRPr="00686FDA" w:rsidRDefault="00B52BB0" w:rsidP="003E074D">
      <w:pPr>
        <w:pStyle w:val="EndNoteBibliography"/>
        <w:spacing w:after="0"/>
      </w:pPr>
      <w:bookmarkStart w:id="252" w:name="_ENREF_136"/>
      <w:r w:rsidRPr="00686FDA">
        <w:t xml:space="preserve">Schintlmeister, A 2008, </w:t>
      </w:r>
      <w:r w:rsidRPr="00686FDA">
        <w:rPr>
          <w:i/>
        </w:rPr>
        <w:t>Notodontidae</w:t>
      </w:r>
      <w:r w:rsidRPr="00686FDA">
        <w:t>, Apollo Books, Denmark.</w:t>
      </w:r>
      <w:bookmarkEnd w:id="252"/>
    </w:p>
    <w:p w:rsidR="00B52BB0" w:rsidRPr="00686FDA" w:rsidRDefault="00B52BB0" w:rsidP="003E074D">
      <w:pPr>
        <w:pStyle w:val="EndNoteBibliography"/>
        <w:spacing w:after="0"/>
      </w:pPr>
      <w:bookmarkStart w:id="253" w:name="_ENREF_137"/>
      <w:r w:rsidRPr="00686FDA">
        <w:t xml:space="preserve">Schutze, MK, Aketarawong, N, Amornsak, W, Armstrong, KF, Augustinos, AA, Barr, N, Bo, W, Bourtzis, K, Boykin, LM, Cáceres, C, Cameron, SL, Chapman, TA, Chinvinijkul, S, Chomic, A, de Meyer, M, Drosopoulou, E, Englezou, A, Ekesi, S, Gariou-Papalexiou, A, Geib, SM, Hailstones, D, Hasanuzzaman, M, Haymer, D, Hee, AKW, Hendrichs, J, Jessup, A, Ji, Q, Khamis, FM, Krosch, MN, Leblanc, L, Mahmood, K, Malacrida, AR, Mavragani-Tsipidou, P, Mwatawala, M, Nishida, R, Ono, H, Reyes, J, Rubinoff, D, Sanjose, M, Shelly, TE, Spikachar, S, Tan, KH, Thanaphum, S, Haq, I, Vijaysegaran, S, Wee, SL, Yesmin, F, Zacharopoulou, A &amp; Clarke, AR 2015, ‘Synonymization of key pest species within the </w:t>
      </w:r>
      <w:r w:rsidRPr="00686FDA">
        <w:rPr>
          <w:i/>
        </w:rPr>
        <w:t xml:space="preserve">Bactrocera dorsalis </w:t>
      </w:r>
      <w:r w:rsidRPr="00686FDA">
        <w:t xml:space="preserve">species complex (Diptera: Tephritidae): taxonomic changes based on a review of 20 years of integrative morphological, molecular, cytogenetic, behavioural and chemoecological data’, </w:t>
      </w:r>
      <w:r w:rsidRPr="00686FDA">
        <w:rPr>
          <w:i/>
        </w:rPr>
        <w:t>Systematic Entomology</w:t>
      </w:r>
      <w:r w:rsidRPr="00686FDA">
        <w:t>, vol. 40, no. 2, pp. 456-71.</w:t>
      </w:r>
      <w:bookmarkEnd w:id="253"/>
    </w:p>
    <w:p w:rsidR="00B52BB0" w:rsidRPr="00686FDA" w:rsidRDefault="00B52BB0" w:rsidP="003E074D">
      <w:pPr>
        <w:pStyle w:val="EndNoteBibliography"/>
        <w:spacing w:after="0"/>
      </w:pPr>
      <w:bookmarkStart w:id="254" w:name="_ENREF_138"/>
      <w:r w:rsidRPr="00686FDA">
        <w:t xml:space="preserve">Seo, JK, Kim, MK, Kwak, HR, Kim, JS &amp; Choi, HS 2017, ‘Complete genome sequence of longan witches’ broom-associated virus, a novel member of the family Potyviridae’ </w:t>
      </w:r>
      <w:r w:rsidRPr="00686FDA">
        <w:rPr>
          <w:i/>
        </w:rPr>
        <w:t>Archives of Virology</w:t>
      </w:r>
      <w:r w:rsidRPr="00686FDA">
        <w:t>, vol. 162, no. 9, available at DOI 10.1007/s00705-017-3405-2.</w:t>
      </w:r>
      <w:bookmarkEnd w:id="254"/>
    </w:p>
    <w:p w:rsidR="00B52BB0" w:rsidRPr="00686FDA" w:rsidRDefault="00B52BB0" w:rsidP="003E074D">
      <w:pPr>
        <w:pStyle w:val="EndNoteBibliography"/>
        <w:spacing w:after="0"/>
      </w:pPr>
      <w:bookmarkStart w:id="255" w:name="_ENREF_139"/>
      <w:r w:rsidRPr="00686FDA">
        <w:t xml:space="preserve">Shaoxiong, Z 1999, ‘Studies on occurrence and control of the longan psyllid </w:t>
      </w:r>
      <w:r w:rsidRPr="00686FDA">
        <w:rPr>
          <w:i/>
        </w:rPr>
        <w:t>Cornegenapsylla sinica</w:t>
      </w:r>
      <w:r w:rsidRPr="00686FDA">
        <w:t xml:space="preserve"> Yang et Li’, </w:t>
      </w:r>
      <w:r w:rsidRPr="00686FDA">
        <w:rPr>
          <w:i/>
        </w:rPr>
        <w:t>Entotomological Journal of East China</w:t>
      </w:r>
      <w:r w:rsidRPr="00686FDA">
        <w:t>, vol. 01.</w:t>
      </w:r>
      <w:bookmarkEnd w:id="255"/>
    </w:p>
    <w:p w:rsidR="00B52BB0" w:rsidRPr="00686FDA" w:rsidRDefault="00B52BB0" w:rsidP="003E074D">
      <w:pPr>
        <w:pStyle w:val="EndNoteBibliography"/>
        <w:spacing w:after="0"/>
      </w:pPr>
      <w:bookmarkStart w:id="256" w:name="_ENREF_140"/>
      <w:r w:rsidRPr="00686FDA">
        <w:t xml:space="preserve">Singh, UP &amp; Singh, HB 1978, ‘Occurrence of </w:t>
      </w:r>
      <w:r w:rsidRPr="00686FDA">
        <w:rPr>
          <w:i/>
        </w:rPr>
        <w:t>Fusarium decemcellulare</w:t>
      </w:r>
      <w:r w:rsidRPr="00686FDA">
        <w:t xml:space="preserve"> on living galls of </w:t>
      </w:r>
      <w:r w:rsidRPr="00686FDA">
        <w:rPr>
          <w:i/>
        </w:rPr>
        <w:t>Zizyphus mauritiana</w:t>
      </w:r>
      <w:r w:rsidRPr="00686FDA">
        <w:t xml:space="preserve"> in India’, </w:t>
      </w:r>
      <w:r w:rsidRPr="00686FDA">
        <w:rPr>
          <w:i/>
        </w:rPr>
        <w:t>Mycologia</w:t>
      </w:r>
      <w:r w:rsidRPr="00686FDA">
        <w:t>, vol. 70, no. 5, pp. 1126-29.</w:t>
      </w:r>
      <w:bookmarkEnd w:id="256"/>
    </w:p>
    <w:p w:rsidR="00B52BB0" w:rsidRPr="00686FDA" w:rsidRDefault="00B52BB0" w:rsidP="003E074D">
      <w:pPr>
        <w:pStyle w:val="EndNoteBibliography"/>
        <w:spacing w:after="0"/>
      </w:pPr>
      <w:bookmarkStart w:id="257" w:name="_ENREF_141"/>
      <w:r w:rsidRPr="00686FDA">
        <w:t xml:space="preserve">Sobczyk, T 2011, </w:t>
      </w:r>
      <w:r w:rsidRPr="00686FDA">
        <w:rPr>
          <w:i/>
        </w:rPr>
        <w:t>Psychidae (Lepidoptera)</w:t>
      </w:r>
      <w:r w:rsidRPr="00686FDA">
        <w:t>, Apollo Books Aps., Denmark.</w:t>
      </w:r>
      <w:bookmarkEnd w:id="257"/>
    </w:p>
    <w:p w:rsidR="00B52BB0" w:rsidRPr="00686FDA" w:rsidRDefault="00B52BB0" w:rsidP="003E074D">
      <w:pPr>
        <w:pStyle w:val="EndNoteBibliography"/>
        <w:spacing w:after="0"/>
      </w:pPr>
      <w:bookmarkStart w:id="258" w:name="_ENREF_142"/>
      <w:r w:rsidRPr="00686FDA">
        <w:t xml:space="preserve">Solovyev, AV &amp; Witt, TJ 2009, ‘The Limacodidae of Vietnam’, </w:t>
      </w:r>
      <w:r w:rsidRPr="00686FDA">
        <w:rPr>
          <w:i/>
        </w:rPr>
        <w:t>Entomofauna Supplement</w:t>
      </w:r>
      <w:r w:rsidRPr="00686FDA">
        <w:t>, vol. 16, pp. 33-320. (Abstract only)</w:t>
      </w:r>
      <w:bookmarkEnd w:id="258"/>
    </w:p>
    <w:p w:rsidR="00B52BB0" w:rsidRPr="00686FDA" w:rsidRDefault="00B52BB0" w:rsidP="003E074D">
      <w:pPr>
        <w:pStyle w:val="EndNoteBibliography"/>
        <w:spacing w:after="0"/>
      </w:pPr>
      <w:bookmarkStart w:id="259" w:name="_ENREF_143"/>
      <w:r w:rsidRPr="00686FDA">
        <w:lastRenderedPageBreak/>
        <w:t xml:space="preserve">Spitzer, K &amp; Jaroš, J 2008, ‘Annotated checklist of the butterflies (Papillonoidea) of the Nam cat Tien reserve (South Vietnam)’, </w:t>
      </w:r>
      <w:r w:rsidRPr="00686FDA">
        <w:rPr>
          <w:i/>
        </w:rPr>
        <w:t>Tropical Lepidoptera</w:t>
      </w:r>
      <w:r w:rsidRPr="00686FDA">
        <w:t>, vol. 18, no. 1, pp. 12-6.</w:t>
      </w:r>
      <w:bookmarkEnd w:id="259"/>
    </w:p>
    <w:p w:rsidR="00B52BB0" w:rsidRPr="00686FDA" w:rsidRDefault="00B52BB0" w:rsidP="003E074D">
      <w:pPr>
        <w:pStyle w:val="EndNoteBibliography"/>
        <w:spacing w:after="0"/>
      </w:pPr>
      <w:bookmarkStart w:id="260" w:name="_ENREF_144"/>
      <w:r w:rsidRPr="00686FDA">
        <w:t xml:space="preserve">Srivastava, K, Pandey, SD, Patel, RK, Sharma, D &amp; Nath, V 2016, ‘Insect pest management practices in litchi’, in </w:t>
      </w:r>
      <w:r w:rsidRPr="00686FDA">
        <w:rPr>
          <w:i/>
        </w:rPr>
        <w:t>Insect Pests Management of Fruit Crops</w:t>
      </w:r>
      <w:r w:rsidRPr="00686FDA">
        <w:t>, Pandey, AK &amp; Mall, P (eds).</w:t>
      </w:r>
      <w:bookmarkEnd w:id="260"/>
    </w:p>
    <w:p w:rsidR="00B52BB0" w:rsidRPr="00686FDA" w:rsidRDefault="00B52BB0" w:rsidP="003E074D">
      <w:pPr>
        <w:pStyle w:val="EndNoteBibliography"/>
        <w:spacing w:after="0"/>
      </w:pPr>
      <w:bookmarkStart w:id="261" w:name="_ENREF_145"/>
      <w:r w:rsidRPr="00686FDA">
        <w:t xml:space="preserve">Suh, S &amp; Bombay, K 2015, ‘Scale insects (Hemiptera: Coccoidea) found on </w:t>
      </w:r>
      <w:r w:rsidRPr="00686FDA">
        <w:rPr>
          <w:i/>
        </w:rPr>
        <w:t>Dracaena</w:t>
      </w:r>
      <w:r w:rsidRPr="00686FDA">
        <w:t xml:space="preserve"> and </w:t>
      </w:r>
      <w:r w:rsidRPr="00686FDA">
        <w:rPr>
          <w:i/>
        </w:rPr>
        <w:t xml:space="preserve">Ficus </w:t>
      </w:r>
      <w:r w:rsidRPr="00686FDA">
        <w:t xml:space="preserve">plants (Asparagales: Asparagaceae, Rosales: Moraceae) from southeastern Asia’, </w:t>
      </w:r>
      <w:r w:rsidRPr="00686FDA">
        <w:rPr>
          <w:i/>
        </w:rPr>
        <w:t>Insecta Mundi</w:t>
      </w:r>
      <w:r w:rsidRPr="00686FDA">
        <w:t>, vol. 448, pp. 1-10.</w:t>
      </w:r>
      <w:bookmarkEnd w:id="261"/>
    </w:p>
    <w:p w:rsidR="00B52BB0" w:rsidRPr="00686FDA" w:rsidRDefault="00B52BB0" w:rsidP="003E074D">
      <w:pPr>
        <w:pStyle w:val="EndNoteBibliography"/>
        <w:spacing w:after="0"/>
      </w:pPr>
      <w:bookmarkStart w:id="262" w:name="_ENREF_146"/>
      <w:r w:rsidRPr="00686FDA">
        <w:t xml:space="preserve">Sun, J, Gao, Z, Zhang, X, Zou, X, Cao, L &amp; Wang, J 2017, ‘Transcriptome analysis of </w:t>
      </w:r>
      <w:r w:rsidRPr="00686FDA">
        <w:rPr>
          <w:i/>
        </w:rPr>
        <w:t>Phytophthora litchii</w:t>
      </w:r>
      <w:r w:rsidRPr="00686FDA">
        <w:t xml:space="preserve"> reveals pathogenicity arsenals and confirms taxonomic status’ </w:t>
      </w:r>
      <w:r w:rsidRPr="00686FDA">
        <w:rPr>
          <w:i/>
        </w:rPr>
        <w:t>PLoS One</w:t>
      </w:r>
      <w:r w:rsidRPr="00686FDA">
        <w:t xml:space="preserve">, vol. 12, no. 6, available at </w:t>
      </w:r>
      <w:hyperlink r:id="rId117" w:history="1">
        <w:r w:rsidR="00D46089" w:rsidRPr="006975B1">
          <w:rPr>
            <w:rStyle w:val="Hyperlink"/>
          </w:rPr>
          <w:t>https://doi.org/10.1371/journal.pone.0178245</w:t>
        </w:r>
      </w:hyperlink>
      <w:r w:rsidRPr="00686FDA">
        <w:t>.</w:t>
      </w:r>
      <w:bookmarkEnd w:id="262"/>
    </w:p>
    <w:p w:rsidR="00B52BB0" w:rsidRPr="00686FDA" w:rsidRDefault="00B52BB0" w:rsidP="003E074D">
      <w:pPr>
        <w:pStyle w:val="EndNoteBibliography"/>
        <w:spacing w:after="0"/>
      </w:pPr>
      <w:bookmarkStart w:id="263" w:name="_ENREF_147"/>
      <w:r w:rsidRPr="00686FDA">
        <w:t xml:space="preserve">Talekar, NS, (ed) 1991, </w:t>
      </w:r>
      <w:r w:rsidRPr="00686FDA">
        <w:rPr>
          <w:i/>
        </w:rPr>
        <w:t>Thrips in Southeast Asia: proceedings of a regional consultation workshop, Bangkok, Thailand, 13 March 1991</w:t>
      </w:r>
      <w:r w:rsidRPr="00686FDA">
        <w:t>, Asian Vegetable Research and Development Centre, Taipei.</w:t>
      </w:r>
      <w:bookmarkEnd w:id="263"/>
    </w:p>
    <w:p w:rsidR="00B52BB0" w:rsidRPr="00686FDA" w:rsidRDefault="00B52BB0" w:rsidP="003E074D">
      <w:pPr>
        <w:pStyle w:val="EndNoteBibliography"/>
        <w:spacing w:after="0"/>
      </w:pPr>
      <w:bookmarkStart w:id="264" w:name="_ENREF_148"/>
      <w:r w:rsidRPr="00686FDA">
        <w:t xml:space="preserve">Tan, SD, Wei, JD &amp; Lan, RX 1998, ‘Analysis on the similarity of the structure of the litchi and longan pest communities’ (in Chinese), </w:t>
      </w:r>
      <w:r w:rsidRPr="00686FDA">
        <w:rPr>
          <w:i/>
        </w:rPr>
        <w:t>Guangxi Science and Technology of Tropical Crops</w:t>
      </w:r>
      <w:r w:rsidRPr="00686FDA">
        <w:t>, vol. 69, pp. 4-10.</w:t>
      </w:r>
      <w:bookmarkEnd w:id="264"/>
    </w:p>
    <w:p w:rsidR="00B52BB0" w:rsidRPr="00686FDA" w:rsidRDefault="00B52BB0" w:rsidP="003E074D">
      <w:pPr>
        <w:pStyle w:val="EndNoteBibliography"/>
        <w:spacing w:after="0"/>
      </w:pPr>
      <w:bookmarkStart w:id="265" w:name="_ENREF_149"/>
      <w:r w:rsidRPr="00686FDA">
        <w:t xml:space="preserve">USDA-APHIS 2007, </w:t>
      </w:r>
      <w:r w:rsidRPr="00686FDA">
        <w:rPr>
          <w:i/>
        </w:rPr>
        <w:t>Evidence-based, Pathway-Initiated Risk Assessment of the Importation of Fresh Longan, Dimocarpus longan Lour., from Taiwan into the United States</w:t>
      </w:r>
      <w:r w:rsidRPr="00686FDA">
        <w:t xml:space="preserve">, United States Department of Agriculture, Animal and Plant Health Inspection Service, Plant Protection and Quarantine, Raleigh, North Carolina, available at </w:t>
      </w:r>
      <w:hyperlink r:id="rId118" w:history="1">
        <w:r w:rsidR="00D46089" w:rsidRPr="006975B1">
          <w:rPr>
            <w:rStyle w:val="Hyperlink"/>
          </w:rPr>
          <w:t>www.acfs.go.th/news/docs/APHIS-2007-0161-0002.pdf</w:t>
        </w:r>
      </w:hyperlink>
      <w:r w:rsidRPr="00686FDA">
        <w:t>.</w:t>
      </w:r>
      <w:bookmarkEnd w:id="265"/>
    </w:p>
    <w:p w:rsidR="00B52BB0" w:rsidRPr="00686FDA" w:rsidRDefault="00B52BB0" w:rsidP="003E074D">
      <w:pPr>
        <w:pStyle w:val="EndNoteBibliography"/>
        <w:spacing w:after="0"/>
      </w:pPr>
      <w:bookmarkStart w:id="266" w:name="_ENREF_150"/>
      <w:r w:rsidRPr="00686FDA">
        <w:t xml:space="preserve">-- -- 2011, ‘7 CFR part 319: importation of litchi and longan fruit from Vietnam into the Continental United States. Docket number APHIS-2010-0116’, </w:t>
      </w:r>
      <w:r w:rsidRPr="00686FDA">
        <w:rPr>
          <w:i/>
        </w:rPr>
        <w:t>Federal Register</w:t>
      </w:r>
      <w:r w:rsidRPr="00686FDA">
        <w:t>, vol. 76 no. 256, pp. 65985-8.</w:t>
      </w:r>
      <w:bookmarkEnd w:id="266"/>
    </w:p>
    <w:p w:rsidR="00B52BB0" w:rsidRPr="00686FDA" w:rsidRDefault="00B52BB0" w:rsidP="003E074D">
      <w:pPr>
        <w:pStyle w:val="EndNoteBibliography"/>
        <w:spacing w:after="0"/>
      </w:pPr>
      <w:bookmarkStart w:id="267" w:name="_ENREF_151"/>
      <w:r w:rsidRPr="00686FDA">
        <w:t xml:space="preserve">USDA 1999, </w:t>
      </w:r>
      <w:r w:rsidRPr="00686FDA">
        <w:rPr>
          <w:i/>
        </w:rPr>
        <w:t>Importation of longan fruit with stems (Dimocarpus longan) from China into the United States</w:t>
      </w:r>
      <w:r w:rsidRPr="00686FDA">
        <w:t>, United States Department of Agriculture, Riverdale, MD.</w:t>
      </w:r>
      <w:bookmarkEnd w:id="267"/>
    </w:p>
    <w:p w:rsidR="00B52BB0" w:rsidRPr="00686FDA" w:rsidRDefault="00B52BB0" w:rsidP="003E074D">
      <w:pPr>
        <w:pStyle w:val="EndNoteBibliography"/>
        <w:spacing w:after="0"/>
      </w:pPr>
      <w:bookmarkStart w:id="268" w:name="_ENREF_152"/>
      <w:r w:rsidRPr="00686FDA">
        <w:t xml:space="preserve">-- -- 2018, </w:t>
      </w:r>
      <w:r w:rsidRPr="00686FDA">
        <w:rPr>
          <w:i/>
        </w:rPr>
        <w:t>USDA treatment manual</w:t>
      </w:r>
      <w:r w:rsidRPr="00686FDA">
        <w:t xml:space="preserve">, United States Department of Agriculture, available at </w:t>
      </w:r>
      <w:hyperlink r:id="rId119" w:history="1">
        <w:r w:rsidR="00D46089" w:rsidRPr="006975B1">
          <w:rPr>
            <w:rStyle w:val="Hyperlink"/>
          </w:rPr>
          <w:t>https://www.aphis.usda.gov/import_export/plants/manuals/ports/downloads/treatment.pdf</w:t>
        </w:r>
      </w:hyperlink>
      <w:r w:rsidRPr="00686FDA">
        <w:t xml:space="preserve"> (pdf 5.9 mb).</w:t>
      </w:r>
      <w:bookmarkEnd w:id="268"/>
    </w:p>
    <w:p w:rsidR="00B52BB0" w:rsidRPr="00686FDA" w:rsidRDefault="00B52BB0" w:rsidP="003E074D">
      <w:pPr>
        <w:pStyle w:val="EndNoteBibliography"/>
        <w:spacing w:after="0"/>
      </w:pPr>
      <w:bookmarkStart w:id="269" w:name="_ENREF_153"/>
      <w:r w:rsidRPr="00686FDA">
        <w:t xml:space="preserve">Vacante, V 2016, </w:t>
      </w:r>
      <w:r w:rsidRPr="00686FDA">
        <w:rPr>
          <w:i/>
        </w:rPr>
        <w:t>The handbook of mites of economic plants: identification, bio-ecology and control</w:t>
      </w:r>
      <w:r w:rsidRPr="00686FDA">
        <w:t>, 1st edn, CABI, Croydon, UK.</w:t>
      </w:r>
      <w:bookmarkEnd w:id="269"/>
    </w:p>
    <w:p w:rsidR="00B52BB0" w:rsidRPr="00686FDA" w:rsidRDefault="00B52BB0" w:rsidP="003E074D">
      <w:pPr>
        <w:pStyle w:val="EndNoteBibliography"/>
        <w:spacing w:after="0"/>
      </w:pPr>
      <w:bookmarkStart w:id="270" w:name="_ENREF_154"/>
      <w:r w:rsidRPr="00686FDA">
        <w:t xml:space="preserve">Venette, RC &amp; Davis, EE 2004, </w:t>
      </w:r>
      <w:r w:rsidRPr="00686FDA">
        <w:rPr>
          <w:i/>
        </w:rPr>
        <w:t>Mini risk assessment: passionvine mealybug: Planococcus minor (Maskell) [Pseudococcidae: Hemiptera]</w:t>
      </w:r>
      <w:r w:rsidRPr="00686FDA">
        <w:t xml:space="preserve">, University of Minnesota, St Paul, Minnesota, available at </w:t>
      </w:r>
      <w:hyperlink r:id="rId120" w:history="1">
        <w:r w:rsidR="00D46089" w:rsidRPr="006975B1">
          <w:rPr>
            <w:rStyle w:val="Hyperlink"/>
          </w:rPr>
          <w:t>http://www.aphis.usda.gov/plant_health/plant_pest_info/pest_detection/downloads/pra/pminorpra.pdf</w:t>
        </w:r>
      </w:hyperlink>
      <w:r w:rsidRPr="00686FDA">
        <w:t xml:space="preserve"> (pdf 7.31 mb).</w:t>
      </w:r>
      <w:bookmarkEnd w:id="270"/>
    </w:p>
    <w:p w:rsidR="00B52BB0" w:rsidRPr="00686FDA" w:rsidRDefault="00B52BB0" w:rsidP="003E074D">
      <w:pPr>
        <w:pStyle w:val="EndNoteBibliography"/>
        <w:spacing w:after="0"/>
      </w:pPr>
      <w:bookmarkStart w:id="271" w:name="_ENREF_155"/>
      <w:r w:rsidRPr="00686FDA">
        <w:t xml:space="preserve">Vien, NV, Benyon, FHL, Trung, HM, Summerell, BA, Van, NK &amp; Burgess, LW 2001, ‘First record of </w:t>
      </w:r>
      <w:r w:rsidRPr="00686FDA">
        <w:rPr>
          <w:i/>
        </w:rPr>
        <w:t>Peronophythora litchii</w:t>
      </w:r>
      <w:r w:rsidRPr="00686FDA">
        <w:t xml:space="preserve"> on litchi fruit in Vietnam’, </w:t>
      </w:r>
      <w:r w:rsidRPr="00686FDA">
        <w:rPr>
          <w:i/>
        </w:rPr>
        <w:t>Australasian Plant Pathology</w:t>
      </w:r>
      <w:r w:rsidRPr="00686FDA">
        <w:t>, vol. 30, pp. 287-8.</w:t>
      </w:r>
      <w:bookmarkEnd w:id="271"/>
    </w:p>
    <w:p w:rsidR="00B52BB0" w:rsidRPr="00686FDA" w:rsidRDefault="00B52BB0" w:rsidP="003E074D">
      <w:pPr>
        <w:pStyle w:val="EndNoteBibliography"/>
        <w:spacing w:after="0"/>
      </w:pPr>
      <w:bookmarkStart w:id="272" w:name="_ENREF_156"/>
      <w:r w:rsidRPr="00686FDA">
        <w:t xml:space="preserve">Virgilio, M, Jordaens, K, Verwimp, C, White, IM &amp; de Meyer, M 2015, ‘Higher phylogeny of frugivorous flies (Diptera, Tephritidae, Dacini): localised partition conflicts and a novel generic classification’, </w:t>
      </w:r>
      <w:r w:rsidRPr="00686FDA">
        <w:rPr>
          <w:i/>
        </w:rPr>
        <w:t>Molecular Phylogenetics and Evolution</w:t>
      </w:r>
      <w:r w:rsidRPr="00686FDA">
        <w:t>, vol. 85, pp. 171-9.</w:t>
      </w:r>
      <w:bookmarkEnd w:id="272"/>
    </w:p>
    <w:p w:rsidR="00B52BB0" w:rsidRPr="00686FDA" w:rsidRDefault="00B52BB0" w:rsidP="003E074D">
      <w:pPr>
        <w:pStyle w:val="EndNoteBibliography"/>
        <w:spacing w:after="0"/>
      </w:pPr>
      <w:bookmarkStart w:id="273" w:name="_ENREF_157"/>
      <w:r w:rsidRPr="00686FDA">
        <w:t xml:space="preserve">Waite, GK 1999, ‘New evidence further incriminates honey-bees as vectors of lychee erinose mite </w:t>
      </w:r>
      <w:r w:rsidRPr="00686FDA">
        <w:rPr>
          <w:i/>
        </w:rPr>
        <w:t>Aceria litchii</w:t>
      </w:r>
      <w:r w:rsidRPr="00686FDA">
        <w:t xml:space="preserve"> (Acari: Eriophyiidae)’, </w:t>
      </w:r>
      <w:r w:rsidRPr="00686FDA">
        <w:rPr>
          <w:i/>
        </w:rPr>
        <w:t>Experimental &amp; Applied Acarology</w:t>
      </w:r>
      <w:r w:rsidRPr="00686FDA">
        <w:t>, vol. 23, pp. 145-7.</w:t>
      </w:r>
      <w:bookmarkEnd w:id="273"/>
    </w:p>
    <w:p w:rsidR="00B52BB0" w:rsidRPr="00686FDA" w:rsidRDefault="00B52BB0" w:rsidP="003E074D">
      <w:pPr>
        <w:pStyle w:val="EndNoteBibliography"/>
        <w:spacing w:after="0"/>
      </w:pPr>
      <w:bookmarkStart w:id="274" w:name="_ENREF_158"/>
      <w:r w:rsidRPr="00686FDA">
        <w:t xml:space="preserve">Waite, GK &amp; Hwang, JS 2002, ‘Pests of litchi and longan’, in </w:t>
      </w:r>
      <w:r w:rsidRPr="00686FDA">
        <w:rPr>
          <w:i/>
        </w:rPr>
        <w:t>Tropical fruit pests and pollinators: biology, economic importance, natural enemies and control</w:t>
      </w:r>
      <w:r w:rsidRPr="00686FDA">
        <w:t>, Peña, JE, Sharp, JL &amp; Wysoki, M (eds), CAB International, Wallingford.</w:t>
      </w:r>
      <w:bookmarkEnd w:id="274"/>
    </w:p>
    <w:p w:rsidR="00B52BB0" w:rsidRPr="00686FDA" w:rsidRDefault="00B52BB0" w:rsidP="003E074D">
      <w:pPr>
        <w:pStyle w:val="EndNoteBibliography"/>
        <w:spacing w:after="0"/>
      </w:pPr>
      <w:bookmarkStart w:id="275" w:name="_ENREF_159"/>
      <w:r w:rsidRPr="00686FDA">
        <w:t xml:space="preserve">Wang, H, Sun, H, Stammler, G, Ma, J &amp; Zhou, M 2010, ‘Generation and characterization of isolates of </w:t>
      </w:r>
      <w:r w:rsidRPr="00686FDA">
        <w:rPr>
          <w:i/>
        </w:rPr>
        <w:t>Peronophythora litchii</w:t>
      </w:r>
      <w:r w:rsidRPr="00686FDA">
        <w:t xml:space="preserve"> resistant to carboxylic acid amide fungicides’, </w:t>
      </w:r>
      <w:r w:rsidRPr="00686FDA">
        <w:rPr>
          <w:i/>
        </w:rPr>
        <w:t>Phytopathology</w:t>
      </w:r>
      <w:r w:rsidRPr="00686FDA">
        <w:t>, vol. 100, no. 5, pp. 522-7.</w:t>
      </w:r>
      <w:bookmarkEnd w:id="275"/>
    </w:p>
    <w:p w:rsidR="00B52BB0" w:rsidRPr="00686FDA" w:rsidRDefault="00B52BB0" w:rsidP="003E074D">
      <w:pPr>
        <w:pStyle w:val="EndNoteBibliography"/>
        <w:spacing w:after="0"/>
      </w:pPr>
      <w:bookmarkStart w:id="276" w:name="_ENREF_160"/>
      <w:r w:rsidRPr="00686FDA">
        <w:lastRenderedPageBreak/>
        <w:t xml:space="preserve">Wang, HC, Sun, HY, Stammler, G, Ma, JX &amp; Zhou, MG 2009, ‘Baseline and differential sensitivity of </w:t>
      </w:r>
      <w:r w:rsidRPr="00686FDA">
        <w:rPr>
          <w:i/>
        </w:rPr>
        <w:t>Peronophythora litchii</w:t>
      </w:r>
      <w:r w:rsidRPr="00686FDA">
        <w:t xml:space="preserve"> (lychee downy blight) to three carboxylic acid amide fungicides’, </w:t>
      </w:r>
      <w:r w:rsidRPr="00686FDA">
        <w:rPr>
          <w:i/>
        </w:rPr>
        <w:t>Plant Pathology</w:t>
      </w:r>
      <w:r w:rsidRPr="00686FDA">
        <w:t>, vol. 58, pp. 571-6.</w:t>
      </w:r>
      <w:bookmarkEnd w:id="276"/>
    </w:p>
    <w:p w:rsidR="00B52BB0" w:rsidRPr="00686FDA" w:rsidRDefault="00B52BB0" w:rsidP="003E074D">
      <w:pPr>
        <w:pStyle w:val="EndNoteBibliography"/>
        <w:spacing w:after="0"/>
      </w:pPr>
      <w:bookmarkStart w:id="277" w:name="_ENREF_161"/>
      <w:r w:rsidRPr="00686FDA">
        <w:t xml:space="preserve">Wang, WJ &amp; Liu, TS 1991, ‘Toxicity of some insecticides against the red-legged cupreous chafer’, </w:t>
      </w:r>
      <w:r w:rsidRPr="00686FDA">
        <w:rPr>
          <w:i/>
        </w:rPr>
        <w:t>Bulletin of Taichung District Agricultural Improvement Station</w:t>
      </w:r>
      <w:r w:rsidRPr="00686FDA">
        <w:t>, vol. 32, pp. 17-24.</w:t>
      </w:r>
      <w:bookmarkEnd w:id="277"/>
    </w:p>
    <w:p w:rsidR="00B52BB0" w:rsidRPr="00686FDA" w:rsidRDefault="00B52BB0" w:rsidP="003E074D">
      <w:pPr>
        <w:pStyle w:val="EndNoteBibliography"/>
        <w:spacing w:after="0"/>
      </w:pPr>
      <w:bookmarkStart w:id="278" w:name="_ENREF_162"/>
      <w:r w:rsidRPr="00686FDA">
        <w:t xml:space="preserve">Wang, YS, Tian, H, Wan, FH &amp; Zhang, GF 2018, ‘Species-specific COI primers for rapid identification of a globally significant invasive pest, the cassava mealybug </w:t>
      </w:r>
      <w:r w:rsidRPr="00686FDA">
        <w:rPr>
          <w:i/>
        </w:rPr>
        <w:t xml:space="preserve">Phenacoccus manihoti </w:t>
      </w:r>
      <w:r w:rsidRPr="00686FDA">
        <w:t xml:space="preserve">Matile-Ferrero’ </w:t>
      </w:r>
      <w:r w:rsidRPr="00686FDA">
        <w:rPr>
          <w:i/>
        </w:rPr>
        <w:t>Journal of Integrative Agriculture</w:t>
      </w:r>
      <w:r w:rsidRPr="00686FDA">
        <w:t>, vol. 17, available at DOI 10.1016/S2095-3119(18)62043-X.</w:t>
      </w:r>
      <w:bookmarkEnd w:id="278"/>
    </w:p>
    <w:p w:rsidR="00B52BB0" w:rsidRPr="00686FDA" w:rsidRDefault="00B52BB0" w:rsidP="003E074D">
      <w:pPr>
        <w:pStyle w:val="EndNoteBibliography"/>
        <w:spacing w:after="0"/>
      </w:pPr>
      <w:bookmarkStart w:id="279" w:name="_ENREF_163"/>
      <w:r w:rsidRPr="00686FDA">
        <w:t xml:space="preserve">Waterhouse, DF 1993, </w:t>
      </w:r>
      <w:r w:rsidRPr="00686FDA">
        <w:rPr>
          <w:i/>
        </w:rPr>
        <w:t>The major arthropod pests and weeds of agriculture in southeast Asia: distribution, importance and origin</w:t>
      </w:r>
      <w:r w:rsidRPr="00686FDA">
        <w:t>, ACIAR, Canberra.</w:t>
      </w:r>
      <w:bookmarkEnd w:id="279"/>
    </w:p>
    <w:p w:rsidR="00B52BB0" w:rsidRPr="00686FDA" w:rsidRDefault="00B52BB0" w:rsidP="003E074D">
      <w:pPr>
        <w:pStyle w:val="EndNoteBibliography"/>
        <w:spacing w:after="0"/>
      </w:pPr>
      <w:bookmarkStart w:id="280" w:name="_ENREF_164"/>
      <w:r w:rsidRPr="00686FDA">
        <w:t xml:space="preserve">Waterhouse, DF &amp; Sands, DPA 2001, </w:t>
      </w:r>
      <w:r w:rsidRPr="00686FDA">
        <w:rPr>
          <w:i/>
        </w:rPr>
        <w:t>Classical biological control of arthropods in Australia</w:t>
      </w:r>
      <w:r w:rsidRPr="00686FDA">
        <w:t>, Australian Centre for International Agricultural Research, Canberra.</w:t>
      </w:r>
      <w:bookmarkEnd w:id="280"/>
    </w:p>
    <w:p w:rsidR="00B52BB0" w:rsidRPr="00686FDA" w:rsidRDefault="00B52BB0" w:rsidP="003E074D">
      <w:pPr>
        <w:pStyle w:val="EndNoteBibliography"/>
        <w:spacing w:after="0"/>
      </w:pPr>
      <w:bookmarkStart w:id="281" w:name="_ENREF_165"/>
      <w:r w:rsidRPr="00686FDA">
        <w:t xml:space="preserve">Weatheronline 2018, </w:t>
      </w:r>
      <w:r w:rsidRPr="00686FDA">
        <w:rPr>
          <w:i/>
        </w:rPr>
        <w:t>Vietnam</w:t>
      </w:r>
      <w:r w:rsidRPr="00686FDA">
        <w:t xml:space="preserve">, WeatherOnline Ltd, available at </w:t>
      </w:r>
      <w:hyperlink r:id="rId121" w:history="1">
        <w:r w:rsidR="005F6D33" w:rsidRPr="006975B1">
          <w:rPr>
            <w:rStyle w:val="Hyperlink"/>
          </w:rPr>
          <w:t>http://www.weatheronline.co.uk/reports/climate/Vietnam.htm</w:t>
        </w:r>
      </w:hyperlink>
      <w:r w:rsidRPr="00686FDA">
        <w:t>.</w:t>
      </w:r>
      <w:bookmarkEnd w:id="281"/>
    </w:p>
    <w:p w:rsidR="00B52BB0" w:rsidRPr="00686FDA" w:rsidRDefault="00B52BB0" w:rsidP="003E074D">
      <w:pPr>
        <w:pStyle w:val="EndNoteBibliography"/>
        <w:spacing w:after="0"/>
      </w:pPr>
      <w:bookmarkStart w:id="282" w:name="_ENREF_166"/>
      <w:r w:rsidRPr="00686FDA">
        <w:t xml:space="preserve">Wen, HC &amp; Liou, TD 2008, ‘Insect pests and their injuries on yuh-heh-bau litchi and effect of fruit bagging in Kao-Ping area of Taiwan’ (in Chinese), </w:t>
      </w:r>
      <w:r w:rsidRPr="00686FDA">
        <w:rPr>
          <w:i/>
        </w:rPr>
        <w:t>Journal of Taiwan Agricultural Research</w:t>
      </w:r>
      <w:r w:rsidRPr="00686FDA">
        <w:t>, vol. 57, pp. 133-42.</w:t>
      </w:r>
      <w:bookmarkEnd w:id="282"/>
    </w:p>
    <w:p w:rsidR="00B52BB0" w:rsidRPr="00686FDA" w:rsidRDefault="00B52BB0" w:rsidP="003E074D">
      <w:pPr>
        <w:pStyle w:val="EndNoteBibliography"/>
        <w:spacing w:after="0"/>
      </w:pPr>
      <w:bookmarkStart w:id="283" w:name="_ENREF_167"/>
      <w:r w:rsidRPr="00686FDA">
        <w:t xml:space="preserve">White, IM &amp; Elson-Harris, MM 1992, </w:t>
      </w:r>
      <w:r w:rsidRPr="00686FDA">
        <w:rPr>
          <w:i/>
        </w:rPr>
        <w:t>Fruit flies of economic significance: their identification and bionomics</w:t>
      </w:r>
      <w:r w:rsidRPr="00686FDA">
        <w:t>, CAB International, Wallingford, UK.</w:t>
      </w:r>
      <w:bookmarkEnd w:id="283"/>
    </w:p>
    <w:p w:rsidR="00B52BB0" w:rsidRPr="00686FDA" w:rsidRDefault="00B52BB0" w:rsidP="003E074D">
      <w:pPr>
        <w:pStyle w:val="EndNoteBibliography"/>
        <w:spacing w:after="0"/>
      </w:pPr>
      <w:bookmarkStart w:id="284" w:name="_ENREF_168"/>
      <w:r w:rsidRPr="00686FDA">
        <w:t xml:space="preserve">Whittle, CP, Bellas, TE, Horak, M &amp; Pinese, B 1987, ‘The sex pheromone and taxonomic status of </w:t>
      </w:r>
      <w:r w:rsidRPr="00686FDA">
        <w:rPr>
          <w:i/>
        </w:rPr>
        <w:t xml:space="preserve">Homona spargotis </w:t>
      </w:r>
      <w:r w:rsidRPr="00686FDA">
        <w:t xml:space="preserve">Meyrick sp. rev., an Australian pest species of the </w:t>
      </w:r>
      <w:r w:rsidRPr="00686FDA">
        <w:rPr>
          <w:i/>
        </w:rPr>
        <w:t xml:space="preserve">coffearia </w:t>
      </w:r>
      <w:r w:rsidRPr="00686FDA">
        <w:t xml:space="preserve">group (Lepidoptera: Tortricidae: Torticinae)’, </w:t>
      </w:r>
      <w:r w:rsidRPr="00686FDA">
        <w:rPr>
          <w:i/>
        </w:rPr>
        <w:t>Journal of Australian Entomological Society</w:t>
      </w:r>
      <w:r w:rsidRPr="00686FDA">
        <w:t>, vol. 26, pp. 169-79.</w:t>
      </w:r>
      <w:bookmarkEnd w:id="284"/>
    </w:p>
    <w:p w:rsidR="00B52BB0" w:rsidRPr="00686FDA" w:rsidRDefault="00B52BB0" w:rsidP="003E074D">
      <w:pPr>
        <w:pStyle w:val="EndNoteBibliography"/>
        <w:spacing w:after="0"/>
      </w:pPr>
      <w:bookmarkStart w:id="285" w:name="_ENREF_169"/>
      <w:r w:rsidRPr="00686FDA">
        <w:t xml:space="preserve">Williams, DJ 2004, </w:t>
      </w:r>
      <w:r w:rsidRPr="00686FDA">
        <w:rPr>
          <w:i/>
        </w:rPr>
        <w:t>Mealybugs of Southern Asia</w:t>
      </w:r>
      <w:r w:rsidRPr="00686FDA">
        <w:t>, Natural History Museum and Southdene, Kuala Lumpur.</w:t>
      </w:r>
      <w:bookmarkEnd w:id="285"/>
    </w:p>
    <w:p w:rsidR="00B52BB0" w:rsidRPr="00686FDA" w:rsidRDefault="00B52BB0" w:rsidP="003E074D">
      <w:pPr>
        <w:pStyle w:val="EndNoteBibliography"/>
        <w:spacing w:after="0"/>
      </w:pPr>
      <w:bookmarkStart w:id="286" w:name="_ENREF_170"/>
      <w:r w:rsidRPr="00686FDA">
        <w:t xml:space="preserve">World Weather Online 2018, </w:t>
      </w:r>
      <w:r w:rsidRPr="00686FDA">
        <w:rPr>
          <w:i/>
        </w:rPr>
        <w:t>Monthly climate average</w:t>
      </w:r>
      <w:r w:rsidRPr="00686FDA">
        <w:t xml:space="preserve">, available at </w:t>
      </w:r>
      <w:hyperlink r:id="rId122" w:history="1">
        <w:r w:rsidR="005F6D33" w:rsidRPr="006975B1">
          <w:rPr>
            <w:rStyle w:val="Hyperlink"/>
          </w:rPr>
          <w:t>http://www.worldweatheronline.com/</w:t>
        </w:r>
      </w:hyperlink>
      <w:r w:rsidRPr="00686FDA">
        <w:t>.</w:t>
      </w:r>
      <w:bookmarkEnd w:id="286"/>
    </w:p>
    <w:p w:rsidR="00B52BB0" w:rsidRPr="00686FDA" w:rsidRDefault="00B52BB0" w:rsidP="003E074D">
      <w:pPr>
        <w:pStyle w:val="EndNoteBibliography"/>
        <w:spacing w:after="0"/>
      </w:pPr>
      <w:bookmarkStart w:id="287" w:name="_ENREF_171"/>
      <w:r w:rsidRPr="00686FDA">
        <w:t xml:space="preserve">WTO 1995, </w:t>
      </w:r>
      <w:r w:rsidRPr="00686FDA">
        <w:rPr>
          <w:i/>
        </w:rPr>
        <w:t>Agreement on the application of sanitary and phytosanitary measures</w:t>
      </w:r>
      <w:r w:rsidRPr="00686FDA">
        <w:t xml:space="preserve">, World Trade Organization, Geneva, available at </w:t>
      </w:r>
      <w:hyperlink r:id="rId123" w:history="1">
        <w:r w:rsidR="005F6D33" w:rsidRPr="006975B1">
          <w:rPr>
            <w:rStyle w:val="Hyperlink"/>
          </w:rPr>
          <w:t>https://www.wto.org/english/docs_e/legal_e/15-sps.pdf</w:t>
        </w:r>
      </w:hyperlink>
      <w:r w:rsidRPr="00686FDA">
        <w:t xml:space="preserve"> (pdf 90.58 kb).</w:t>
      </w:r>
      <w:bookmarkEnd w:id="287"/>
    </w:p>
    <w:p w:rsidR="00B52BB0" w:rsidRPr="00686FDA" w:rsidRDefault="00B52BB0" w:rsidP="003E074D">
      <w:pPr>
        <w:pStyle w:val="EndNoteBibliography"/>
        <w:spacing w:after="0"/>
      </w:pPr>
      <w:bookmarkStart w:id="288" w:name="_ENREF_172"/>
      <w:r w:rsidRPr="00686FDA">
        <w:t xml:space="preserve">Ye, W, Wang, Y, Shen, D, Li, D, Pu, T, Jiang, Z, Zhang, Z, Zheng, X, Tyler, BM &amp; Wang, Y 2016, ‘Sequencing of the litchi downy blight pathogen reveals it is a </w:t>
      </w:r>
      <w:r w:rsidRPr="00686FDA">
        <w:rPr>
          <w:i/>
        </w:rPr>
        <w:t>Phytophthora</w:t>
      </w:r>
      <w:r w:rsidRPr="00686FDA">
        <w:t xml:space="preserve"> species with downy mildew-like characteristics’, </w:t>
      </w:r>
      <w:r w:rsidRPr="00686FDA">
        <w:rPr>
          <w:i/>
        </w:rPr>
        <w:t>Molecular Plant-Microbe Interactions</w:t>
      </w:r>
      <w:r w:rsidRPr="00686FDA">
        <w:t>, vol. 29, no. 7, pp. 573-83.</w:t>
      </w:r>
      <w:bookmarkEnd w:id="288"/>
    </w:p>
    <w:p w:rsidR="003E7039" w:rsidRDefault="00B52BB0" w:rsidP="005F6D33">
      <w:pPr>
        <w:pStyle w:val="EndNoteBibliography"/>
      </w:pPr>
      <w:bookmarkStart w:id="289" w:name="_ENREF_173"/>
      <w:r w:rsidRPr="00686FDA">
        <w:t xml:space="preserve">Yiğit, A &amp; Telli, S 2013, ‘Hatay ili turunçgillerinde zararlı Pseadococcus cryptus Hempel (Hemiptera: Pseudococcidae)’ un yayılışı, konukçuları ve doğal düşmanları’ (Distrubution, host plants and natural enemies of </w:t>
      </w:r>
      <w:r w:rsidRPr="00686FDA">
        <w:rPr>
          <w:i/>
        </w:rPr>
        <w:t>Pseudococcus cryptus</w:t>
      </w:r>
      <w:r w:rsidRPr="00686FDA">
        <w:t xml:space="preserve"> Hempel (Hemiptera: Pseudococcidae), injurious to citrus plantations in Hatay), </w:t>
      </w:r>
      <w:r w:rsidRPr="00686FDA">
        <w:rPr>
          <w:i/>
        </w:rPr>
        <w:t>Turkiye Entomoloji Dergisi</w:t>
      </w:r>
      <w:r w:rsidRPr="00686FDA">
        <w:t>, vol. 37, no. 3, pp. 359-73.</w:t>
      </w:r>
      <w:bookmarkEnd w:id="289"/>
    </w:p>
    <w:sectPr w:rsidR="003E7039">
      <w:headerReference w:type="default" r:id="rId124"/>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25C3" w:rsidRDefault="007425C3" w:rsidP="00B0562D">
      <w:pPr>
        <w:spacing w:after="0" w:line="240" w:lineRule="auto"/>
      </w:pPr>
      <w:r>
        <w:separator/>
      </w:r>
    </w:p>
  </w:endnote>
  <w:endnote w:type="continuationSeparator" w:id="0">
    <w:p w:rsidR="007425C3" w:rsidRDefault="007425C3" w:rsidP="00B05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Italic">
    <w:altName w:val="Times New Roman"/>
    <w:panose1 w:val="00000000000000000000"/>
    <w:charset w:val="00"/>
    <w:family w:val="roman"/>
    <w:notTrueType/>
    <w:pitch w:val="default"/>
  </w:font>
  <w:font w:name="Melior-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86" w:rsidRDefault="00C42386" w:rsidP="003E074D">
    <w:pPr>
      <w:pStyle w:val="Footer"/>
      <w:tabs>
        <w:tab w:val="clear" w:pos="4536"/>
        <w:tab w:val="left" w:pos="6286"/>
        <w:tab w:val="left" w:pos="8789"/>
        <w:tab w:val="right" w:pos="13892"/>
      </w:tabs>
      <w:spacing w:before="120"/>
      <w:jc w:val="left"/>
    </w:pPr>
    <w:r>
      <w:t>Department of Agriculture and Water Resources</w:t>
    </w:r>
    <w:r>
      <w:tab/>
    </w:r>
    <w:r>
      <w:tab/>
    </w:r>
    <w:r>
      <w:tab/>
    </w:r>
    <w:r>
      <w:fldChar w:fldCharType="begin"/>
    </w:r>
    <w:r>
      <w:instrText xml:space="preserve"> PAGE   \* MERGEFORMAT </w:instrText>
    </w:r>
    <w:r>
      <w:fldChar w:fldCharType="separate"/>
    </w:r>
    <w:r w:rsidR="00DD194F">
      <w:rPr>
        <w:noProof/>
      </w:rPr>
      <w:t>vi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86" w:rsidRDefault="00C42386" w:rsidP="003E074D">
    <w:pPr>
      <w:pStyle w:val="Footer"/>
      <w:tabs>
        <w:tab w:val="clear" w:pos="4536"/>
        <w:tab w:val="left" w:pos="8789"/>
        <w:tab w:val="right" w:pos="13892"/>
      </w:tabs>
      <w:spacing w:before="120"/>
      <w:jc w:val="left"/>
    </w:pPr>
    <w:r>
      <w:t>Department of Agriculture and Water Resources</w:t>
    </w:r>
    <w:r>
      <w:tab/>
    </w:r>
    <w:r>
      <w:fldChar w:fldCharType="begin"/>
    </w:r>
    <w:r>
      <w:instrText xml:space="preserve"> PAGE   \* MERGEFORMAT </w:instrText>
    </w:r>
    <w:r>
      <w:fldChar w:fldCharType="separate"/>
    </w:r>
    <w:r w:rsidR="00DD194F">
      <w:rPr>
        <w:noProof/>
      </w:rPr>
      <w:t>15</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86" w:rsidRDefault="00C42386" w:rsidP="003E074D">
    <w:pPr>
      <w:pStyle w:val="Footer"/>
      <w:tabs>
        <w:tab w:val="clear" w:pos="4536"/>
        <w:tab w:val="left" w:pos="13467"/>
        <w:tab w:val="right" w:pos="13892"/>
      </w:tabs>
      <w:spacing w:before="120"/>
      <w:jc w:val="left"/>
    </w:pPr>
    <w:r>
      <w:t>Department of Agriculture and Water Resources</w:t>
    </w:r>
    <w:r>
      <w:tab/>
    </w:r>
    <w:r>
      <w:fldChar w:fldCharType="begin"/>
    </w:r>
    <w:r>
      <w:instrText xml:space="preserve"> PAGE   \* MERGEFORMAT </w:instrText>
    </w:r>
    <w:r>
      <w:fldChar w:fldCharType="separate"/>
    </w:r>
    <w:r w:rsidR="00DD194F">
      <w:rPr>
        <w:noProof/>
      </w:rPr>
      <w:t>44</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86" w:rsidRDefault="00C42386" w:rsidP="003E074D">
    <w:pPr>
      <w:pStyle w:val="Footer"/>
      <w:tabs>
        <w:tab w:val="clear" w:pos="4536"/>
        <w:tab w:val="left" w:pos="8789"/>
        <w:tab w:val="right" w:pos="13892"/>
      </w:tabs>
      <w:spacing w:before="120"/>
      <w:jc w:val="left"/>
    </w:pPr>
    <w:r>
      <w:t>Department of Agriculture and Water Resources</w:t>
    </w:r>
    <w:r>
      <w:tab/>
    </w:r>
    <w:r>
      <w:fldChar w:fldCharType="begin"/>
    </w:r>
    <w:r>
      <w:instrText xml:space="preserve"> PAGE   \* MERGEFORMAT </w:instrText>
    </w:r>
    <w:r>
      <w:fldChar w:fldCharType="separate"/>
    </w:r>
    <w:r w:rsidR="00DD194F">
      <w:rPr>
        <w:noProof/>
      </w:rPr>
      <w:t>58</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86" w:rsidRDefault="00C42386" w:rsidP="003E074D">
    <w:pPr>
      <w:pStyle w:val="Footer"/>
      <w:tabs>
        <w:tab w:val="clear" w:pos="4536"/>
        <w:tab w:val="left" w:pos="8777"/>
        <w:tab w:val="left" w:pos="13608"/>
        <w:tab w:val="left" w:pos="14034"/>
      </w:tabs>
      <w:spacing w:before="120"/>
      <w:jc w:val="left"/>
    </w:pPr>
    <w:r>
      <w:t>Department of Agriculture and Water Resources</w:t>
    </w:r>
    <w:r>
      <w:tab/>
    </w:r>
    <w:r>
      <w:fldChar w:fldCharType="begin"/>
    </w:r>
    <w:r>
      <w:instrText xml:space="preserve"> PAGE   \* MERGEFORMAT </w:instrText>
    </w:r>
    <w:r>
      <w:fldChar w:fldCharType="separate"/>
    </w:r>
    <w:r w:rsidR="00DD194F">
      <w:rPr>
        <w:noProof/>
      </w:rPr>
      <w:t>59</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86" w:rsidRDefault="00C42386" w:rsidP="003E074D">
    <w:pPr>
      <w:pStyle w:val="Footer"/>
      <w:tabs>
        <w:tab w:val="clear" w:pos="4536"/>
        <w:tab w:val="left" w:pos="13608"/>
        <w:tab w:val="left" w:pos="14034"/>
      </w:tabs>
      <w:spacing w:before="120"/>
      <w:jc w:val="left"/>
    </w:pPr>
    <w:r>
      <w:t>Department of Agriculture and Water Resources</w:t>
    </w:r>
    <w:r>
      <w:tab/>
    </w:r>
    <w:r>
      <w:fldChar w:fldCharType="begin"/>
    </w:r>
    <w:r>
      <w:instrText xml:space="preserve"> PAGE   \* MERGEFORMAT </w:instrText>
    </w:r>
    <w:r>
      <w:fldChar w:fldCharType="separate"/>
    </w:r>
    <w:r w:rsidR="00DD194F">
      <w:rPr>
        <w:noProof/>
      </w:rPr>
      <w:t>94</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86" w:rsidRDefault="00C42386" w:rsidP="003E074D">
    <w:pPr>
      <w:pStyle w:val="Footer"/>
      <w:tabs>
        <w:tab w:val="clear" w:pos="4536"/>
        <w:tab w:val="left" w:pos="8567"/>
        <w:tab w:val="left" w:pos="13608"/>
        <w:tab w:val="left" w:pos="14034"/>
      </w:tabs>
      <w:spacing w:before="120"/>
      <w:jc w:val="left"/>
    </w:pPr>
    <w:r>
      <w:t>Department of Agriculture and Water Resources</w:t>
    </w:r>
    <w:r>
      <w:tab/>
    </w:r>
    <w:r>
      <w:fldChar w:fldCharType="begin"/>
    </w:r>
    <w:r>
      <w:instrText xml:space="preserve"> PAGE   \* MERGEFORMAT </w:instrText>
    </w:r>
    <w:r>
      <w:fldChar w:fldCharType="separate"/>
    </w:r>
    <w:r w:rsidR="00DD194F">
      <w:rPr>
        <w:noProof/>
      </w:rPr>
      <w:t>113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25C3" w:rsidRDefault="007425C3" w:rsidP="00B0562D">
      <w:pPr>
        <w:spacing w:after="0" w:line="240" w:lineRule="auto"/>
      </w:pPr>
      <w:r>
        <w:separator/>
      </w:r>
    </w:p>
  </w:footnote>
  <w:footnote w:type="continuationSeparator" w:id="0">
    <w:p w:rsidR="007425C3" w:rsidRDefault="007425C3" w:rsidP="00B056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86" w:rsidRDefault="00C42386" w:rsidP="00B0562D">
    <w:pPr>
      <w:pStyle w:val="Header"/>
      <w:spacing w:after="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86" w:rsidRDefault="00C42386" w:rsidP="003E074D">
    <w:pPr>
      <w:pStyle w:val="Header"/>
      <w:tabs>
        <w:tab w:val="clear" w:pos="4820"/>
        <w:tab w:val="right" w:pos="13892"/>
      </w:tabs>
      <w:jc w:val="left"/>
    </w:pPr>
    <w:r>
      <w:t>Final</w:t>
    </w:r>
    <w:r w:rsidRPr="00175032">
      <w:t xml:space="preserve"> report: longan from Vietnam</w:t>
    </w:r>
    <w:r>
      <w:tab/>
      <w:t>Commercial production practices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86" w:rsidRDefault="00C42386" w:rsidP="003E074D">
    <w:pPr>
      <w:pStyle w:val="Header"/>
      <w:tabs>
        <w:tab w:val="clear" w:pos="4820"/>
        <w:tab w:val="right" w:pos="13892"/>
      </w:tabs>
      <w:jc w:val="left"/>
    </w:pPr>
    <w:r>
      <w:t>Final</w:t>
    </w:r>
    <w:r w:rsidRPr="001B27F2">
      <w:t xml:space="preserve"> report: longan from Vietnam</w:t>
    </w:r>
    <w:r>
      <w:tab/>
      <w:t>Pest risk assessment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86" w:rsidRDefault="00C42386">
    <w:pPr>
      <w:pStyle w:val="Header"/>
      <w:tabs>
        <w:tab w:val="clear" w:pos="4820"/>
        <w:tab w:val="center" w:pos="8505"/>
        <w:tab w:val="center" w:pos="13041"/>
      </w:tabs>
      <w:jc w:val="left"/>
    </w:pPr>
    <w:r>
      <w:t>Final report: Longan from Vietnam</w:t>
    </w:r>
    <w:r>
      <w:tab/>
      <w:t>Pest risk management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86" w:rsidRDefault="00C42386">
    <w:pPr>
      <w:pStyle w:val="Header"/>
      <w:tabs>
        <w:tab w:val="clear" w:pos="4820"/>
        <w:tab w:val="center" w:pos="8505"/>
        <w:tab w:val="center" w:pos="13041"/>
      </w:tabs>
      <w:jc w:val="left"/>
    </w:pPr>
    <w:r>
      <w:t>Final report: Longan from Vietnam</w:t>
    </w:r>
    <w:r>
      <w:tab/>
      <w:t>Conclusion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86" w:rsidRDefault="00C42386">
    <w:pPr>
      <w:pStyle w:val="Header"/>
      <w:tabs>
        <w:tab w:val="clear" w:pos="4820"/>
        <w:tab w:val="center" w:pos="13041"/>
      </w:tabs>
      <w:jc w:val="left"/>
    </w:pPr>
    <w:r>
      <w:t>Final report: Longan from Vietnam</w:t>
    </w:r>
    <w:r>
      <w:tab/>
      <w:t>Appendix 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86" w:rsidRDefault="00C42386">
    <w:pPr>
      <w:pStyle w:val="Header"/>
      <w:tabs>
        <w:tab w:val="clear" w:pos="4820"/>
        <w:tab w:val="center" w:pos="8505"/>
        <w:tab w:val="center" w:pos="13041"/>
      </w:tabs>
      <w:jc w:val="left"/>
    </w:pPr>
    <w:r>
      <w:t>Final</w:t>
    </w:r>
    <w:r w:rsidRPr="00175032">
      <w:t xml:space="preserve"> report: longan from Vietnam</w:t>
    </w:r>
    <w:r>
      <w:tab/>
      <w:t>Appendix B</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86" w:rsidRDefault="00C42386">
    <w:pPr>
      <w:pStyle w:val="Header"/>
      <w:tabs>
        <w:tab w:val="clear" w:pos="4820"/>
        <w:tab w:val="center" w:pos="8505"/>
        <w:tab w:val="center" w:pos="13041"/>
      </w:tabs>
      <w:jc w:val="left"/>
    </w:pPr>
    <w:r>
      <w:t>Final</w:t>
    </w:r>
    <w:r w:rsidRPr="00175032">
      <w:t xml:space="preserve"> report: longan from Vietnam</w:t>
    </w:r>
    <w:r>
      <w:tab/>
      <w:t>Glossary</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86" w:rsidRDefault="00C42386">
    <w:pPr>
      <w:pStyle w:val="Header"/>
      <w:tabs>
        <w:tab w:val="clear" w:pos="4820"/>
        <w:tab w:val="center" w:pos="8505"/>
        <w:tab w:val="center" w:pos="13041"/>
      </w:tabs>
      <w:jc w:val="left"/>
    </w:pPr>
    <w:r>
      <w:t>Final</w:t>
    </w:r>
    <w:r w:rsidRPr="00F06E51">
      <w:t xml:space="preserve"> report: longan from Vietnam</w:t>
    </w:r>
    <w:r>
      <w:tab/>
      <w:t>References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86" w:rsidRDefault="00C42386" w:rsidP="00B0562D">
    <w:pPr>
      <w:pStyle w:val="Header"/>
      <w:spacing w:after="0"/>
      <w:jc w:val="left"/>
    </w:pPr>
    <w:r>
      <w:rPr>
        <w:noProof/>
        <w:lang w:eastAsia="en-AU"/>
      </w:rPr>
      <w:drawing>
        <wp:inline distT="0" distB="0" distL="0" distR="0" wp14:anchorId="04B60A8A" wp14:editId="56BF11D8">
          <wp:extent cx="2316480" cy="741680"/>
          <wp:effectExtent l="0" t="0" r="7620" b="1270"/>
          <wp:docPr id="19" name="Picture 19" descr="Australian Government Department of Agriculture and Water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Staff\Alicia\Master Inline-TIF.tiff"/>
                  <pic:cNvPicPr>
                    <a:picLocks noChangeAspect="1" noChangeArrowheads="1"/>
                  </pic:cNvPicPr>
                </pic:nvPicPr>
                <pic:blipFill>
                  <a:blip r:embed="rId1"/>
                  <a:srcRect/>
                  <a:stretch>
                    <a:fillRect/>
                  </a:stretch>
                </pic:blipFill>
                <pic:spPr bwMode="auto">
                  <a:xfrm>
                    <a:off x="0" y="0"/>
                    <a:ext cx="2316480" cy="74168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86" w:rsidRDefault="00C4238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86" w:rsidRPr="003948B8" w:rsidRDefault="00C42386" w:rsidP="003E074D">
    <w:pPr>
      <w:pStyle w:val="Header"/>
      <w:tabs>
        <w:tab w:val="clear" w:pos="4820"/>
        <w:tab w:val="right" w:pos="13892"/>
      </w:tabs>
      <w:jc w:val="left"/>
    </w:pPr>
    <w:r>
      <w:t>Final</w:t>
    </w:r>
    <w:r w:rsidRPr="00234ABA">
      <w:t xml:space="preserve"> report: longan from Vietnam</w:t>
    </w:r>
    <w:r>
      <w:tab/>
      <w:t>Contents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86" w:rsidRPr="003948B8" w:rsidRDefault="00C42386" w:rsidP="003E074D">
    <w:pPr>
      <w:pStyle w:val="Header"/>
      <w:tabs>
        <w:tab w:val="clear" w:pos="4820"/>
        <w:tab w:val="right" w:pos="13892"/>
      </w:tabs>
      <w:jc w:val="left"/>
    </w:pPr>
    <w:r>
      <w:t>Final</w:t>
    </w:r>
    <w:r w:rsidRPr="00234ABA">
      <w:t xml:space="preserve"> report: longan from Vietnam</w:t>
    </w:r>
    <w:r>
      <w:tab/>
      <w:t>Maps of Australia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86" w:rsidRDefault="00C42386" w:rsidP="003E074D">
    <w:pPr>
      <w:pStyle w:val="Header"/>
      <w:tabs>
        <w:tab w:val="clear" w:pos="4820"/>
        <w:tab w:val="right" w:pos="13892"/>
      </w:tabs>
      <w:jc w:val="left"/>
    </w:pPr>
    <w:r>
      <w:t>Final</w:t>
    </w:r>
    <w:r w:rsidRPr="00AB62F2">
      <w:t xml:space="preserve"> report: longan from Vietnam</w:t>
    </w:r>
    <w:r>
      <w:tab/>
      <w:t>Acronyms and abbreviations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86" w:rsidRDefault="00C42386" w:rsidP="003E074D">
    <w:pPr>
      <w:pStyle w:val="Header"/>
      <w:tabs>
        <w:tab w:val="clear" w:pos="4820"/>
        <w:tab w:val="right" w:pos="13892"/>
      </w:tabs>
      <w:jc w:val="left"/>
    </w:pPr>
    <w:r>
      <w:t>Final</w:t>
    </w:r>
    <w:r w:rsidRPr="003A3DDF">
      <w:t xml:space="preserve"> report: longan from Vietnam</w:t>
    </w:r>
    <w:r>
      <w:tab/>
      <w:t>Summary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86" w:rsidRDefault="00C42386" w:rsidP="003E074D">
    <w:pPr>
      <w:pStyle w:val="Header"/>
      <w:tabs>
        <w:tab w:val="clear" w:pos="4820"/>
        <w:tab w:val="right" w:pos="13892"/>
      </w:tabs>
      <w:jc w:val="left"/>
    </w:pPr>
    <w:r>
      <w:t>Final</w:t>
    </w:r>
    <w:r w:rsidRPr="003A3DDF">
      <w:t xml:space="preserve"> report: longan from Vietnam</w:t>
    </w:r>
    <w:r>
      <w:tab/>
      <w:t>Introduction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386" w:rsidRDefault="00C42386" w:rsidP="003E074D">
    <w:pPr>
      <w:pStyle w:val="Header"/>
      <w:tabs>
        <w:tab w:val="clear" w:pos="4820"/>
        <w:tab w:val="right" w:pos="13892"/>
      </w:tabs>
      <w:jc w:val="left"/>
    </w:pPr>
    <w:r>
      <w:t>Final</w:t>
    </w:r>
    <w:r w:rsidRPr="00F524F1">
      <w:t xml:space="preserve"> report: longan from Vietnam</w:t>
    </w:r>
    <w:r>
      <w:tab/>
      <w:t>Method for pest risk analysis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1" w15:restartNumberingAfterBreak="0">
    <w:nsid w:val="0F4615CC"/>
    <w:multiLevelType w:val="hybridMultilevel"/>
    <w:tmpl w:val="5AE43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53399E"/>
    <w:multiLevelType w:val="multilevel"/>
    <w:tmpl w:val="40A462FE"/>
    <w:numStyleLink w:val="heading"/>
  </w:abstractNum>
  <w:abstractNum w:abstractNumId="4"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5" w15:restartNumberingAfterBreak="0">
    <w:nsid w:val="2C533468"/>
    <w:multiLevelType w:val="hybridMultilevel"/>
    <w:tmpl w:val="63ECC1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595B46"/>
    <w:multiLevelType w:val="multilevel"/>
    <w:tmpl w:val="C32AB9AA"/>
    <w:numStyleLink w:val="ListNumber1"/>
  </w:abstractNum>
  <w:abstractNum w:abstractNumId="7"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8" w15:restartNumberingAfterBreak="0">
    <w:nsid w:val="364F2107"/>
    <w:multiLevelType w:val="multilevel"/>
    <w:tmpl w:val="9AB48746"/>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lfaen" w:hAnsi="Sylfaen"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9" w15:restartNumberingAfterBreak="0">
    <w:nsid w:val="3B7E0EC0"/>
    <w:multiLevelType w:val="hybridMultilevel"/>
    <w:tmpl w:val="2BFC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1" w15:restartNumberingAfterBreak="0">
    <w:nsid w:val="3CFC57CD"/>
    <w:multiLevelType w:val="hybridMultilevel"/>
    <w:tmpl w:val="5824B00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48DE2E4A"/>
    <w:multiLevelType w:val="hybridMultilevel"/>
    <w:tmpl w:val="B7086130"/>
    <w:lvl w:ilvl="0" w:tplc="AAB465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B861DE6"/>
    <w:multiLevelType w:val="multilevel"/>
    <w:tmpl w:val="6346ED0E"/>
    <w:styleLink w:val="listbullets"/>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681"/>
        </w:tabs>
        <w:ind w:left="284"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4" w15:restartNumberingAfterBreak="0">
    <w:nsid w:val="52BD5509"/>
    <w:multiLevelType w:val="multilevel"/>
    <w:tmpl w:val="E4B450F6"/>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5" w15:restartNumberingAfterBreak="0">
    <w:nsid w:val="573D0396"/>
    <w:multiLevelType w:val="hybridMultilevel"/>
    <w:tmpl w:val="8EA83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7F42E7"/>
    <w:multiLevelType w:val="hybridMultilevel"/>
    <w:tmpl w:val="9F201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8" w15:restartNumberingAfterBreak="0">
    <w:nsid w:val="5D9557E8"/>
    <w:multiLevelType w:val="hybridMultilevel"/>
    <w:tmpl w:val="35C0925C"/>
    <w:lvl w:ilvl="0" w:tplc="EC0E9E2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16E6A57"/>
    <w:multiLevelType w:val="hybridMultilevel"/>
    <w:tmpl w:val="FF087936"/>
    <w:lvl w:ilvl="0" w:tplc="0C090001">
      <w:start w:val="1"/>
      <w:numFmt w:val="bullet"/>
      <w:lvlText w:val=""/>
      <w:lvlJc w:val="left"/>
      <w:pPr>
        <w:ind w:left="720" w:hanging="360"/>
      </w:pPr>
      <w:rPr>
        <w:rFonts w:ascii="Symbol" w:hAnsi="Symbol" w:hint="default"/>
      </w:rPr>
    </w:lvl>
    <w:lvl w:ilvl="1" w:tplc="30EC4FFC">
      <w:start w:val="1"/>
      <w:numFmt w:val="bullet"/>
      <w:lvlText w:val=""/>
      <w:lvlJc w:val="left"/>
      <w:pPr>
        <w:ind w:left="107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36387C"/>
    <w:multiLevelType w:val="multilevel"/>
    <w:tmpl w:val="6346ED0E"/>
    <w:numStyleLink w:val="listbullets"/>
  </w:abstractNum>
  <w:abstractNum w:abstractNumId="21" w15:restartNumberingAfterBreak="0">
    <w:nsid w:val="79812AD4"/>
    <w:multiLevelType w:val="hybridMultilevel"/>
    <w:tmpl w:val="A6409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7"/>
  </w:num>
  <w:num w:numId="4">
    <w:abstractNumId w:val="4"/>
  </w:num>
  <w:num w:numId="5">
    <w:abstractNumId w:val="7"/>
  </w:num>
  <w:num w:numId="6">
    <w:abstractNumId w:val="13"/>
  </w:num>
  <w:num w:numId="7">
    <w:abstractNumId w:val="20"/>
    <w:lvlOverride w:ilvl="0">
      <w:lvl w:ilvl="0">
        <w:start w:val="1"/>
        <w:numFmt w:val="bullet"/>
        <w:lvlText w:val=""/>
        <w:lvlJc w:val="left"/>
        <w:pPr>
          <w:tabs>
            <w:tab w:val="num" w:pos="567"/>
          </w:tabs>
          <w:ind w:left="397" w:hanging="397"/>
        </w:pPr>
        <w:rPr>
          <w:rFonts w:ascii="Symbol" w:hAnsi="Symbol" w:hint="default"/>
          <w:color w:val="auto"/>
        </w:rPr>
      </w:lvl>
    </w:lvlOverride>
  </w:num>
  <w:num w:numId="8">
    <w:abstractNumId w:val="10"/>
  </w:num>
  <w:num w:numId="9">
    <w:abstractNumId w:val="6"/>
  </w:num>
  <w:num w:numId="10">
    <w:abstractNumId w:val="0"/>
  </w:num>
  <w:num w:numId="11">
    <w:abstractNumId w:val="3"/>
    <w:lvlOverride w:ilvl="1">
      <w:lvl w:ilvl="1">
        <w:start w:val="1"/>
        <w:numFmt w:val="decimal"/>
        <w:pStyle w:val="Heading3"/>
        <w:lvlText w:val="%1.%2"/>
        <w:lvlJc w:val="left"/>
        <w:pPr>
          <w:tabs>
            <w:tab w:val="num" w:pos="794"/>
          </w:tabs>
          <w:ind w:left="794" w:hanging="794"/>
        </w:pPr>
        <w:rPr>
          <w:rFonts w:hint="default"/>
        </w:rPr>
      </w:lvl>
    </w:lvlOverride>
  </w:num>
  <w:num w:numId="12">
    <w:abstractNumId w:val="18"/>
  </w:num>
  <w:num w:numId="13">
    <w:abstractNumId w:val="20"/>
    <w:lvlOverride w:ilvl="0">
      <w:lvl w:ilvl="0">
        <w:start w:val="1"/>
        <w:numFmt w:val="bullet"/>
        <w:lvlText w:val=""/>
        <w:lvlJc w:val="left"/>
        <w:pPr>
          <w:tabs>
            <w:tab w:val="num" w:pos="567"/>
          </w:tabs>
          <w:ind w:left="397" w:hanging="397"/>
        </w:pPr>
        <w:rPr>
          <w:rFonts w:ascii="Symbol" w:hAnsi="Symbol" w:hint="default"/>
          <w:color w:val="auto"/>
        </w:rPr>
      </w:lvl>
    </w:lvlOverride>
  </w:num>
  <w:num w:numId="14">
    <w:abstractNumId w:val="9"/>
  </w:num>
  <w:num w:numId="15">
    <w:abstractNumId w:val="19"/>
  </w:num>
  <w:num w:numId="16">
    <w:abstractNumId w:val="14"/>
  </w:num>
  <w:num w:numId="17">
    <w:abstractNumId w:val="8"/>
  </w:num>
  <w:num w:numId="18">
    <w:abstractNumId w:val="1"/>
  </w:num>
  <w:num w:numId="19">
    <w:abstractNumId w:val="16"/>
  </w:num>
  <w:num w:numId="20">
    <w:abstractNumId w:val="21"/>
  </w:num>
  <w:num w:numId="21">
    <w:abstractNumId w:val="15"/>
  </w:num>
  <w:num w:numId="22">
    <w:abstractNumId w:val="5"/>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52BB0"/>
    <w:rsid w:val="0013307A"/>
    <w:rsid w:val="00182212"/>
    <w:rsid w:val="002075E1"/>
    <w:rsid w:val="003E074D"/>
    <w:rsid w:val="003E7039"/>
    <w:rsid w:val="005F6D33"/>
    <w:rsid w:val="0064659B"/>
    <w:rsid w:val="007260D5"/>
    <w:rsid w:val="007425C3"/>
    <w:rsid w:val="00794D17"/>
    <w:rsid w:val="007E0D5B"/>
    <w:rsid w:val="008B7377"/>
    <w:rsid w:val="00925B08"/>
    <w:rsid w:val="00937C23"/>
    <w:rsid w:val="00A674E4"/>
    <w:rsid w:val="00B0562D"/>
    <w:rsid w:val="00B52BB0"/>
    <w:rsid w:val="00B97033"/>
    <w:rsid w:val="00C3220A"/>
    <w:rsid w:val="00C42386"/>
    <w:rsid w:val="00D200CA"/>
    <w:rsid w:val="00D35C7E"/>
    <w:rsid w:val="00D46089"/>
    <w:rsid w:val="00DD194F"/>
    <w:rsid w:val="00DF455E"/>
    <w:rsid w:val="00E01F9A"/>
    <w:rsid w:val="00EA7374"/>
    <w:rsid w:val="00ED44DB"/>
    <w:rsid w:val="00FE24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BB0"/>
    <w:pPr>
      <w:spacing w:after="200" w:line="276" w:lineRule="auto"/>
    </w:pPr>
    <w:rPr>
      <w:rFonts w:ascii="Cambria" w:hAnsi="Cambria"/>
    </w:rPr>
  </w:style>
  <w:style w:type="paragraph" w:styleId="Heading1">
    <w:name w:val="heading 1"/>
    <w:next w:val="Normal"/>
    <w:link w:val="Heading1Char"/>
    <w:uiPriority w:val="9"/>
    <w:qFormat/>
    <w:rsid w:val="00B52BB0"/>
    <w:pPr>
      <w:keepNext/>
      <w:keepLines/>
      <w:pBdr>
        <w:bottom w:val="single" w:sz="4" w:space="1" w:color="auto"/>
      </w:pBdr>
      <w:spacing w:before="480" w:after="120" w:line="240" w:lineRule="auto"/>
      <w:outlineLvl w:val="0"/>
    </w:pPr>
    <w:rPr>
      <w:rFonts w:ascii="Calibri" w:eastAsiaTheme="majorEastAsia" w:hAnsi="Calibri" w:cstheme="majorBidi"/>
      <w:b/>
      <w:bCs/>
      <w:sz w:val="72"/>
      <w:szCs w:val="28"/>
    </w:rPr>
  </w:style>
  <w:style w:type="paragraph" w:styleId="Heading2">
    <w:name w:val="heading 2"/>
    <w:next w:val="Normal"/>
    <w:link w:val="Heading2Char"/>
    <w:uiPriority w:val="9"/>
    <w:qFormat/>
    <w:rsid w:val="00B52BB0"/>
    <w:pPr>
      <w:keepNext/>
      <w:keepLines/>
      <w:numPr>
        <w:numId w:val="11"/>
      </w:numPr>
      <w:spacing w:after="120" w:line="240" w:lineRule="auto"/>
      <w:outlineLvl w:val="1"/>
    </w:pPr>
    <w:rPr>
      <w:rFonts w:ascii="Calibri" w:eastAsiaTheme="majorEastAsia" w:hAnsi="Calibri" w:cstheme="majorBidi"/>
      <w:b/>
      <w:bCs/>
      <w:color w:val="D52B1E"/>
      <w:sz w:val="34"/>
      <w:szCs w:val="26"/>
    </w:rPr>
  </w:style>
  <w:style w:type="paragraph" w:styleId="Heading3">
    <w:name w:val="heading 3"/>
    <w:next w:val="Normal"/>
    <w:link w:val="Heading3Char"/>
    <w:uiPriority w:val="4"/>
    <w:qFormat/>
    <w:rsid w:val="00B52BB0"/>
    <w:pPr>
      <w:keepNext/>
      <w:keepLines/>
      <w:numPr>
        <w:ilvl w:val="1"/>
        <w:numId w:val="11"/>
      </w:numPr>
      <w:spacing w:before="120" w:after="0" w:line="240" w:lineRule="auto"/>
      <w:outlineLvl w:val="2"/>
    </w:pPr>
    <w:rPr>
      <w:rFonts w:ascii="Calibri" w:hAnsi="Calibri"/>
      <w:b/>
      <w:bCs/>
      <w:color w:val="773141"/>
      <w:sz w:val="28"/>
    </w:rPr>
  </w:style>
  <w:style w:type="paragraph" w:styleId="Heading4">
    <w:name w:val="heading 4"/>
    <w:next w:val="Normal"/>
    <w:link w:val="Heading4Char"/>
    <w:uiPriority w:val="5"/>
    <w:qFormat/>
    <w:rsid w:val="00B52BB0"/>
    <w:pPr>
      <w:keepNext/>
      <w:keepLines/>
      <w:numPr>
        <w:ilvl w:val="2"/>
        <w:numId w:val="11"/>
      </w:numPr>
      <w:spacing w:before="120" w:after="120" w:line="240" w:lineRule="auto"/>
      <w:outlineLvl w:val="3"/>
    </w:pPr>
    <w:rPr>
      <w:rFonts w:ascii="Calibri" w:hAnsi="Calibri"/>
      <w:b/>
      <w:bCs/>
      <w:iCs/>
      <w:sz w:val="24"/>
    </w:rPr>
  </w:style>
  <w:style w:type="paragraph" w:styleId="Heading5">
    <w:name w:val="heading 5"/>
    <w:next w:val="Normal"/>
    <w:link w:val="Heading5Char"/>
    <w:uiPriority w:val="6"/>
    <w:qFormat/>
    <w:rsid w:val="00B52BB0"/>
    <w:pPr>
      <w:keepNext/>
      <w:keepLines/>
      <w:spacing w:before="120" w:after="120" w:line="240" w:lineRule="auto"/>
      <w:outlineLvl w:val="4"/>
    </w:pPr>
    <w:rPr>
      <w:rFonts w:ascii="Calibri" w:hAnsi="Calibri"/>
      <w:b/>
    </w:rPr>
  </w:style>
  <w:style w:type="paragraph" w:styleId="Heading6">
    <w:name w:val="heading 6"/>
    <w:next w:val="Normal"/>
    <w:link w:val="Heading6Char"/>
    <w:uiPriority w:val="9"/>
    <w:qFormat/>
    <w:rsid w:val="00B52BB0"/>
    <w:pPr>
      <w:keepNext/>
      <w:keepLines/>
      <w:spacing w:before="120" w:after="120" w:line="240" w:lineRule="auto"/>
      <w:outlineLvl w:val="5"/>
    </w:pPr>
    <w:rPr>
      <w:rFonts w:ascii="Calibri" w:eastAsiaTheme="majorEastAsia" w:hAnsi="Calibri" w:cstheme="majorBidi"/>
      <w:i/>
    </w:rPr>
  </w:style>
  <w:style w:type="paragraph" w:styleId="Heading7">
    <w:name w:val="heading 7"/>
    <w:next w:val="Normal"/>
    <w:link w:val="Heading7Char"/>
    <w:uiPriority w:val="9"/>
    <w:semiHidden/>
    <w:rsid w:val="00B52BB0"/>
    <w:pPr>
      <w:spacing w:after="0" w:line="240" w:lineRule="auto"/>
      <w:outlineLvl w:val="6"/>
    </w:pPr>
    <w:rPr>
      <w:rFonts w:asciiTheme="majorHAnsi" w:eastAsiaTheme="majorEastAsia" w:hAnsiTheme="majorHAnsi" w:cstheme="majorBidi"/>
      <w: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2BB0"/>
    <w:rPr>
      <w:rFonts w:ascii="Calibri" w:eastAsiaTheme="majorEastAsia" w:hAnsi="Calibri" w:cstheme="majorBidi"/>
      <w:b/>
      <w:bCs/>
      <w:sz w:val="72"/>
      <w:szCs w:val="28"/>
    </w:rPr>
  </w:style>
  <w:style w:type="character" w:customStyle="1" w:styleId="Heading2Char">
    <w:name w:val="Heading 2 Char"/>
    <w:basedOn w:val="DefaultParagraphFont"/>
    <w:link w:val="Heading2"/>
    <w:uiPriority w:val="9"/>
    <w:rsid w:val="00B52BB0"/>
    <w:rPr>
      <w:rFonts w:ascii="Calibri" w:eastAsiaTheme="majorEastAsia" w:hAnsi="Calibri" w:cstheme="majorBidi"/>
      <w:b/>
      <w:bCs/>
      <w:color w:val="D52B1E"/>
      <w:sz w:val="34"/>
      <w:szCs w:val="26"/>
    </w:rPr>
  </w:style>
  <w:style w:type="character" w:customStyle="1" w:styleId="Heading3Char">
    <w:name w:val="Heading 3 Char"/>
    <w:basedOn w:val="DefaultParagraphFont"/>
    <w:link w:val="Heading3"/>
    <w:uiPriority w:val="4"/>
    <w:rsid w:val="00B52BB0"/>
    <w:rPr>
      <w:rFonts w:ascii="Calibri" w:hAnsi="Calibri"/>
      <w:b/>
      <w:bCs/>
      <w:color w:val="773141"/>
      <w:sz w:val="28"/>
    </w:rPr>
  </w:style>
  <w:style w:type="character" w:customStyle="1" w:styleId="Heading4Char">
    <w:name w:val="Heading 4 Char"/>
    <w:basedOn w:val="DefaultParagraphFont"/>
    <w:link w:val="Heading4"/>
    <w:uiPriority w:val="5"/>
    <w:rsid w:val="00B52BB0"/>
    <w:rPr>
      <w:rFonts w:ascii="Calibri" w:hAnsi="Calibri"/>
      <w:b/>
      <w:bCs/>
      <w:iCs/>
      <w:sz w:val="24"/>
    </w:rPr>
  </w:style>
  <w:style w:type="character" w:customStyle="1" w:styleId="Heading5Char">
    <w:name w:val="Heading 5 Char"/>
    <w:basedOn w:val="DefaultParagraphFont"/>
    <w:link w:val="Heading5"/>
    <w:uiPriority w:val="6"/>
    <w:rsid w:val="00B52BB0"/>
    <w:rPr>
      <w:rFonts w:ascii="Calibri" w:hAnsi="Calibri"/>
      <w:b/>
    </w:rPr>
  </w:style>
  <w:style w:type="character" w:customStyle="1" w:styleId="Heading6Char">
    <w:name w:val="Heading 6 Char"/>
    <w:basedOn w:val="DefaultParagraphFont"/>
    <w:link w:val="Heading6"/>
    <w:uiPriority w:val="9"/>
    <w:rsid w:val="00B52BB0"/>
    <w:rPr>
      <w:rFonts w:ascii="Calibri" w:eastAsiaTheme="majorEastAsia" w:hAnsi="Calibri" w:cstheme="majorBidi"/>
      <w:i/>
    </w:rPr>
  </w:style>
  <w:style w:type="character" w:customStyle="1" w:styleId="Heading7Char">
    <w:name w:val="Heading 7 Char"/>
    <w:basedOn w:val="DefaultParagraphFont"/>
    <w:link w:val="Heading7"/>
    <w:uiPriority w:val="9"/>
    <w:semiHidden/>
    <w:rsid w:val="00B52BB0"/>
    <w:rPr>
      <w:rFonts w:asciiTheme="majorHAnsi" w:eastAsiaTheme="majorEastAsia" w:hAnsiTheme="majorHAnsi" w:cstheme="majorBidi"/>
      <w:i/>
      <w:color w:val="1F4D78" w:themeColor="accent1" w:themeShade="7F"/>
    </w:rPr>
  </w:style>
  <w:style w:type="paragraph" w:styleId="CommentText">
    <w:name w:val="annotation text"/>
    <w:basedOn w:val="Normal"/>
    <w:link w:val="CommentTextChar"/>
    <w:uiPriority w:val="99"/>
    <w:semiHidden/>
    <w:unhideWhenUsed/>
    <w:rsid w:val="00B52BB0"/>
    <w:rPr>
      <w:sz w:val="20"/>
      <w:szCs w:val="20"/>
    </w:rPr>
  </w:style>
  <w:style w:type="character" w:customStyle="1" w:styleId="CommentTextChar">
    <w:name w:val="Comment Text Char"/>
    <w:basedOn w:val="DefaultParagraphFont"/>
    <w:link w:val="CommentText"/>
    <w:uiPriority w:val="99"/>
    <w:semiHidden/>
    <w:rsid w:val="00B52BB0"/>
    <w:rPr>
      <w:rFonts w:ascii="Cambria" w:hAnsi="Cambria"/>
      <w:sz w:val="20"/>
      <w:szCs w:val="20"/>
    </w:rPr>
  </w:style>
  <w:style w:type="paragraph" w:styleId="Header">
    <w:name w:val="header"/>
    <w:basedOn w:val="Normal"/>
    <w:link w:val="HeaderChar"/>
    <w:uiPriority w:val="26"/>
    <w:rsid w:val="00B52BB0"/>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B52BB0"/>
    <w:rPr>
      <w:rFonts w:ascii="Calibri" w:hAnsi="Calibri"/>
      <w:sz w:val="20"/>
    </w:rPr>
  </w:style>
  <w:style w:type="paragraph" w:styleId="Footer">
    <w:name w:val="footer"/>
    <w:basedOn w:val="Normal"/>
    <w:link w:val="FooterChar"/>
    <w:uiPriority w:val="99"/>
    <w:rsid w:val="00B52BB0"/>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B52BB0"/>
    <w:rPr>
      <w:rFonts w:ascii="Calibri" w:hAnsi="Calibri"/>
      <w:sz w:val="20"/>
    </w:rPr>
  </w:style>
  <w:style w:type="character" w:styleId="CommentReference">
    <w:name w:val="annotation reference"/>
    <w:basedOn w:val="DefaultParagraphFont"/>
    <w:uiPriority w:val="99"/>
    <w:semiHidden/>
    <w:unhideWhenUsed/>
    <w:rsid w:val="00B52BB0"/>
    <w:rPr>
      <w:sz w:val="16"/>
      <w:szCs w:val="16"/>
    </w:rPr>
  </w:style>
  <w:style w:type="paragraph" w:styleId="CommentSubject">
    <w:name w:val="annotation subject"/>
    <w:basedOn w:val="CommentText"/>
    <w:next w:val="CommentText"/>
    <w:link w:val="CommentSubjectChar"/>
    <w:uiPriority w:val="99"/>
    <w:semiHidden/>
    <w:unhideWhenUsed/>
    <w:rsid w:val="00B52BB0"/>
    <w:rPr>
      <w:b/>
      <w:bCs/>
    </w:rPr>
  </w:style>
  <w:style w:type="character" w:customStyle="1" w:styleId="CommentSubjectChar">
    <w:name w:val="Comment Subject Char"/>
    <w:basedOn w:val="CommentTextChar"/>
    <w:link w:val="CommentSubject"/>
    <w:uiPriority w:val="99"/>
    <w:semiHidden/>
    <w:rsid w:val="00B52BB0"/>
    <w:rPr>
      <w:rFonts w:ascii="Cambria" w:hAnsi="Cambria"/>
      <w:b/>
      <w:bCs/>
      <w:sz w:val="20"/>
      <w:szCs w:val="20"/>
    </w:rPr>
  </w:style>
  <w:style w:type="paragraph" w:styleId="BalloonText">
    <w:name w:val="Balloon Text"/>
    <w:basedOn w:val="Normal"/>
    <w:link w:val="BalloonTextChar"/>
    <w:uiPriority w:val="99"/>
    <w:semiHidden/>
    <w:unhideWhenUsed/>
    <w:rsid w:val="00B52BB0"/>
    <w:rPr>
      <w:rFonts w:ascii="Calibri" w:hAnsi="Calibri"/>
      <w:sz w:val="18"/>
      <w:szCs w:val="18"/>
    </w:rPr>
  </w:style>
  <w:style w:type="character" w:customStyle="1" w:styleId="BalloonTextChar">
    <w:name w:val="Balloon Text Char"/>
    <w:basedOn w:val="DefaultParagraphFont"/>
    <w:link w:val="BalloonText"/>
    <w:uiPriority w:val="99"/>
    <w:semiHidden/>
    <w:rsid w:val="00B52BB0"/>
    <w:rPr>
      <w:rFonts w:ascii="Calibri" w:hAnsi="Calibri"/>
      <w:sz w:val="18"/>
      <w:szCs w:val="18"/>
    </w:rPr>
  </w:style>
  <w:style w:type="table" w:styleId="TableGrid">
    <w:name w:val="Table Grid"/>
    <w:basedOn w:val="TableNormal"/>
    <w:uiPriority w:val="59"/>
    <w:rsid w:val="00B52BB0"/>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B52BB0"/>
    <w:rPr>
      <w:sz w:val="16"/>
    </w:rPr>
  </w:style>
  <w:style w:type="numbering" w:customStyle="1" w:styleId="Headings">
    <w:name w:val="Headings"/>
    <w:uiPriority w:val="99"/>
    <w:rsid w:val="00B52BB0"/>
    <w:pPr>
      <w:numPr>
        <w:numId w:val="4"/>
      </w:numPr>
    </w:pPr>
  </w:style>
  <w:style w:type="paragraph" w:styleId="ListParagraph">
    <w:name w:val="List Paragraph"/>
    <w:basedOn w:val="Normal"/>
    <w:uiPriority w:val="99"/>
    <w:qFormat/>
    <w:rsid w:val="00B52BB0"/>
    <w:pPr>
      <w:ind w:left="720"/>
    </w:pPr>
  </w:style>
  <w:style w:type="paragraph" w:styleId="Quote">
    <w:name w:val="Quote"/>
    <w:basedOn w:val="Normal"/>
    <w:next w:val="Normal"/>
    <w:link w:val="QuoteChar"/>
    <w:uiPriority w:val="18"/>
    <w:qFormat/>
    <w:rsid w:val="00B52BB0"/>
    <w:pPr>
      <w:ind w:left="709" w:right="567"/>
    </w:pPr>
    <w:rPr>
      <w:iCs/>
      <w:color w:val="000000"/>
    </w:rPr>
  </w:style>
  <w:style w:type="character" w:customStyle="1" w:styleId="QuoteChar">
    <w:name w:val="Quote Char"/>
    <w:basedOn w:val="DefaultParagraphFont"/>
    <w:link w:val="Quote"/>
    <w:uiPriority w:val="18"/>
    <w:rsid w:val="00B52BB0"/>
    <w:rPr>
      <w:rFonts w:ascii="Cambria" w:hAnsi="Cambria"/>
      <w:iCs/>
      <w:color w:val="000000"/>
    </w:rPr>
  </w:style>
  <w:style w:type="paragraph" w:customStyle="1" w:styleId="BoxText">
    <w:name w:val="Box Text"/>
    <w:basedOn w:val="Normal"/>
    <w:uiPriority w:val="19"/>
    <w:qFormat/>
    <w:rsid w:val="00B52BB0"/>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B52BB0"/>
    <w:pPr>
      <w:keepNext/>
      <w:spacing w:after="120" w:line="240" w:lineRule="auto"/>
    </w:pPr>
    <w:rPr>
      <w:rFonts w:ascii="Cambria" w:eastAsiaTheme="majorEastAsia" w:hAnsi="Cambria" w:cstheme="majorBidi"/>
      <w:b/>
      <w:bCs/>
      <w:color w:val="595959" w:themeColor="text1" w:themeTint="A6"/>
      <w:sz w:val="20"/>
      <w:szCs w:val="18"/>
    </w:rPr>
  </w:style>
  <w:style w:type="paragraph" w:customStyle="1" w:styleId="FigureTableNoteSource">
    <w:name w:val="Figure/Table Note/Source"/>
    <w:basedOn w:val="Normal"/>
    <w:next w:val="Normal"/>
    <w:uiPriority w:val="16"/>
    <w:qFormat/>
    <w:rsid w:val="00B52BB0"/>
    <w:pPr>
      <w:spacing w:before="120" w:line="264" w:lineRule="auto"/>
      <w:contextualSpacing/>
    </w:pPr>
    <w:rPr>
      <w:rFonts w:ascii="Calibri" w:hAnsi="Calibri"/>
      <w:sz w:val="18"/>
    </w:rPr>
  </w:style>
  <w:style w:type="paragraph" w:styleId="TOCHeading">
    <w:name w:val="TOC Heading"/>
    <w:next w:val="Normal"/>
    <w:uiPriority w:val="39"/>
    <w:qFormat/>
    <w:rsid w:val="00B52BB0"/>
    <w:pPr>
      <w:spacing w:after="0" w:line="240" w:lineRule="auto"/>
    </w:pPr>
    <w:rPr>
      <w:rFonts w:ascii="Calibri" w:eastAsiaTheme="majorEastAsia" w:hAnsi="Calibri" w:cstheme="majorBidi"/>
      <w:b/>
      <w:bCs/>
      <w:color w:val="D52B1E"/>
      <w:sz w:val="34"/>
      <w:szCs w:val="28"/>
      <w:lang w:val="en-US"/>
    </w:rPr>
  </w:style>
  <w:style w:type="paragraph" w:styleId="TOC1">
    <w:name w:val="toc 1"/>
    <w:next w:val="Normal"/>
    <w:uiPriority w:val="39"/>
    <w:unhideWhenUsed/>
    <w:rsid w:val="00B52BB0"/>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rsid w:val="00B52BB0"/>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rsid w:val="00B52BB0"/>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B52BB0"/>
    <w:rPr>
      <w:color w:val="165788"/>
      <w:u w:val="single"/>
    </w:rPr>
  </w:style>
  <w:style w:type="paragraph" w:styleId="ListBullet">
    <w:name w:val="List Bullet"/>
    <w:uiPriority w:val="7"/>
    <w:qFormat/>
    <w:rsid w:val="00B52BB0"/>
    <w:pPr>
      <w:tabs>
        <w:tab w:val="num" w:pos="567"/>
      </w:tabs>
      <w:spacing w:before="120" w:after="120" w:line="240" w:lineRule="auto"/>
      <w:ind w:left="397" w:hanging="397"/>
    </w:pPr>
    <w:rPr>
      <w:rFonts w:ascii="Cambria" w:hAnsi="Cambria"/>
    </w:rPr>
  </w:style>
  <w:style w:type="paragraph" w:styleId="TableofFigures">
    <w:name w:val="table of figures"/>
    <w:basedOn w:val="Normal"/>
    <w:next w:val="Normal"/>
    <w:uiPriority w:val="99"/>
    <w:rsid w:val="00B52BB0"/>
    <w:pPr>
      <w:spacing w:before="120" w:after="120" w:line="240" w:lineRule="auto"/>
    </w:pPr>
    <w:rPr>
      <w:rFonts w:asciiTheme="minorHAnsi" w:hAnsiTheme="minorHAnsi"/>
    </w:rPr>
  </w:style>
  <w:style w:type="paragraph" w:styleId="ListBullet2">
    <w:name w:val="List Bullet 2"/>
    <w:uiPriority w:val="8"/>
    <w:qFormat/>
    <w:rsid w:val="00B52BB0"/>
    <w:pPr>
      <w:tabs>
        <w:tab w:val="num" w:pos="794"/>
      </w:tabs>
      <w:spacing w:before="120" w:after="120" w:line="240" w:lineRule="auto"/>
      <w:ind w:left="397"/>
      <w:contextualSpacing/>
    </w:pPr>
    <w:rPr>
      <w:rFonts w:ascii="Cambria" w:hAnsi="Cambria"/>
    </w:rPr>
  </w:style>
  <w:style w:type="paragraph" w:styleId="ListNumber">
    <w:name w:val="List Number"/>
    <w:basedOn w:val="Normal"/>
    <w:uiPriority w:val="9"/>
    <w:qFormat/>
    <w:rsid w:val="00B52BB0"/>
    <w:pPr>
      <w:numPr>
        <w:numId w:val="9"/>
      </w:numPr>
      <w:spacing w:before="120" w:after="120" w:line="280" w:lineRule="atLeast"/>
    </w:pPr>
    <w:rPr>
      <w:szCs w:val="20"/>
    </w:rPr>
  </w:style>
  <w:style w:type="paragraph" w:styleId="ListNumber2">
    <w:name w:val="List Number 2"/>
    <w:uiPriority w:val="10"/>
    <w:qFormat/>
    <w:rsid w:val="00B52BB0"/>
    <w:pPr>
      <w:numPr>
        <w:ilvl w:val="1"/>
        <w:numId w:val="9"/>
      </w:numPr>
      <w:spacing w:before="120" w:after="120" w:line="264" w:lineRule="auto"/>
    </w:pPr>
    <w:rPr>
      <w:rFonts w:ascii="Cambria" w:eastAsia="Times New Roman" w:hAnsi="Cambria" w:cs="Times New Roman"/>
      <w:szCs w:val="24"/>
    </w:rPr>
  </w:style>
  <w:style w:type="paragraph" w:styleId="ListNumber3">
    <w:name w:val="List Number 3"/>
    <w:uiPriority w:val="11"/>
    <w:qFormat/>
    <w:rsid w:val="00B52BB0"/>
    <w:pPr>
      <w:numPr>
        <w:ilvl w:val="2"/>
        <w:numId w:val="9"/>
      </w:numPr>
      <w:spacing w:before="120" w:after="120" w:line="264" w:lineRule="auto"/>
    </w:pPr>
    <w:rPr>
      <w:rFonts w:ascii="Cambria" w:eastAsia="Times New Roman" w:hAnsi="Cambria" w:cs="Times New Roman"/>
      <w:szCs w:val="24"/>
    </w:rPr>
  </w:style>
  <w:style w:type="table" w:customStyle="1" w:styleId="LightShading1">
    <w:name w:val="Light Shading1"/>
    <w:basedOn w:val="TableNormal"/>
    <w:uiPriority w:val="60"/>
    <w:rsid w:val="00B52BB0"/>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B52BB0"/>
    <w:rPr>
      <w:color w:val="E36C0A"/>
      <w:lang w:eastAsia="zh-CN" w:bidi="ta-LK"/>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rsid w:val="00B52BB0"/>
    <w:pPr>
      <w:spacing w:before="60" w:after="60" w:line="240" w:lineRule="auto"/>
    </w:pPr>
    <w:rPr>
      <w:rFonts w:ascii="Cambria" w:hAnsi="Cambria"/>
      <w:sz w:val="18"/>
    </w:rPr>
  </w:style>
  <w:style w:type="table" w:styleId="TableGrid1">
    <w:name w:val="Table Grid 1"/>
    <w:basedOn w:val="TableNormal"/>
    <w:uiPriority w:val="99"/>
    <w:semiHidden/>
    <w:unhideWhenUsed/>
    <w:rsid w:val="00B52BB0"/>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B52BB0"/>
    <w:pPr>
      <w:keepNext/>
    </w:pPr>
    <w:rPr>
      <w:b/>
    </w:rPr>
  </w:style>
  <w:style w:type="character" w:styleId="PlaceholderText">
    <w:name w:val="Placeholder Text"/>
    <w:basedOn w:val="DefaultParagraphFont"/>
    <w:uiPriority w:val="99"/>
    <w:semiHidden/>
    <w:rsid w:val="00B52BB0"/>
    <w:rPr>
      <w:color w:val="808080"/>
    </w:rPr>
  </w:style>
  <w:style w:type="paragraph" w:customStyle="1" w:styleId="Author">
    <w:name w:val="Author"/>
    <w:basedOn w:val="Normal"/>
    <w:next w:val="Normal"/>
    <w:uiPriority w:val="24"/>
    <w:qFormat/>
    <w:rsid w:val="00B52BB0"/>
    <w:pPr>
      <w:spacing w:after="60"/>
    </w:pPr>
    <w:rPr>
      <w:b/>
      <w:sz w:val="28"/>
      <w:szCs w:val="28"/>
    </w:rPr>
  </w:style>
  <w:style w:type="paragraph" w:customStyle="1" w:styleId="AuthorOrganisationAffiliation">
    <w:name w:val="Author Organisation/Affiliation"/>
    <w:basedOn w:val="Normal"/>
    <w:next w:val="Normal"/>
    <w:uiPriority w:val="25"/>
    <w:qFormat/>
    <w:rsid w:val="00B52BB0"/>
    <w:pPr>
      <w:spacing w:after="720"/>
    </w:pPr>
  </w:style>
  <w:style w:type="character" w:styleId="Strong">
    <w:name w:val="Strong"/>
    <w:uiPriority w:val="99"/>
    <w:rsid w:val="00B52BB0"/>
    <w:rPr>
      <w:b/>
      <w:bCs/>
    </w:rPr>
  </w:style>
  <w:style w:type="character" w:styleId="Emphasis">
    <w:name w:val="Emphasis"/>
    <w:basedOn w:val="DefaultParagraphFont"/>
    <w:uiPriority w:val="99"/>
    <w:qFormat/>
    <w:rsid w:val="00B52BB0"/>
    <w:rPr>
      <w:i/>
      <w:iCs/>
    </w:rPr>
  </w:style>
  <w:style w:type="paragraph" w:styleId="TOAHeading">
    <w:name w:val="toa heading"/>
    <w:basedOn w:val="Heading1"/>
    <w:next w:val="Normal"/>
    <w:uiPriority w:val="99"/>
    <w:semiHidden/>
    <w:unhideWhenUsed/>
    <w:rsid w:val="00B52BB0"/>
    <w:pPr>
      <w:spacing w:before="120"/>
    </w:pPr>
    <w:rPr>
      <w:bCs w:val="0"/>
      <w:sz w:val="24"/>
    </w:rPr>
  </w:style>
  <w:style w:type="paragraph" w:styleId="NormalWeb">
    <w:name w:val="Normal (Web)"/>
    <w:basedOn w:val="Normal"/>
    <w:uiPriority w:val="99"/>
    <w:semiHidden/>
    <w:unhideWhenUsed/>
    <w:rsid w:val="00B52BB0"/>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B52BB0"/>
    <w:pPr>
      <w:ind w:left="357" w:hanging="357"/>
    </w:pPr>
  </w:style>
  <w:style w:type="paragraph" w:customStyle="1" w:styleId="TableBullet">
    <w:name w:val="Table Bullet"/>
    <w:basedOn w:val="TableText"/>
    <w:uiPriority w:val="15"/>
    <w:qFormat/>
    <w:rsid w:val="00B52BB0"/>
    <w:pPr>
      <w:numPr>
        <w:numId w:val="2"/>
      </w:numPr>
      <w:ind w:left="284" w:hanging="284"/>
    </w:pPr>
  </w:style>
  <w:style w:type="paragraph" w:styleId="DocumentMap">
    <w:name w:val="Document Map"/>
    <w:basedOn w:val="Normal"/>
    <w:link w:val="DocumentMapChar"/>
    <w:uiPriority w:val="99"/>
    <w:semiHidden/>
    <w:unhideWhenUsed/>
    <w:rsid w:val="00B52BB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52BB0"/>
    <w:rPr>
      <w:rFonts w:ascii="Tahoma" w:hAnsi="Tahoma" w:cs="Tahoma"/>
      <w:sz w:val="16"/>
      <w:szCs w:val="16"/>
    </w:rPr>
  </w:style>
  <w:style w:type="paragraph" w:customStyle="1" w:styleId="TOCHeadingsamepage">
    <w:name w:val="TOC Heading (same page)"/>
    <w:basedOn w:val="TOCHeading"/>
    <w:next w:val="Normal"/>
    <w:uiPriority w:val="39"/>
    <w:rsid w:val="00B52BB0"/>
  </w:style>
  <w:style w:type="paragraph" w:customStyle="1" w:styleId="BoxHeading">
    <w:name w:val="Box Heading"/>
    <w:basedOn w:val="BoxText"/>
    <w:uiPriority w:val="20"/>
    <w:qFormat/>
    <w:rsid w:val="00B52BB0"/>
    <w:pPr>
      <w:spacing w:line="240" w:lineRule="auto"/>
    </w:pPr>
    <w:rPr>
      <w:b/>
    </w:rPr>
  </w:style>
  <w:style w:type="paragraph" w:customStyle="1" w:styleId="Picture">
    <w:name w:val="Picture"/>
    <w:basedOn w:val="Normal"/>
    <w:uiPriority w:val="17"/>
    <w:qFormat/>
    <w:rsid w:val="00B52BB0"/>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B52BB0"/>
    <w:pPr>
      <w:spacing w:after="0"/>
    </w:pPr>
    <w:rPr>
      <w:b/>
      <w:caps/>
      <w:color w:val="FF0000"/>
      <w:sz w:val="36"/>
      <w:szCs w:val="36"/>
    </w:rPr>
  </w:style>
  <w:style w:type="paragraph" w:customStyle="1" w:styleId="DisseminationLimitingMarker">
    <w:name w:val="Dissemination Limiting Marker"/>
    <w:basedOn w:val="Header"/>
    <w:next w:val="Header"/>
    <w:uiPriority w:val="27"/>
    <w:qFormat/>
    <w:rsid w:val="00B52BB0"/>
    <w:pPr>
      <w:spacing w:after="0"/>
    </w:pPr>
    <w:rPr>
      <w:b/>
      <w:color w:val="FF0000"/>
      <w:sz w:val="36"/>
      <w:szCs w:val="36"/>
    </w:rPr>
  </w:style>
  <w:style w:type="paragraph" w:styleId="FootnoteText">
    <w:name w:val="footnote text"/>
    <w:basedOn w:val="Normal"/>
    <w:link w:val="FootnoteTextChar"/>
    <w:uiPriority w:val="99"/>
    <w:unhideWhenUsed/>
    <w:rsid w:val="00B52BB0"/>
    <w:pPr>
      <w:spacing w:after="60" w:line="264" w:lineRule="auto"/>
    </w:pPr>
    <w:rPr>
      <w:sz w:val="20"/>
      <w:szCs w:val="20"/>
    </w:rPr>
  </w:style>
  <w:style w:type="character" w:customStyle="1" w:styleId="FootnoteTextChar">
    <w:name w:val="Footnote Text Char"/>
    <w:basedOn w:val="DefaultParagraphFont"/>
    <w:link w:val="FootnoteText"/>
    <w:uiPriority w:val="99"/>
    <w:rsid w:val="00B52BB0"/>
    <w:rPr>
      <w:rFonts w:ascii="Cambria" w:hAnsi="Cambria"/>
      <w:sz w:val="20"/>
      <w:szCs w:val="20"/>
    </w:rPr>
  </w:style>
  <w:style w:type="character" w:styleId="FootnoteReference">
    <w:name w:val="footnote reference"/>
    <w:basedOn w:val="DefaultParagraphFont"/>
    <w:uiPriority w:val="99"/>
    <w:semiHidden/>
    <w:unhideWhenUsed/>
    <w:rsid w:val="00B52BB0"/>
    <w:rPr>
      <w:vertAlign w:val="superscript"/>
    </w:rPr>
  </w:style>
  <w:style w:type="paragraph" w:styleId="EndnoteText">
    <w:name w:val="endnote text"/>
    <w:basedOn w:val="Normal"/>
    <w:link w:val="EndnoteTextChar"/>
    <w:uiPriority w:val="99"/>
    <w:unhideWhenUsed/>
    <w:rsid w:val="00B52BB0"/>
    <w:pPr>
      <w:spacing w:before="120" w:after="240" w:line="240" w:lineRule="auto"/>
    </w:pPr>
    <w:rPr>
      <w:szCs w:val="20"/>
    </w:rPr>
  </w:style>
  <w:style w:type="character" w:customStyle="1" w:styleId="EndnoteTextChar">
    <w:name w:val="Endnote Text Char"/>
    <w:basedOn w:val="DefaultParagraphFont"/>
    <w:link w:val="EndnoteText"/>
    <w:uiPriority w:val="99"/>
    <w:rsid w:val="00B52BB0"/>
    <w:rPr>
      <w:rFonts w:ascii="Cambria" w:hAnsi="Cambria"/>
      <w:szCs w:val="20"/>
    </w:rPr>
  </w:style>
  <w:style w:type="character" w:styleId="EndnoteReference">
    <w:name w:val="endnote reference"/>
    <w:basedOn w:val="DefaultParagraphFont"/>
    <w:uiPriority w:val="99"/>
    <w:semiHidden/>
    <w:unhideWhenUsed/>
    <w:rsid w:val="00B52BB0"/>
    <w:rPr>
      <w:vertAlign w:val="superscript"/>
    </w:rPr>
  </w:style>
  <w:style w:type="character" w:styleId="FollowedHyperlink">
    <w:name w:val="FollowedHyperlink"/>
    <w:basedOn w:val="DefaultParagraphFont"/>
    <w:uiPriority w:val="99"/>
    <w:semiHidden/>
    <w:unhideWhenUsed/>
    <w:rsid w:val="00B52BB0"/>
    <w:rPr>
      <w:color w:val="800080"/>
      <w:u w:val="single"/>
    </w:rPr>
  </w:style>
  <w:style w:type="paragraph" w:customStyle="1" w:styleId="BoxSource">
    <w:name w:val="Box Source"/>
    <w:basedOn w:val="FigureTableNoteSource"/>
    <w:uiPriority w:val="22"/>
    <w:qFormat/>
    <w:rsid w:val="00B52BB0"/>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B52BB0"/>
    <w:pPr>
      <w:numPr>
        <w:numId w:val="10"/>
      </w:numPr>
    </w:pPr>
  </w:style>
  <w:style w:type="numbering" w:customStyle="1" w:styleId="captions">
    <w:name w:val="captions"/>
    <w:uiPriority w:val="99"/>
    <w:rsid w:val="00B52BB0"/>
    <w:pPr>
      <w:numPr>
        <w:numId w:val="5"/>
      </w:numPr>
    </w:pPr>
  </w:style>
  <w:style w:type="paragraph" w:customStyle="1" w:styleId="TableNotes">
    <w:name w:val="TableNotes"/>
    <w:basedOn w:val="Normal"/>
    <w:link w:val="TableNotesChar"/>
    <w:rsid w:val="00B52BB0"/>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sid w:val="00B52BB0"/>
    <w:rPr>
      <w:rFonts w:ascii="Arial Narrow" w:hAnsi="Arial Narrow"/>
      <w:color w:val="000000"/>
      <w:sz w:val="16"/>
    </w:rPr>
  </w:style>
  <w:style w:type="character" w:customStyle="1" w:styleId="TableTextChar">
    <w:name w:val="Table Text Char"/>
    <w:basedOn w:val="DefaultParagraphFont"/>
    <w:link w:val="TableText"/>
    <w:uiPriority w:val="13"/>
    <w:rsid w:val="00B52BB0"/>
    <w:rPr>
      <w:rFonts w:ascii="Cambria" w:hAnsi="Cambria"/>
      <w:sz w:val="18"/>
    </w:rPr>
  </w:style>
  <w:style w:type="numbering" w:customStyle="1" w:styleId="List1">
    <w:name w:val="List1"/>
    <w:basedOn w:val="NoList"/>
    <w:uiPriority w:val="99"/>
    <w:rsid w:val="00B52BB0"/>
    <w:pPr>
      <w:numPr>
        <w:numId w:val="3"/>
      </w:numPr>
    </w:pPr>
  </w:style>
  <w:style w:type="character" w:customStyle="1" w:styleId="CaptionChar">
    <w:name w:val="Caption Char"/>
    <w:basedOn w:val="Heading1Char"/>
    <w:link w:val="Caption"/>
    <w:uiPriority w:val="12"/>
    <w:rsid w:val="00B52BB0"/>
    <w:rPr>
      <w:rFonts w:ascii="Cambria" w:eastAsiaTheme="majorEastAsia" w:hAnsi="Cambria" w:cstheme="majorBidi"/>
      <w:b/>
      <w:bCs/>
      <w:color w:val="595959" w:themeColor="text1" w:themeTint="A6"/>
      <w:sz w:val="20"/>
      <w:szCs w:val="18"/>
    </w:rPr>
  </w:style>
  <w:style w:type="numbering" w:customStyle="1" w:styleId="listbullets">
    <w:name w:val="list bullets"/>
    <w:uiPriority w:val="99"/>
    <w:rsid w:val="00B52BB0"/>
    <w:pPr>
      <w:numPr>
        <w:numId w:val="6"/>
      </w:numPr>
    </w:pPr>
  </w:style>
  <w:style w:type="numbering" w:customStyle="1" w:styleId="ListNumber1">
    <w:name w:val="List Number1"/>
    <w:uiPriority w:val="99"/>
    <w:rsid w:val="00B52BB0"/>
    <w:pPr>
      <w:numPr>
        <w:numId w:val="8"/>
      </w:numPr>
    </w:pPr>
  </w:style>
  <w:style w:type="paragraph" w:customStyle="1" w:styleId="EndNoteBibliographyTitle">
    <w:name w:val="EndNote Bibliography Title"/>
    <w:basedOn w:val="Normal"/>
    <w:link w:val="EndNoteBibliographyTitleChar"/>
    <w:semiHidden/>
    <w:rsid w:val="00B52BB0"/>
    <w:pPr>
      <w:spacing w:after="0"/>
      <w:jc w:val="center"/>
    </w:pPr>
    <w:rPr>
      <w:noProof/>
      <w:lang w:val="en-US"/>
    </w:rPr>
  </w:style>
  <w:style w:type="character" w:customStyle="1" w:styleId="EndNoteBibliographyTitleChar">
    <w:name w:val="EndNote Bibliography Title Char"/>
    <w:basedOn w:val="DefaultParagraphFont"/>
    <w:link w:val="EndNoteBibliographyTitle"/>
    <w:semiHidden/>
    <w:rsid w:val="00B52BB0"/>
    <w:rPr>
      <w:rFonts w:ascii="Cambria" w:hAnsi="Cambria"/>
      <w:noProof/>
      <w:lang w:val="en-US"/>
    </w:rPr>
  </w:style>
  <w:style w:type="paragraph" w:customStyle="1" w:styleId="EndNoteBibliography">
    <w:name w:val="EndNote Bibliography"/>
    <w:basedOn w:val="Normal"/>
    <w:link w:val="EndNoteBibliographyChar"/>
    <w:rsid w:val="00B52BB0"/>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B52BB0"/>
    <w:rPr>
      <w:rFonts w:ascii="Cambria" w:hAnsi="Cambria"/>
      <w:noProof/>
      <w:lang w:val="en-US"/>
    </w:rPr>
  </w:style>
  <w:style w:type="paragraph" w:styleId="Revision">
    <w:name w:val="Revision"/>
    <w:hidden/>
    <w:uiPriority w:val="99"/>
    <w:semiHidden/>
    <w:rsid w:val="00B52BB0"/>
    <w:pPr>
      <w:spacing w:after="0" w:line="240" w:lineRule="auto"/>
    </w:pPr>
    <w:rPr>
      <w:rFonts w:ascii="Cambria" w:hAnsi="Cambria"/>
    </w:rPr>
  </w:style>
  <w:style w:type="paragraph" w:customStyle="1" w:styleId="Default">
    <w:name w:val="Default"/>
    <w:rsid w:val="00B52BB0"/>
    <w:pPr>
      <w:autoSpaceDE w:val="0"/>
      <w:autoSpaceDN w:val="0"/>
      <w:adjustRightInd w:val="0"/>
      <w:spacing w:after="0" w:line="240" w:lineRule="auto"/>
    </w:pPr>
    <w:rPr>
      <w:rFonts w:ascii="Calibri" w:eastAsia="Cambria" w:hAnsi="Calibri" w:cs="Calibri"/>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371/journal.pone.0178245" TargetMode="External"/><Relationship Id="rId21" Type="http://schemas.openxmlformats.org/officeDocument/2006/relationships/image" Target="media/image5.png"/><Relationship Id="rId42" Type="http://schemas.openxmlformats.org/officeDocument/2006/relationships/footer" Target="footer4.xml"/><Relationship Id="rId47" Type="http://schemas.openxmlformats.org/officeDocument/2006/relationships/hyperlink" Target="http://agriculture.gov.au/import/goods/food/inspection-compliance/inspection-scheme" TargetMode="External"/><Relationship Id="rId63" Type="http://schemas.openxmlformats.org/officeDocument/2006/relationships/hyperlink" Target="https://doi.org/10.1371/journal.pone.0192502" TargetMode="External"/><Relationship Id="rId68" Type="http://schemas.openxmlformats.org/officeDocument/2006/relationships/hyperlink" Target="http://www.agriculture.gov.au/biosecurity/risk-analysis/plant/mangosteens-indonesia/ba2012-12-final-mangosteens" TargetMode="External"/><Relationship Id="rId84" Type="http://schemas.openxmlformats.org/officeDocument/2006/relationships/hyperlink" Target="https://www.ippc.int/en/core-activities/standards-setting/ispms/" TargetMode="External"/><Relationship Id="rId89" Type="http://schemas.openxmlformats.org/officeDocument/2006/relationships/hyperlink" Target="https://www.ippc.int/en/core-activities/standards-setting/ispms/" TargetMode="External"/><Relationship Id="rId112" Type="http://schemas.openxmlformats.org/officeDocument/2006/relationships/hyperlink" Target="https://www.daf.qld.gov.au/business-priorities/plants/fruit-and-vegetables/a-z-list-of-horticultural-insect-pests/fruit-piercing-moth" TargetMode="External"/><Relationship Id="rId16" Type="http://schemas.openxmlformats.org/officeDocument/2006/relationships/header" Target="header3.xml"/><Relationship Id="rId107" Type="http://schemas.openxmlformats.org/officeDocument/2006/relationships/hyperlink" Target="http://idtools.org/id/scales/index.php" TargetMode="External"/><Relationship Id="rId11" Type="http://schemas.openxmlformats.org/officeDocument/2006/relationships/hyperlink" Target="https://creativecommons.org/licenses/by/3.0/au/deed.en" TargetMode="Externa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footer" Target="footer5.xml"/><Relationship Id="rId58" Type="http://schemas.openxmlformats.org/officeDocument/2006/relationships/hyperlink" Target="http://www.agriculture.gov.au/SiteCollectionDocuments/ba/plant/jun10-dec10/Davao_del_Sur_mango_policy_ext.pdf" TargetMode="External"/><Relationship Id="rId74" Type="http://schemas.openxmlformats.org/officeDocument/2006/relationships/hyperlink" Target="http://www.agriculture.gov.au/SiteCollectionDocuments/biosecurity/import/general-info/documentary-requirements/non-commodity-policy.pdf" TargetMode="External"/><Relationship Id="rId79" Type="http://schemas.openxmlformats.org/officeDocument/2006/relationships/hyperlink" Target="http://www.cabi.org/ISC/FullTextPDF/2013/20133231103.pdf" TargetMode="External"/><Relationship Id="rId102" Type="http://schemas.openxmlformats.org/officeDocument/2006/relationships/hyperlink" Target="http://www.itfnet.org/v1/2012/04/rambutan-rising-fruit-of-the-east/" TargetMode="External"/><Relationship Id="rId123" Type="http://schemas.openxmlformats.org/officeDocument/2006/relationships/hyperlink" Target="https://www.wto.org/english/docs_e/legal_e/15-sps.pdf" TargetMode="External"/><Relationship Id="rId128" Type="http://schemas.openxmlformats.org/officeDocument/2006/relationships/customXml" Target="../customXml/item2.xml"/><Relationship Id="rId5" Type="http://schemas.openxmlformats.org/officeDocument/2006/relationships/footnotes" Target="footnotes.xml"/><Relationship Id="rId90" Type="http://schemas.openxmlformats.org/officeDocument/2006/relationships/hyperlink" Target="https://www.ippc.int/en/core-activities/standards-setting/ispms/" TargetMode="External"/><Relationship Id="rId95" Type="http://schemas.openxmlformats.org/officeDocument/2006/relationships/hyperlink" Target="https://www.agric.wa.gov.au/bam/western-australian-organism-list-waol" TargetMode="External"/><Relationship Id="rId22" Type="http://schemas.openxmlformats.org/officeDocument/2006/relationships/header" Target="header6.xml"/><Relationship Id="rId27" Type="http://schemas.openxmlformats.org/officeDocument/2006/relationships/hyperlink" Target="http://www.123rf.com/stock-photo" TargetMode="External"/><Relationship Id="rId43" Type="http://schemas.openxmlformats.org/officeDocument/2006/relationships/hyperlink" Target="http://www.agriculture.gov.au/SiteCollectionDocuments/biosecurity/export/plants-plant-products/plant-exports-manual/resources/australian-phytosanitary-treatment-cold.docx" TargetMode="External"/><Relationship Id="rId48" Type="http://schemas.openxmlformats.org/officeDocument/2006/relationships/hyperlink" Target="https://www.legislation.gov.au/" TargetMode="External"/><Relationship Id="rId64" Type="http://schemas.openxmlformats.org/officeDocument/2006/relationships/hyperlink" Target="http://www.cabi.org/cpc/" TargetMode="External"/><Relationship Id="rId69" Type="http://schemas.openxmlformats.org/officeDocument/2006/relationships/hyperlink" Target="http://www.agriculture.gov.au/biosecurity/risk-analysis/plant/lychees-taiwan-vietnam/ba2013-07-final-lychees-taiwan-vietnam" TargetMode="External"/><Relationship Id="rId113" Type="http://schemas.openxmlformats.org/officeDocument/2006/relationships/hyperlink" Target="https://www.daf.qld.gov.au/plants/fruit-and-vegetables/a-z-list-of-horticultural-insect-pests/coffee-mealybug" TargetMode="External"/><Relationship Id="rId118" Type="http://schemas.openxmlformats.org/officeDocument/2006/relationships/hyperlink" Target="http://www.acfs.go.th/news/docs/APHIS-2007-0161-0002.pdf" TargetMode="External"/><Relationship Id="rId80" Type="http://schemas.openxmlformats.org/officeDocument/2006/relationships/hyperlink" Target="ftp://ftp.fao.org/docrep/fao/005/ac684e/ac684e00.pdf" TargetMode="External"/><Relationship Id="rId85" Type="http://schemas.openxmlformats.org/officeDocument/2006/relationships/hyperlink" Target="https://www.ippc.int/en/core-activities/standards-setting/ispms/" TargetMode="External"/><Relationship Id="rId12" Type="http://schemas.openxmlformats.org/officeDocument/2006/relationships/hyperlink" Target="https://creativecommons.org/licenses/by/3.0/au/legalcode" TargetMode="External"/><Relationship Id="rId17" Type="http://schemas.openxmlformats.org/officeDocument/2006/relationships/header" Target="header4.xml"/><Relationship Id="rId33" Type="http://schemas.openxmlformats.org/officeDocument/2006/relationships/image" Target="media/image9.jpeg"/><Relationship Id="rId38" Type="http://schemas.openxmlformats.org/officeDocument/2006/relationships/header" Target="header10.xml"/><Relationship Id="rId59" Type="http://schemas.openxmlformats.org/officeDocument/2006/relationships/hyperlink" Target="http://www.agriculture.gov.au/biosecurity/risk-analysis/group-pest-risk-analyses/group-pra-thrips-orthotospoviruses/final-report" TargetMode="External"/><Relationship Id="rId103" Type="http://schemas.openxmlformats.org/officeDocument/2006/relationships/hyperlink" Target="http://www.catalogueoflife.org/" TargetMode="External"/><Relationship Id="rId108" Type="http://schemas.openxmlformats.org/officeDocument/2006/relationships/hyperlink" Target="http://www.padil.gov.au" TargetMode="External"/><Relationship Id="rId124" Type="http://schemas.openxmlformats.org/officeDocument/2006/relationships/header" Target="header17.xml"/><Relationship Id="rId129" Type="http://schemas.openxmlformats.org/officeDocument/2006/relationships/customXml" Target="../customXml/item3.xml"/><Relationship Id="rId54" Type="http://schemas.openxmlformats.org/officeDocument/2006/relationships/footer" Target="footer6.xml"/><Relationship Id="rId70" Type="http://schemas.openxmlformats.org/officeDocument/2006/relationships/hyperlink" Target="http://www.agriculture.gov.au/about/media-centre/communiques/eradication_of_cocoa_pod_borer" TargetMode="External"/><Relationship Id="rId75" Type="http://schemas.openxmlformats.org/officeDocument/2006/relationships/hyperlink" Target="http://www.agriculture.gov.au/biosecurity/risk-analysis/plant/dragon-fruit-from-vietnam/final-report" TargetMode="External"/><Relationship Id="rId91" Type="http://schemas.openxmlformats.org/officeDocument/2006/relationships/hyperlink" Target="https://www.ippc.int/en/core-activities/standards-setting/ispms/" TargetMode="External"/><Relationship Id="rId96" Type="http://schemas.openxmlformats.org/officeDocument/2006/relationships/hyperlink" Target="http://lepidoptera.butterflyhouse.com.au/"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7.xml"/><Relationship Id="rId28" Type="http://schemas.openxmlformats.org/officeDocument/2006/relationships/hyperlink" Target="https://bicon.agriculture.gov.au/BiconWeb4.0" TargetMode="External"/><Relationship Id="rId49" Type="http://schemas.openxmlformats.org/officeDocument/2006/relationships/hyperlink" Target="http://www.foodstandards.gov.au/code/Pages/default.aspx" TargetMode="External"/><Relationship Id="rId114" Type="http://schemas.openxmlformats.org/officeDocument/2006/relationships/hyperlink" Target="https://www.daf.qld.gov.au/business-priorities/plants/fruit-and-vegetables/a-z-list-of-horticultural-insect-pests/cryptic-mealybug" TargetMode="External"/><Relationship Id="rId119" Type="http://schemas.openxmlformats.org/officeDocument/2006/relationships/hyperlink" Target="https://www.aphis.usda.gov/import_export/plants/manuals/ports/downloads/treatment.pdf" TargetMode="External"/><Relationship Id="rId44" Type="http://schemas.openxmlformats.org/officeDocument/2006/relationships/hyperlink" Target="http://www.agriculture.gov.au/SiteCollectionDocuments/biosecurity/export/plants-plant-products/plant-exports-manual/resources/australian-phytosanitary-treatment-cold.docx" TargetMode="External"/><Relationship Id="rId60" Type="http://schemas.openxmlformats.org/officeDocument/2006/relationships/hyperlink" Target="http://www.agriculture.gov.au/biosecurity/risk-analysis/plant/mangoes-taiwan" TargetMode="External"/><Relationship Id="rId65" Type="http://schemas.openxmlformats.org/officeDocument/2006/relationships/hyperlink" Target="http://www.cabi.org/dmpd/FullTextPDF/2010/20103281413.pdf" TargetMode="External"/><Relationship Id="rId81" Type="http://schemas.openxmlformats.org/officeDocument/2006/relationships/hyperlink" Target="https://www.ippc.int/en/core-activities/standards-setting/ispms/" TargetMode="External"/><Relationship Id="rId86" Type="http://schemas.openxmlformats.org/officeDocument/2006/relationships/hyperlink" Target="https://www.ippc.int/en/core-activities/standards-setting/ispms/" TargetMode="External"/><Relationship Id="rId13" Type="http://schemas.openxmlformats.org/officeDocument/2006/relationships/hyperlink" Target="mailto:copyright@agriculture.gov.au" TargetMode="External"/><Relationship Id="rId18" Type="http://schemas.openxmlformats.org/officeDocument/2006/relationships/footer" Target="footer1.xml"/><Relationship Id="rId39" Type="http://schemas.openxmlformats.org/officeDocument/2006/relationships/header" Target="header11.xml"/><Relationship Id="rId109" Type="http://schemas.openxmlformats.org/officeDocument/2006/relationships/hyperlink" Target="http://www.pestnet.org/" TargetMode="External"/><Relationship Id="rId34" Type="http://schemas.openxmlformats.org/officeDocument/2006/relationships/image" Target="media/image10.png"/><Relationship Id="rId50" Type="http://schemas.openxmlformats.org/officeDocument/2006/relationships/header" Target="header12.xml"/><Relationship Id="rId55" Type="http://schemas.openxmlformats.org/officeDocument/2006/relationships/header" Target="header15.xml"/><Relationship Id="rId76" Type="http://schemas.openxmlformats.org/officeDocument/2006/relationships/hyperlink" Target="http://www.agriculture.gov.au/biosecurity/risk-analysis/group-pest-risk-analyses/mealybugs/final-report" TargetMode="External"/><Relationship Id="rId97" Type="http://schemas.openxmlformats.org/officeDocument/2006/relationships/hyperlink" Target="http://www.britannica.com/place/Vietnam/Climate" TargetMode="External"/><Relationship Id="rId104" Type="http://schemas.openxmlformats.org/officeDocument/2006/relationships/hyperlink" Target="http://en.cnki.com.cn/Article_en/CJFDTOTAL-FBLI601.009.htm" TargetMode="External"/><Relationship Id="rId120" Type="http://schemas.openxmlformats.org/officeDocument/2006/relationships/hyperlink" Target="http://www.aphis.usda.gov/plant_health/plant_pest_info/pest_detection/downloads/pra/pminorpra.pdf" TargetMode="External"/><Relationship Id="rId125"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www.agric.wa.gov.au/qtine/default.asp" TargetMode="External"/><Relationship Id="rId92" Type="http://schemas.openxmlformats.org/officeDocument/2006/relationships/hyperlink" Target="https://www.ippc.int/en/core-activities/standards-setting/ispms/" TargetMode="Externa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footer" Target="footer2.xml"/><Relationship Id="rId40" Type="http://schemas.openxmlformats.org/officeDocument/2006/relationships/footer" Target="footer3.xml"/><Relationship Id="rId45" Type="http://schemas.openxmlformats.org/officeDocument/2006/relationships/hyperlink" Target="http://www.agriculture.gov.au/import/arrival/clearance-inspection/documentary-requirements/non-commodity_information_requirements_policy" TargetMode="External"/><Relationship Id="rId66" Type="http://schemas.openxmlformats.org/officeDocument/2006/relationships/hyperlink" Target="http://www.chnzx.com/book/Farming/index3/guoshu/pinguo/chonghai/36.htm" TargetMode="External"/><Relationship Id="rId87" Type="http://schemas.openxmlformats.org/officeDocument/2006/relationships/hyperlink" Target="https://www.ippc.int/en/core-activities/standards-setting/ispms/" TargetMode="External"/><Relationship Id="rId110" Type="http://schemas.openxmlformats.org/officeDocument/2006/relationships/hyperlink" Target="http://www.planthealthaustralia.com.au/resources/australian-plant-pest-database/" TargetMode="External"/><Relationship Id="rId115" Type="http://schemas.openxmlformats.org/officeDocument/2006/relationships/hyperlink" Target="http://www.nhm.ac.uk/our-science/data/hostplants/search/index.dsml" TargetMode="External"/><Relationship Id="rId61" Type="http://schemas.openxmlformats.org/officeDocument/2006/relationships/hyperlink" Target="http://www.agriculture.gov.au/biosecurity/risk-analysis/memos/2011/baa2011-finalira-mangoes-pakistan" TargetMode="External"/><Relationship Id="rId82" Type="http://schemas.openxmlformats.org/officeDocument/2006/relationships/hyperlink" Target="https://www.ippc.int/en/core-activities/standards-setting/ispms/" TargetMode="External"/><Relationship Id="rId19" Type="http://schemas.openxmlformats.org/officeDocument/2006/relationships/image" Target="media/image4.png"/><Relationship Id="rId14" Type="http://schemas.openxmlformats.org/officeDocument/2006/relationships/hyperlink" Target="http://www.agriculture.gov.au/" TargetMode="External"/><Relationship Id="rId30" Type="http://schemas.openxmlformats.org/officeDocument/2006/relationships/header" Target="header9.xml"/><Relationship Id="rId35" Type="http://schemas.openxmlformats.org/officeDocument/2006/relationships/image" Target="media/image11.jpeg"/><Relationship Id="rId56" Type="http://schemas.openxmlformats.org/officeDocument/2006/relationships/footer" Target="footer7.xml"/><Relationship Id="rId77" Type="http://schemas.openxmlformats.org/officeDocument/2006/relationships/hyperlink" Target="http://www.discoverlife.org/" TargetMode="External"/><Relationship Id="rId100" Type="http://schemas.openxmlformats.org/officeDocument/2006/relationships/hyperlink" Target="http://yutaka.it-n.jp/lyc4/83840010.html" TargetMode="External"/><Relationship Id="rId105" Type="http://schemas.openxmlformats.org/officeDocument/2006/relationships/hyperlink" Target="http://www.extento.hawaii.edu/kbase/crop/Type/bactro_d.htm" TargetMode="External"/><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13.xml"/><Relationship Id="rId72" Type="http://schemas.openxmlformats.org/officeDocument/2006/relationships/hyperlink" Target="http://www.agriculture.gov.au/biosecurity/risk-analysis/memos/ba2015-20" TargetMode="External"/><Relationship Id="rId93" Type="http://schemas.openxmlformats.org/officeDocument/2006/relationships/hyperlink" Target="https://www.legislation.gov.au/Details/F2017C00053" TargetMode="External"/><Relationship Id="rId98" Type="http://schemas.openxmlformats.org/officeDocument/2006/relationships/hyperlink" Target="http://dx.doi.org/10.1155/2016/7207818" TargetMode="External"/><Relationship Id="rId121" Type="http://schemas.openxmlformats.org/officeDocument/2006/relationships/hyperlink" Target="http://www.weatheronline.co.uk/reports/climate/Vietnam.htm" TargetMode="External"/><Relationship Id="rId3" Type="http://schemas.openxmlformats.org/officeDocument/2006/relationships/settings" Target="settings.xml"/><Relationship Id="rId25" Type="http://schemas.openxmlformats.org/officeDocument/2006/relationships/hyperlink" Target="http://www.agriculture.gov.au/biosecurity/risk-analysis/guidelines" TargetMode="External"/><Relationship Id="rId46" Type="http://schemas.openxmlformats.org/officeDocument/2006/relationships/hyperlink" Target="https://bicon.agriculture.gov.au/BiconWeb4.0/ViewElement/Element/Index?elementPk=914691&amp;caseElementPk=992680" TargetMode="External"/><Relationship Id="rId67" Type="http://schemas.openxmlformats.org/officeDocument/2006/relationships/hyperlink" Target="http://www.agriculture.gov.au/SiteCollectionDocuments/ba/plant/ungroupeddocs/ll_final_a.pdf" TargetMode="External"/><Relationship Id="rId116" Type="http://schemas.openxmlformats.org/officeDocument/2006/relationships/hyperlink" Target="https://dx.doi.org/10.4314/jae.v21i2.1" TargetMode="External"/><Relationship Id="rId20" Type="http://schemas.openxmlformats.org/officeDocument/2006/relationships/header" Target="header5.xml"/><Relationship Id="rId41" Type="http://schemas.openxmlformats.org/officeDocument/2006/relationships/image" Target="media/image14.png"/><Relationship Id="rId62" Type="http://schemas.openxmlformats.org/officeDocument/2006/relationships/hyperlink" Target="https://www.hemiptera-databases.org/flow/" TargetMode="External"/><Relationship Id="rId83" Type="http://schemas.openxmlformats.org/officeDocument/2006/relationships/hyperlink" Target="https://www.ippc.int/en/core-activities/standards-setting/ispms/" TargetMode="External"/><Relationship Id="rId88" Type="http://schemas.openxmlformats.org/officeDocument/2006/relationships/hyperlink" Target="https://www.ippc.int/en/core-activities/standards-setting/ispms/" TargetMode="External"/><Relationship Id="rId111" Type="http://schemas.openxmlformats.org/officeDocument/2006/relationships/hyperlink" Target="https://www.daf.qld.gov.au/plants/fruit-and-vegetables/a-z-list-of-horticultural-insect-pests/elephant-beetle" TargetMode="External"/><Relationship Id="rId15" Type="http://schemas.openxmlformats.org/officeDocument/2006/relationships/hyperlink" Target="mailto:plant@agriculture.gov.au" TargetMode="External"/><Relationship Id="rId36" Type="http://schemas.openxmlformats.org/officeDocument/2006/relationships/image" Target="media/image12.png"/><Relationship Id="rId57" Type="http://schemas.openxmlformats.org/officeDocument/2006/relationships/header" Target="header16.xml"/><Relationship Id="rId106" Type="http://schemas.openxmlformats.org/officeDocument/2006/relationships/hyperlink" Target="http://eurasian-tortricidae.linnaeus.naturalis.nl/linnaeus_ng/app/views/introduction/topic.php?id=3386&amp;epi=164" TargetMode="External"/><Relationship Id="rId127" Type="http://schemas.openxmlformats.org/officeDocument/2006/relationships/customXml" Target="../customXml/item1.xml"/><Relationship Id="rId10" Type="http://schemas.openxmlformats.org/officeDocument/2006/relationships/image" Target="media/image3.png"/><Relationship Id="rId31" Type="http://schemas.openxmlformats.org/officeDocument/2006/relationships/image" Target="media/image7.png"/><Relationship Id="rId52" Type="http://schemas.openxmlformats.org/officeDocument/2006/relationships/header" Target="header14.xml"/><Relationship Id="rId73" Type="http://schemas.openxmlformats.org/officeDocument/2006/relationships/hyperlink" Target="http://www.agriculture.gov.au/about/media-centre/communiques/exotic-fruit-flies-torres-strait" TargetMode="External"/><Relationship Id="rId78" Type="http://schemas.openxmlformats.org/officeDocument/2006/relationships/hyperlink" Target="http://eol.org/" TargetMode="External"/><Relationship Id="rId94" Type="http://schemas.openxmlformats.org/officeDocument/2006/relationships/hyperlink" Target="http://scalenet.info" TargetMode="External"/><Relationship Id="rId99" Type="http://schemas.openxmlformats.org/officeDocument/2006/relationships/hyperlink" Target="http://www.learnaboutbutterflies.com/" TargetMode="External"/><Relationship Id="rId101" Type="http://schemas.openxmlformats.org/officeDocument/2006/relationships/hyperlink" Target="https://www.trademap.org/Index.aspx" TargetMode="External"/><Relationship Id="rId122" Type="http://schemas.openxmlformats.org/officeDocument/2006/relationships/hyperlink" Target="http://www.worldweatheronline.com/" TargetMode="Externa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80361421-8F40-4738-9036-85A5C735F146}"/>
</file>

<file path=customXml/itemProps2.xml><?xml version="1.0" encoding="utf-8"?>
<ds:datastoreItem xmlns:ds="http://schemas.openxmlformats.org/officeDocument/2006/customXml" ds:itemID="{B1DC18ED-9E9D-4A22-B8CD-CE7978888A65}"/>
</file>

<file path=customXml/itemProps3.xml><?xml version="1.0" encoding="utf-8"?>
<ds:datastoreItem xmlns:ds="http://schemas.openxmlformats.org/officeDocument/2006/customXml" ds:itemID="{52AE0F07-B29E-49DC-A3EC-3160A56E8D53}"/>
</file>

<file path=docProps/app.xml><?xml version="1.0" encoding="utf-8"?>
<Properties xmlns="http://schemas.openxmlformats.org/officeDocument/2006/extended-properties" xmlns:vt="http://schemas.openxmlformats.org/officeDocument/2006/docPropsVTypes">
  <Template>Normal</Template>
  <TotalTime>0</TotalTime>
  <Pages>119</Pages>
  <Words>37830</Words>
  <Characters>215631</Characters>
  <Application>Microsoft Office Word</Application>
  <DocSecurity>0</DocSecurity>
  <Lines>1796</Lines>
  <Paragraphs>505</Paragraphs>
  <ScaleCrop>false</ScaleCrop>
  <HeadingPairs>
    <vt:vector size="2" baseType="variant">
      <vt:variant>
        <vt:lpstr>Title</vt:lpstr>
      </vt:variant>
      <vt:variant>
        <vt:i4>1</vt:i4>
      </vt:variant>
    </vt:vector>
  </HeadingPairs>
  <TitlesOfParts>
    <vt:vector size="1" baseType="lpstr">
      <vt:lpstr>Final report for the review of biosecurity import requirements for fresh longan fruit from Vietnam</vt:lpstr>
    </vt:vector>
  </TitlesOfParts>
  <Company/>
  <LinksUpToDate>false</LinksUpToDate>
  <CharactersWithSpaces>252956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for the review of biosecurity import requirements for fresh longan fruit from Vietnam</dc:title>
  <dc:subject/>
  <dc:creator/>
  <cp:keywords/>
  <dc:description/>
  <cp:lastModifiedBy/>
  <cp:revision>1</cp:revision>
  <dcterms:created xsi:type="dcterms:W3CDTF">2019-05-01T23:28:00Z</dcterms:created>
  <dcterms:modified xsi:type="dcterms:W3CDTF">2019-05-23T01:29:00Z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